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326" w:rsidRDefault="00615326">
      <w:pPr>
        <w:rPr>
          <w:rFonts w:ascii="Arial" w:eastAsia="Arial" w:hAnsi="Arial" w:cs="Arial"/>
          <w:b/>
          <w:sz w:val="36"/>
          <w:szCs w:val="36"/>
        </w:rPr>
      </w:pPr>
      <w:bookmarkStart w:id="0" w:name="_GoBack"/>
      <w:bookmarkEnd w:id="0"/>
    </w:p>
    <w:p w:rsidR="00615326" w:rsidRDefault="00F50C9E">
      <w:pPr>
        <w:rPr>
          <w:rFonts w:ascii="Arial" w:eastAsia="Arial" w:hAnsi="Arial" w:cs="Arial"/>
          <w:b/>
          <w:sz w:val="36"/>
          <w:szCs w:val="36"/>
        </w:rPr>
      </w:pPr>
      <w:r>
        <w:rPr>
          <w:rFonts w:ascii="Arial" w:eastAsia="Arial" w:hAnsi="Arial" w:cs="Arial"/>
          <w:b/>
          <w:sz w:val="36"/>
          <w:szCs w:val="36"/>
        </w:rPr>
        <w:t>Joint Schedule 1 (Definitions)</w:t>
      </w:r>
    </w:p>
    <w:p w:rsidR="00615326" w:rsidRDefault="00F50C9E">
      <w:pPr>
        <w:numPr>
          <w:ilvl w:val="1"/>
          <w:numId w:val="2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1" w:name="bookmark=id.gjdgxs" w:colFirst="0" w:colLast="0"/>
      <w:bookmarkEnd w:id="1"/>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615326" w:rsidRDefault="00F50C9E">
      <w:pPr>
        <w:numPr>
          <w:ilvl w:val="1"/>
          <w:numId w:val="2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615326" w:rsidRDefault="00F50C9E">
      <w:pPr>
        <w:numPr>
          <w:ilvl w:val="1"/>
          <w:numId w:val="2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 xml:space="preserve">the headings in each Contract are for ease of reference only and shall not affect the interpretation or construction of a Contract; </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where the Buyer is a Central Government Body it shall be treated as contracting with the Crown as a whole;</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rsidR="00615326" w:rsidRDefault="00F50C9E">
      <w:pPr>
        <w:numPr>
          <w:ilvl w:val="3"/>
          <w:numId w:val="20"/>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615326" w:rsidRDefault="00F50C9E">
      <w:pPr>
        <w:numPr>
          <w:ilvl w:val="3"/>
          <w:numId w:val="20"/>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rsidR="00615326" w:rsidRDefault="00F50C9E">
      <w:pPr>
        <w:numPr>
          <w:ilvl w:val="2"/>
          <w:numId w:val="20"/>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rsidR="00615326" w:rsidRDefault="00F50C9E">
      <w:pPr>
        <w:numPr>
          <w:ilvl w:val="1"/>
          <w:numId w:val="2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rsidR="00615326" w:rsidRDefault="00615326">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615326">
        <w:tc>
          <w:tcPr>
            <w:tcW w:w="2070" w:type="dxa"/>
          </w:tcPr>
          <w:p w:rsidR="00615326" w:rsidRDefault="00F50C9E" w:rsidP="00F50C9E">
            <w:pPr>
              <w:pBdr>
                <w:top w:val="nil"/>
                <w:left w:val="nil"/>
                <w:bottom w:val="nil"/>
                <w:right w:val="nil"/>
                <w:between w:val="nil"/>
              </w:pBdr>
              <w:spacing w:after="120"/>
              <w:ind w:left="142" w:right="517"/>
              <w:rPr>
                <w:rFonts w:ascii="Arial" w:eastAsia="Arial" w:hAnsi="Arial" w:cs="Arial"/>
                <w:b/>
                <w:color w:val="000000"/>
                <w:sz w:val="24"/>
                <w:szCs w:val="24"/>
              </w:rPr>
            </w:pPr>
            <w:bookmarkStart w:id="4" w:name="_heading=h.3znysh7" w:colFirst="0" w:colLast="0"/>
            <w:bookmarkEnd w:id="4"/>
            <w:r>
              <w:rPr>
                <w:rFonts w:ascii="Arial" w:eastAsia="Arial" w:hAnsi="Arial" w:cs="Arial"/>
                <w:b/>
                <w:color w:val="000000"/>
                <w:sz w:val="24"/>
                <w:szCs w:val="24"/>
              </w:rPr>
              <w:t>"Achieve"</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615326">
        <w:tc>
          <w:tcPr>
            <w:tcW w:w="2070" w:type="dxa"/>
          </w:tcPr>
          <w:p w:rsidR="00615326" w:rsidRDefault="00F50C9E" w:rsidP="00F50C9E">
            <w:pPr>
              <w:pBdr>
                <w:top w:val="nil"/>
                <w:left w:val="nil"/>
                <w:bottom w:val="nil"/>
                <w:right w:val="nil"/>
                <w:between w:val="nil"/>
              </w:pBdr>
              <w:spacing w:after="120"/>
              <w:ind w:left="142" w:right="517"/>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615326">
        <w:tc>
          <w:tcPr>
            <w:tcW w:w="2070" w:type="dxa"/>
          </w:tcPr>
          <w:p w:rsidR="00615326" w:rsidRDefault="00F50C9E" w:rsidP="00F50C9E">
            <w:pPr>
              <w:pBdr>
                <w:top w:val="nil"/>
                <w:left w:val="nil"/>
                <w:bottom w:val="nil"/>
                <w:right w:val="nil"/>
                <w:between w:val="nil"/>
              </w:pBdr>
              <w:spacing w:after="120"/>
              <w:ind w:left="142" w:right="517"/>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615326">
        <w:tc>
          <w:tcPr>
            <w:tcW w:w="2070" w:type="dxa"/>
          </w:tcPr>
          <w:p w:rsidR="00615326" w:rsidRDefault="00F50C9E" w:rsidP="00F50C9E">
            <w:pPr>
              <w:pBdr>
                <w:top w:val="nil"/>
                <w:left w:val="nil"/>
                <w:bottom w:val="nil"/>
                <w:right w:val="nil"/>
                <w:between w:val="nil"/>
              </w:pBdr>
              <w:spacing w:after="120"/>
              <w:ind w:left="142" w:right="517"/>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615326">
        <w:tc>
          <w:tcPr>
            <w:tcW w:w="2070" w:type="dxa"/>
          </w:tcPr>
          <w:p w:rsidR="00615326" w:rsidRDefault="00F50C9E" w:rsidP="00F50C9E">
            <w:pPr>
              <w:pBdr>
                <w:top w:val="nil"/>
                <w:left w:val="nil"/>
                <w:bottom w:val="nil"/>
                <w:right w:val="nil"/>
                <w:between w:val="nil"/>
              </w:pBdr>
              <w:spacing w:after="120"/>
              <w:ind w:left="142" w:right="517"/>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615326">
        <w:tc>
          <w:tcPr>
            <w:tcW w:w="2070" w:type="dxa"/>
          </w:tcPr>
          <w:p w:rsidR="00615326" w:rsidRDefault="00F50C9E" w:rsidP="00F50C9E">
            <w:pPr>
              <w:pBdr>
                <w:top w:val="nil"/>
                <w:left w:val="nil"/>
                <w:bottom w:val="nil"/>
                <w:right w:val="nil"/>
                <w:between w:val="nil"/>
              </w:pBdr>
              <w:spacing w:after="120"/>
              <w:ind w:left="142" w:right="517"/>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615326">
        <w:tc>
          <w:tcPr>
            <w:tcW w:w="2070" w:type="dxa"/>
          </w:tcPr>
          <w:p w:rsidR="00615326" w:rsidRDefault="00F50C9E" w:rsidP="00F50C9E">
            <w:pPr>
              <w:pBdr>
                <w:top w:val="nil"/>
                <w:left w:val="nil"/>
                <w:bottom w:val="nil"/>
                <w:right w:val="nil"/>
                <w:between w:val="nil"/>
              </w:pBdr>
              <w:spacing w:after="120"/>
              <w:ind w:left="142" w:right="517"/>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615326">
        <w:tc>
          <w:tcPr>
            <w:tcW w:w="2070" w:type="dxa"/>
          </w:tcPr>
          <w:p w:rsidR="00615326" w:rsidRDefault="00F50C9E" w:rsidP="00F50C9E">
            <w:pPr>
              <w:pBdr>
                <w:top w:val="nil"/>
                <w:left w:val="nil"/>
                <w:bottom w:val="nil"/>
                <w:right w:val="nil"/>
                <w:between w:val="nil"/>
              </w:pBdr>
              <w:spacing w:after="120"/>
              <w:ind w:left="142" w:right="517"/>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rsidR="00615326" w:rsidRDefault="00F50C9E" w:rsidP="00F50C9E">
            <w:pPr>
              <w:numPr>
                <w:ilvl w:val="0"/>
                <w:numId w:val="17"/>
              </w:numPr>
              <w:pBdr>
                <w:top w:val="nil"/>
                <w:left w:val="nil"/>
                <w:bottom w:val="nil"/>
                <w:right w:val="nil"/>
                <w:between w:val="nil"/>
              </w:pBdr>
              <w:tabs>
                <w:tab w:val="left" w:pos="-179"/>
                <w:tab w:val="left" w:pos="-9"/>
              </w:tabs>
              <w:spacing w:after="120"/>
              <w:ind w:left="475" w:right="441" w:firstLine="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verify the accuracy of the Charges and any other amounts payable by a Buyer under a Call-Off Contract (including proposed or actual variations to them in accordance with the Contract); </w:t>
            </w:r>
          </w:p>
          <w:p w:rsidR="00615326" w:rsidRDefault="00F50C9E" w:rsidP="00F50C9E">
            <w:pPr>
              <w:numPr>
                <w:ilvl w:val="0"/>
                <w:numId w:val="17"/>
              </w:numPr>
              <w:pBdr>
                <w:top w:val="nil"/>
                <w:left w:val="nil"/>
                <w:bottom w:val="nil"/>
                <w:right w:val="nil"/>
                <w:between w:val="nil"/>
              </w:pBdr>
              <w:tabs>
                <w:tab w:val="left" w:pos="-179"/>
                <w:tab w:val="left" w:pos="-9"/>
              </w:tabs>
              <w:spacing w:after="120"/>
              <w:ind w:left="475" w:right="441" w:firstLine="0"/>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rsidR="00615326" w:rsidRDefault="00F50C9E" w:rsidP="00F50C9E">
            <w:pPr>
              <w:numPr>
                <w:ilvl w:val="0"/>
                <w:numId w:val="17"/>
              </w:numPr>
              <w:pBdr>
                <w:top w:val="nil"/>
                <w:left w:val="nil"/>
                <w:bottom w:val="nil"/>
                <w:right w:val="nil"/>
                <w:between w:val="nil"/>
              </w:pBdr>
              <w:tabs>
                <w:tab w:val="left" w:pos="-179"/>
                <w:tab w:val="left" w:pos="-9"/>
              </w:tabs>
              <w:spacing w:after="120"/>
              <w:ind w:left="475" w:right="441" w:firstLine="0"/>
              <w:jc w:val="both"/>
              <w:rPr>
                <w:rFonts w:ascii="Arial" w:eastAsia="Arial" w:hAnsi="Arial" w:cs="Arial"/>
                <w:color w:val="000000"/>
                <w:sz w:val="24"/>
                <w:szCs w:val="24"/>
              </w:rPr>
            </w:pPr>
            <w:r>
              <w:rPr>
                <w:rFonts w:ascii="Arial" w:eastAsia="Arial" w:hAnsi="Arial" w:cs="Arial"/>
                <w:color w:val="000000"/>
                <w:sz w:val="24"/>
                <w:szCs w:val="24"/>
              </w:rPr>
              <w:t>verify the Open Book Data;</w:t>
            </w:r>
          </w:p>
          <w:p w:rsidR="00615326" w:rsidRDefault="00F50C9E" w:rsidP="00F50C9E">
            <w:pPr>
              <w:numPr>
                <w:ilvl w:val="0"/>
                <w:numId w:val="17"/>
              </w:numPr>
              <w:pBdr>
                <w:top w:val="nil"/>
                <w:left w:val="nil"/>
                <w:bottom w:val="nil"/>
                <w:right w:val="nil"/>
                <w:between w:val="nil"/>
              </w:pBdr>
              <w:tabs>
                <w:tab w:val="left" w:pos="-179"/>
                <w:tab w:val="left" w:pos="-9"/>
              </w:tabs>
              <w:spacing w:after="120"/>
              <w:ind w:left="475" w:right="441" w:firstLine="0"/>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rsidR="00615326" w:rsidRDefault="00F50C9E" w:rsidP="00F50C9E">
            <w:pPr>
              <w:numPr>
                <w:ilvl w:val="0"/>
                <w:numId w:val="17"/>
              </w:numPr>
              <w:pBdr>
                <w:top w:val="nil"/>
                <w:left w:val="nil"/>
                <w:bottom w:val="nil"/>
                <w:right w:val="nil"/>
                <w:between w:val="nil"/>
              </w:pBdr>
              <w:tabs>
                <w:tab w:val="left" w:pos="-179"/>
                <w:tab w:val="left" w:pos="-9"/>
              </w:tabs>
              <w:spacing w:after="120"/>
              <w:ind w:left="475" w:right="441" w:firstLine="0"/>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615326" w:rsidRDefault="00F50C9E" w:rsidP="00F50C9E">
            <w:pPr>
              <w:numPr>
                <w:ilvl w:val="0"/>
                <w:numId w:val="17"/>
              </w:numPr>
              <w:pBdr>
                <w:top w:val="nil"/>
                <w:left w:val="nil"/>
                <w:bottom w:val="nil"/>
                <w:right w:val="nil"/>
                <w:between w:val="nil"/>
              </w:pBdr>
              <w:tabs>
                <w:tab w:val="left" w:pos="-179"/>
                <w:tab w:val="left" w:pos="-9"/>
              </w:tabs>
              <w:spacing w:after="120"/>
              <w:ind w:left="475" w:right="441" w:firstLine="0"/>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rsidR="00615326" w:rsidRDefault="00F50C9E" w:rsidP="00F50C9E">
            <w:pPr>
              <w:numPr>
                <w:ilvl w:val="0"/>
                <w:numId w:val="17"/>
              </w:numPr>
              <w:pBdr>
                <w:top w:val="nil"/>
                <w:left w:val="nil"/>
                <w:bottom w:val="nil"/>
                <w:right w:val="nil"/>
                <w:between w:val="nil"/>
              </w:pBdr>
              <w:tabs>
                <w:tab w:val="left" w:pos="-179"/>
                <w:tab w:val="left" w:pos="-9"/>
              </w:tabs>
              <w:spacing w:after="120"/>
              <w:ind w:left="475" w:right="441" w:firstLine="0"/>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615326" w:rsidRDefault="00F50C9E" w:rsidP="00F50C9E">
            <w:pPr>
              <w:numPr>
                <w:ilvl w:val="0"/>
                <w:numId w:val="17"/>
              </w:numPr>
              <w:pBdr>
                <w:top w:val="nil"/>
                <w:left w:val="nil"/>
                <w:bottom w:val="nil"/>
                <w:right w:val="nil"/>
                <w:between w:val="nil"/>
              </w:pBdr>
              <w:tabs>
                <w:tab w:val="left" w:pos="-179"/>
                <w:tab w:val="left" w:pos="-9"/>
              </w:tabs>
              <w:spacing w:after="120"/>
              <w:ind w:left="475" w:right="441" w:firstLine="0"/>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rsidR="00615326" w:rsidRDefault="00F50C9E" w:rsidP="00F50C9E">
            <w:pPr>
              <w:numPr>
                <w:ilvl w:val="0"/>
                <w:numId w:val="17"/>
              </w:numPr>
              <w:pBdr>
                <w:top w:val="nil"/>
                <w:left w:val="nil"/>
                <w:bottom w:val="nil"/>
                <w:right w:val="nil"/>
                <w:between w:val="nil"/>
              </w:pBdr>
              <w:tabs>
                <w:tab w:val="left" w:pos="-179"/>
                <w:tab w:val="left" w:pos="-9"/>
              </w:tabs>
              <w:spacing w:after="120"/>
              <w:ind w:left="475" w:right="441" w:firstLine="0"/>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rsidR="00615326" w:rsidRDefault="00F50C9E" w:rsidP="00F50C9E">
            <w:pPr>
              <w:numPr>
                <w:ilvl w:val="0"/>
                <w:numId w:val="17"/>
              </w:numPr>
              <w:pBdr>
                <w:top w:val="nil"/>
                <w:left w:val="nil"/>
                <w:bottom w:val="nil"/>
                <w:right w:val="nil"/>
                <w:between w:val="nil"/>
              </w:pBdr>
              <w:tabs>
                <w:tab w:val="left" w:pos="-179"/>
                <w:tab w:val="left" w:pos="-9"/>
              </w:tabs>
              <w:spacing w:after="120"/>
              <w:ind w:left="475" w:right="441" w:firstLine="0"/>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rsidR="00615326" w:rsidRDefault="00F50C9E" w:rsidP="00F50C9E">
            <w:pPr>
              <w:numPr>
                <w:ilvl w:val="0"/>
                <w:numId w:val="17"/>
              </w:numPr>
              <w:pBdr>
                <w:top w:val="nil"/>
                <w:left w:val="nil"/>
                <w:bottom w:val="nil"/>
                <w:right w:val="nil"/>
                <w:between w:val="nil"/>
              </w:pBdr>
              <w:tabs>
                <w:tab w:val="left" w:pos="-179"/>
                <w:tab w:val="left" w:pos="-9"/>
              </w:tabs>
              <w:spacing w:after="120"/>
              <w:ind w:left="475" w:right="441" w:firstLine="0"/>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8010" w:type="dxa"/>
          </w:tcPr>
          <w:p w:rsidR="00615326" w:rsidRDefault="00F50C9E" w:rsidP="00F50C9E">
            <w:pPr>
              <w:numPr>
                <w:ilvl w:val="0"/>
                <w:numId w:val="22"/>
              </w:numPr>
              <w:pBdr>
                <w:top w:val="nil"/>
                <w:left w:val="nil"/>
                <w:bottom w:val="nil"/>
                <w:right w:val="nil"/>
                <w:between w:val="nil"/>
              </w:pBdr>
              <w:tabs>
                <w:tab w:val="left" w:pos="-179"/>
                <w:tab w:val="left" w:pos="-9"/>
              </w:tabs>
              <w:spacing w:after="120"/>
              <w:ind w:left="501" w:right="582" w:hanging="26"/>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rsidR="00615326" w:rsidRDefault="00F50C9E" w:rsidP="00F50C9E">
            <w:pPr>
              <w:numPr>
                <w:ilvl w:val="0"/>
                <w:numId w:val="22"/>
              </w:numPr>
              <w:pBdr>
                <w:top w:val="nil"/>
                <w:left w:val="nil"/>
                <w:bottom w:val="nil"/>
                <w:right w:val="nil"/>
                <w:between w:val="nil"/>
              </w:pBdr>
              <w:tabs>
                <w:tab w:val="left" w:pos="-179"/>
                <w:tab w:val="left" w:pos="-9"/>
              </w:tabs>
              <w:spacing w:after="120"/>
              <w:ind w:left="461" w:right="582" w:hanging="26"/>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rsidR="00615326" w:rsidRDefault="00F50C9E" w:rsidP="00F50C9E">
            <w:pPr>
              <w:numPr>
                <w:ilvl w:val="0"/>
                <w:numId w:val="22"/>
              </w:numPr>
              <w:pBdr>
                <w:top w:val="nil"/>
                <w:left w:val="nil"/>
                <w:bottom w:val="nil"/>
                <w:right w:val="nil"/>
                <w:between w:val="nil"/>
              </w:pBdr>
              <w:tabs>
                <w:tab w:val="left" w:pos="-179"/>
                <w:tab w:val="left" w:pos="-9"/>
              </w:tabs>
              <w:spacing w:after="120"/>
              <w:ind w:left="461" w:right="582" w:hanging="26"/>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rsidR="00615326" w:rsidRDefault="00F50C9E" w:rsidP="00F50C9E">
            <w:pPr>
              <w:numPr>
                <w:ilvl w:val="0"/>
                <w:numId w:val="22"/>
              </w:numPr>
              <w:pBdr>
                <w:top w:val="nil"/>
                <w:left w:val="nil"/>
                <w:bottom w:val="nil"/>
                <w:right w:val="nil"/>
                <w:between w:val="nil"/>
              </w:pBdr>
              <w:tabs>
                <w:tab w:val="left" w:pos="-179"/>
                <w:tab w:val="left" w:pos="-9"/>
              </w:tabs>
              <w:spacing w:after="120"/>
              <w:ind w:left="461" w:right="582" w:hanging="26"/>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rsidR="00615326" w:rsidRDefault="00F50C9E" w:rsidP="00F50C9E">
            <w:pPr>
              <w:numPr>
                <w:ilvl w:val="0"/>
                <w:numId w:val="22"/>
              </w:numPr>
              <w:pBdr>
                <w:top w:val="nil"/>
                <w:left w:val="nil"/>
                <w:bottom w:val="nil"/>
                <w:right w:val="nil"/>
                <w:between w:val="nil"/>
              </w:pBdr>
              <w:tabs>
                <w:tab w:val="left" w:pos="-179"/>
                <w:tab w:val="left" w:pos="-9"/>
              </w:tabs>
              <w:spacing w:after="120"/>
              <w:ind w:left="461" w:right="582" w:hanging="26"/>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rsidR="00615326" w:rsidRDefault="00F50C9E" w:rsidP="00F50C9E">
            <w:pPr>
              <w:numPr>
                <w:ilvl w:val="0"/>
                <w:numId w:val="22"/>
              </w:numPr>
              <w:pBdr>
                <w:top w:val="nil"/>
                <w:left w:val="nil"/>
                <w:bottom w:val="nil"/>
                <w:right w:val="nil"/>
                <w:between w:val="nil"/>
              </w:pBdr>
              <w:tabs>
                <w:tab w:val="left" w:pos="-179"/>
                <w:tab w:val="left" w:pos="-9"/>
              </w:tabs>
              <w:spacing w:after="120"/>
              <w:ind w:left="461" w:right="582" w:hanging="26"/>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615326">
        <w:trPr>
          <w:trHeight w:val="601"/>
        </w:trPr>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rsidR="00615326" w:rsidRDefault="00F50C9E" w:rsidP="00F50C9E">
            <w:pPr>
              <w:ind w:right="582" w:hanging="26"/>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222222"/>
                <w:sz w:val="22"/>
                <w:szCs w:val="22"/>
                <w:highlight w:val="white"/>
              </w:rPr>
              <w:t xml:space="preserve">CCS, NHS Procurement in Partnership and each </w:t>
            </w:r>
            <w:r>
              <w:rPr>
                <w:rFonts w:ascii="Arial" w:eastAsia="Arial" w:hAnsi="Arial" w:cs="Arial"/>
                <w:sz w:val="24"/>
                <w:szCs w:val="24"/>
              </w:rPr>
              <w:t>Buyer</w:t>
            </w:r>
          </w:p>
        </w:tc>
      </w:tr>
      <w:tr w:rsidR="00615326">
        <w:tc>
          <w:tcPr>
            <w:tcW w:w="2070" w:type="dxa"/>
          </w:tcPr>
          <w:p w:rsidR="00615326" w:rsidRDefault="00F50C9E" w:rsidP="00F50C9E">
            <w:pPr>
              <w:pBdr>
                <w:top w:val="nil"/>
                <w:left w:val="nil"/>
                <w:bottom w:val="nil"/>
                <w:right w:val="nil"/>
                <w:between w:val="nil"/>
              </w:pBdr>
              <w:ind w:left="142" w:right="376"/>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615326">
        <w:tc>
          <w:tcPr>
            <w:tcW w:w="2070" w:type="dxa"/>
          </w:tcPr>
          <w:p w:rsidR="00615326" w:rsidRDefault="00F50C9E" w:rsidP="00F50C9E">
            <w:pPr>
              <w:keepNext/>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 xml:space="preserve">"Call-Off Optional </w:t>
            </w:r>
            <w:r>
              <w:rPr>
                <w:rFonts w:ascii="Arial" w:eastAsia="Arial" w:hAnsi="Arial" w:cs="Arial"/>
                <w:b/>
                <w:color w:val="000000"/>
                <w:sz w:val="24"/>
                <w:szCs w:val="24"/>
              </w:rPr>
              <w:lastRenderedPageBreak/>
              <w:t>Extension Period"</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lastRenderedPageBreak/>
              <w:t>such period or periods beyond which the Call-Off Initial Period may be extended as specified in the Order Form;</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rsidR="00615326" w:rsidRDefault="00F50C9E" w:rsidP="00F50C9E">
            <w:pPr>
              <w:pBdr>
                <w:top w:val="nil"/>
                <w:left w:val="nil"/>
                <w:bottom w:val="nil"/>
                <w:right w:val="nil"/>
                <w:between w:val="nil"/>
              </w:pBdr>
              <w:tabs>
                <w:tab w:val="left" w:pos="-179"/>
                <w:tab w:val="left" w:pos="-9"/>
                <w:tab w:val="left" w:pos="7421"/>
              </w:tabs>
              <w:spacing w:after="120"/>
              <w:ind w:left="758" w:right="441"/>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rsidR="00615326" w:rsidRDefault="00F50C9E" w:rsidP="00F50C9E">
            <w:pPr>
              <w:pBdr>
                <w:top w:val="nil"/>
                <w:left w:val="nil"/>
                <w:bottom w:val="nil"/>
                <w:right w:val="nil"/>
                <w:between w:val="nil"/>
              </w:pBdr>
              <w:tabs>
                <w:tab w:val="left" w:pos="-179"/>
                <w:tab w:val="left" w:pos="-9"/>
                <w:tab w:val="left" w:pos="7279"/>
              </w:tabs>
              <w:spacing w:after="120"/>
              <w:ind w:left="617" w:right="299"/>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rsidR="00615326" w:rsidRDefault="00F50C9E" w:rsidP="00F50C9E">
            <w:pPr>
              <w:pBdr>
                <w:top w:val="nil"/>
                <w:left w:val="nil"/>
                <w:bottom w:val="nil"/>
                <w:right w:val="nil"/>
                <w:between w:val="nil"/>
              </w:pBdr>
              <w:tabs>
                <w:tab w:val="left" w:pos="-179"/>
                <w:tab w:val="left" w:pos="-9"/>
                <w:tab w:val="left" w:pos="7279"/>
              </w:tabs>
              <w:spacing w:after="120"/>
              <w:ind w:left="617" w:right="299"/>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rsidR="00615326" w:rsidRDefault="00F50C9E" w:rsidP="00F50C9E">
            <w:pPr>
              <w:pBdr>
                <w:top w:val="nil"/>
                <w:left w:val="nil"/>
                <w:bottom w:val="nil"/>
                <w:right w:val="nil"/>
                <w:between w:val="nil"/>
              </w:pBdr>
              <w:tabs>
                <w:tab w:val="left" w:pos="-179"/>
                <w:tab w:val="left" w:pos="-9"/>
                <w:tab w:val="left" w:pos="7279"/>
              </w:tabs>
              <w:spacing w:after="120"/>
              <w:ind w:left="617" w:right="299"/>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rsidR="00615326" w:rsidRDefault="00F50C9E" w:rsidP="00F50C9E">
            <w:pPr>
              <w:pBdr>
                <w:top w:val="nil"/>
                <w:left w:val="nil"/>
                <w:bottom w:val="nil"/>
                <w:right w:val="nil"/>
                <w:between w:val="nil"/>
              </w:pBdr>
              <w:tabs>
                <w:tab w:val="left" w:pos="-179"/>
                <w:tab w:val="left" w:pos="-9"/>
                <w:tab w:val="left" w:pos="7279"/>
              </w:tabs>
              <w:spacing w:after="120"/>
              <w:ind w:left="617" w:right="299"/>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615326">
        <w:tc>
          <w:tcPr>
            <w:tcW w:w="2070" w:type="dxa"/>
          </w:tcPr>
          <w:p w:rsidR="00615326" w:rsidRDefault="00F50C9E" w:rsidP="00F50C9E">
            <w:pPr>
              <w:pBdr>
                <w:top w:val="nil"/>
                <w:left w:val="nil"/>
                <w:bottom w:val="nil"/>
                <w:right w:val="nil"/>
                <w:between w:val="nil"/>
              </w:pBdr>
              <w:spacing w:after="120"/>
              <w:ind w:left="142" w:right="376"/>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617" w:right="299"/>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615326" w:rsidRDefault="00F50C9E" w:rsidP="00F50C9E">
            <w:pPr>
              <w:numPr>
                <w:ilvl w:val="1"/>
                <w:numId w:val="19"/>
              </w:numPr>
              <w:pBdr>
                <w:top w:val="nil"/>
                <w:left w:val="nil"/>
                <w:bottom w:val="nil"/>
                <w:right w:val="nil"/>
                <w:between w:val="nil"/>
              </w:pBdr>
              <w:tabs>
                <w:tab w:val="left" w:pos="-576"/>
                <w:tab w:val="left" w:pos="144"/>
              </w:tabs>
              <w:spacing w:after="120"/>
              <w:ind w:left="617" w:right="299" w:firstLine="0"/>
              <w:jc w:val="both"/>
              <w:rPr>
                <w:rFonts w:ascii="Arial" w:eastAsia="Arial" w:hAnsi="Arial" w:cs="Arial"/>
                <w:color w:val="000000"/>
                <w:sz w:val="24"/>
                <w:szCs w:val="24"/>
              </w:rPr>
            </w:pPr>
            <w:r>
              <w:rPr>
                <w:rFonts w:ascii="Arial" w:eastAsia="Arial" w:hAnsi="Arial" w:cs="Arial"/>
                <w:color w:val="000000"/>
                <w:sz w:val="24"/>
                <w:szCs w:val="24"/>
              </w:rPr>
              <w:t>Government Department;</w:t>
            </w:r>
          </w:p>
          <w:p w:rsidR="00615326" w:rsidRDefault="00F50C9E" w:rsidP="00F50C9E">
            <w:pPr>
              <w:numPr>
                <w:ilvl w:val="1"/>
                <w:numId w:val="19"/>
              </w:numPr>
              <w:pBdr>
                <w:top w:val="nil"/>
                <w:left w:val="nil"/>
                <w:bottom w:val="nil"/>
                <w:right w:val="nil"/>
                <w:between w:val="nil"/>
              </w:pBdr>
              <w:tabs>
                <w:tab w:val="left" w:pos="-576"/>
                <w:tab w:val="left" w:pos="144"/>
              </w:tabs>
              <w:spacing w:after="120"/>
              <w:ind w:left="617" w:right="299" w:firstLine="0"/>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rsidR="00615326" w:rsidRDefault="00F50C9E" w:rsidP="00F50C9E">
            <w:pPr>
              <w:numPr>
                <w:ilvl w:val="1"/>
                <w:numId w:val="19"/>
              </w:numPr>
              <w:pBdr>
                <w:top w:val="nil"/>
                <w:left w:val="nil"/>
                <w:bottom w:val="nil"/>
                <w:right w:val="nil"/>
                <w:between w:val="nil"/>
              </w:pBdr>
              <w:tabs>
                <w:tab w:val="left" w:pos="-576"/>
                <w:tab w:val="left" w:pos="144"/>
              </w:tabs>
              <w:spacing w:after="120"/>
              <w:ind w:left="617" w:right="299" w:firstLine="0"/>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rsidR="00615326" w:rsidRDefault="00F50C9E" w:rsidP="00F50C9E">
            <w:pPr>
              <w:numPr>
                <w:ilvl w:val="1"/>
                <w:numId w:val="19"/>
              </w:numPr>
              <w:pBdr>
                <w:top w:val="nil"/>
                <w:left w:val="nil"/>
                <w:bottom w:val="nil"/>
                <w:right w:val="nil"/>
                <w:between w:val="nil"/>
              </w:pBdr>
              <w:tabs>
                <w:tab w:val="left" w:pos="-576"/>
                <w:tab w:val="left" w:pos="144"/>
              </w:tabs>
              <w:spacing w:after="120"/>
              <w:ind w:left="617" w:right="299" w:firstLine="0"/>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299" w:hanging="163"/>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299" w:hanging="163"/>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299" w:hanging="163"/>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299" w:hanging="163"/>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lastRenderedPageBreak/>
              <w:t>"Commercially Sensitive Information"</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299" w:hanging="163"/>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299" w:hanging="163"/>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299" w:hanging="163"/>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299" w:hanging="163"/>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615326">
        <w:tc>
          <w:tcPr>
            <w:tcW w:w="2070" w:type="dxa"/>
          </w:tcPr>
          <w:p w:rsidR="00615326" w:rsidRDefault="00F50C9E" w:rsidP="00F50C9E">
            <w:pPr>
              <w:keepNext/>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299" w:hanging="163"/>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299" w:hanging="163"/>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a) applicable Start Date; or</w:t>
            </w:r>
          </w:p>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b) the Effective Date</w:t>
            </w:r>
          </w:p>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615326">
        <w:tc>
          <w:tcPr>
            <w:tcW w:w="2070" w:type="dxa"/>
          </w:tcPr>
          <w:p w:rsidR="00615326" w:rsidRDefault="00F50C9E" w:rsidP="00F50C9E">
            <w:pPr>
              <w:pBdr>
                <w:top w:val="nil"/>
                <w:left w:val="nil"/>
                <w:bottom w:val="nil"/>
                <w:right w:val="nil"/>
                <w:between w:val="nil"/>
              </w:pBdr>
              <w:spacing w:after="120"/>
              <w:ind w:left="142" w:right="234"/>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615326" w:rsidRDefault="00F50C9E" w:rsidP="00F50C9E">
            <w:pPr>
              <w:numPr>
                <w:ilvl w:val="1"/>
                <w:numId w:val="25"/>
              </w:numPr>
              <w:pBdr>
                <w:top w:val="nil"/>
                <w:left w:val="nil"/>
                <w:bottom w:val="nil"/>
                <w:right w:val="nil"/>
                <w:between w:val="nil"/>
              </w:pBdr>
              <w:tabs>
                <w:tab w:val="left" w:pos="-576"/>
                <w:tab w:val="left" w:pos="144"/>
              </w:tabs>
              <w:spacing w:after="120"/>
              <w:ind w:right="441"/>
              <w:jc w:val="both"/>
              <w:rPr>
                <w:rFonts w:ascii="Arial" w:eastAsia="Arial" w:hAnsi="Arial" w:cs="Arial"/>
                <w:color w:val="000000"/>
                <w:sz w:val="24"/>
                <w:szCs w:val="24"/>
              </w:rPr>
            </w:pPr>
            <w:r>
              <w:rPr>
                <w:rFonts w:ascii="Arial" w:eastAsia="Arial" w:hAnsi="Arial" w:cs="Arial"/>
                <w:color w:val="000000"/>
                <w:sz w:val="24"/>
                <w:szCs w:val="24"/>
              </w:rPr>
              <w:lastRenderedPageBreak/>
              <w:t>the cost to the Supplier or the Key Subcontractor (as the context requires), calculated per Work Day, of engaging the Supplier Staff, including:</w:t>
            </w:r>
          </w:p>
          <w:p w:rsidR="00615326" w:rsidRDefault="00F50C9E" w:rsidP="00F50C9E">
            <w:pPr>
              <w:numPr>
                <w:ilvl w:val="2"/>
                <w:numId w:val="25"/>
              </w:numPr>
              <w:pBdr>
                <w:top w:val="nil"/>
                <w:left w:val="nil"/>
                <w:bottom w:val="nil"/>
                <w:right w:val="nil"/>
                <w:between w:val="nil"/>
              </w:pBdr>
              <w:tabs>
                <w:tab w:val="left" w:pos="-576"/>
                <w:tab w:val="left" w:pos="144"/>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rsidR="00615326" w:rsidRDefault="00F50C9E" w:rsidP="00F50C9E">
            <w:pPr>
              <w:numPr>
                <w:ilvl w:val="2"/>
                <w:numId w:val="25"/>
              </w:numPr>
              <w:pBdr>
                <w:top w:val="nil"/>
                <w:left w:val="nil"/>
                <w:bottom w:val="nil"/>
                <w:right w:val="nil"/>
                <w:between w:val="nil"/>
              </w:pBdr>
              <w:tabs>
                <w:tab w:val="left" w:pos="-576"/>
                <w:tab w:val="left" w:pos="144"/>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rsidR="00615326" w:rsidRDefault="00F50C9E" w:rsidP="00F50C9E">
            <w:pPr>
              <w:numPr>
                <w:ilvl w:val="2"/>
                <w:numId w:val="25"/>
              </w:numPr>
              <w:pBdr>
                <w:top w:val="nil"/>
                <w:left w:val="nil"/>
                <w:bottom w:val="nil"/>
                <w:right w:val="nil"/>
                <w:between w:val="nil"/>
              </w:pBdr>
              <w:tabs>
                <w:tab w:val="left" w:pos="-576"/>
                <w:tab w:val="left" w:pos="144"/>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pension contributions;</w:t>
            </w:r>
          </w:p>
          <w:p w:rsidR="00615326" w:rsidRDefault="00F50C9E" w:rsidP="00F50C9E">
            <w:pPr>
              <w:numPr>
                <w:ilvl w:val="2"/>
                <w:numId w:val="25"/>
              </w:numPr>
              <w:pBdr>
                <w:top w:val="nil"/>
                <w:left w:val="nil"/>
                <w:bottom w:val="nil"/>
                <w:right w:val="nil"/>
                <w:between w:val="nil"/>
              </w:pBdr>
              <w:tabs>
                <w:tab w:val="left" w:pos="-576"/>
                <w:tab w:val="left" w:pos="144"/>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rsidR="00615326" w:rsidRDefault="00F50C9E" w:rsidP="00F50C9E">
            <w:pPr>
              <w:numPr>
                <w:ilvl w:val="2"/>
                <w:numId w:val="25"/>
              </w:numPr>
              <w:pBdr>
                <w:top w:val="nil"/>
                <w:left w:val="nil"/>
                <w:bottom w:val="nil"/>
                <w:right w:val="nil"/>
                <w:between w:val="nil"/>
              </w:pBdr>
              <w:tabs>
                <w:tab w:val="left" w:pos="-576"/>
                <w:tab w:val="left" w:pos="144"/>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rsidR="00615326" w:rsidRDefault="00F50C9E" w:rsidP="00F50C9E">
            <w:pPr>
              <w:numPr>
                <w:ilvl w:val="2"/>
                <w:numId w:val="25"/>
              </w:numPr>
              <w:pBdr>
                <w:top w:val="nil"/>
                <w:left w:val="nil"/>
                <w:bottom w:val="nil"/>
                <w:right w:val="nil"/>
                <w:between w:val="nil"/>
              </w:pBdr>
              <w:tabs>
                <w:tab w:val="left" w:pos="-576"/>
                <w:tab w:val="left" w:pos="144"/>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staff training;</w:t>
            </w:r>
          </w:p>
          <w:p w:rsidR="00615326" w:rsidRDefault="00F50C9E" w:rsidP="00F50C9E">
            <w:pPr>
              <w:numPr>
                <w:ilvl w:val="2"/>
                <w:numId w:val="25"/>
              </w:numPr>
              <w:pBdr>
                <w:top w:val="nil"/>
                <w:left w:val="nil"/>
                <w:bottom w:val="nil"/>
                <w:right w:val="nil"/>
                <w:between w:val="nil"/>
              </w:pBdr>
              <w:tabs>
                <w:tab w:val="left" w:pos="-576"/>
                <w:tab w:val="left" w:pos="144"/>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work place accommodation;</w:t>
            </w:r>
          </w:p>
          <w:p w:rsidR="00615326" w:rsidRDefault="00F50C9E" w:rsidP="00F50C9E">
            <w:pPr>
              <w:numPr>
                <w:ilvl w:val="2"/>
                <w:numId w:val="25"/>
              </w:numPr>
              <w:pBdr>
                <w:top w:val="nil"/>
                <w:left w:val="nil"/>
                <w:bottom w:val="nil"/>
                <w:right w:val="nil"/>
                <w:between w:val="nil"/>
              </w:pBdr>
              <w:tabs>
                <w:tab w:val="left" w:pos="-576"/>
                <w:tab w:val="left" w:pos="144"/>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rsidR="00615326" w:rsidRDefault="00F50C9E" w:rsidP="00F50C9E">
            <w:pPr>
              <w:numPr>
                <w:ilvl w:val="2"/>
                <w:numId w:val="25"/>
              </w:numPr>
              <w:pBdr>
                <w:top w:val="nil"/>
                <w:left w:val="nil"/>
                <w:bottom w:val="nil"/>
                <w:right w:val="nil"/>
                <w:between w:val="nil"/>
              </w:pBdr>
              <w:tabs>
                <w:tab w:val="left" w:pos="-576"/>
                <w:tab w:val="left" w:pos="144"/>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rsidR="00615326" w:rsidRDefault="00F50C9E" w:rsidP="00F50C9E">
            <w:pPr>
              <w:pBdr>
                <w:top w:val="nil"/>
                <w:left w:val="nil"/>
                <w:bottom w:val="nil"/>
                <w:right w:val="nil"/>
                <w:between w:val="nil"/>
              </w:pBdr>
              <w:tabs>
                <w:tab w:val="left" w:pos="-179"/>
                <w:tab w:val="left" w:pos="411"/>
              </w:tabs>
              <w:spacing w:after="120"/>
              <w:ind w:left="475" w:right="441"/>
              <w:jc w:val="both"/>
              <w:rPr>
                <w:rFonts w:ascii="Arial" w:eastAsia="Arial" w:hAnsi="Arial" w:cs="Arial"/>
                <w:color w:val="000000"/>
                <w:sz w:val="24"/>
                <w:szCs w:val="24"/>
              </w:rPr>
            </w:pPr>
            <w:r>
              <w:rPr>
                <w:rFonts w:ascii="Arial" w:eastAsia="Arial" w:hAnsi="Arial" w:cs="Arial"/>
                <w:color w:val="000000"/>
                <w:sz w:val="24"/>
                <w:szCs w:val="24"/>
              </w:rPr>
              <w:tab/>
              <w:t>but excluding:</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432"/>
              <w:jc w:val="both"/>
              <w:rPr>
                <w:rFonts w:ascii="Arial" w:eastAsia="Arial" w:hAnsi="Arial" w:cs="Arial"/>
                <w:color w:val="000000"/>
                <w:sz w:val="24"/>
                <w:szCs w:val="24"/>
              </w:rPr>
            </w:pPr>
            <w:r>
              <w:rPr>
                <w:rFonts w:ascii="Arial" w:eastAsia="Arial" w:hAnsi="Arial" w:cs="Arial"/>
                <w:color w:val="000000"/>
                <w:sz w:val="24"/>
                <w:szCs w:val="24"/>
              </w:rPr>
              <w:t>Overhead;</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432"/>
              <w:jc w:val="both"/>
              <w:rPr>
                <w:rFonts w:ascii="Arial" w:eastAsia="Arial" w:hAnsi="Arial" w:cs="Arial"/>
                <w:color w:val="000000"/>
                <w:sz w:val="24"/>
                <w:szCs w:val="24"/>
              </w:rPr>
            </w:pPr>
            <w:r>
              <w:rPr>
                <w:rFonts w:ascii="Arial" w:eastAsia="Arial" w:hAnsi="Arial" w:cs="Arial"/>
                <w:color w:val="000000"/>
                <w:sz w:val="24"/>
                <w:szCs w:val="24"/>
              </w:rPr>
              <w:t>financing or similar costs;</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288"/>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545"/>
              <w:jc w:val="both"/>
              <w:rPr>
                <w:rFonts w:ascii="Arial" w:eastAsia="Arial" w:hAnsi="Arial" w:cs="Arial"/>
                <w:color w:val="000000"/>
                <w:sz w:val="24"/>
                <w:szCs w:val="24"/>
              </w:rPr>
            </w:pPr>
            <w:r>
              <w:rPr>
                <w:rFonts w:ascii="Arial" w:eastAsia="Arial" w:hAnsi="Arial" w:cs="Arial"/>
                <w:color w:val="000000"/>
                <w:sz w:val="24"/>
                <w:szCs w:val="24"/>
              </w:rPr>
              <w:t>taxation;</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545"/>
              <w:jc w:val="both"/>
              <w:rPr>
                <w:rFonts w:ascii="Arial" w:eastAsia="Arial" w:hAnsi="Arial" w:cs="Arial"/>
                <w:color w:val="000000"/>
                <w:sz w:val="24"/>
                <w:szCs w:val="24"/>
              </w:rPr>
            </w:pPr>
            <w:r>
              <w:rPr>
                <w:rFonts w:ascii="Arial" w:eastAsia="Arial" w:hAnsi="Arial" w:cs="Arial"/>
                <w:color w:val="000000"/>
                <w:sz w:val="24"/>
                <w:szCs w:val="24"/>
              </w:rPr>
              <w:t>fines and penalties;</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288"/>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288"/>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rsidR="00615326" w:rsidRDefault="00F50C9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rsidR="00615326" w:rsidRDefault="00F50C9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582" w:hanging="163"/>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582" w:hanging="163"/>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582" w:hanging="163"/>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582" w:hanging="163"/>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582" w:hanging="163"/>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582" w:hanging="163"/>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582" w:hanging="163"/>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582" w:hanging="163"/>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582" w:hanging="163"/>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582" w:hanging="163"/>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615326">
        <w:tc>
          <w:tcPr>
            <w:tcW w:w="2070" w:type="dxa"/>
          </w:tcPr>
          <w:p w:rsidR="00615326" w:rsidRDefault="00F50C9E" w:rsidP="00F50C9E">
            <w:pPr>
              <w:pBdr>
                <w:top w:val="nil"/>
                <w:left w:val="nil"/>
                <w:bottom w:val="nil"/>
                <w:right w:val="nil"/>
                <w:between w:val="nil"/>
              </w:pBdr>
              <w:spacing w:after="120"/>
              <w:ind w:left="284" w:right="376"/>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333" w:right="582" w:hanging="163"/>
              <w:jc w:val="both"/>
              <w:rPr>
                <w:rFonts w:ascii="Arial" w:eastAsia="Arial" w:hAnsi="Arial" w:cs="Arial"/>
                <w:color w:val="000000"/>
                <w:sz w:val="24"/>
                <w:szCs w:val="24"/>
              </w:rPr>
            </w:pPr>
            <w:r>
              <w:rPr>
                <w:rFonts w:ascii="Arial" w:eastAsia="Arial" w:hAnsi="Arial" w:cs="Arial"/>
                <w:color w:val="000000"/>
                <w:sz w:val="24"/>
                <w:szCs w:val="24"/>
              </w:rPr>
              <w:t xml:space="preserve">delivery of the relevant Deliverable or Milestone in accordance with the terms of a Call-Off Contract as confirmed and accepted by the Buyer by the either (a) confirmation in writing to the Supplier; or (b) </w:t>
            </w:r>
            <w:r>
              <w:rPr>
                <w:rFonts w:ascii="Arial" w:eastAsia="Arial" w:hAnsi="Arial" w:cs="Arial"/>
                <w:color w:val="000000"/>
                <w:sz w:val="24"/>
                <w:szCs w:val="24"/>
              </w:rPr>
              <w:lastRenderedPageBreak/>
              <w:t>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615326">
        <w:tc>
          <w:tcPr>
            <w:tcW w:w="2070" w:type="dxa"/>
          </w:tcPr>
          <w:p w:rsidR="00615326" w:rsidRDefault="00F50C9E" w:rsidP="00F50C9E">
            <w:pPr>
              <w:pBdr>
                <w:top w:val="nil"/>
                <w:left w:val="nil"/>
                <w:bottom w:val="nil"/>
                <w:right w:val="nil"/>
                <w:between w:val="nil"/>
              </w:pBdr>
              <w:spacing w:after="120"/>
              <w:ind w:left="426" w:right="517"/>
              <w:rPr>
                <w:rFonts w:ascii="Arial" w:eastAsia="Arial" w:hAnsi="Arial" w:cs="Arial"/>
                <w:b/>
                <w:color w:val="000000"/>
                <w:sz w:val="24"/>
                <w:szCs w:val="24"/>
              </w:rPr>
            </w:pPr>
            <w:r>
              <w:rPr>
                <w:rFonts w:ascii="Arial" w:eastAsia="Arial" w:hAnsi="Arial" w:cs="Arial"/>
                <w:b/>
                <w:color w:val="000000"/>
                <w:sz w:val="24"/>
                <w:szCs w:val="24"/>
              </w:rPr>
              <w:lastRenderedPageBreak/>
              <w:t>"Disclosing Party"</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hanging="305"/>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615326">
        <w:tc>
          <w:tcPr>
            <w:tcW w:w="2070" w:type="dxa"/>
          </w:tcPr>
          <w:p w:rsidR="00615326" w:rsidRDefault="00F50C9E" w:rsidP="00F50C9E">
            <w:pPr>
              <w:keepNext/>
              <w:pBdr>
                <w:top w:val="nil"/>
                <w:left w:val="nil"/>
                <w:bottom w:val="nil"/>
                <w:right w:val="nil"/>
                <w:between w:val="nil"/>
              </w:pBdr>
              <w:spacing w:after="120"/>
              <w:ind w:left="426" w:right="517"/>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hanging="305"/>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15326">
        <w:tc>
          <w:tcPr>
            <w:tcW w:w="2070" w:type="dxa"/>
          </w:tcPr>
          <w:p w:rsidR="00615326" w:rsidRDefault="00F50C9E" w:rsidP="00F50C9E">
            <w:pPr>
              <w:pBdr>
                <w:top w:val="nil"/>
                <w:left w:val="nil"/>
                <w:bottom w:val="nil"/>
                <w:right w:val="nil"/>
                <w:between w:val="nil"/>
              </w:pBdr>
              <w:spacing w:after="120"/>
              <w:ind w:left="426" w:right="517"/>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441" w:hanging="305"/>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615326">
        <w:tc>
          <w:tcPr>
            <w:tcW w:w="2070" w:type="dxa"/>
          </w:tcPr>
          <w:p w:rsidR="00615326" w:rsidRDefault="00F50C9E" w:rsidP="00F50C9E">
            <w:pPr>
              <w:pBdr>
                <w:top w:val="nil"/>
                <w:left w:val="nil"/>
                <w:bottom w:val="nil"/>
                <w:right w:val="nil"/>
                <w:between w:val="nil"/>
              </w:pBdr>
              <w:spacing w:after="120"/>
              <w:ind w:left="426" w:right="517"/>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rsidR="00615326" w:rsidRDefault="00F50C9E" w:rsidP="00F50C9E">
            <w:pPr>
              <w:pBdr>
                <w:top w:val="nil"/>
                <w:left w:val="nil"/>
                <w:bottom w:val="nil"/>
                <w:right w:val="nil"/>
                <w:between w:val="nil"/>
              </w:pBdr>
              <w:tabs>
                <w:tab w:val="left" w:pos="-576"/>
                <w:tab w:val="left" w:pos="144"/>
              </w:tabs>
              <w:spacing w:after="120"/>
              <w:ind w:left="475" w:right="441" w:hanging="30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305"/>
              <w:jc w:val="both"/>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305"/>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rsidR="00615326" w:rsidRDefault="00F50C9E" w:rsidP="00F50C9E">
            <w:pPr>
              <w:numPr>
                <w:ilvl w:val="1"/>
                <w:numId w:val="25"/>
              </w:numPr>
              <w:pBdr>
                <w:top w:val="nil"/>
                <w:left w:val="nil"/>
                <w:bottom w:val="nil"/>
                <w:right w:val="nil"/>
                <w:between w:val="nil"/>
              </w:pBdr>
              <w:tabs>
                <w:tab w:val="left" w:pos="-576"/>
                <w:tab w:val="left" w:pos="144"/>
              </w:tabs>
              <w:spacing w:after="120"/>
              <w:ind w:left="475" w:right="441" w:hanging="305"/>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615326">
        <w:tc>
          <w:tcPr>
            <w:tcW w:w="2070" w:type="dxa"/>
          </w:tcPr>
          <w:p w:rsidR="00615326" w:rsidRDefault="00F50C9E" w:rsidP="00F50C9E">
            <w:pPr>
              <w:pBdr>
                <w:top w:val="nil"/>
                <w:left w:val="nil"/>
                <w:bottom w:val="nil"/>
                <w:right w:val="nil"/>
                <w:between w:val="nil"/>
              </w:pBdr>
              <w:spacing w:after="120"/>
              <w:ind w:left="426" w:right="517"/>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rsidR="00615326" w:rsidRDefault="00F50C9E" w:rsidP="00F50C9E">
            <w:pPr>
              <w:pBdr>
                <w:top w:val="nil"/>
                <w:left w:val="nil"/>
                <w:bottom w:val="nil"/>
                <w:right w:val="nil"/>
                <w:between w:val="nil"/>
              </w:pBdr>
              <w:tabs>
                <w:tab w:val="left" w:pos="-576"/>
                <w:tab w:val="left" w:pos="144"/>
              </w:tabs>
              <w:spacing w:after="120"/>
              <w:ind w:left="475" w:right="441" w:hanging="30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15326">
        <w:tc>
          <w:tcPr>
            <w:tcW w:w="2070" w:type="dxa"/>
          </w:tcPr>
          <w:p w:rsidR="00615326" w:rsidRDefault="00F50C9E" w:rsidP="00F50C9E">
            <w:pPr>
              <w:pBdr>
                <w:top w:val="nil"/>
                <w:left w:val="nil"/>
                <w:bottom w:val="nil"/>
                <w:right w:val="nil"/>
                <w:between w:val="nil"/>
              </w:pBdr>
              <w:spacing w:after="120"/>
              <w:ind w:left="426" w:right="517"/>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rsidR="00615326" w:rsidRDefault="00F50C9E" w:rsidP="00F50C9E">
            <w:pPr>
              <w:pBdr>
                <w:top w:val="nil"/>
                <w:left w:val="nil"/>
                <w:bottom w:val="nil"/>
                <w:right w:val="nil"/>
                <w:between w:val="nil"/>
              </w:pBdr>
              <w:tabs>
                <w:tab w:val="left" w:pos="-576"/>
                <w:tab w:val="left" w:pos="144"/>
              </w:tabs>
              <w:spacing w:after="120"/>
              <w:ind w:left="475" w:right="441" w:hanging="30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615326">
        <w:tc>
          <w:tcPr>
            <w:tcW w:w="2070" w:type="dxa"/>
          </w:tcPr>
          <w:p w:rsidR="00615326" w:rsidRDefault="00F50C9E" w:rsidP="00F50C9E">
            <w:pPr>
              <w:pBdr>
                <w:top w:val="nil"/>
                <w:left w:val="nil"/>
                <w:bottom w:val="nil"/>
                <w:right w:val="nil"/>
                <w:between w:val="nil"/>
              </w:pBdr>
              <w:spacing w:after="120"/>
              <w:ind w:left="426" w:right="517"/>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rsidR="00615326" w:rsidRDefault="00F50C9E" w:rsidP="00F50C9E">
            <w:pPr>
              <w:pBdr>
                <w:top w:val="nil"/>
                <w:left w:val="nil"/>
                <w:bottom w:val="nil"/>
                <w:right w:val="nil"/>
                <w:between w:val="nil"/>
              </w:pBdr>
              <w:tabs>
                <w:tab w:val="left" w:pos="-576"/>
                <w:tab w:val="left" w:pos="144"/>
              </w:tabs>
              <w:spacing w:after="120"/>
              <w:ind w:left="475" w:right="441" w:hanging="30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615326">
        <w:tc>
          <w:tcPr>
            <w:tcW w:w="2070" w:type="dxa"/>
          </w:tcPr>
          <w:p w:rsidR="00615326" w:rsidRDefault="00F50C9E" w:rsidP="00F50C9E">
            <w:pPr>
              <w:pBdr>
                <w:top w:val="nil"/>
                <w:left w:val="nil"/>
                <w:bottom w:val="nil"/>
                <w:right w:val="nil"/>
                <w:between w:val="nil"/>
              </w:pBdr>
              <w:spacing w:after="120"/>
              <w:ind w:left="426" w:right="517"/>
              <w:rPr>
                <w:rFonts w:ascii="Arial" w:eastAsia="Arial" w:hAnsi="Arial" w:cs="Arial"/>
                <w:b/>
                <w:color w:val="000000"/>
                <w:sz w:val="24"/>
                <w:szCs w:val="24"/>
              </w:rPr>
            </w:pPr>
            <w:r>
              <w:rPr>
                <w:rFonts w:ascii="Arial" w:eastAsia="Arial" w:hAnsi="Arial" w:cs="Arial"/>
                <w:b/>
                <w:color w:val="000000"/>
                <w:sz w:val="24"/>
                <w:szCs w:val="24"/>
              </w:rPr>
              <w:lastRenderedPageBreak/>
              <w:t>“Effective Date”</w:t>
            </w:r>
          </w:p>
        </w:tc>
        <w:tc>
          <w:tcPr>
            <w:tcW w:w="8010" w:type="dxa"/>
          </w:tcPr>
          <w:p w:rsidR="00615326" w:rsidRDefault="00F50C9E" w:rsidP="00F50C9E">
            <w:pPr>
              <w:pBdr>
                <w:top w:val="nil"/>
                <w:left w:val="nil"/>
                <w:bottom w:val="nil"/>
                <w:right w:val="nil"/>
                <w:between w:val="nil"/>
              </w:pBdr>
              <w:tabs>
                <w:tab w:val="left" w:pos="-576"/>
                <w:tab w:val="left" w:pos="144"/>
              </w:tabs>
              <w:spacing w:after="120"/>
              <w:ind w:left="475" w:right="582" w:firstLine="142"/>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615326">
        <w:tc>
          <w:tcPr>
            <w:tcW w:w="2070" w:type="dxa"/>
          </w:tcPr>
          <w:p w:rsidR="00615326" w:rsidRDefault="00F50C9E" w:rsidP="00F50C9E">
            <w:pPr>
              <w:pBdr>
                <w:top w:val="nil"/>
                <w:left w:val="nil"/>
                <w:bottom w:val="nil"/>
                <w:right w:val="nil"/>
                <w:between w:val="nil"/>
              </w:pBdr>
              <w:spacing w:after="120"/>
              <w:ind w:left="426" w:right="517"/>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582" w:firstLine="142"/>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615326">
        <w:tc>
          <w:tcPr>
            <w:tcW w:w="207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475" w:right="582" w:firstLine="142"/>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15326">
        <w:tc>
          <w:tcPr>
            <w:tcW w:w="207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170" w:right="582" w:firstLine="142"/>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615326">
        <w:tc>
          <w:tcPr>
            <w:tcW w:w="207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rsidR="00615326" w:rsidRDefault="00F50C9E" w:rsidP="00F50C9E">
            <w:pPr>
              <w:pBdr>
                <w:top w:val="nil"/>
                <w:left w:val="nil"/>
                <w:bottom w:val="nil"/>
                <w:right w:val="nil"/>
                <w:between w:val="nil"/>
              </w:pBdr>
              <w:tabs>
                <w:tab w:val="left" w:pos="-576"/>
                <w:tab w:val="left" w:pos="144"/>
              </w:tabs>
              <w:spacing w:after="120"/>
              <w:ind w:right="582" w:firstLine="142"/>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rsidR="00615326" w:rsidRDefault="00F50C9E" w:rsidP="00F50C9E">
            <w:pPr>
              <w:numPr>
                <w:ilvl w:val="1"/>
                <w:numId w:val="25"/>
              </w:numPr>
              <w:pBdr>
                <w:top w:val="nil"/>
                <w:left w:val="nil"/>
                <w:bottom w:val="nil"/>
                <w:right w:val="nil"/>
                <w:between w:val="nil"/>
              </w:pBdr>
              <w:tabs>
                <w:tab w:val="left" w:pos="-576"/>
                <w:tab w:val="left" w:pos="144"/>
              </w:tabs>
              <w:spacing w:after="120"/>
              <w:ind w:right="582" w:firstLine="142"/>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rsidR="00615326" w:rsidRDefault="00F50C9E" w:rsidP="00F50C9E">
            <w:pPr>
              <w:numPr>
                <w:ilvl w:val="1"/>
                <w:numId w:val="25"/>
              </w:numPr>
              <w:pBdr>
                <w:top w:val="nil"/>
                <w:left w:val="nil"/>
                <w:bottom w:val="nil"/>
                <w:right w:val="nil"/>
                <w:between w:val="nil"/>
              </w:pBdr>
              <w:tabs>
                <w:tab w:val="left" w:pos="-576"/>
                <w:tab w:val="left" w:pos="144"/>
              </w:tabs>
              <w:spacing w:after="120"/>
              <w:ind w:right="582" w:firstLine="142"/>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615326">
        <w:tc>
          <w:tcPr>
            <w:tcW w:w="207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170" w:right="582" w:firstLine="142"/>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15326" w:rsidTr="00F50C9E">
        <w:trPr>
          <w:trHeight w:val="104"/>
        </w:trPr>
        <w:tc>
          <w:tcPr>
            <w:tcW w:w="207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rsidR="00615326" w:rsidRDefault="00F50C9E" w:rsidP="00F50C9E">
            <w:pPr>
              <w:pBdr>
                <w:top w:val="nil"/>
                <w:left w:val="nil"/>
                <w:bottom w:val="nil"/>
                <w:right w:val="nil"/>
                <w:between w:val="nil"/>
              </w:pBdr>
              <w:tabs>
                <w:tab w:val="left" w:pos="-179"/>
                <w:tab w:val="left" w:pos="-9"/>
              </w:tabs>
              <w:spacing w:after="120"/>
              <w:ind w:left="170" w:right="582" w:firstLine="142"/>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615326">
        <w:tc>
          <w:tcPr>
            <w:tcW w:w="207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rsidR="00615326" w:rsidRDefault="00F50C9E" w:rsidP="00F50C9E">
            <w:pPr>
              <w:pBdr>
                <w:top w:val="nil"/>
                <w:left w:val="nil"/>
                <w:bottom w:val="nil"/>
                <w:right w:val="nil"/>
                <w:between w:val="nil"/>
              </w:pBdr>
              <w:tabs>
                <w:tab w:val="left" w:pos="-179"/>
              </w:tabs>
              <w:spacing w:after="120"/>
              <w:ind w:left="170" w:right="582" w:firstLine="142"/>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rsidR="00615326" w:rsidRDefault="00615326" w:rsidP="00F50C9E">
            <w:pPr>
              <w:pBdr>
                <w:top w:val="nil"/>
                <w:left w:val="nil"/>
                <w:bottom w:val="nil"/>
                <w:right w:val="nil"/>
                <w:between w:val="nil"/>
              </w:pBdr>
              <w:tabs>
                <w:tab w:val="left" w:pos="-179"/>
                <w:tab w:val="left" w:pos="-9"/>
              </w:tabs>
              <w:spacing w:after="120"/>
              <w:ind w:left="170" w:right="582" w:firstLine="142"/>
              <w:jc w:val="both"/>
              <w:rPr>
                <w:rFonts w:ascii="Arial" w:eastAsia="Arial" w:hAnsi="Arial" w:cs="Arial"/>
                <w:color w:val="000000"/>
                <w:sz w:val="24"/>
                <w:szCs w:val="24"/>
              </w:rPr>
            </w:pPr>
          </w:p>
        </w:tc>
      </w:tr>
    </w:tbl>
    <w:p w:rsidR="00615326" w:rsidRDefault="00615326">
      <w:pPr>
        <w:widowControl w:val="0"/>
        <w:pBdr>
          <w:top w:val="nil"/>
          <w:left w:val="nil"/>
          <w:bottom w:val="nil"/>
          <w:right w:val="nil"/>
          <w:between w:val="nil"/>
        </w:pBdr>
        <w:spacing w:after="0"/>
        <w:rPr>
          <w:rFonts w:ascii="Arial" w:eastAsia="Arial" w:hAnsi="Arial" w:cs="Arial"/>
          <w:color w:val="000000"/>
          <w:sz w:val="24"/>
          <w:szCs w:val="24"/>
        </w:rPr>
      </w:pPr>
    </w:p>
    <w:tbl>
      <w:tblPr>
        <w:tblStyle w:val="a6"/>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8080"/>
      </w:tblGrid>
      <w:tr w:rsidR="00615326" w:rsidTr="00F50C9E">
        <w:tc>
          <w:tcPr>
            <w:tcW w:w="1975"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8080" w:type="dxa"/>
            <w:tcBorders>
              <w:top w:val="nil"/>
              <w:left w:val="nil"/>
              <w:bottom w:val="single" w:sz="4" w:space="0" w:color="000000"/>
              <w:right w:val="single" w:sz="8" w:space="0" w:color="000000"/>
            </w:tcBorders>
            <w:tcMar>
              <w:top w:w="0" w:type="dxa"/>
              <w:left w:w="108" w:type="dxa"/>
              <w:bottom w:w="0" w:type="dxa"/>
              <w:right w:w="108" w:type="dxa"/>
            </w:tcMar>
          </w:tcPr>
          <w:p w:rsidR="00615326" w:rsidRDefault="00F50C9E" w:rsidP="00F50C9E">
            <w:pPr>
              <w:pBdr>
                <w:top w:val="nil"/>
                <w:left w:val="nil"/>
                <w:bottom w:val="nil"/>
                <w:right w:val="nil"/>
                <w:between w:val="nil"/>
              </w:pBdr>
              <w:tabs>
                <w:tab w:val="left" w:pos="-179"/>
              </w:tabs>
              <w:spacing w:after="120"/>
              <w:ind w:left="170" w:right="182"/>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rsidR="00615326" w:rsidRDefault="00F50C9E" w:rsidP="00F50C9E">
            <w:pPr>
              <w:pBdr>
                <w:top w:val="nil"/>
                <w:left w:val="nil"/>
                <w:bottom w:val="nil"/>
                <w:right w:val="nil"/>
                <w:between w:val="nil"/>
              </w:pBdr>
              <w:tabs>
                <w:tab w:val="left" w:pos="-179"/>
              </w:tabs>
              <w:spacing w:after="120"/>
              <w:ind w:left="170" w:right="182"/>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rsidR="00615326" w:rsidRDefault="00F50C9E" w:rsidP="00F50C9E">
            <w:pPr>
              <w:pBdr>
                <w:top w:val="nil"/>
                <w:left w:val="nil"/>
                <w:bottom w:val="nil"/>
                <w:right w:val="nil"/>
                <w:between w:val="nil"/>
              </w:pBdr>
              <w:tabs>
                <w:tab w:val="left" w:pos="-179"/>
              </w:tabs>
              <w:spacing w:after="120"/>
              <w:ind w:left="170" w:right="182"/>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rsidR="00615326" w:rsidRDefault="00F50C9E" w:rsidP="00F50C9E">
            <w:pPr>
              <w:pBdr>
                <w:top w:val="nil"/>
                <w:left w:val="nil"/>
                <w:bottom w:val="nil"/>
                <w:right w:val="nil"/>
                <w:between w:val="nil"/>
              </w:pBdr>
              <w:tabs>
                <w:tab w:val="left" w:pos="-179"/>
              </w:tabs>
              <w:spacing w:after="120"/>
              <w:ind w:right="182"/>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615326" w:rsidTr="00F50C9E">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sidRPr="00F50C9E">
              <w:rPr>
                <w:rFonts w:ascii="Arial" w:eastAsia="Arial" w:hAnsi="Arial" w:cs="Arial"/>
                <w:b/>
                <w:color w:val="000000"/>
                <w:sz w:val="24"/>
                <w:szCs w:val="24"/>
              </w:rPr>
              <w:t>“Exempt Buyer”</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326" w:rsidRDefault="00F50C9E" w:rsidP="00F50C9E">
            <w:pPr>
              <w:pBdr>
                <w:top w:val="nil"/>
                <w:left w:val="nil"/>
                <w:bottom w:val="nil"/>
                <w:right w:val="nil"/>
                <w:between w:val="nil"/>
              </w:pBdr>
              <w:spacing w:after="200" w:line="276" w:lineRule="auto"/>
              <w:ind w:right="182"/>
              <w:jc w:val="both"/>
              <w:rPr>
                <w:rFonts w:ascii="Arial" w:eastAsia="Arial" w:hAnsi="Arial" w:cs="Arial"/>
                <w:color w:val="000000"/>
                <w:sz w:val="22"/>
                <w:szCs w:val="22"/>
              </w:rPr>
            </w:pPr>
            <w:r>
              <w:rPr>
                <w:rFonts w:ascii="Arial" w:eastAsia="Arial" w:hAnsi="Arial" w:cs="Arial"/>
                <w:color w:val="000000"/>
                <w:sz w:val="22"/>
                <w:szCs w:val="22"/>
              </w:rPr>
              <w:t>a public sector purchaser that is:</w:t>
            </w:r>
          </w:p>
          <w:p w:rsidR="00615326" w:rsidRDefault="00F50C9E" w:rsidP="00F50C9E">
            <w:pPr>
              <w:numPr>
                <w:ilvl w:val="0"/>
                <w:numId w:val="2"/>
              </w:numPr>
              <w:pBdr>
                <w:top w:val="nil"/>
                <w:left w:val="nil"/>
                <w:bottom w:val="nil"/>
                <w:right w:val="nil"/>
                <w:between w:val="nil"/>
              </w:pBdr>
              <w:tabs>
                <w:tab w:val="left" w:pos="-179"/>
                <w:tab w:val="left" w:pos="-9"/>
              </w:tabs>
              <w:spacing w:after="120"/>
              <w:ind w:left="388" w:right="182"/>
              <w:jc w:val="both"/>
            </w:pPr>
            <w:r>
              <w:rPr>
                <w:rFonts w:ascii="Arial" w:eastAsia="Arial" w:hAnsi="Arial" w:cs="Arial"/>
                <w:color w:val="000000"/>
                <w:sz w:val="22"/>
                <w:szCs w:val="22"/>
              </w:rPr>
              <w:t>eligible to use the Framework Contract; and</w:t>
            </w:r>
          </w:p>
          <w:p w:rsidR="00615326" w:rsidRDefault="00F50C9E" w:rsidP="00F50C9E">
            <w:pPr>
              <w:numPr>
                <w:ilvl w:val="0"/>
                <w:numId w:val="2"/>
              </w:numPr>
              <w:pBdr>
                <w:top w:val="nil"/>
                <w:left w:val="nil"/>
                <w:bottom w:val="nil"/>
                <w:right w:val="nil"/>
                <w:between w:val="nil"/>
              </w:pBdr>
              <w:tabs>
                <w:tab w:val="left" w:pos="-179"/>
                <w:tab w:val="left" w:pos="-9"/>
              </w:tabs>
              <w:spacing w:after="120"/>
              <w:ind w:left="388" w:right="182"/>
              <w:jc w:val="both"/>
            </w:pPr>
            <w:r>
              <w:rPr>
                <w:rFonts w:ascii="Arial" w:eastAsia="Arial" w:hAnsi="Arial" w:cs="Arial"/>
                <w:color w:val="000000"/>
                <w:sz w:val="22"/>
                <w:szCs w:val="22"/>
              </w:rPr>
              <w:t>is entering into an Exempt Call-off Contract that is not subject to (as applicable) any of:</w:t>
            </w:r>
          </w:p>
          <w:p w:rsidR="00615326" w:rsidRDefault="00F50C9E" w:rsidP="00F50C9E">
            <w:pPr>
              <w:numPr>
                <w:ilvl w:val="1"/>
                <w:numId w:val="2"/>
              </w:numPr>
              <w:pBdr>
                <w:top w:val="nil"/>
                <w:left w:val="nil"/>
                <w:bottom w:val="nil"/>
                <w:right w:val="nil"/>
                <w:between w:val="nil"/>
              </w:pBdr>
              <w:tabs>
                <w:tab w:val="left" w:pos="-179"/>
                <w:tab w:val="left" w:pos="-9"/>
              </w:tabs>
              <w:spacing w:after="120"/>
              <w:ind w:left="814" w:right="182"/>
              <w:jc w:val="both"/>
            </w:pPr>
            <w:r>
              <w:rPr>
                <w:rFonts w:ascii="Arial" w:eastAsia="Arial" w:hAnsi="Arial" w:cs="Arial"/>
                <w:color w:val="000000"/>
                <w:sz w:val="22"/>
                <w:szCs w:val="22"/>
              </w:rPr>
              <w:lastRenderedPageBreak/>
              <w:t>the Regulations;</w:t>
            </w:r>
          </w:p>
          <w:p w:rsidR="00615326" w:rsidRDefault="00F50C9E" w:rsidP="00F50C9E">
            <w:pPr>
              <w:numPr>
                <w:ilvl w:val="1"/>
                <w:numId w:val="2"/>
              </w:numPr>
              <w:pBdr>
                <w:top w:val="nil"/>
                <w:left w:val="nil"/>
                <w:bottom w:val="nil"/>
                <w:right w:val="nil"/>
                <w:between w:val="nil"/>
              </w:pBdr>
              <w:tabs>
                <w:tab w:val="left" w:pos="-179"/>
                <w:tab w:val="left" w:pos="-9"/>
              </w:tabs>
              <w:spacing w:after="120"/>
              <w:ind w:left="814" w:right="182"/>
              <w:jc w:val="both"/>
            </w:pPr>
            <w:r>
              <w:rPr>
                <w:rFonts w:ascii="Arial" w:eastAsia="Arial" w:hAnsi="Arial" w:cs="Arial"/>
                <w:color w:val="000000"/>
                <w:sz w:val="22"/>
                <w:szCs w:val="22"/>
              </w:rPr>
              <w:t>the Concession Contracts Regulations 2016 (SI 2016/273);</w:t>
            </w:r>
          </w:p>
          <w:p w:rsidR="00615326" w:rsidRDefault="00F50C9E" w:rsidP="00F50C9E">
            <w:pPr>
              <w:numPr>
                <w:ilvl w:val="1"/>
                <w:numId w:val="2"/>
              </w:numPr>
              <w:pBdr>
                <w:top w:val="nil"/>
                <w:left w:val="nil"/>
                <w:bottom w:val="nil"/>
                <w:right w:val="nil"/>
                <w:between w:val="nil"/>
              </w:pBdr>
              <w:tabs>
                <w:tab w:val="left" w:pos="-179"/>
                <w:tab w:val="left" w:pos="-9"/>
              </w:tabs>
              <w:spacing w:after="120"/>
              <w:ind w:left="814" w:right="182"/>
              <w:jc w:val="both"/>
            </w:pPr>
            <w:r>
              <w:rPr>
                <w:rFonts w:ascii="Arial" w:eastAsia="Arial" w:hAnsi="Arial" w:cs="Arial"/>
                <w:color w:val="000000"/>
                <w:sz w:val="22"/>
                <w:szCs w:val="22"/>
              </w:rPr>
              <w:t>the Utilities Contracts Regulations 2016 (SI 2016/274);</w:t>
            </w:r>
          </w:p>
          <w:p w:rsidR="00615326" w:rsidRDefault="00F50C9E" w:rsidP="00F50C9E">
            <w:pPr>
              <w:numPr>
                <w:ilvl w:val="1"/>
                <w:numId w:val="2"/>
              </w:numPr>
              <w:pBdr>
                <w:top w:val="nil"/>
                <w:left w:val="nil"/>
                <w:bottom w:val="nil"/>
                <w:right w:val="nil"/>
                <w:between w:val="nil"/>
              </w:pBdr>
              <w:tabs>
                <w:tab w:val="left" w:pos="-179"/>
                <w:tab w:val="left" w:pos="-9"/>
              </w:tabs>
              <w:spacing w:after="120"/>
              <w:ind w:left="814" w:right="182"/>
              <w:jc w:val="both"/>
            </w:pPr>
            <w:r>
              <w:rPr>
                <w:rFonts w:ascii="Arial" w:eastAsia="Arial" w:hAnsi="Arial" w:cs="Arial"/>
                <w:color w:val="000000"/>
                <w:sz w:val="22"/>
                <w:szCs w:val="22"/>
              </w:rPr>
              <w:t>the Defence and Security Public Contracts Regulations 2011 (SI 2011/1848);</w:t>
            </w:r>
          </w:p>
          <w:p w:rsidR="00615326" w:rsidRDefault="00F50C9E" w:rsidP="00F50C9E">
            <w:pPr>
              <w:numPr>
                <w:ilvl w:val="1"/>
                <w:numId w:val="2"/>
              </w:numPr>
              <w:pBdr>
                <w:top w:val="nil"/>
                <w:left w:val="nil"/>
                <w:bottom w:val="nil"/>
                <w:right w:val="nil"/>
                <w:between w:val="nil"/>
              </w:pBdr>
              <w:tabs>
                <w:tab w:val="left" w:pos="-179"/>
                <w:tab w:val="left" w:pos="-9"/>
              </w:tabs>
              <w:spacing w:after="120"/>
              <w:ind w:left="814" w:right="182"/>
              <w:jc w:val="both"/>
            </w:pPr>
            <w:r>
              <w:rPr>
                <w:rFonts w:ascii="Arial" w:eastAsia="Arial" w:hAnsi="Arial" w:cs="Arial"/>
                <w:color w:val="000000"/>
                <w:sz w:val="22"/>
                <w:szCs w:val="22"/>
              </w:rPr>
              <w:t>the Remedies Directive (2007/66/EC);</w:t>
            </w:r>
          </w:p>
          <w:p w:rsidR="00615326" w:rsidRDefault="00F50C9E" w:rsidP="00F50C9E">
            <w:pPr>
              <w:numPr>
                <w:ilvl w:val="1"/>
                <w:numId w:val="2"/>
              </w:numPr>
              <w:pBdr>
                <w:top w:val="nil"/>
                <w:left w:val="nil"/>
                <w:bottom w:val="nil"/>
                <w:right w:val="nil"/>
                <w:between w:val="nil"/>
              </w:pBdr>
              <w:tabs>
                <w:tab w:val="left" w:pos="-179"/>
                <w:tab w:val="left" w:pos="-9"/>
              </w:tabs>
              <w:spacing w:after="120"/>
              <w:ind w:left="814" w:right="182"/>
              <w:jc w:val="both"/>
            </w:pPr>
            <w:r>
              <w:rPr>
                <w:rFonts w:ascii="Arial" w:eastAsia="Arial" w:hAnsi="Arial" w:cs="Arial"/>
                <w:color w:val="000000"/>
                <w:sz w:val="22"/>
                <w:szCs w:val="22"/>
              </w:rPr>
              <w:t>Directive 2014/23/EU of the European Parliament and Council;</w:t>
            </w:r>
          </w:p>
          <w:p w:rsidR="00615326" w:rsidRDefault="00F50C9E" w:rsidP="00F50C9E">
            <w:pPr>
              <w:numPr>
                <w:ilvl w:val="1"/>
                <w:numId w:val="2"/>
              </w:numPr>
              <w:pBdr>
                <w:top w:val="nil"/>
                <w:left w:val="nil"/>
                <w:bottom w:val="nil"/>
                <w:right w:val="nil"/>
                <w:between w:val="nil"/>
              </w:pBdr>
              <w:tabs>
                <w:tab w:val="left" w:pos="-179"/>
                <w:tab w:val="left" w:pos="-9"/>
              </w:tabs>
              <w:spacing w:after="120"/>
              <w:ind w:left="814" w:right="182"/>
              <w:jc w:val="both"/>
            </w:pPr>
            <w:r>
              <w:rPr>
                <w:rFonts w:ascii="Arial" w:eastAsia="Arial" w:hAnsi="Arial" w:cs="Arial"/>
                <w:color w:val="000000"/>
                <w:sz w:val="22"/>
                <w:szCs w:val="22"/>
              </w:rPr>
              <w:t>Directive 2014/24/EU of the European Parliament and Council;</w:t>
            </w:r>
          </w:p>
          <w:p w:rsidR="00615326" w:rsidRDefault="00F50C9E" w:rsidP="00F50C9E">
            <w:pPr>
              <w:numPr>
                <w:ilvl w:val="1"/>
                <w:numId w:val="2"/>
              </w:numPr>
              <w:pBdr>
                <w:top w:val="nil"/>
                <w:left w:val="nil"/>
                <w:bottom w:val="nil"/>
                <w:right w:val="nil"/>
                <w:between w:val="nil"/>
              </w:pBdr>
              <w:tabs>
                <w:tab w:val="left" w:pos="-179"/>
                <w:tab w:val="left" w:pos="-9"/>
              </w:tabs>
              <w:spacing w:after="120"/>
              <w:ind w:left="814" w:right="182"/>
              <w:jc w:val="both"/>
            </w:pPr>
            <w:r>
              <w:rPr>
                <w:rFonts w:ascii="Arial" w:eastAsia="Arial" w:hAnsi="Arial" w:cs="Arial"/>
                <w:color w:val="000000"/>
                <w:sz w:val="22"/>
                <w:szCs w:val="22"/>
              </w:rPr>
              <w:t>Directive 2014/25/EU of the European Parliament and Council; or</w:t>
            </w:r>
          </w:p>
          <w:p w:rsidR="00615326" w:rsidRDefault="00F50C9E" w:rsidP="00F50C9E">
            <w:pPr>
              <w:numPr>
                <w:ilvl w:val="1"/>
                <w:numId w:val="2"/>
              </w:numPr>
              <w:pBdr>
                <w:top w:val="nil"/>
                <w:left w:val="nil"/>
                <w:bottom w:val="nil"/>
                <w:right w:val="nil"/>
                <w:between w:val="nil"/>
              </w:pBdr>
              <w:tabs>
                <w:tab w:val="left" w:pos="-179"/>
                <w:tab w:val="left" w:pos="-9"/>
              </w:tabs>
              <w:spacing w:after="120"/>
              <w:ind w:left="814" w:right="182"/>
              <w:jc w:val="both"/>
              <w:rPr>
                <w:rFonts w:ascii="Arial" w:eastAsia="Arial" w:hAnsi="Arial" w:cs="Arial"/>
                <w:color w:val="000000"/>
                <w:sz w:val="24"/>
                <w:szCs w:val="24"/>
              </w:rPr>
            </w:pPr>
            <w:r>
              <w:rPr>
                <w:rFonts w:ascii="Arial" w:eastAsia="Arial" w:hAnsi="Arial" w:cs="Arial"/>
                <w:color w:val="000000"/>
                <w:sz w:val="22"/>
                <w:szCs w:val="22"/>
              </w:rPr>
              <w:t>Directive 2009/81/EC of the European Parliament and Council;</w:t>
            </w:r>
          </w:p>
        </w:tc>
      </w:tr>
      <w:tr w:rsidR="00615326" w:rsidTr="00F50C9E">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sidRPr="00F50C9E">
              <w:rPr>
                <w:rFonts w:ascii="Arial" w:eastAsia="Arial" w:hAnsi="Arial" w:cs="Arial"/>
                <w:b/>
                <w:color w:val="000000"/>
                <w:sz w:val="24"/>
                <w:szCs w:val="24"/>
              </w:rPr>
              <w:lastRenderedPageBreak/>
              <w:t>“Exempt Call-off Contract”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326" w:rsidRDefault="00F50C9E">
            <w:p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the contract between the Exempt Buyer and the Supplier for Deliverables which consists of the terms set out and referred to in the Order Form incorporating and, where necessary, amending, refining or adding to the terms of the Framework Contract;</w:t>
            </w:r>
          </w:p>
        </w:tc>
      </w:tr>
      <w:tr w:rsidR="00615326" w:rsidTr="00F50C9E">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sidRPr="00F50C9E">
              <w:rPr>
                <w:rFonts w:ascii="Arial" w:eastAsia="Arial" w:hAnsi="Arial" w:cs="Arial"/>
                <w:b/>
                <w:color w:val="000000"/>
                <w:sz w:val="24"/>
                <w:szCs w:val="24"/>
              </w:rPr>
              <w:t>“Exempt Procurement Amendments”</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326" w:rsidRDefault="00F50C9E">
            <w:p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615326" w:rsidRDefault="00615326">
      <w:pPr>
        <w:widowControl w:val="0"/>
        <w:pBdr>
          <w:top w:val="nil"/>
          <w:left w:val="nil"/>
          <w:bottom w:val="nil"/>
          <w:right w:val="nil"/>
          <w:between w:val="nil"/>
        </w:pBdr>
        <w:spacing w:after="0"/>
        <w:rPr>
          <w:rFonts w:ascii="Arial" w:eastAsia="Arial" w:hAnsi="Arial" w:cs="Arial"/>
          <w:color w:val="000000"/>
        </w:rPr>
      </w:pPr>
    </w:p>
    <w:tbl>
      <w:tblPr>
        <w:tblStyle w:val="a7"/>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80"/>
      </w:tblGrid>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"Existing IPR"</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“Exit Day”</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"Expiry Date"</w:t>
            </w:r>
          </w:p>
        </w:tc>
        <w:tc>
          <w:tcPr>
            <w:tcW w:w="7980" w:type="dxa"/>
          </w:tcPr>
          <w:p w:rsidR="00615326" w:rsidRDefault="00F50C9E" w:rsidP="00F50C9E">
            <w:pPr>
              <w:pBdr>
                <w:top w:val="nil"/>
                <w:left w:val="nil"/>
                <w:bottom w:val="nil"/>
                <w:right w:val="nil"/>
                <w:between w:val="nil"/>
              </w:pBdr>
              <w:tabs>
                <w:tab w:val="left" w:pos="-576"/>
                <w:tab w:val="left" w:pos="144"/>
              </w:tabs>
              <w:spacing w:after="120"/>
              <w:ind w:left="144" w:right="606"/>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"FOIA"</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615326" w:rsidRDefault="00F50C9E" w:rsidP="00F50C9E">
            <w:pPr>
              <w:numPr>
                <w:ilvl w:val="1"/>
                <w:numId w:val="18"/>
              </w:numPr>
              <w:pBdr>
                <w:top w:val="nil"/>
                <w:left w:val="nil"/>
                <w:bottom w:val="nil"/>
                <w:right w:val="nil"/>
                <w:between w:val="nil"/>
              </w:pBdr>
              <w:tabs>
                <w:tab w:val="left" w:pos="-576"/>
                <w:tab w:val="left" w:pos="144"/>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rsidR="00615326" w:rsidRDefault="00F50C9E" w:rsidP="00F50C9E">
            <w:pPr>
              <w:numPr>
                <w:ilvl w:val="1"/>
                <w:numId w:val="18"/>
              </w:numPr>
              <w:pBdr>
                <w:top w:val="nil"/>
                <w:left w:val="nil"/>
                <w:bottom w:val="nil"/>
                <w:right w:val="nil"/>
                <w:between w:val="nil"/>
              </w:pBdr>
              <w:tabs>
                <w:tab w:val="left" w:pos="-576"/>
                <w:tab w:val="left" w:pos="144"/>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t>acts of terrorism;</w:t>
            </w:r>
          </w:p>
          <w:p w:rsidR="00615326" w:rsidRDefault="00F50C9E" w:rsidP="00F50C9E">
            <w:pPr>
              <w:numPr>
                <w:ilvl w:val="1"/>
                <w:numId w:val="18"/>
              </w:numPr>
              <w:pBdr>
                <w:top w:val="nil"/>
                <w:left w:val="nil"/>
                <w:bottom w:val="nil"/>
                <w:right w:val="nil"/>
                <w:between w:val="nil"/>
              </w:pBdr>
              <w:tabs>
                <w:tab w:val="left" w:pos="-576"/>
                <w:tab w:val="left" w:pos="144"/>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lastRenderedPageBreak/>
              <w:t>acts of government, local government or regulatory bodies;</w:t>
            </w:r>
          </w:p>
          <w:p w:rsidR="00615326" w:rsidRDefault="00F50C9E" w:rsidP="00F50C9E">
            <w:pPr>
              <w:numPr>
                <w:ilvl w:val="1"/>
                <w:numId w:val="18"/>
              </w:numPr>
              <w:pBdr>
                <w:top w:val="nil"/>
                <w:left w:val="nil"/>
                <w:bottom w:val="nil"/>
                <w:right w:val="nil"/>
                <w:between w:val="nil"/>
              </w:pBdr>
              <w:tabs>
                <w:tab w:val="left" w:pos="-576"/>
                <w:tab w:val="left" w:pos="144"/>
              </w:tabs>
              <w:spacing w:after="120"/>
              <w:ind w:left="576" w:right="606" w:hanging="432"/>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"Force Majeure Notice"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"UK GDPR"</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"General Anti-Abuse Rule"</w:t>
            </w:r>
          </w:p>
        </w:tc>
        <w:tc>
          <w:tcPr>
            <w:tcW w:w="7980" w:type="dxa"/>
          </w:tcPr>
          <w:p w:rsidR="00615326" w:rsidRDefault="00F50C9E" w:rsidP="00F50C9E">
            <w:pPr>
              <w:numPr>
                <w:ilvl w:val="1"/>
                <w:numId w:val="18"/>
              </w:numPr>
              <w:pBdr>
                <w:top w:val="nil"/>
                <w:left w:val="nil"/>
                <w:bottom w:val="nil"/>
                <w:right w:val="nil"/>
                <w:between w:val="nil"/>
              </w:pBdr>
              <w:tabs>
                <w:tab w:val="left" w:pos="-576"/>
                <w:tab w:val="left" w:pos="144"/>
              </w:tabs>
              <w:spacing w:after="120"/>
              <w:ind w:right="323" w:hanging="288"/>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rsidR="00615326" w:rsidRDefault="00F50C9E" w:rsidP="00F50C9E">
            <w:pPr>
              <w:numPr>
                <w:ilvl w:val="1"/>
                <w:numId w:val="18"/>
              </w:numPr>
              <w:pBdr>
                <w:top w:val="nil"/>
                <w:left w:val="nil"/>
                <w:bottom w:val="nil"/>
                <w:right w:val="nil"/>
                <w:between w:val="nil"/>
              </w:pBdr>
              <w:tabs>
                <w:tab w:val="left" w:pos="-576"/>
                <w:tab w:val="left" w:pos="144"/>
              </w:tabs>
              <w:spacing w:after="120"/>
              <w:ind w:right="323"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323"/>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"Goods"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323"/>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323"/>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"Government"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323"/>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"Government Data"</w:t>
            </w:r>
          </w:p>
        </w:tc>
        <w:tc>
          <w:tcPr>
            <w:tcW w:w="7980" w:type="dxa"/>
          </w:tcPr>
          <w:p w:rsidR="00615326" w:rsidRDefault="00F50C9E" w:rsidP="00F50C9E">
            <w:pPr>
              <w:pBdr>
                <w:top w:val="nil"/>
                <w:left w:val="nil"/>
                <w:bottom w:val="nil"/>
                <w:right w:val="nil"/>
                <w:between w:val="nil"/>
              </w:pBdr>
              <w:tabs>
                <w:tab w:val="left" w:pos="-576"/>
                <w:tab w:val="left" w:pos="144"/>
              </w:tabs>
              <w:spacing w:after="120"/>
              <w:ind w:right="323"/>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615326" w:rsidRDefault="00F50C9E" w:rsidP="00F50C9E">
            <w:pPr>
              <w:numPr>
                <w:ilvl w:val="2"/>
                <w:numId w:val="18"/>
              </w:numPr>
              <w:pBdr>
                <w:top w:val="nil"/>
                <w:left w:val="nil"/>
                <w:bottom w:val="nil"/>
                <w:right w:val="nil"/>
                <w:between w:val="nil"/>
              </w:pBdr>
              <w:tabs>
                <w:tab w:val="left" w:pos="-576"/>
                <w:tab w:val="left" w:pos="144"/>
              </w:tabs>
              <w:spacing w:after="120"/>
              <w:ind w:left="792" w:right="323"/>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rsidR="00615326" w:rsidRDefault="00F50C9E" w:rsidP="00F50C9E">
            <w:pPr>
              <w:numPr>
                <w:ilvl w:val="2"/>
                <w:numId w:val="18"/>
              </w:numPr>
              <w:pBdr>
                <w:top w:val="nil"/>
                <w:left w:val="nil"/>
                <w:bottom w:val="nil"/>
                <w:right w:val="nil"/>
                <w:between w:val="nil"/>
              </w:pBdr>
              <w:tabs>
                <w:tab w:val="left" w:pos="-576"/>
                <w:tab w:val="left" w:pos="144"/>
              </w:tabs>
              <w:spacing w:after="120"/>
              <w:ind w:left="792" w:right="323"/>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"Guarantor"</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323"/>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323"/>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"HMRC"</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323"/>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"ICT Policy"</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323"/>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323"/>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rsidR="00615326" w:rsidRDefault="00F50C9E" w:rsidP="00F50C9E">
            <w:pPr>
              <w:numPr>
                <w:ilvl w:val="1"/>
                <w:numId w:val="5"/>
              </w:numPr>
              <w:pBdr>
                <w:top w:val="nil"/>
                <w:left w:val="nil"/>
                <w:bottom w:val="nil"/>
                <w:right w:val="nil"/>
                <w:between w:val="nil"/>
              </w:pBdr>
              <w:tabs>
                <w:tab w:val="left" w:pos="-576"/>
                <w:tab w:val="left" w:pos="144"/>
              </w:tabs>
              <w:spacing w:after="120"/>
              <w:ind w:right="323"/>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rsidR="00615326" w:rsidRDefault="00F50C9E" w:rsidP="00F50C9E">
            <w:pPr>
              <w:numPr>
                <w:ilvl w:val="1"/>
                <w:numId w:val="5"/>
              </w:numPr>
              <w:pBdr>
                <w:top w:val="nil"/>
                <w:left w:val="nil"/>
                <w:bottom w:val="nil"/>
                <w:right w:val="nil"/>
                <w:between w:val="nil"/>
              </w:pBdr>
              <w:tabs>
                <w:tab w:val="left" w:pos="-576"/>
                <w:tab w:val="left" w:pos="144"/>
              </w:tabs>
              <w:spacing w:after="120"/>
              <w:ind w:right="323" w:hanging="288"/>
              <w:jc w:val="both"/>
              <w:rPr>
                <w:rFonts w:ascii="Arial" w:eastAsia="Arial" w:hAnsi="Arial" w:cs="Arial"/>
                <w:color w:val="000000"/>
                <w:sz w:val="24"/>
                <w:szCs w:val="24"/>
              </w:rPr>
            </w:pPr>
            <w:r>
              <w:rPr>
                <w:rFonts w:ascii="Arial" w:eastAsia="Arial" w:hAnsi="Arial" w:cs="Arial"/>
                <w:color w:val="000000"/>
                <w:sz w:val="24"/>
                <w:szCs w:val="24"/>
              </w:rPr>
              <w:lastRenderedPageBreak/>
              <w:t>details of the cost of implementing the proposed Variation;</w:t>
            </w:r>
          </w:p>
          <w:p w:rsidR="00615326" w:rsidRDefault="00F50C9E" w:rsidP="00F50C9E">
            <w:pPr>
              <w:numPr>
                <w:ilvl w:val="1"/>
                <w:numId w:val="5"/>
              </w:numPr>
              <w:pBdr>
                <w:top w:val="nil"/>
                <w:left w:val="nil"/>
                <w:bottom w:val="nil"/>
                <w:right w:val="nil"/>
                <w:between w:val="nil"/>
              </w:pBdr>
              <w:tabs>
                <w:tab w:val="left" w:pos="-576"/>
                <w:tab w:val="left" w:pos="144"/>
              </w:tabs>
              <w:spacing w:after="120"/>
              <w:ind w:right="323" w:hanging="28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615326" w:rsidRDefault="00F50C9E" w:rsidP="00F50C9E">
            <w:pPr>
              <w:numPr>
                <w:ilvl w:val="1"/>
                <w:numId w:val="5"/>
              </w:numPr>
              <w:pBdr>
                <w:top w:val="nil"/>
                <w:left w:val="nil"/>
                <w:bottom w:val="nil"/>
                <w:right w:val="nil"/>
                <w:between w:val="nil"/>
              </w:pBdr>
              <w:tabs>
                <w:tab w:val="left" w:pos="-576"/>
                <w:tab w:val="left" w:pos="144"/>
              </w:tabs>
              <w:spacing w:after="120"/>
              <w:ind w:right="323" w:hanging="288"/>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rsidR="00615326" w:rsidRDefault="00F50C9E" w:rsidP="00F50C9E">
            <w:pPr>
              <w:numPr>
                <w:ilvl w:val="1"/>
                <w:numId w:val="5"/>
              </w:numPr>
              <w:pBdr>
                <w:top w:val="nil"/>
                <w:left w:val="nil"/>
                <w:bottom w:val="nil"/>
                <w:right w:val="nil"/>
                <w:between w:val="nil"/>
              </w:pBdr>
              <w:tabs>
                <w:tab w:val="left" w:pos="-576"/>
                <w:tab w:val="left" w:pos="144"/>
              </w:tabs>
              <w:spacing w:after="120"/>
              <w:ind w:right="323"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"Implementation Plan"</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"Indemnifier"</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"Indexation"</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"Information"</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"Initial Period"</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(i) (being a company or a LLP) is deemed unable to pay its debts within the meaning of section 123 of the Insolvency Act 1986, or</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w:t>
            </w:r>
            <w:r>
              <w:rPr>
                <w:rFonts w:ascii="Arial" w:eastAsia="Arial" w:hAnsi="Arial" w:cs="Arial"/>
                <w:color w:val="000000"/>
                <w:sz w:val="24"/>
                <w:szCs w:val="24"/>
              </w:rPr>
              <w:lastRenderedPageBreak/>
              <w:t>sole purpose of a scheme for a solvent amalgamation of that person with one or more other companies or the solvent reconstruction of that person;</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980" w:type="dxa"/>
          </w:tcPr>
          <w:p w:rsidR="00615326" w:rsidRDefault="00F50C9E" w:rsidP="00F50C9E">
            <w:pPr>
              <w:numPr>
                <w:ilvl w:val="1"/>
                <w:numId w:val="11"/>
              </w:numPr>
              <w:pBdr>
                <w:top w:val="nil"/>
                <w:left w:val="nil"/>
                <w:bottom w:val="nil"/>
                <w:right w:val="nil"/>
                <w:between w:val="nil"/>
              </w:pBdr>
              <w:tabs>
                <w:tab w:val="left" w:pos="-576"/>
                <w:tab w:val="left" w:pos="144"/>
              </w:tabs>
              <w:spacing w:after="120"/>
              <w:ind w:right="464"/>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615326" w:rsidRDefault="00F50C9E" w:rsidP="00F50C9E">
            <w:pPr>
              <w:numPr>
                <w:ilvl w:val="1"/>
                <w:numId w:val="11"/>
              </w:numPr>
              <w:pBdr>
                <w:top w:val="nil"/>
                <w:left w:val="nil"/>
                <w:bottom w:val="nil"/>
                <w:right w:val="nil"/>
                <w:between w:val="nil"/>
              </w:pBdr>
              <w:tabs>
                <w:tab w:val="left" w:pos="-576"/>
                <w:tab w:val="left" w:pos="144"/>
              </w:tabs>
              <w:spacing w:after="120"/>
              <w:ind w:right="464" w:hanging="288"/>
              <w:jc w:val="both"/>
              <w:rPr>
                <w:rFonts w:ascii="Arial" w:eastAsia="Arial" w:hAnsi="Arial" w:cs="Arial"/>
                <w:color w:val="000000"/>
                <w:sz w:val="24"/>
                <w:szCs w:val="24"/>
              </w:rPr>
            </w:pPr>
            <w:r>
              <w:rPr>
                <w:rFonts w:ascii="Arial" w:eastAsia="Arial" w:hAnsi="Arial" w:cs="Arial"/>
                <w:color w:val="000000"/>
                <w:sz w:val="24"/>
                <w:szCs w:val="24"/>
              </w:rPr>
              <w:lastRenderedPageBreak/>
              <w:t>applications for registration, and the right to apply for registration, for any of the rights listed at (a) that are capable of being registered in any country or jurisdiction; and</w:t>
            </w:r>
          </w:p>
          <w:p w:rsidR="00615326" w:rsidRDefault="00F50C9E" w:rsidP="00F50C9E">
            <w:pPr>
              <w:numPr>
                <w:ilvl w:val="1"/>
                <w:numId w:val="11"/>
              </w:numPr>
              <w:pBdr>
                <w:top w:val="nil"/>
                <w:left w:val="nil"/>
                <w:bottom w:val="nil"/>
                <w:right w:val="nil"/>
                <w:between w:val="nil"/>
              </w:pBdr>
              <w:tabs>
                <w:tab w:val="left" w:pos="-576"/>
                <w:tab w:val="left" w:pos="144"/>
              </w:tabs>
              <w:spacing w:after="120"/>
              <w:ind w:right="464"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"Invoicing Address"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"IPR Claim"</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"IR35"</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9">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"Key Staff"</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615326" w:rsidTr="00F50C9E">
        <w:trPr>
          <w:trHeight w:val="357"/>
        </w:trPr>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"Key Sub-Contract"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615326" w:rsidTr="00F50C9E">
        <w:trPr>
          <w:trHeight w:val="426"/>
        </w:trPr>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any Subcontractor:</w:t>
            </w:r>
          </w:p>
          <w:p w:rsidR="00615326" w:rsidRDefault="00F50C9E" w:rsidP="00F50C9E">
            <w:pPr>
              <w:numPr>
                <w:ilvl w:val="1"/>
                <w:numId w:val="8"/>
              </w:numPr>
              <w:pBdr>
                <w:top w:val="nil"/>
                <w:left w:val="nil"/>
                <w:bottom w:val="nil"/>
                <w:right w:val="nil"/>
                <w:between w:val="nil"/>
              </w:pBdr>
              <w:tabs>
                <w:tab w:val="left" w:pos="-576"/>
                <w:tab w:val="left" w:pos="144"/>
              </w:tabs>
              <w:spacing w:after="120"/>
              <w:ind w:right="464"/>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rsidR="00615326" w:rsidRDefault="00F50C9E" w:rsidP="00F50C9E">
            <w:pPr>
              <w:numPr>
                <w:ilvl w:val="1"/>
                <w:numId w:val="8"/>
              </w:numPr>
              <w:pBdr>
                <w:top w:val="nil"/>
                <w:left w:val="nil"/>
                <w:bottom w:val="nil"/>
                <w:right w:val="nil"/>
                <w:between w:val="nil"/>
              </w:pBdr>
              <w:tabs>
                <w:tab w:val="left" w:pos="-576"/>
                <w:tab w:val="left" w:pos="144"/>
              </w:tabs>
              <w:spacing w:after="120"/>
              <w:ind w:right="464" w:hanging="288"/>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rsidR="00615326" w:rsidRDefault="00F50C9E" w:rsidP="00F50C9E">
            <w:pPr>
              <w:numPr>
                <w:ilvl w:val="1"/>
                <w:numId w:val="8"/>
              </w:numPr>
              <w:pBdr>
                <w:top w:val="nil"/>
                <w:left w:val="nil"/>
                <w:bottom w:val="nil"/>
                <w:right w:val="nil"/>
                <w:between w:val="nil"/>
              </w:pBdr>
              <w:tabs>
                <w:tab w:val="left" w:pos="-576"/>
                <w:tab w:val="left" w:pos="144"/>
              </w:tabs>
              <w:spacing w:after="120"/>
              <w:ind w:right="464" w:hanging="288"/>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rsidR="00615326" w:rsidRDefault="00F50C9E" w:rsidP="00F50C9E">
            <w:pPr>
              <w:pBdr>
                <w:top w:val="nil"/>
                <w:left w:val="nil"/>
                <w:bottom w:val="nil"/>
                <w:right w:val="nil"/>
                <w:between w:val="nil"/>
              </w:pBdr>
              <w:tabs>
                <w:tab w:val="left" w:pos="-576"/>
                <w:tab w:val="left" w:pos="144"/>
              </w:tabs>
              <w:spacing w:after="120"/>
              <w:ind w:left="144" w:right="46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"Know-How"</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"Law"</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any law, subordinate legislation within the meaning of Section 21(1) of the Interpretation Act 1978, bye-law, enforceable right within the </w:t>
            </w:r>
            <w:r>
              <w:rPr>
                <w:rFonts w:ascii="Arial" w:eastAsia="Arial" w:hAnsi="Arial" w:cs="Arial"/>
                <w:color w:val="000000"/>
                <w:sz w:val="24"/>
                <w:szCs w:val="24"/>
              </w:rPr>
              <w:lastRenderedPageBreak/>
              <w:t>meaning of Section 2 of the European Communities Act 1972, regulation, order, regulatory policy, mandatory guidance or code of practice, judgment of a relevant court of law, or directives or requirements with which the relevant Party is bound to comply;</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"Losses"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"Lots"</w:t>
            </w:r>
          </w:p>
        </w:tc>
        <w:tc>
          <w:tcPr>
            <w:tcW w:w="7980" w:type="dxa"/>
          </w:tcPr>
          <w:p w:rsidR="00615326" w:rsidRDefault="00F50C9E" w:rsidP="00F50C9E">
            <w:pPr>
              <w:pBdr>
                <w:top w:val="nil"/>
                <w:left w:val="nil"/>
                <w:bottom w:val="nil"/>
                <w:right w:val="nil"/>
                <w:between w:val="nil"/>
              </w:pBdr>
              <w:tabs>
                <w:tab w:val="left" w:pos="-179"/>
                <w:tab w:val="left" w:pos="175"/>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“MI Default”</w:t>
            </w:r>
          </w:p>
        </w:tc>
        <w:tc>
          <w:tcPr>
            <w:tcW w:w="7980" w:type="dxa"/>
          </w:tcPr>
          <w:p w:rsidR="00615326" w:rsidRDefault="00F50C9E" w:rsidP="00F50C9E">
            <w:pPr>
              <w:pBdr>
                <w:top w:val="nil"/>
                <w:left w:val="nil"/>
                <w:bottom w:val="nil"/>
                <w:right w:val="nil"/>
                <w:between w:val="nil"/>
              </w:pBdr>
              <w:tabs>
                <w:tab w:val="left" w:pos="-179"/>
                <w:tab w:val="left" w:pos="175"/>
              </w:tabs>
              <w:spacing w:after="120"/>
              <w:ind w:left="170" w:right="464"/>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"MI Failure"</w:t>
            </w:r>
          </w:p>
        </w:tc>
        <w:tc>
          <w:tcPr>
            <w:tcW w:w="7980" w:type="dxa"/>
          </w:tcPr>
          <w:p w:rsidR="00615326" w:rsidRDefault="00F50C9E" w:rsidP="00F50C9E">
            <w:pPr>
              <w:pBdr>
                <w:top w:val="nil"/>
                <w:left w:val="nil"/>
                <w:bottom w:val="nil"/>
                <w:right w:val="nil"/>
                <w:between w:val="nil"/>
              </w:pBdr>
              <w:tabs>
                <w:tab w:val="left" w:pos="-179"/>
                <w:tab w:val="left" w:pos="175"/>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means when an MI report:</w:t>
            </w:r>
          </w:p>
          <w:p w:rsidR="00615326" w:rsidRDefault="00F50C9E" w:rsidP="00F50C9E">
            <w:pPr>
              <w:numPr>
                <w:ilvl w:val="1"/>
                <w:numId w:val="14"/>
              </w:numPr>
              <w:pBdr>
                <w:top w:val="nil"/>
                <w:left w:val="nil"/>
                <w:bottom w:val="nil"/>
                <w:right w:val="nil"/>
                <w:between w:val="nil"/>
              </w:pBdr>
              <w:tabs>
                <w:tab w:val="left" w:pos="-576"/>
                <w:tab w:val="left" w:pos="175"/>
              </w:tabs>
              <w:spacing w:after="120"/>
              <w:ind w:right="464"/>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rsidR="00615326" w:rsidRDefault="00F50C9E" w:rsidP="00F50C9E">
            <w:pPr>
              <w:numPr>
                <w:ilvl w:val="1"/>
                <w:numId w:val="14"/>
              </w:numPr>
              <w:pBdr>
                <w:top w:val="nil"/>
                <w:left w:val="nil"/>
                <w:bottom w:val="nil"/>
                <w:right w:val="nil"/>
                <w:between w:val="nil"/>
              </w:pBdr>
              <w:tabs>
                <w:tab w:val="left" w:pos="-576"/>
                <w:tab w:val="left" w:pos="175"/>
              </w:tabs>
              <w:spacing w:after="120"/>
              <w:ind w:left="720" w:right="464"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rsidR="00615326" w:rsidRDefault="00F50C9E" w:rsidP="00F50C9E">
            <w:pPr>
              <w:numPr>
                <w:ilvl w:val="1"/>
                <w:numId w:val="14"/>
              </w:numPr>
              <w:pBdr>
                <w:top w:val="nil"/>
                <w:left w:val="nil"/>
                <w:bottom w:val="nil"/>
                <w:right w:val="nil"/>
                <w:between w:val="nil"/>
              </w:pBdr>
              <w:tabs>
                <w:tab w:val="left" w:pos="-576"/>
                <w:tab w:val="left" w:pos="175"/>
              </w:tabs>
              <w:spacing w:after="120"/>
              <w:ind w:left="720" w:right="464"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"MI Report"</w:t>
            </w:r>
          </w:p>
        </w:tc>
        <w:tc>
          <w:tcPr>
            <w:tcW w:w="7980" w:type="dxa"/>
          </w:tcPr>
          <w:p w:rsidR="00615326" w:rsidRDefault="00F50C9E" w:rsidP="00F50C9E">
            <w:pPr>
              <w:pBdr>
                <w:top w:val="nil"/>
                <w:left w:val="nil"/>
                <w:bottom w:val="nil"/>
                <w:right w:val="nil"/>
                <w:between w:val="nil"/>
              </w:pBdr>
              <w:tabs>
                <w:tab w:val="left" w:pos="-179"/>
                <w:tab w:val="left" w:pos="175"/>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980" w:type="dxa"/>
          </w:tcPr>
          <w:p w:rsidR="00615326" w:rsidRDefault="00F50C9E" w:rsidP="00F50C9E">
            <w:pPr>
              <w:pBdr>
                <w:top w:val="nil"/>
                <w:left w:val="nil"/>
                <w:bottom w:val="nil"/>
                <w:right w:val="nil"/>
                <w:between w:val="nil"/>
              </w:pBdr>
              <w:tabs>
                <w:tab w:val="left" w:pos="-179"/>
                <w:tab w:val="left" w:pos="175"/>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"Milestone"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"Milestone Date"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"Month"</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"New IPR"</w:t>
            </w:r>
          </w:p>
        </w:tc>
        <w:tc>
          <w:tcPr>
            <w:tcW w:w="7980" w:type="dxa"/>
          </w:tcPr>
          <w:p w:rsidR="00615326" w:rsidRDefault="00F50C9E" w:rsidP="00F50C9E">
            <w:pPr>
              <w:numPr>
                <w:ilvl w:val="1"/>
                <w:numId w:val="23"/>
              </w:numPr>
              <w:pBdr>
                <w:top w:val="nil"/>
                <w:left w:val="nil"/>
                <w:bottom w:val="nil"/>
                <w:right w:val="nil"/>
                <w:between w:val="nil"/>
              </w:pBdr>
              <w:tabs>
                <w:tab w:val="left" w:pos="-576"/>
                <w:tab w:val="left" w:pos="144"/>
              </w:tabs>
              <w:spacing w:after="120"/>
              <w:ind w:right="606" w:hanging="5"/>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615326" w:rsidRDefault="00F50C9E" w:rsidP="00F50C9E">
            <w:pPr>
              <w:numPr>
                <w:ilvl w:val="1"/>
                <w:numId w:val="23"/>
              </w:numPr>
              <w:pBdr>
                <w:top w:val="nil"/>
                <w:left w:val="nil"/>
                <w:bottom w:val="nil"/>
                <w:right w:val="nil"/>
                <w:between w:val="nil"/>
              </w:pBdr>
              <w:tabs>
                <w:tab w:val="left" w:pos="-576"/>
                <w:tab w:val="left" w:pos="144"/>
              </w:tabs>
              <w:spacing w:after="120"/>
              <w:ind w:right="606" w:hanging="5"/>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IPR in or arising as a result of the performance of the Supplier’s obligations under a Contract and all updates and amendments to the same; </w:t>
            </w:r>
          </w:p>
          <w:p w:rsidR="00615326" w:rsidRDefault="00F50C9E" w:rsidP="00F50C9E">
            <w:pPr>
              <w:pBdr>
                <w:top w:val="nil"/>
                <w:left w:val="nil"/>
                <w:bottom w:val="nil"/>
                <w:right w:val="nil"/>
                <w:between w:val="nil"/>
              </w:pBdr>
              <w:tabs>
                <w:tab w:val="left" w:pos="-179"/>
                <w:tab w:val="left" w:pos="-9"/>
              </w:tabs>
              <w:spacing w:after="120"/>
              <w:ind w:left="170" w:right="606" w:hanging="5"/>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"Occasion of Tax Non–Compliance"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hanging="5"/>
              <w:jc w:val="both"/>
              <w:rPr>
                <w:rFonts w:ascii="Arial" w:eastAsia="Arial" w:hAnsi="Arial" w:cs="Arial"/>
                <w:color w:val="000000"/>
                <w:sz w:val="24"/>
                <w:szCs w:val="24"/>
              </w:rPr>
            </w:pPr>
            <w:r>
              <w:rPr>
                <w:rFonts w:ascii="Arial" w:eastAsia="Arial" w:hAnsi="Arial" w:cs="Arial"/>
                <w:color w:val="000000"/>
                <w:sz w:val="24"/>
                <w:szCs w:val="24"/>
              </w:rPr>
              <w:t xml:space="preserve">where: </w:t>
            </w:r>
          </w:p>
          <w:p w:rsidR="00615326" w:rsidRDefault="00F50C9E" w:rsidP="00F50C9E">
            <w:pPr>
              <w:numPr>
                <w:ilvl w:val="1"/>
                <w:numId w:val="3"/>
              </w:numPr>
              <w:pBdr>
                <w:top w:val="nil"/>
                <w:left w:val="nil"/>
                <w:bottom w:val="nil"/>
                <w:right w:val="nil"/>
                <w:between w:val="nil"/>
              </w:pBdr>
              <w:tabs>
                <w:tab w:val="left" w:pos="-576"/>
                <w:tab w:val="left" w:pos="144"/>
              </w:tabs>
              <w:spacing w:after="120"/>
              <w:ind w:right="606" w:hanging="5"/>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rsidR="00615326" w:rsidRDefault="00F50C9E" w:rsidP="00F50C9E">
            <w:pPr>
              <w:numPr>
                <w:ilvl w:val="2"/>
                <w:numId w:val="3"/>
              </w:numPr>
              <w:pBdr>
                <w:top w:val="nil"/>
                <w:left w:val="nil"/>
                <w:bottom w:val="nil"/>
                <w:right w:val="nil"/>
                <w:between w:val="nil"/>
              </w:pBdr>
              <w:tabs>
                <w:tab w:val="left" w:pos="-576"/>
                <w:tab w:val="left" w:pos="144"/>
              </w:tabs>
              <w:spacing w:after="120"/>
              <w:ind w:left="792" w:right="606" w:hanging="5"/>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615326" w:rsidRDefault="00F50C9E" w:rsidP="00F50C9E">
            <w:pPr>
              <w:numPr>
                <w:ilvl w:val="2"/>
                <w:numId w:val="3"/>
              </w:numPr>
              <w:pBdr>
                <w:top w:val="nil"/>
                <w:left w:val="nil"/>
                <w:bottom w:val="nil"/>
                <w:right w:val="nil"/>
                <w:between w:val="nil"/>
              </w:pBdr>
              <w:tabs>
                <w:tab w:val="left" w:pos="-576"/>
                <w:tab w:val="left" w:pos="144"/>
              </w:tabs>
              <w:spacing w:after="120"/>
              <w:ind w:left="792" w:right="606" w:hanging="5"/>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615326" w:rsidRDefault="00F50C9E" w:rsidP="00F50C9E">
            <w:pPr>
              <w:numPr>
                <w:ilvl w:val="1"/>
                <w:numId w:val="3"/>
              </w:numPr>
              <w:pBdr>
                <w:top w:val="nil"/>
                <w:left w:val="nil"/>
                <w:bottom w:val="nil"/>
                <w:right w:val="nil"/>
                <w:between w:val="nil"/>
              </w:pBdr>
              <w:tabs>
                <w:tab w:val="left" w:pos="-576"/>
                <w:tab w:val="left" w:pos="144"/>
              </w:tabs>
              <w:spacing w:after="120"/>
              <w:ind w:right="606" w:hanging="5"/>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"Open Book Data "</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hanging="5"/>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615326" w:rsidRDefault="00F50C9E" w:rsidP="00F50C9E">
            <w:pPr>
              <w:numPr>
                <w:ilvl w:val="1"/>
                <w:numId w:val="9"/>
              </w:numPr>
              <w:pBdr>
                <w:top w:val="nil"/>
                <w:left w:val="nil"/>
                <w:bottom w:val="nil"/>
                <w:right w:val="nil"/>
                <w:between w:val="nil"/>
              </w:pBdr>
              <w:tabs>
                <w:tab w:val="left" w:pos="-576"/>
                <w:tab w:val="left" w:pos="144"/>
              </w:tabs>
              <w:spacing w:after="120"/>
              <w:ind w:right="606" w:hanging="5"/>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615326" w:rsidRDefault="00F50C9E" w:rsidP="00F50C9E">
            <w:pPr>
              <w:numPr>
                <w:ilvl w:val="1"/>
                <w:numId w:val="9"/>
              </w:numPr>
              <w:pBdr>
                <w:top w:val="nil"/>
                <w:left w:val="nil"/>
                <w:bottom w:val="nil"/>
                <w:right w:val="nil"/>
                <w:between w:val="nil"/>
              </w:pBdr>
              <w:tabs>
                <w:tab w:val="left" w:pos="-576"/>
                <w:tab w:val="left" w:pos="144"/>
              </w:tabs>
              <w:spacing w:after="120"/>
              <w:ind w:right="606" w:hanging="5"/>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rsidR="00615326" w:rsidRDefault="00F50C9E" w:rsidP="00F50C9E">
            <w:pPr>
              <w:numPr>
                <w:ilvl w:val="2"/>
                <w:numId w:val="9"/>
              </w:numPr>
              <w:pBdr>
                <w:top w:val="nil"/>
                <w:left w:val="nil"/>
                <w:bottom w:val="nil"/>
                <w:right w:val="nil"/>
                <w:between w:val="nil"/>
              </w:pBdr>
              <w:tabs>
                <w:tab w:val="left" w:pos="-576"/>
                <w:tab w:val="left" w:pos="144"/>
              </w:tabs>
              <w:spacing w:after="120"/>
              <w:ind w:left="792" w:right="606" w:hanging="5"/>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rsidR="00615326" w:rsidRDefault="00F50C9E" w:rsidP="00F50C9E">
            <w:pPr>
              <w:numPr>
                <w:ilvl w:val="2"/>
                <w:numId w:val="9"/>
              </w:numPr>
              <w:pBdr>
                <w:top w:val="nil"/>
                <w:left w:val="nil"/>
                <w:bottom w:val="nil"/>
                <w:right w:val="nil"/>
                <w:between w:val="nil"/>
              </w:pBdr>
              <w:tabs>
                <w:tab w:val="left" w:pos="-576"/>
                <w:tab w:val="left" w:pos="144"/>
              </w:tabs>
              <w:spacing w:after="120"/>
              <w:ind w:left="792" w:right="606" w:hanging="5"/>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rsidR="00615326" w:rsidRDefault="00F50C9E" w:rsidP="00F50C9E">
            <w:pPr>
              <w:numPr>
                <w:ilvl w:val="2"/>
                <w:numId w:val="9"/>
              </w:numPr>
              <w:pBdr>
                <w:top w:val="nil"/>
                <w:left w:val="nil"/>
                <w:bottom w:val="nil"/>
                <w:right w:val="nil"/>
                <w:between w:val="nil"/>
              </w:pBdr>
              <w:tabs>
                <w:tab w:val="left" w:pos="-576"/>
                <w:tab w:val="left" w:pos="144"/>
              </w:tabs>
              <w:spacing w:after="120"/>
              <w:ind w:left="792" w:right="606" w:hanging="5"/>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rsidR="00615326" w:rsidRDefault="00F50C9E" w:rsidP="00F50C9E">
            <w:pPr>
              <w:numPr>
                <w:ilvl w:val="2"/>
                <w:numId w:val="9"/>
              </w:numPr>
              <w:pBdr>
                <w:top w:val="nil"/>
                <w:left w:val="nil"/>
                <w:bottom w:val="nil"/>
                <w:right w:val="nil"/>
                <w:between w:val="nil"/>
              </w:pBdr>
              <w:tabs>
                <w:tab w:val="left" w:pos="-576"/>
                <w:tab w:val="left" w:pos="144"/>
              </w:tabs>
              <w:spacing w:after="120"/>
              <w:ind w:left="792" w:right="606" w:hanging="5"/>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rsidR="00615326" w:rsidRDefault="00F50C9E" w:rsidP="00F50C9E">
            <w:pPr>
              <w:numPr>
                <w:ilvl w:val="1"/>
                <w:numId w:val="9"/>
              </w:numPr>
              <w:pBdr>
                <w:top w:val="nil"/>
                <w:left w:val="nil"/>
                <w:bottom w:val="nil"/>
                <w:right w:val="nil"/>
                <w:between w:val="nil"/>
              </w:pBdr>
              <w:tabs>
                <w:tab w:val="left" w:pos="-576"/>
                <w:tab w:val="left" w:pos="144"/>
              </w:tabs>
              <w:spacing w:after="120"/>
              <w:ind w:left="576" w:right="606" w:hanging="5"/>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rsidR="00615326" w:rsidRDefault="00F50C9E" w:rsidP="00F50C9E">
            <w:pPr>
              <w:numPr>
                <w:ilvl w:val="1"/>
                <w:numId w:val="9"/>
              </w:numPr>
              <w:pBdr>
                <w:top w:val="nil"/>
                <w:left w:val="nil"/>
                <w:bottom w:val="nil"/>
                <w:right w:val="nil"/>
                <w:between w:val="nil"/>
              </w:pBdr>
              <w:tabs>
                <w:tab w:val="left" w:pos="-576"/>
                <w:tab w:val="left" w:pos="144"/>
              </w:tabs>
              <w:spacing w:after="120"/>
              <w:ind w:right="606" w:hanging="5"/>
              <w:jc w:val="both"/>
              <w:rPr>
                <w:rFonts w:ascii="Arial" w:eastAsia="Arial" w:hAnsi="Arial" w:cs="Arial"/>
                <w:color w:val="000000"/>
                <w:sz w:val="24"/>
                <w:szCs w:val="24"/>
              </w:rPr>
            </w:pPr>
            <w:r>
              <w:rPr>
                <w:rFonts w:ascii="Arial" w:eastAsia="Arial" w:hAnsi="Arial" w:cs="Arial"/>
                <w:color w:val="000000"/>
                <w:sz w:val="24"/>
                <w:szCs w:val="24"/>
              </w:rPr>
              <w:lastRenderedPageBreak/>
              <w:t>all interest, expenses and any other third party financing costs incurred in relation to the provision of the Deliverables;</w:t>
            </w:r>
          </w:p>
          <w:p w:rsidR="00615326" w:rsidRDefault="00F50C9E" w:rsidP="00F50C9E">
            <w:pPr>
              <w:numPr>
                <w:ilvl w:val="1"/>
                <w:numId w:val="9"/>
              </w:numPr>
              <w:pBdr>
                <w:top w:val="nil"/>
                <w:left w:val="nil"/>
                <w:bottom w:val="nil"/>
                <w:right w:val="nil"/>
                <w:between w:val="nil"/>
              </w:pBdr>
              <w:tabs>
                <w:tab w:val="left" w:pos="-576"/>
                <w:tab w:val="left" w:pos="144"/>
              </w:tabs>
              <w:spacing w:after="120"/>
              <w:ind w:right="606" w:hanging="5"/>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rsidR="00615326" w:rsidRDefault="00F50C9E" w:rsidP="00F50C9E">
            <w:pPr>
              <w:numPr>
                <w:ilvl w:val="1"/>
                <w:numId w:val="9"/>
              </w:numPr>
              <w:pBdr>
                <w:top w:val="nil"/>
                <w:left w:val="nil"/>
                <w:bottom w:val="nil"/>
                <w:right w:val="nil"/>
                <w:between w:val="nil"/>
              </w:pBdr>
              <w:tabs>
                <w:tab w:val="left" w:pos="-576"/>
                <w:tab w:val="left" w:pos="144"/>
              </w:tabs>
              <w:spacing w:after="120"/>
              <w:ind w:right="606" w:hanging="5"/>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rsidR="00615326" w:rsidRDefault="00F50C9E" w:rsidP="00F50C9E">
            <w:pPr>
              <w:numPr>
                <w:ilvl w:val="1"/>
                <w:numId w:val="9"/>
              </w:numPr>
              <w:pBdr>
                <w:top w:val="nil"/>
                <w:left w:val="nil"/>
                <w:bottom w:val="nil"/>
                <w:right w:val="nil"/>
                <w:between w:val="nil"/>
              </w:pBdr>
              <w:tabs>
                <w:tab w:val="left" w:pos="-576"/>
                <w:tab w:val="left" w:pos="144"/>
              </w:tabs>
              <w:spacing w:after="120"/>
              <w:ind w:right="606" w:hanging="5"/>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rsidR="00615326" w:rsidRDefault="00F50C9E" w:rsidP="00F50C9E">
            <w:pPr>
              <w:numPr>
                <w:ilvl w:val="1"/>
                <w:numId w:val="9"/>
              </w:numPr>
              <w:pBdr>
                <w:top w:val="nil"/>
                <w:left w:val="nil"/>
                <w:bottom w:val="nil"/>
                <w:right w:val="nil"/>
                <w:between w:val="nil"/>
              </w:pBdr>
              <w:tabs>
                <w:tab w:val="left" w:pos="-576"/>
                <w:tab w:val="left" w:pos="144"/>
              </w:tabs>
              <w:spacing w:after="120"/>
              <w:ind w:right="606" w:hanging="5"/>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"Order Form"</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"Overhead"</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"Parliament"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"Party"</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"Personal Data"</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“Personnel”</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"Prescribed Person"</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0">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“Processing”</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“Processor”</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“Progress Report”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“Prohibited Acts”</w:t>
            </w:r>
          </w:p>
        </w:tc>
        <w:tc>
          <w:tcPr>
            <w:tcW w:w="7980" w:type="dxa"/>
          </w:tcPr>
          <w:p w:rsidR="00615326" w:rsidRDefault="00F50C9E" w:rsidP="00F50C9E">
            <w:pPr>
              <w:numPr>
                <w:ilvl w:val="1"/>
                <w:numId w:val="12"/>
              </w:numPr>
              <w:pBdr>
                <w:top w:val="nil"/>
                <w:left w:val="nil"/>
                <w:bottom w:val="nil"/>
                <w:right w:val="nil"/>
                <w:between w:val="nil"/>
              </w:pBdr>
              <w:tabs>
                <w:tab w:val="left" w:pos="-576"/>
                <w:tab w:val="left" w:pos="144"/>
              </w:tabs>
              <w:spacing w:after="120"/>
              <w:ind w:right="464"/>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615326" w:rsidRDefault="00F50C9E" w:rsidP="00F50C9E">
            <w:pPr>
              <w:numPr>
                <w:ilvl w:val="2"/>
                <w:numId w:val="12"/>
              </w:numPr>
              <w:pBdr>
                <w:top w:val="nil"/>
                <w:left w:val="nil"/>
                <w:bottom w:val="nil"/>
                <w:right w:val="nil"/>
                <w:between w:val="nil"/>
              </w:pBdr>
              <w:tabs>
                <w:tab w:val="left" w:pos="-179"/>
                <w:tab w:val="left" w:pos="-9"/>
              </w:tabs>
              <w:spacing w:after="120"/>
              <w:ind w:left="792" w:right="464"/>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rsidR="00615326" w:rsidRDefault="00F50C9E" w:rsidP="00F50C9E">
            <w:pPr>
              <w:numPr>
                <w:ilvl w:val="2"/>
                <w:numId w:val="12"/>
              </w:numPr>
              <w:pBdr>
                <w:top w:val="nil"/>
                <w:left w:val="nil"/>
                <w:bottom w:val="nil"/>
                <w:right w:val="nil"/>
                <w:between w:val="nil"/>
              </w:pBdr>
              <w:tabs>
                <w:tab w:val="left" w:pos="-179"/>
                <w:tab w:val="left" w:pos="-9"/>
              </w:tabs>
              <w:spacing w:after="120"/>
              <w:ind w:left="792" w:right="464"/>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rsidR="00615326" w:rsidRDefault="00F50C9E" w:rsidP="00F50C9E">
            <w:pPr>
              <w:numPr>
                <w:ilvl w:val="1"/>
                <w:numId w:val="12"/>
              </w:numPr>
              <w:pBdr>
                <w:top w:val="nil"/>
                <w:left w:val="nil"/>
                <w:bottom w:val="nil"/>
                <w:right w:val="nil"/>
                <w:between w:val="nil"/>
              </w:pBdr>
              <w:tabs>
                <w:tab w:val="left" w:pos="-576"/>
                <w:tab w:val="left" w:pos="144"/>
              </w:tabs>
              <w:spacing w:after="120"/>
              <w:ind w:right="464"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rsidR="00615326" w:rsidRDefault="00F50C9E" w:rsidP="00F50C9E">
            <w:pPr>
              <w:numPr>
                <w:ilvl w:val="1"/>
                <w:numId w:val="12"/>
              </w:numPr>
              <w:pBdr>
                <w:top w:val="nil"/>
                <w:left w:val="nil"/>
                <w:bottom w:val="nil"/>
                <w:right w:val="nil"/>
                <w:between w:val="nil"/>
              </w:pBdr>
              <w:tabs>
                <w:tab w:val="left" w:pos="-576"/>
                <w:tab w:val="left" w:pos="144"/>
              </w:tabs>
              <w:spacing w:after="120"/>
              <w:ind w:left="576" w:right="464"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rsidR="00615326" w:rsidRDefault="00F50C9E" w:rsidP="00F50C9E">
            <w:pPr>
              <w:numPr>
                <w:ilvl w:val="2"/>
                <w:numId w:val="12"/>
              </w:numPr>
              <w:pBdr>
                <w:top w:val="nil"/>
                <w:left w:val="nil"/>
                <w:bottom w:val="nil"/>
                <w:right w:val="nil"/>
                <w:between w:val="nil"/>
              </w:pBdr>
              <w:tabs>
                <w:tab w:val="left" w:pos="-179"/>
                <w:tab w:val="left" w:pos="-9"/>
              </w:tabs>
              <w:spacing w:after="120"/>
              <w:ind w:left="792" w:right="464"/>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rsidR="00615326" w:rsidRDefault="00F50C9E" w:rsidP="00F50C9E">
            <w:pPr>
              <w:numPr>
                <w:ilvl w:val="2"/>
                <w:numId w:val="12"/>
              </w:numPr>
              <w:pBdr>
                <w:top w:val="nil"/>
                <w:left w:val="nil"/>
                <w:bottom w:val="nil"/>
                <w:right w:val="nil"/>
                <w:between w:val="nil"/>
              </w:pBdr>
              <w:tabs>
                <w:tab w:val="left" w:pos="-179"/>
                <w:tab w:val="left" w:pos="-9"/>
              </w:tabs>
              <w:spacing w:after="120"/>
              <w:ind w:left="792" w:right="464"/>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rsidR="00615326" w:rsidRDefault="00F50C9E" w:rsidP="00F50C9E">
            <w:pPr>
              <w:numPr>
                <w:ilvl w:val="2"/>
                <w:numId w:val="12"/>
              </w:numPr>
              <w:pBdr>
                <w:top w:val="nil"/>
                <w:left w:val="nil"/>
                <w:bottom w:val="nil"/>
                <w:right w:val="nil"/>
                <w:between w:val="nil"/>
              </w:pBdr>
              <w:tabs>
                <w:tab w:val="left" w:pos="-179"/>
                <w:tab w:val="left" w:pos="-9"/>
              </w:tabs>
              <w:spacing w:after="120"/>
              <w:ind w:left="792" w:right="464"/>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rsidR="00615326" w:rsidRDefault="00F50C9E" w:rsidP="00F50C9E">
            <w:pPr>
              <w:numPr>
                <w:ilvl w:val="1"/>
                <w:numId w:val="12"/>
              </w:numPr>
              <w:pBdr>
                <w:top w:val="nil"/>
                <w:left w:val="nil"/>
                <w:bottom w:val="nil"/>
                <w:right w:val="nil"/>
                <w:between w:val="nil"/>
              </w:pBdr>
              <w:tabs>
                <w:tab w:val="left" w:pos="-576"/>
                <w:tab w:val="left" w:pos="144"/>
              </w:tabs>
              <w:spacing w:after="120"/>
              <w:ind w:right="464" w:hanging="288"/>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w:t>
            </w:r>
            <w:r>
              <w:rPr>
                <w:rFonts w:ascii="Arial" w:eastAsia="Arial" w:hAnsi="Arial" w:cs="Arial"/>
                <w:color w:val="000000"/>
                <w:sz w:val="24"/>
                <w:szCs w:val="24"/>
              </w:rPr>
              <w:lastRenderedPageBreak/>
              <w:t>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“Recall”</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"Recipient Party"</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rsidR="00615326" w:rsidRDefault="00F50C9E" w:rsidP="00F50C9E">
            <w:pPr>
              <w:numPr>
                <w:ilvl w:val="1"/>
                <w:numId w:val="15"/>
              </w:numPr>
              <w:pBdr>
                <w:top w:val="nil"/>
                <w:left w:val="nil"/>
                <w:bottom w:val="nil"/>
                <w:right w:val="nil"/>
                <w:between w:val="nil"/>
              </w:pBdr>
              <w:tabs>
                <w:tab w:val="left" w:pos="-576"/>
                <w:tab w:val="left" w:pos="144"/>
              </w:tabs>
              <w:spacing w:after="120"/>
              <w:ind w:right="464"/>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rsidR="00615326" w:rsidRDefault="00F50C9E" w:rsidP="00F50C9E">
            <w:pPr>
              <w:numPr>
                <w:ilvl w:val="1"/>
                <w:numId w:val="15"/>
              </w:numPr>
              <w:pBdr>
                <w:top w:val="nil"/>
                <w:left w:val="nil"/>
                <w:bottom w:val="nil"/>
                <w:right w:val="nil"/>
                <w:between w:val="nil"/>
              </w:pBdr>
              <w:tabs>
                <w:tab w:val="left" w:pos="-576"/>
                <w:tab w:val="left" w:pos="144"/>
              </w:tabs>
              <w:spacing w:after="120"/>
              <w:ind w:left="576" w:right="464"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rsidR="00615326" w:rsidRDefault="00F50C9E" w:rsidP="00F50C9E">
            <w:pPr>
              <w:numPr>
                <w:ilvl w:val="1"/>
                <w:numId w:val="15"/>
              </w:numPr>
              <w:pBdr>
                <w:top w:val="nil"/>
                <w:left w:val="nil"/>
                <w:bottom w:val="nil"/>
                <w:right w:val="nil"/>
                <w:between w:val="nil"/>
              </w:pBdr>
              <w:tabs>
                <w:tab w:val="left" w:pos="-576"/>
                <w:tab w:val="left" w:pos="144"/>
              </w:tabs>
              <w:spacing w:after="120"/>
              <w:ind w:right="464"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"Regulations"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615326" w:rsidRDefault="00F50C9E" w:rsidP="00F50C9E">
            <w:pPr>
              <w:numPr>
                <w:ilvl w:val="1"/>
                <w:numId w:val="1"/>
              </w:numPr>
              <w:pBdr>
                <w:top w:val="nil"/>
                <w:left w:val="nil"/>
                <w:bottom w:val="nil"/>
                <w:right w:val="nil"/>
                <w:between w:val="nil"/>
              </w:pBdr>
              <w:tabs>
                <w:tab w:val="left" w:pos="-576"/>
                <w:tab w:val="left" w:pos="144"/>
              </w:tabs>
              <w:spacing w:after="120"/>
              <w:ind w:right="464"/>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615326" w:rsidRDefault="00F50C9E" w:rsidP="00F50C9E">
            <w:pPr>
              <w:numPr>
                <w:ilvl w:val="1"/>
                <w:numId w:val="1"/>
              </w:numPr>
              <w:pBdr>
                <w:top w:val="nil"/>
                <w:left w:val="nil"/>
                <w:bottom w:val="nil"/>
                <w:right w:val="nil"/>
                <w:between w:val="nil"/>
              </w:pBdr>
              <w:tabs>
                <w:tab w:val="left" w:pos="-576"/>
                <w:tab w:val="left" w:pos="144"/>
              </w:tabs>
              <w:spacing w:after="120"/>
              <w:ind w:right="464" w:hanging="288"/>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980" w:type="dxa"/>
          </w:tcPr>
          <w:p w:rsidR="00615326" w:rsidRDefault="00F50C9E" w:rsidP="00F50C9E">
            <w:pPr>
              <w:numPr>
                <w:ilvl w:val="1"/>
                <w:numId w:val="4"/>
              </w:numPr>
              <w:pBdr>
                <w:top w:val="nil"/>
                <w:left w:val="nil"/>
                <w:bottom w:val="nil"/>
                <w:right w:val="nil"/>
                <w:between w:val="nil"/>
              </w:pBdr>
              <w:tabs>
                <w:tab w:val="left" w:pos="-576"/>
                <w:tab w:val="left" w:pos="144"/>
              </w:tabs>
              <w:spacing w:after="120"/>
              <w:ind w:right="464"/>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615326" w:rsidRDefault="00F50C9E" w:rsidP="00F50C9E">
            <w:pPr>
              <w:numPr>
                <w:ilvl w:val="1"/>
                <w:numId w:val="4"/>
              </w:numPr>
              <w:pBdr>
                <w:top w:val="nil"/>
                <w:left w:val="nil"/>
                <w:bottom w:val="nil"/>
                <w:right w:val="nil"/>
                <w:between w:val="nil"/>
              </w:pBdr>
              <w:tabs>
                <w:tab w:val="left" w:pos="-576"/>
                <w:tab w:val="left" w:pos="144"/>
              </w:tabs>
              <w:spacing w:after="120"/>
              <w:ind w:right="464" w:hanging="288"/>
              <w:jc w:val="both"/>
              <w:rPr>
                <w:rFonts w:ascii="Arial" w:eastAsia="Arial" w:hAnsi="Arial" w:cs="Arial"/>
                <w:color w:val="000000"/>
                <w:sz w:val="24"/>
                <w:szCs w:val="24"/>
              </w:rPr>
            </w:pPr>
            <w:r>
              <w:rPr>
                <w:rFonts w:ascii="Arial" w:eastAsia="Arial" w:hAnsi="Arial" w:cs="Arial"/>
                <w:color w:val="000000"/>
                <w:sz w:val="24"/>
                <w:szCs w:val="24"/>
              </w:rPr>
              <w:lastRenderedPageBreak/>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"Relevant   Requirements"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"Reminder Notice"</w:t>
            </w:r>
          </w:p>
        </w:tc>
        <w:tc>
          <w:tcPr>
            <w:tcW w:w="7980" w:type="dxa"/>
          </w:tcPr>
          <w:p w:rsidR="00615326" w:rsidRDefault="00F50C9E" w:rsidP="00F50C9E">
            <w:pPr>
              <w:pBdr>
                <w:top w:val="nil"/>
                <w:left w:val="nil"/>
                <w:bottom w:val="nil"/>
                <w:right w:val="nil"/>
                <w:between w:val="nil"/>
              </w:pBdr>
              <w:tabs>
                <w:tab w:val="left" w:pos="1985"/>
                <w:tab w:val="left" w:pos="2127"/>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980" w:type="dxa"/>
          </w:tcPr>
          <w:p w:rsidR="00615326" w:rsidRDefault="00F50C9E" w:rsidP="00F50C9E">
            <w:pPr>
              <w:pBdr>
                <w:top w:val="nil"/>
                <w:left w:val="nil"/>
                <w:bottom w:val="nil"/>
                <w:right w:val="nil"/>
                <w:between w:val="nil"/>
              </w:pBdr>
              <w:tabs>
                <w:tab w:val="left" w:pos="1985"/>
                <w:tab w:val="left" w:pos="2127"/>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464"/>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"Security Policy"</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"Self Audit Certificate"</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“Service Levels”</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"Service Period"</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"Services"</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615326" w:rsidTr="00F50C9E">
        <w:tc>
          <w:tcPr>
            <w:tcW w:w="1980" w:type="dxa"/>
          </w:tcPr>
          <w:p w:rsidR="00615326" w:rsidRPr="00F50C9E"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"Service Transfer Date"</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"Sites"</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rsidR="00615326" w:rsidRDefault="00F50C9E" w:rsidP="00F50C9E">
            <w:pPr>
              <w:numPr>
                <w:ilvl w:val="1"/>
                <w:numId w:val="10"/>
              </w:numPr>
              <w:pBdr>
                <w:top w:val="nil"/>
                <w:left w:val="nil"/>
                <w:bottom w:val="nil"/>
                <w:right w:val="nil"/>
                <w:between w:val="nil"/>
              </w:pBdr>
              <w:tabs>
                <w:tab w:val="left" w:pos="-576"/>
                <w:tab w:val="left" w:pos="144"/>
                <w:tab w:val="left" w:pos="7373"/>
              </w:tabs>
              <w:spacing w:after="120"/>
              <w:ind w:right="606"/>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rsidR="00615326" w:rsidRDefault="00F50C9E" w:rsidP="00F50C9E">
            <w:pPr>
              <w:numPr>
                <w:ilvl w:val="1"/>
                <w:numId w:val="10"/>
              </w:numPr>
              <w:pBdr>
                <w:top w:val="nil"/>
                <w:left w:val="nil"/>
                <w:bottom w:val="nil"/>
                <w:right w:val="nil"/>
                <w:between w:val="nil"/>
              </w:pBdr>
              <w:tabs>
                <w:tab w:val="left" w:pos="-576"/>
                <w:tab w:val="left" w:pos="144"/>
                <w:tab w:val="left" w:pos="7373"/>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615326" w:rsidTr="00F50C9E">
        <w:trPr>
          <w:trHeight w:val="945"/>
        </w:trPr>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"SME"</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615326" w:rsidTr="00F50C9E">
        <w:trPr>
          <w:trHeight w:val="945"/>
        </w:trPr>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"Special Terms"</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615326" w:rsidTr="00F50C9E">
        <w:trPr>
          <w:trHeight w:val="945"/>
        </w:trPr>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15326" w:rsidTr="00F50C9E">
        <w:trPr>
          <w:trHeight w:val="945"/>
        </w:trPr>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"Specification"</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"Standards"</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w:t>
            </w:r>
          </w:p>
          <w:p w:rsidR="00615326" w:rsidRDefault="00F50C9E" w:rsidP="00F50C9E">
            <w:pPr>
              <w:numPr>
                <w:ilvl w:val="1"/>
                <w:numId w:val="6"/>
              </w:numPr>
              <w:pBdr>
                <w:top w:val="nil"/>
                <w:left w:val="nil"/>
                <w:bottom w:val="nil"/>
                <w:right w:val="nil"/>
                <w:between w:val="nil"/>
              </w:pBdr>
              <w:tabs>
                <w:tab w:val="left" w:pos="-576"/>
                <w:tab w:val="left" w:pos="144"/>
                <w:tab w:val="left" w:pos="7373"/>
              </w:tabs>
              <w:spacing w:after="120"/>
              <w:ind w:right="606"/>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w:t>
            </w:r>
            <w:r>
              <w:rPr>
                <w:rFonts w:ascii="Arial" w:eastAsia="Arial" w:hAnsi="Arial" w:cs="Arial"/>
                <w:color w:val="000000"/>
                <w:sz w:val="24"/>
                <w:szCs w:val="24"/>
              </w:rPr>
              <w:lastRenderedPageBreak/>
              <w:t xml:space="preserve">bodies (and their successor bodies) that a skilled and experienced operator in the same type of industry or business sector as the Supplier would reasonably and ordinarily be expected to comply with; </w:t>
            </w:r>
          </w:p>
          <w:p w:rsidR="00615326" w:rsidRDefault="00F50C9E" w:rsidP="00F50C9E">
            <w:pPr>
              <w:numPr>
                <w:ilvl w:val="1"/>
                <w:numId w:val="6"/>
              </w:numPr>
              <w:pBdr>
                <w:top w:val="nil"/>
                <w:left w:val="nil"/>
                <w:bottom w:val="nil"/>
                <w:right w:val="nil"/>
                <w:between w:val="nil"/>
              </w:pBdr>
              <w:tabs>
                <w:tab w:val="left" w:pos="-576"/>
                <w:tab w:val="left" w:pos="144"/>
                <w:tab w:val="left" w:pos="7373"/>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rsidR="00615326" w:rsidRDefault="00F50C9E" w:rsidP="00F50C9E">
            <w:pPr>
              <w:numPr>
                <w:ilvl w:val="1"/>
                <w:numId w:val="6"/>
              </w:numPr>
              <w:pBdr>
                <w:top w:val="nil"/>
                <w:left w:val="nil"/>
                <w:bottom w:val="nil"/>
                <w:right w:val="nil"/>
                <w:between w:val="nil"/>
              </w:pBdr>
              <w:tabs>
                <w:tab w:val="left" w:pos="-576"/>
                <w:tab w:val="left" w:pos="144"/>
                <w:tab w:val="left" w:pos="7373"/>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rsidR="00615326" w:rsidRDefault="00F50C9E" w:rsidP="00F50C9E">
            <w:pPr>
              <w:numPr>
                <w:ilvl w:val="1"/>
                <w:numId w:val="6"/>
              </w:numPr>
              <w:pBdr>
                <w:top w:val="nil"/>
                <w:left w:val="nil"/>
                <w:bottom w:val="nil"/>
                <w:right w:val="nil"/>
                <w:between w:val="nil"/>
              </w:pBdr>
              <w:tabs>
                <w:tab w:val="left" w:pos="-576"/>
                <w:tab w:val="left" w:pos="144"/>
                <w:tab w:val="left" w:pos="7373"/>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"Storage Media"</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"Sub-Contract"</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615326" w:rsidRDefault="00F50C9E" w:rsidP="00F50C9E">
            <w:pPr>
              <w:numPr>
                <w:ilvl w:val="1"/>
                <w:numId w:val="13"/>
              </w:numPr>
              <w:pBdr>
                <w:top w:val="nil"/>
                <w:left w:val="nil"/>
                <w:bottom w:val="nil"/>
                <w:right w:val="nil"/>
                <w:between w:val="nil"/>
              </w:pBdr>
              <w:tabs>
                <w:tab w:val="left" w:pos="-576"/>
                <w:tab w:val="left" w:pos="144"/>
                <w:tab w:val="left" w:pos="7373"/>
              </w:tabs>
              <w:spacing w:after="120"/>
              <w:ind w:right="606"/>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rsidR="00615326" w:rsidRDefault="00F50C9E" w:rsidP="00F50C9E">
            <w:pPr>
              <w:numPr>
                <w:ilvl w:val="1"/>
                <w:numId w:val="13"/>
              </w:numPr>
              <w:pBdr>
                <w:top w:val="nil"/>
                <w:left w:val="nil"/>
                <w:bottom w:val="nil"/>
                <w:right w:val="nil"/>
                <w:between w:val="nil"/>
              </w:pBdr>
              <w:tabs>
                <w:tab w:val="left" w:pos="-576"/>
                <w:tab w:val="left" w:pos="144"/>
                <w:tab w:val="left" w:pos="7373"/>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rsidR="00615326" w:rsidRDefault="00F50C9E" w:rsidP="00F50C9E">
            <w:pPr>
              <w:numPr>
                <w:ilvl w:val="1"/>
                <w:numId w:val="13"/>
              </w:numPr>
              <w:pBdr>
                <w:top w:val="nil"/>
                <w:left w:val="nil"/>
                <w:bottom w:val="nil"/>
                <w:right w:val="nil"/>
                <w:between w:val="nil"/>
              </w:pBdr>
              <w:tabs>
                <w:tab w:val="left" w:pos="-576"/>
                <w:tab w:val="left" w:pos="144"/>
                <w:tab w:val="left" w:pos="7373"/>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"Subcontractor"</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"Subprocessor"</w:t>
            </w:r>
          </w:p>
        </w:tc>
        <w:tc>
          <w:tcPr>
            <w:tcW w:w="7980" w:type="dxa"/>
          </w:tcPr>
          <w:p w:rsidR="00615326" w:rsidRDefault="00F50C9E" w:rsidP="00F50C9E">
            <w:pPr>
              <w:pBdr>
                <w:top w:val="nil"/>
                <w:left w:val="nil"/>
                <w:bottom w:val="nil"/>
                <w:right w:val="nil"/>
                <w:between w:val="nil"/>
              </w:pBdr>
              <w:tabs>
                <w:tab w:val="left" w:pos="-179"/>
                <w:tab w:val="left" w:pos="-9"/>
                <w:tab w:val="left" w:pos="7373"/>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"Supplier"</w:t>
            </w:r>
          </w:p>
        </w:tc>
        <w:tc>
          <w:tcPr>
            <w:tcW w:w="7980" w:type="dxa"/>
          </w:tcPr>
          <w:p w:rsidR="00615326" w:rsidRDefault="00F50C9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"Supplier Assets"</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980" w:type="dxa"/>
          </w:tcPr>
          <w:p w:rsidR="00615326" w:rsidRDefault="00F50C9E" w:rsidP="00F50C9E">
            <w:pPr>
              <w:numPr>
                <w:ilvl w:val="1"/>
                <w:numId w:val="16"/>
              </w:numPr>
              <w:pBdr>
                <w:top w:val="nil"/>
                <w:left w:val="nil"/>
                <w:bottom w:val="nil"/>
                <w:right w:val="nil"/>
                <w:between w:val="nil"/>
              </w:pBdr>
              <w:tabs>
                <w:tab w:val="left" w:pos="-576"/>
                <w:tab w:val="left" w:pos="144"/>
              </w:tabs>
              <w:spacing w:after="120"/>
              <w:ind w:right="606"/>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rsidR="00615326" w:rsidRDefault="00F50C9E" w:rsidP="00F50C9E">
            <w:pPr>
              <w:numPr>
                <w:ilvl w:val="1"/>
                <w:numId w:val="16"/>
              </w:numPr>
              <w:pBdr>
                <w:top w:val="nil"/>
                <w:left w:val="nil"/>
                <w:bottom w:val="nil"/>
                <w:right w:val="nil"/>
                <w:between w:val="nil"/>
              </w:pBdr>
              <w:tabs>
                <w:tab w:val="left" w:pos="-576"/>
                <w:tab w:val="left" w:pos="144"/>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lastRenderedPageBreak/>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615326" w:rsidRDefault="00F50C9E" w:rsidP="00F50C9E">
            <w:pPr>
              <w:numPr>
                <w:ilvl w:val="1"/>
                <w:numId w:val="16"/>
              </w:numPr>
              <w:pBdr>
                <w:top w:val="nil"/>
                <w:left w:val="nil"/>
                <w:bottom w:val="nil"/>
                <w:right w:val="nil"/>
                <w:between w:val="nil"/>
              </w:pBdr>
              <w:tabs>
                <w:tab w:val="left" w:pos="-576"/>
                <w:tab w:val="left" w:pos="144"/>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980" w:type="dxa"/>
          </w:tcPr>
          <w:p w:rsidR="00615326" w:rsidRDefault="00F50C9E" w:rsidP="00F50C9E">
            <w:pPr>
              <w:pBdr>
                <w:top w:val="nil"/>
                <w:left w:val="nil"/>
                <w:bottom w:val="nil"/>
                <w:right w:val="nil"/>
                <w:between w:val="nil"/>
              </w:pBdr>
              <w:tabs>
                <w:tab w:val="left" w:pos="1134"/>
              </w:tabs>
              <w:spacing w:before="120" w:after="120"/>
              <w:ind w:left="928" w:right="606"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rsidR="00615326" w:rsidRDefault="00F50C9E" w:rsidP="00F50C9E">
            <w:pPr>
              <w:numPr>
                <w:ilvl w:val="1"/>
                <w:numId w:val="24"/>
              </w:numPr>
              <w:pBdr>
                <w:top w:val="nil"/>
                <w:left w:val="nil"/>
                <w:bottom w:val="nil"/>
                <w:right w:val="nil"/>
                <w:between w:val="nil"/>
              </w:pBdr>
              <w:tabs>
                <w:tab w:val="left" w:pos="-576"/>
                <w:tab w:val="left" w:pos="144"/>
              </w:tabs>
              <w:spacing w:after="120"/>
              <w:ind w:right="606"/>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rsidR="00615326" w:rsidRDefault="00F50C9E" w:rsidP="00F50C9E">
            <w:pPr>
              <w:numPr>
                <w:ilvl w:val="1"/>
                <w:numId w:val="24"/>
              </w:numPr>
              <w:pBdr>
                <w:top w:val="nil"/>
                <w:left w:val="nil"/>
                <w:bottom w:val="nil"/>
                <w:right w:val="nil"/>
                <w:between w:val="nil"/>
              </w:pBdr>
              <w:tabs>
                <w:tab w:val="left" w:pos="-576"/>
                <w:tab w:val="left" w:pos="144"/>
              </w:tabs>
              <w:spacing w:after="120"/>
              <w:ind w:right="606" w:hanging="288"/>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rsidR="00615326" w:rsidRDefault="00F50C9E" w:rsidP="00F50C9E">
            <w:pPr>
              <w:numPr>
                <w:ilvl w:val="1"/>
                <w:numId w:val="24"/>
              </w:numPr>
              <w:pBdr>
                <w:top w:val="nil"/>
                <w:left w:val="nil"/>
                <w:bottom w:val="nil"/>
                <w:right w:val="nil"/>
                <w:between w:val="nil"/>
              </w:pBdr>
              <w:tabs>
                <w:tab w:val="left" w:pos="-576"/>
                <w:tab w:val="left" w:pos="144"/>
              </w:tabs>
              <w:spacing w:after="120"/>
              <w:ind w:left="576" w:right="606" w:hanging="432"/>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"Supplier Profit"</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"Supplier Staff"</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15326" w:rsidTr="00F50C9E">
        <w:tc>
          <w:tcPr>
            <w:tcW w:w="1980" w:type="dxa"/>
          </w:tcPr>
          <w:p w:rsidR="00615326" w:rsidRDefault="00F50C9E" w:rsidP="00F50C9E">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“Tax”</w:t>
            </w:r>
          </w:p>
        </w:tc>
        <w:tc>
          <w:tcPr>
            <w:tcW w:w="7980" w:type="dxa"/>
          </w:tcPr>
          <w:p w:rsidR="00615326" w:rsidRDefault="00F50C9E" w:rsidP="00F50C9E">
            <w:pPr>
              <w:numPr>
                <w:ilvl w:val="0"/>
                <w:numId w:val="21"/>
              </w:numPr>
              <w:pBdr>
                <w:top w:val="nil"/>
                <w:left w:val="nil"/>
                <w:bottom w:val="nil"/>
                <w:right w:val="nil"/>
                <w:between w:val="nil"/>
              </w:pBdr>
              <w:tabs>
                <w:tab w:val="left" w:pos="-179"/>
                <w:tab w:val="left" w:pos="-9"/>
              </w:tabs>
              <w:spacing w:after="120"/>
              <w:ind w:right="606"/>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rsidR="00615326" w:rsidRDefault="00F50C9E" w:rsidP="00F50C9E">
            <w:pPr>
              <w:numPr>
                <w:ilvl w:val="0"/>
                <w:numId w:val="21"/>
              </w:numPr>
              <w:pBdr>
                <w:top w:val="nil"/>
                <w:left w:val="nil"/>
                <w:bottom w:val="nil"/>
                <w:right w:val="nil"/>
                <w:between w:val="nil"/>
              </w:pBdr>
              <w:tabs>
                <w:tab w:val="left" w:pos="-179"/>
                <w:tab w:val="left" w:pos="-9"/>
              </w:tabs>
              <w:spacing w:after="120"/>
              <w:ind w:right="606"/>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rsidR="00615326" w:rsidRDefault="00F50C9E" w:rsidP="00F50C9E">
            <w:pPr>
              <w:numPr>
                <w:ilvl w:val="0"/>
                <w:numId w:val="21"/>
              </w:numPr>
              <w:pBdr>
                <w:top w:val="nil"/>
                <w:left w:val="nil"/>
                <w:bottom w:val="nil"/>
                <w:right w:val="nil"/>
                <w:between w:val="nil"/>
              </w:pBdr>
              <w:tabs>
                <w:tab w:val="left" w:pos="-179"/>
                <w:tab w:val="left" w:pos="-9"/>
              </w:tabs>
              <w:spacing w:after="120"/>
              <w:ind w:right="606"/>
              <w:jc w:val="both"/>
              <w:rPr>
                <w:rFonts w:ascii="Arial" w:eastAsia="Arial" w:hAnsi="Arial" w:cs="Arial"/>
                <w:color w:val="000000"/>
                <w:sz w:val="24"/>
                <w:szCs w:val="24"/>
              </w:rPr>
            </w:pPr>
            <w:r>
              <w:rPr>
                <w:rFonts w:ascii="Arial" w:eastAsia="Arial" w:hAnsi="Arial" w:cs="Arial"/>
                <w:color w:val="000000"/>
                <w:sz w:val="24"/>
                <w:szCs w:val="24"/>
              </w:rPr>
              <w:t xml:space="preserve">all statutory, governmental, state, federal, provincial, local government or municipal charges, duties, imports, contributions. </w:t>
            </w:r>
            <w:r>
              <w:rPr>
                <w:rFonts w:ascii="Arial" w:eastAsia="Arial" w:hAnsi="Arial" w:cs="Arial"/>
                <w:color w:val="000000"/>
                <w:sz w:val="24"/>
                <w:szCs w:val="24"/>
              </w:rPr>
              <w:lastRenderedPageBreak/>
              <w:t>levies or liabilities (other than in return  for goods or services supplied or performed or to be performed) and withholdings; and</w:t>
            </w:r>
          </w:p>
          <w:p w:rsidR="00615326" w:rsidRDefault="00F50C9E" w:rsidP="00F50C9E">
            <w:pPr>
              <w:numPr>
                <w:ilvl w:val="0"/>
                <w:numId w:val="21"/>
              </w:numPr>
              <w:pBdr>
                <w:top w:val="nil"/>
                <w:left w:val="nil"/>
                <w:bottom w:val="nil"/>
                <w:right w:val="nil"/>
                <w:between w:val="nil"/>
              </w:pBdr>
              <w:tabs>
                <w:tab w:val="left" w:pos="-179"/>
                <w:tab w:val="left" w:pos="-9"/>
              </w:tabs>
              <w:spacing w:after="120"/>
              <w:ind w:right="606"/>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"Termination Notice"</w:t>
            </w:r>
          </w:p>
        </w:tc>
        <w:tc>
          <w:tcPr>
            <w:tcW w:w="7980" w:type="dxa"/>
          </w:tcPr>
          <w:p w:rsidR="00615326" w:rsidRDefault="00F50C9E" w:rsidP="00F50C9E">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"Test Issue"</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"Test Plan"</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r>
              <w:rPr>
                <w:rFonts w:ascii="Arial" w:eastAsia="Arial" w:hAnsi="Arial" w:cs="Arial"/>
                <w:color w:val="000000"/>
                <w:sz w:val="24"/>
                <w:szCs w:val="24"/>
              </w:rPr>
              <w:t>a plan:</w:t>
            </w:r>
          </w:p>
          <w:p w:rsidR="00615326" w:rsidRDefault="00F50C9E" w:rsidP="003C0047">
            <w:pPr>
              <w:numPr>
                <w:ilvl w:val="1"/>
                <w:numId w:val="7"/>
              </w:numPr>
              <w:pBdr>
                <w:top w:val="nil"/>
                <w:left w:val="nil"/>
                <w:bottom w:val="nil"/>
                <w:right w:val="nil"/>
                <w:between w:val="nil"/>
              </w:pBdr>
              <w:tabs>
                <w:tab w:val="left" w:pos="-576"/>
                <w:tab w:val="left" w:pos="141"/>
              </w:tabs>
              <w:spacing w:after="120"/>
              <w:ind w:right="89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rsidR="00615326" w:rsidRDefault="00F50C9E" w:rsidP="003C0047">
            <w:pPr>
              <w:numPr>
                <w:ilvl w:val="1"/>
                <w:numId w:val="7"/>
              </w:numPr>
              <w:pBdr>
                <w:top w:val="nil"/>
                <w:left w:val="nil"/>
                <w:bottom w:val="nil"/>
                <w:right w:val="nil"/>
                <w:between w:val="nil"/>
              </w:pBdr>
              <w:tabs>
                <w:tab w:val="left" w:pos="-576"/>
                <w:tab w:val="left" w:pos="144"/>
              </w:tabs>
              <w:spacing w:after="120"/>
              <w:ind w:right="890"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"Tests "</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"Third Party IPR"</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980" w:type="dxa"/>
          </w:tcPr>
          <w:p w:rsidR="00615326" w:rsidRDefault="00F50C9E" w:rsidP="003C0047">
            <w:pPr>
              <w:keepNext/>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rsidR="00615326" w:rsidRDefault="00F50C9E" w:rsidP="003C0047">
            <w:pPr>
              <w:keepNext/>
              <w:pBdr>
                <w:top w:val="nil"/>
                <w:left w:val="nil"/>
                <w:bottom w:val="nil"/>
                <w:right w:val="nil"/>
                <w:between w:val="nil"/>
              </w:pBdr>
              <w:tabs>
                <w:tab w:val="left" w:pos="-179"/>
                <w:tab w:val="left" w:pos="-9"/>
              </w:tabs>
              <w:spacing w:after="120"/>
              <w:ind w:left="720" w:right="89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rsidR="00615326" w:rsidRDefault="00F50C9E" w:rsidP="003C0047">
            <w:pPr>
              <w:keepNext/>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rsidR="00615326" w:rsidRDefault="00615326" w:rsidP="003C0047">
            <w:pPr>
              <w:keepNext/>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"Variation"</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"Variation Form"</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lastRenderedPageBreak/>
              <w:t>"Variation Procedure"</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89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"VAT"</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"VCSE"</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"Worker"</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"Working Day"</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"Work Day"</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615326" w:rsidTr="00F50C9E">
        <w:tc>
          <w:tcPr>
            <w:tcW w:w="1980" w:type="dxa"/>
          </w:tcPr>
          <w:p w:rsidR="00615326" w:rsidRDefault="00F50C9E" w:rsidP="003C0047">
            <w:pPr>
              <w:pBdr>
                <w:top w:val="nil"/>
                <w:left w:val="nil"/>
                <w:bottom w:val="nil"/>
                <w:right w:val="nil"/>
                <w:between w:val="nil"/>
              </w:pBdr>
              <w:spacing w:after="120"/>
              <w:ind w:left="284" w:right="234" w:hanging="142"/>
              <w:rPr>
                <w:rFonts w:ascii="Arial" w:eastAsia="Arial" w:hAnsi="Arial" w:cs="Arial"/>
                <w:b/>
                <w:color w:val="000000"/>
                <w:sz w:val="24"/>
                <w:szCs w:val="24"/>
              </w:rPr>
            </w:pPr>
            <w:r>
              <w:rPr>
                <w:rFonts w:ascii="Arial" w:eastAsia="Arial" w:hAnsi="Arial" w:cs="Arial"/>
                <w:b/>
                <w:color w:val="000000"/>
                <w:sz w:val="24"/>
                <w:szCs w:val="24"/>
              </w:rPr>
              <w:t>"Work Hours"</w:t>
            </w:r>
          </w:p>
        </w:tc>
        <w:tc>
          <w:tcPr>
            <w:tcW w:w="7980" w:type="dxa"/>
          </w:tcPr>
          <w:p w:rsidR="00615326" w:rsidRDefault="00F50C9E" w:rsidP="003C0047">
            <w:pPr>
              <w:pBdr>
                <w:top w:val="nil"/>
                <w:left w:val="nil"/>
                <w:bottom w:val="nil"/>
                <w:right w:val="nil"/>
                <w:between w:val="nil"/>
              </w:pBdr>
              <w:tabs>
                <w:tab w:val="left" w:pos="-179"/>
                <w:tab w:val="left" w:pos="-9"/>
              </w:tabs>
              <w:spacing w:after="120"/>
              <w:ind w:left="170" w:right="606"/>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rsidR="00615326" w:rsidRDefault="00615326">
      <w:pPr>
        <w:spacing w:after="0" w:line="240" w:lineRule="auto"/>
        <w:rPr>
          <w:rFonts w:ascii="Arial" w:eastAsia="Arial" w:hAnsi="Arial" w:cs="Arial"/>
          <w:sz w:val="24"/>
          <w:szCs w:val="24"/>
        </w:rPr>
      </w:pPr>
      <w:bookmarkStart w:id="5" w:name="_heading=h.gjdgxs" w:colFirst="0" w:colLast="0"/>
      <w:bookmarkEnd w:id="5"/>
    </w:p>
    <w:sectPr w:rsidR="00615326">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DB5" w:rsidRDefault="00B00DB5">
      <w:pPr>
        <w:spacing w:after="0" w:line="240" w:lineRule="auto"/>
      </w:pPr>
      <w:r>
        <w:separator/>
      </w:r>
    </w:p>
  </w:endnote>
  <w:endnote w:type="continuationSeparator" w:id="0">
    <w:p w:rsidR="00B00DB5" w:rsidRDefault="00B0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C9E" w:rsidRDefault="00F50C9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RM6229</w:t>
    </w:r>
    <w:r>
      <w:rPr>
        <w:rFonts w:ascii="Arial" w:eastAsia="Arial" w:hAnsi="Arial" w:cs="Arial"/>
        <w:sz w:val="20"/>
        <w:szCs w:val="20"/>
      </w:rPr>
      <w:tab/>
      <w:t xml:space="preserve">                                           </w:t>
    </w:r>
  </w:p>
  <w:p w:rsidR="00F50C9E" w:rsidRDefault="00F50C9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C0047">
      <w:rPr>
        <w:rFonts w:ascii="Arial" w:eastAsia="Arial" w:hAnsi="Arial" w:cs="Arial"/>
        <w:noProof/>
        <w:color w:val="000000"/>
        <w:sz w:val="20"/>
        <w:szCs w:val="20"/>
      </w:rPr>
      <w:t>27</w:t>
    </w:r>
    <w:r>
      <w:rPr>
        <w:rFonts w:ascii="Arial" w:eastAsia="Arial" w:hAnsi="Arial" w:cs="Arial"/>
        <w:color w:val="000000"/>
        <w:sz w:val="20"/>
        <w:szCs w:val="20"/>
      </w:rPr>
      <w:fldChar w:fldCharType="end"/>
    </w:r>
  </w:p>
  <w:p w:rsidR="00F50C9E" w:rsidRDefault="00F50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C9E" w:rsidRDefault="00F50C9E">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F50C9E" w:rsidRDefault="00F50C9E">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F50C9E" w:rsidRDefault="00F50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DB5" w:rsidRDefault="00B00DB5">
      <w:pPr>
        <w:spacing w:after="0" w:line="240" w:lineRule="auto"/>
      </w:pPr>
      <w:r>
        <w:separator/>
      </w:r>
    </w:p>
  </w:footnote>
  <w:footnote w:type="continuationSeparator" w:id="0">
    <w:p w:rsidR="00B00DB5" w:rsidRDefault="00B0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C9E" w:rsidRDefault="00F50C9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rsidR="00F50C9E" w:rsidRDefault="00F50C9E">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C9E" w:rsidRDefault="00F50C9E">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rsidR="00F50C9E" w:rsidRDefault="00F50C9E">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C3F"/>
    <w:multiLevelType w:val="multilevel"/>
    <w:tmpl w:val="FF2A7E82"/>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22380E"/>
    <w:multiLevelType w:val="multilevel"/>
    <w:tmpl w:val="79227E34"/>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9F4BA3"/>
    <w:multiLevelType w:val="multilevel"/>
    <w:tmpl w:val="CB10BC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6C2AE7"/>
    <w:multiLevelType w:val="multilevel"/>
    <w:tmpl w:val="4B7C64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C5747A"/>
    <w:multiLevelType w:val="multilevel"/>
    <w:tmpl w:val="816EEB9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733E54"/>
    <w:multiLevelType w:val="multilevel"/>
    <w:tmpl w:val="DFB23158"/>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6" w15:restartNumberingAfterBreak="0">
    <w:nsid w:val="2B1741E2"/>
    <w:multiLevelType w:val="multilevel"/>
    <w:tmpl w:val="7166BEE2"/>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73238F"/>
    <w:multiLevelType w:val="multilevel"/>
    <w:tmpl w:val="C2ACC6D8"/>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15A0BF1"/>
    <w:multiLevelType w:val="multilevel"/>
    <w:tmpl w:val="B5F4CB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FF0B35"/>
    <w:multiLevelType w:val="multilevel"/>
    <w:tmpl w:val="52A4D76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 w15:restartNumberingAfterBreak="0">
    <w:nsid w:val="34317721"/>
    <w:multiLevelType w:val="multilevel"/>
    <w:tmpl w:val="E66A11B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624502"/>
    <w:multiLevelType w:val="multilevel"/>
    <w:tmpl w:val="2D9AE8E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89549B"/>
    <w:multiLevelType w:val="multilevel"/>
    <w:tmpl w:val="27D43F0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880FB5"/>
    <w:multiLevelType w:val="multilevel"/>
    <w:tmpl w:val="8EAA88D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E50294"/>
    <w:multiLevelType w:val="multilevel"/>
    <w:tmpl w:val="0D8CF7EE"/>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F432F6"/>
    <w:multiLevelType w:val="multilevel"/>
    <w:tmpl w:val="70EECBF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617F98"/>
    <w:multiLevelType w:val="multilevel"/>
    <w:tmpl w:val="7B0CFF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3C0F60"/>
    <w:multiLevelType w:val="multilevel"/>
    <w:tmpl w:val="0ACC6F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B20AEA"/>
    <w:multiLevelType w:val="multilevel"/>
    <w:tmpl w:val="C420B51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 w15:restartNumberingAfterBreak="0">
    <w:nsid w:val="710528C2"/>
    <w:multiLevelType w:val="multilevel"/>
    <w:tmpl w:val="86029C1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2417D0E"/>
    <w:multiLevelType w:val="multilevel"/>
    <w:tmpl w:val="BCC6AAA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2B31138"/>
    <w:multiLevelType w:val="multilevel"/>
    <w:tmpl w:val="AB5A1690"/>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0D1B33"/>
    <w:multiLevelType w:val="multilevel"/>
    <w:tmpl w:val="0ACC6F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6B3F9A"/>
    <w:multiLevelType w:val="multilevel"/>
    <w:tmpl w:val="901E3E8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586341"/>
    <w:multiLevelType w:val="multilevel"/>
    <w:tmpl w:val="14C2B1D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12"/>
  </w:num>
  <w:num w:numId="4">
    <w:abstractNumId w:val="6"/>
  </w:num>
  <w:num w:numId="5">
    <w:abstractNumId w:val="10"/>
  </w:num>
  <w:num w:numId="6">
    <w:abstractNumId w:val="14"/>
  </w:num>
  <w:num w:numId="7">
    <w:abstractNumId w:val="0"/>
  </w:num>
  <w:num w:numId="8">
    <w:abstractNumId w:val="20"/>
  </w:num>
  <w:num w:numId="9">
    <w:abstractNumId w:val="24"/>
  </w:num>
  <w:num w:numId="10">
    <w:abstractNumId w:val="2"/>
  </w:num>
  <w:num w:numId="11">
    <w:abstractNumId w:val="19"/>
  </w:num>
  <w:num w:numId="12">
    <w:abstractNumId w:val="15"/>
  </w:num>
  <w:num w:numId="13">
    <w:abstractNumId w:val="23"/>
  </w:num>
  <w:num w:numId="14">
    <w:abstractNumId w:val="3"/>
  </w:num>
  <w:num w:numId="15">
    <w:abstractNumId w:val="11"/>
  </w:num>
  <w:num w:numId="16">
    <w:abstractNumId w:val="16"/>
  </w:num>
  <w:num w:numId="17">
    <w:abstractNumId w:val="9"/>
  </w:num>
  <w:num w:numId="18">
    <w:abstractNumId w:val="13"/>
  </w:num>
  <w:num w:numId="19">
    <w:abstractNumId w:val="17"/>
  </w:num>
  <w:num w:numId="20">
    <w:abstractNumId w:val="7"/>
  </w:num>
  <w:num w:numId="21">
    <w:abstractNumId w:val="21"/>
  </w:num>
  <w:num w:numId="22">
    <w:abstractNumId w:val="18"/>
  </w:num>
  <w:num w:numId="23">
    <w:abstractNumId w:val="4"/>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326"/>
    <w:rsid w:val="002F0B03"/>
    <w:rsid w:val="003C0047"/>
    <w:rsid w:val="00615326"/>
    <w:rsid w:val="00A3171F"/>
    <w:rsid w:val="00B00DB5"/>
    <w:rsid w:val="00F5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CC4A6-07B1-426F-850B-18A1CDC1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5">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6">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7">
    <w:basedOn w:val="TableNormal"/>
    <w:pPr>
      <w:spacing w:after="0" w:line="240" w:lineRule="auto"/>
    </w:pPr>
    <w:rPr>
      <w:sz w:val="20"/>
      <w:szCs w:val="20"/>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styles" Target="styles.xml"/><Relationship Id="rId9" Type="http://schemas.openxmlformats.org/officeDocument/2006/relationships/hyperlink" Target="https://www.gov.uk/guidance/ir35-find-out-if-it-appl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d5Do0M4gB3QZqPYXmUwHd4GbLw==">AMUW2mXar1uPMSEgncSjJBqbo1sB4/+pfg2qx5OK+e7muOQtnobsyNOAaTNUaQwOarZE+fBMONNTJ2+37UTPPcIhEs2MCIGhKh52LJuhcnkpX3Dl9ZFqRCKChH6cSuavrd+nfb0OjE25GeiIGyhqB+t3pFBuE6OtTrP4y4CyIzY7cybdO/+ji5BUGumvDEy4W+aLsPEgjYw/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253678-C5E3-4215-9F23-40E9D813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9341</Words>
  <Characters>53244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Adam Cureton</cp:lastModifiedBy>
  <cp:revision>4</cp:revision>
  <dcterms:created xsi:type="dcterms:W3CDTF">2023-05-22T10:43:00Z</dcterms:created>
  <dcterms:modified xsi:type="dcterms:W3CDTF">2023-05-22T12:47:00Z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