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2F9BF573" w:rsidR="0014409E" w:rsidRDefault="00E23F85">
      <w:pPr>
        <w:pStyle w:val="Title"/>
        <w:rPr>
          <w:spacing w:val="-2"/>
        </w:rPr>
      </w:pPr>
      <w:r>
        <w:t>FORM</w:t>
      </w:r>
      <w:r>
        <w:rPr>
          <w:spacing w:val="-3"/>
        </w:rPr>
        <w:t xml:space="preserve"> </w:t>
      </w:r>
      <w:r>
        <w:t xml:space="preserve">OF </w:t>
      </w:r>
      <w:r>
        <w:rPr>
          <w:spacing w:val="-2"/>
        </w:rPr>
        <w:t>TENDER</w:t>
      </w:r>
      <w:r w:rsidR="00251B01">
        <w:rPr>
          <w:spacing w:val="-2"/>
        </w:rPr>
        <w:t xml:space="preserve"> Lot 1</w:t>
      </w:r>
    </w:p>
    <w:p w14:paraId="0D24113A" w14:textId="77777777" w:rsidR="00251B01" w:rsidRDefault="00251B01">
      <w:pPr>
        <w:pStyle w:val="Title"/>
      </w:pPr>
    </w:p>
    <w:p w14:paraId="5FA43B42" w14:textId="57C5E4AB" w:rsidR="00251B01" w:rsidRDefault="00E23F85" w:rsidP="00251B01">
      <w:pPr>
        <w:pStyle w:val="BodyText"/>
        <w:tabs>
          <w:tab w:val="left" w:pos="1540"/>
        </w:tabs>
        <w:ind w:left="102" w:right="66"/>
      </w:pPr>
      <w:r>
        <w:t>TENDER FOR:</w:t>
      </w:r>
      <w:r>
        <w:tab/>
      </w:r>
      <w:r w:rsidR="00251B01">
        <w:t xml:space="preserve">Lot 1 </w:t>
      </w:r>
      <w:r w:rsidR="00251B01">
        <w:t xml:space="preserve">REDEVELOPMENT OF THE COMMERCIAL UNITS AT GLEN </w:t>
      </w:r>
      <w:r w:rsidR="00251B01">
        <w:t>V</w:t>
      </w:r>
      <w:r w:rsidR="00251B01">
        <w:t>IEW</w:t>
      </w:r>
    </w:p>
    <w:p w14:paraId="46E6D08C" w14:textId="39166142" w:rsidR="00E23F85" w:rsidRDefault="00251B01" w:rsidP="00251B01">
      <w:pPr>
        <w:pStyle w:val="BodyText"/>
        <w:tabs>
          <w:tab w:val="left" w:pos="1540"/>
        </w:tabs>
        <w:ind w:left="102" w:right="1810"/>
      </w:pPr>
      <w:r>
        <w:tab/>
      </w:r>
      <w:r>
        <w:t>TRISPEN TRURO TR4 9AU</w:t>
      </w:r>
    </w:p>
    <w:p w14:paraId="0E8D6F28" w14:textId="434A986C" w:rsidR="0014409E" w:rsidRDefault="00E23F85" w:rsidP="00E23F85">
      <w:pPr>
        <w:pStyle w:val="BodyText"/>
        <w:tabs>
          <w:tab w:val="left" w:pos="1540"/>
        </w:tabs>
        <w:spacing w:before="10" w:line="530" w:lineRule="atLeast"/>
        <w:ind w:left="100" w:right="1810"/>
      </w:pPr>
      <w:r>
        <w:rPr>
          <w:spacing w:val="-2"/>
        </w:rPr>
        <w:t>CLIENT:</w:t>
      </w:r>
      <w:r w:rsidR="00251B01">
        <w:rPr>
          <w:spacing w:val="-2"/>
        </w:rPr>
        <w:t xml:space="preserve"> Assentech Sales Limited</w:t>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0896CB51" w14:textId="77777777" w:rsidR="00251B01" w:rsidRDefault="00251B01">
      <w:pPr>
        <w:pStyle w:val="BodyText"/>
        <w:tabs>
          <w:tab w:val="left" w:leader="dot" w:pos="5055"/>
        </w:tabs>
        <w:ind w:left="100"/>
      </w:pPr>
    </w:p>
    <w:p w14:paraId="36F2552F" w14:textId="00E91351"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4E31C864" w:rsidR="00251B01" w:rsidRDefault="00E23F85">
      <w:pPr>
        <w:pStyle w:val="BodyText"/>
        <w:ind w:left="100"/>
        <w:rPr>
          <w:spacing w:val="-2"/>
        </w:rPr>
      </w:pPr>
      <w:r>
        <w:t>SIGNED:</w:t>
      </w:r>
      <w:r>
        <w:rPr>
          <w:spacing w:val="-2"/>
        </w:rPr>
        <w:t xml:space="preserve"> ……………………………………………………………………………………………</w:t>
      </w:r>
      <w:proofErr w:type="gramStart"/>
      <w:r>
        <w:rPr>
          <w:spacing w:val="-2"/>
        </w:rPr>
        <w:t>…..</w:t>
      </w:r>
      <w:proofErr w:type="gramEnd"/>
    </w:p>
    <w:p w14:paraId="66E17C84" w14:textId="77777777" w:rsidR="00251B01" w:rsidRDefault="00251B01">
      <w:pPr>
        <w:rPr>
          <w:spacing w:val="-2"/>
        </w:rPr>
      </w:pPr>
      <w:r>
        <w:rPr>
          <w:spacing w:val="-2"/>
        </w:rPr>
        <w:br w:type="page"/>
      </w:r>
    </w:p>
    <w:p w14:paraId="1353CC3C" w14:textId="77777777" w:rsidR="00251B01" w:rsidRDefault="00251B01" w:rsidP="00251B01">
      <w:pPr>
        <w:pStyle w:val="Title"/>
      </w:pPr>
    </w:p>
    <w:p w14:paraId="3C08660E" w14:textId="3BB58662" w:rsidR="00251B01" w:rsidRDefault="00251B01" w:rsidP="00251B01">
      <w:pPr>
        <w:pStyle w:val="Title"/>
        <w:rPr>
          <w:spacing w:val="-2"/>
        </w:rPr>
      </w:pPr>
      <w:r>
        <w:t>FORM</w:t>
      </w:r>
      <w:r>
        <w:rPr>
          <w:spacing w:val="-3"/>
        </w:rPr>
        <w:t xml:space="preserve"> </w:t>
      </w:r>
      <w:r>
        <w:t xml:space="preserve">OF </w:t>
      </w:r>
      <w:r>
        <w:rPr>
          <w:spacing w:val="-2"/>
        </w:rPr>
        <w:t xml:space="preserve">TENDER Lot </w:t>
      </w:r>
      <w:r>
        <w:rPr>
          <w:spacing w:val="-2"/>
        </w:rPr>
        <w:t>2</w:t>
      </w:r>
    </w:p>
    <w:p w14:paraId="3DF12CCD" w14:textId="77777777" w:rsidR="00251B01" w:rsidRDefault="00251B01" w:rsidP="00251B01">
      <w:pPr>
        <w:pStyle w:val="Title"/>
      </w:pPr>
    </w:p>
    <w:p w14:paraId="293FFA8F" w14:textId="288D7E50" w:rsidR="00251B01" w:rsidRDefault="00251B01" w:rsidP="00251B01">
      <w:pPr>
        <w:pStyle w:val="BodyText"/>
        <w:tabs>
          <w:tab w:val="left" w:pos="1540"/>
        </w:tabs>
        <w:ind w:left="1440" w:right="1809" w:hanging="1338"/>
      </w:pPr>
      <w:r>
        <w:t>TENDER FOR:</w:t>
      </w:r>
      <w:r>
        <w:tab/>
      </w:r>
      <w:r>
        <w:t xml:space="preserve">Lot 2 </w:t>
      </w:r>
      <w:r>
        <w:t>REDEVELOPMENT OF THE COMMERCIAL UNITS AT GLEN VIEW</w:t>
      </w:r>
      <w:r>
        <w:t xml:space="preserve"> </w:t>
      </w:r>
      <w:r>
        <w:t>TRISPEN TRURO TR4 9AU</w:t>
      </w:r>
    </w:p>
    <w:p w14:paraId="167C00C4" w14:textId="24F6EAD7" w:rsidR="00251B01" w:rsidRDefault="00251B01" w:rsidP="00251B01">
      <w:pPr>
        <w:pStyle w:val="BodyText"/>
        <w:tabs>
          <w:tab w:val="left" w:pos="1540"/>
        </w:tabs>
        <w:spacing w:before="10" w:line="530" w:lineRule="atLeast"/>
        <w:ind w:left="100" w:right="1810"/>
      </w:pPr>
      <w:r>
        <w:rPr>
          <w:spacing w:val="-2"/>
        </w:rPr>
        <w:t>CLIENT: Assentech</w:t>
      </w:r>
      <w:r>
        <w:rPr>
          <w:spacing w:val="-2"/>
        </w:rPr>
        <w:t xml:space="preserve"> Sales Limited</w:t>
      </w:r>
      <w:r>
        <w:rPr>
          <w:spacing w:val="-2"/>
        </w:rPr>
        <w:tab/>
      </w:r>
      <w:r>
        <w:tab/>
      </w:r>
    </w:p>
    <w:p w14:paraId="2E361740" w14:textId="77777777" w:rsidR="00251B01" w:rsidRDefault="00251B01" w:rsidP="00251B01">
      <w:pPr>
        <w:pStyle w:val="BodyText"/>
        <w:spacing w:before="2"/>
      </w:pPr>
    </w:p>
    <w:p w14:paraId="6C26C6FE" w14:textId="77777777" w:rsidR="00251B01" w:rsidRDefault="00251B01" w:rsidP="00251B01">
      <w:pPr>
        <w:pStyle w:val="BodyText"/>
        <w:spacing w:before="1"/>
        <w:ind w:left="100"/>
      </w:pPr>
      <w:r>
        <w:t>Dear</w:t>
      </w:r>
      <w:r>
        <w:rPr>
          <w:spacing w:val="-4"/>
        </w:rPr>
        <w:t xml:space="preserve"> </w:t>
      </w:r>
      <w:r>
        <w:rPr>
          <w:spacing w:val="-2"/>
        </w:rPr>
        <w:t>Sirs,</w:t>
      </w:r>
    </w:p>
    <w:p w14:paraId="26ACE8D3" w14:textId="77777777" w:rsidR="00251B01" w:rsidRDefault="00251B01" w:rsidP="00251B01">
      <w:pPr>
        <w:pStyle w:val="BodyText"/>
        <w:spacing w:before="10"/>
        <w:rPr>
          <w:sz w:val="21"/>
        </w:rPr>
      </w:pPr>
    </w:p>
    <w:p w14:paraId="526CA584" w14:textId="77777777" w:rsidR="00251B01" w:rsidRDefault="00251B01" w:rsidP="00251B01">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2D16A201" w14:textId="77777777" w:rsidR="00251B01" w:rsidRDefault="00251B01" w:rsidP="00251B01">
      <w:pPr>
        <w:pStyle w:val="BodyText"/>
        <w:spacing w:before="9"/>
        <w:rPr>
          <w:sz w:val="21"/>
        </w:rPr>
      </w:pPr>
    </w:p>
    <w:p w14:paraId="5851CD2A" w14:textId="77777777" w:rsidR="00251B01" w:rsidRDefault="00251B01" w:rsidP="00251B01">
      <w:pPr>
        <w:spacing w:before="1"/>
        <w:ind w:left="100"/>
        <w:rPr>
          <w:spacing w:val="-2"/>
        </w:rPr>
      </w:pPr>
      <w:r>
        <w:rPr>
          <w:spacing w:val="-2"/>
        </w:rPr>
        <w:t>……………………………………………………………………………</w:t>
      </w:r>
      <w:proofErr w:type="gramStart"/>
      <w:r>
        <w:rPr>
          <w:spacing w:val="-2"/>
        </w:rPr>
        <w:t>…(</w:t>
      </w:r>
      <w:proofErr w:type="gramEnd"/>
      <w:r>
        <w:rPr>
          <w:spacing w:val="-2"/>
        </w:rPr>
        <w:t xml:space="preserve">£…………………………) of which the following amount will be spent with Cornish suppliers: </w:t>
      </w:r>
    </w:p>
    <w:p w14:paraId="5538A510" w14:textId="77777777" w:rsidR="00251B01" w:rsidRDefault="00251B01" w:rsidP="00251B01">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9214AB9" w14:textId="77777777" w:rsidR="00251B01" w:rsidRDefault="00251B01" w:rsidP="00251B01">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0D3C9B56" w14:textId="77777777" w:rsidR="00251B01" w:rsidRDefault="00251B01" w:rsidP="00251B01">
      <w:pPr>
        <w:pStyle w:val="BodyText"/>
        <w:tabs>
          <w:tab w:val="left" w:leader="dot" w:pos="5055"/>
        </w:tabs>
        <w:ind w:left="100"/>
      </w:pPr>
    </w:p>
    <w:p w14:paraId="691FFD18" w14:textId="77777777" w:rsidR="00251B01" w:rsidRDefault="00251B01" w:rsidP="00251B01">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B3D6D2B" w14:textId="77777777" w:rsidR="00251B01" w:rsidRDefault="00251B01" w:rsidP="00251B01">
      <w:pPr>
        <w:pStyle w:val="BodyText"/>
        <w:spacing w:before="10"/>
        <w:rPr>
          <w:sz w:val="21"/>
        </w:rPr>
      </w:pPr>
    </w:p>
    <w:p w14:paraId="4E91D03B" w14:textId="77777777" w:rsidR="00251B01" w:rsidRDefault="00251B01" w:rsidP="00251B01">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4AEE3775" w14:textId="77777777" w:rsidR="00251B01" w:rsidRDefault="00251B01" w:rsidP="00251B01">
      <w:pPr>
        <w:pStyle w:val="BodyText"/>
        <w:spacing w:before="11"/>
        <w:rPr>
          <w:sz w:val="21"/>
        </w:rPr>
      </w:pPr>
    </w:p>
    <w:p w14:paraId="2FD25D0B" w14:textId="77777777" w:rsidR="00251B01" w:rsidRDefault="00251B01" w:rsidP="00251B01">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34484B29" w14:textId="77777777" w:rsidR="00251B01" w:rsidRDefault="00251B01" w:rsidP="00251B01">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54782767" w14:textId="77777777" w:rsidR="00251B01" w:rsidRDefault="00251B01" w:rsidP="00251B01">
      <w:pPr>
        <w:pStyle w:val="BodyText"/>
        <w:spacing w:before="2"/>
      </w:pPr>
    </w:p>
    <w:p w14:paraId="208C8D83" w14:textId="77777777" w:rsidR="00251B01" w:rsidRDefault="00251B01" w:rsidP="00251B01">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4B1D8E11" w14:textId="77777777" w:rsidR="00251B01" w:rsidRDefault="00251B01" w:rsidP="00251B01">
      <w:pPr>
        <w:pStyle w:val="BodyText"/>
        <w:spacing w:before="10"/>
        <w:rPr>
          <w:sz w:val="21"/>
        </w:rPr>
      </w:pPr>
    </w:p>
    <w:p w14:paraId="47DFF3D9" w14:textId="77777777" w:rsidR="00251B01" w:rsidRDefault="00251B01" w:rsidP="00251B01">
      <w:pPr>
        <w:ind w:left="100"/>
      </w:pPr>
      <w:r>
        <w:rPr>
          <w:spacing w:val="-2"/>
        </w:rPr>
        <w:t>………………………………..………..…………………………………………………………………..</w:t>
      </w:r>
    </w:p>
    <w:p w14:paraId="759AA538" w14:textId="77777777" w:rsidR="00251B01" w:rsidRDefault="00251B01" w:rsidP="00251B01">
      <w:pPr>
        <w:pStyle w:val="BodyText"/>
        <w:spacing w:before="11"/>
        <w:rPr>
          <w:sz w:val="21"/>
        </w:rPr>
      </w:pPr>
    </w:p>
    <w:p w14:paraId="48C149EF" w14:textId="77777777" w:rsidR="00251B01" w:rsidRDefault="00251B01" w:rsidP="00251B01">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3A3E2194" w14:textId="77777777" w:rsidR="00251B01" w:rsidRDefault="00251B01" w:rsidP="00251B01">
      <w:pPr>
        <w:pStyle w:val="BodyText"/>
        <w:spacing w:before="3"/>
      </w:pPr>
    </w:p>
    <w:p w14:paraId="7C9AF6BD" w14:textId="77777777" w:rsidR="00251B01" w:rsidRDefault="00251B01" w:rsidP="00251B01">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2024.</w:t>
      </w:r>
    </w:p>
    <w:p w14:paraId="5FF8B7E7" w14:textId="77777777" w:rsidR="00251B01" w:rsidRDefault="00251B01" w:rsidP="00251B01">
      <w:pPr>
        <w:pStyle w:val="BodyText"/>
        <w:spacing w:before="10"/>
        <w:rPr>
          <w:sz w:val="21"/>
        </w:rPr>
      </w:pPr>
    </w:p>
    <w:p w14:paraId="63B413E0" w14:textId="77777777" w:rsidR="00251B01" w:rsidRDefault="00251B01" w:rsidP="00251B01">
      <w:pPr>
        <w:pStyle w:val="BodyText"/>
        <w:spacing w:line="482" w:lineRule="auto"/>
        <w:ind w:left="100" w:right="1981"/>
      </w:pPr>
      <w:r>
        <w:t xml:space="preserve">NAME: …………………………………………………………………………………………………. </w:t>
      </w:r>
      <w:r>
        <w:rPr>
          <w:spacing w:val="-2"/>
        </w:rPr>
        <w:t>ADDRESS: ………………………………………………………………………………………………</w:t>
      </w:r>
    </w:p>
    <w:p w14:paraId="0E6B54FD" w14:textId="77777777" w:rsidR="00251B01" w:rsidRDefault="00251B01" w:rsidP="00251B01">
      <w:pPr>
        <w:spacing w:line="264" w:lineRule="exact"/>
        <w:ind w:left="100"/>
      </w:pPr>
      <w:r>
        <w:rPr>
          <w:spacing w:val="-2"/>
        </w:rPr>
        <w:t>……………………………………………………………………………………………………………….</w:t>
      </w:r>
    </w:p>
    <w:p w14:paraId="46A834DE" w14:textId="77777777" w:rsidR="00251B01" w:rsidRDefault="00251B01" w:rsidP="00251B01">
      <w:pPr>
        <w:pStyle w:val="BodyText"/>
      </w:pPr>
    </w:p>
    <w:p w14:paraId="3E010303" w14:textId="77777777" w:rsidR="00251B01" w:rsidRDefault="00251B01" w:rsidP="00251B01">
      <w:pPr>
        <w:pStyle w:val="BodyText"/>
      </w:pPr>
    </w:p>
    <w:p w14:paraId="47DD662D" w14:textId="77777777" w:rsidR="00251B01" w:rsidRDefault="00251B01" w:rsidP="00251B01">
      <w:pPr>
        <w:pStyle w:val="BodyText"/>
        <w:spacing w:before="1"/>
      </w:pPr>
    </w:p>
    <w:p w14:paraId="13A5AF42" w14:textId="77777777" w:rsidR="00251B01" w:rsidRDefault="00251B01" w:rsidP="00251B01">
      <w:pPr>
        <w:pStyle w:val="BodyText"/>
        <w:ind w:left="100"/>
      </w:pPr>
      <w:r>
        <w:t>SIGNED:</w:t>
      </w:r>
      <w:r>
        <w:rPr>
          <w:spacing w:val="-2"/>
        </w:rPr>
        <w:t xml:space="preserve"> ……………………………………………………………………………………………</w:t>
      </w:r>
      <w:proofErr w:type="gramStart"/>
      <w:r>
        <w:rPr>
          <w:spacing w:val="-2"/>
        </w:rPr>
        <w:t>…..</w:t>
      </w:r>
      <w:proofErr w:type="gramEnd"/>
    </w:p>
    <w:p w14:paraId="2875E729" w14:textId="77777777" w:rsidR="0014409E" w:rsidRDefault="0014409E">
      <w:pPr>
        <w:pStyle w:val="BodyText"/>
        <w:ind w:left="100"/>
      </w:pPr>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51B01"/>
    <w:rsid w:val="00292D84"/>
    <w:rsid w:val="002D0740"/>
    <w:rsid w:val="00424BA3"/>
    <w:rsid w:val="00533604"/>
    <w:rsid w:val="00540C31"/>
    <w:rsid w:val="00825528"/>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2024-06-11T15:42:00Z</dcterms:created>
  <dcterms:modified xsi:type="dcterms:W3CDTF">2024-06-11T15:42:00Z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