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242" w:rsidRDefault="00F03242" w:rsidP="00DB55BB">
      <w:pPr>
        <w:ind w:left="-709"/>
        <w:rPr>
          <w:rFonts w:ascii="Arial" w:hAnsi="Arial" w:cs="Arial"/>
          <w:b/>
          <w:sz w:val="24"/>
          <w:szCs w:val="24"/>
        </w:rPr>
      </w:pPr>
      <w:r w:rsidRPr="00F03242">
        <w:rPr>
          <w:rFonts w:ascii="Arial" w:hAnsi="Arial" w:cs="Arial"/>
          <w:b/>
          <w:sz w:val="24"/>
          <w:szCs w:val="24"/>
          <w:u w:val="single"/>
        </w:rPr>
        <w:t xml:space="preserve">NRCDTE – Supplier Day </w:t>
      </w:r>
    </w:p>
    <w:p w:rsidR="00F03242" w:rsidRDefault="00F03242" w:rsidP="00DB55BB">
      <w:pPr>
        <w:ind w:left="-709"/>
        <w:rPr>
          <w:rFonts w:ascii="Arial" w:hAnsi="Arial" w:cs="Arial"/>
          <w:b/>
          <w:sz w:val="24"/>
          <w:szCs w:val="24"/>
        </w:rPr>
      </w:pPr>
      <w:r>
        <w:rPr>
          <w:rFonts w:ascii="Arial" w:hAnsi="Arial" w:cs="Arial"/>
          <w:b/>
          <w:sz w:val="24"/>
          <w:szCs w:val="24"/>
        </w:rPr>
        <w:t>(12</w:t>
      </w:r>
      <w:r w:rsidRPr="00F03242">
        <w:rPr>
          <w:rFonts w:ascii="Arial" w:hAnsi="Arial" w:cs="Arial"/>
          <w:b/>
          <w:sz w:val="24"/>
          <w:szCs w:val="24"/>
          <w:vertAlign w:val="superscript"/>
        </w:rPr>
        <w:t>th</w:t>
      </w:r>
      <w:r>
        <w:rPr>
          <w:rFonts w:ascii="Arial" w:hAnsi="Arial" w:cs="Arial"/>
          <w:b/>
          <w:sz w:val="24"/>
          <w:szCs w:val="24"/>
        </w:rPr>
        <w:t xml:space="preserve"> July 2017 – Ryton on Dunsmore)</w:t>
      </w:r>
    </w:p>
    <w:p w:rsidR="00F03242" w:rsidRDefault="00F03242" w:rsidP="00DB55BB">
      <w:pPr>
        <w:ind w:left="-709"/>
        <w:rPr>
          <w:rFonts w:ascii="Arial" w:hAnsi="Arial" w:cs="Arial"/>
          <w:b/>
          <w:sz w:val="24"/>
          <w:szCs w:val="24"/>
        </w:rPr>
      </w:pPr>
    </w:p>
    <w:p w:rsidR="00C1727D" w:rsidRPr="00E824EE" w:rsidRDefault="00F03242" w:rsidP="00DB55BB">
      <w:pPr>
        <w:ind w:left="-709"/>
        <w:rPr>
          <w:rFonts w:ascii="Arial" w:hAnsi="Arial" w:cs="Arial"/>
          <w:b/>
          <w:sz w:val="24"/>
          <w:szCs w:val="24"/>
        </w:rPr>
      </w:pPr>
      <w:r>
        <w:rPr>
          <w:rFonts w:ascii="Arial" w:hAnsi="Arial" w:cs="Arial"/>
          <w:b/>
          <w:sz w:val="24"/>
          <w:szCs w:val="24"/>
        </w:rPr>
        <w:t>Plenary</w:t>
      </w:r>
      <w:r w:rsidR="00E824EE">
        <w:rPr>
          <w:rFonts w:ascii="Arial" w:hAnsi="Arial" w:cs="Arial"/>
          <w:b/>
          <w:sz w:val="24"/>
          <w:szCs w:val="24"/>
        </w:rPr>
        <w:t xml:space="preserve"> </w:t>
      </w:r>
      <w:r>
        <w:rPr>
          <w:rFonts w:ascii="Arial" w:hAnsi="Arial" w:cs="Arial"/>
          <w:b/>
          <w:sz w:val="24"/>
          <w:szCs w:val="24"/>
        </w:rPr>
        <w:t xml:space="preserve">Session - </w:t>
      </w:r>
      <w:r w:rsidR="00E824EE">
        <w:rPr>
          <w:rFonts w:ascii="Arial" w:hAnsi="Arial" w:cs="Arial"/>
          <w:b/>
          <w:sz w:val="24"/>
          <w:szCs w:val="24"/>
        </w:rPr>
        <w:t>Questions</w:t>
      </w:r>
      <w:r>
        <w:rPr>
          <w:rFonts w:ascii="Arial" w:hAnsi="Arial" w:cs="Arial"/>
          <w:b/>
          <w:sz w:val="24"/>
          <w:szCs w:val="24"/>
        </w:rPr>
        <w:t xml:space="preserve"> &amp; Responses</w:t>
      </w:r>
    </w:p>
    <w:tbl>
      <w:tblPr>
        <w:tblStyle w:val="TableGrid"/>
        <w:tblpPr w:leftFromText="180" w:rightFromText="180" w:vertAnchor="text" w:horzAnchor="margin" w:tblpX="-714" w:tblpY="315"/>
        <w:tblW w:w="5000" w:type="pct"/>
        <w:tblLook w:val="04A0" w:firstRow="1" w:lastRow="0" w:firstColumn="1" w:lastColumn="0" w:noHBand="0" w:noVBand="1"/>
      </w:tblPr>
      <w:tblGrid>
        <w:gridCol w:w="461"/>
        <w:gridCol w:w="2455"/>
        <w:gridCol w:w="6100"/>
      </w:tblGrid>
      <w:tr w:rsidR="0034045E" w:rsidTr="0034045E">
        <w:trPr>
          <w:cantSplit/>
          <w:trHeight w:val="136"/>
          <w:tblHeader/>
        </w:trPr>
        <w:tc>
          <w:tcPr>
            <w:tcW w:w="427" w:type="pct"/>
          </w:tcPr>
          <w:p w:rsidR="0034045E" w:rsidRDefault="0034045E" w:rsidP="00F03242">
            <w:pPr>
              <w:kinsoku w:val="0"/>
              <w:overflowPunct w:val="0"/>
              <w:ind w:left="29"/>
              <w:textAlignment w:val="baseline"/>
              <w:rPr>
                <w:rFonts w:ascii="Arial" w:eastAsia="MS PGothic" w:hAnsi="Arial" w:cs="Arial"/>
                <w:b/>
                <w:kern w:val="24"/>
              </w:rPr>
            </w:pPr>
          </w:p>
        </w:tc>
        <w:tc>
          <w:tcPr>
            <w:tcW w:w="825" w:type="pct"/>
          </w:tcPr>
          <w:p w:rsidR="0034045E" w:rsidRPr="009E720A" w:rsidRDefault="0034045E" w:rsidP="00F03242">
            <w:pPr>
              <w:kinsoku w:val="0"/>
              <w:overflowPunct w:val="0"/>
              <w:ind w:left="29"/>
              <w:textAlignment w:val="baseline"/>
              <w:rPr>
                <w:rFonts w:ascii="Arial" w:eastAsia="MS PGothic" w:hAnsi="Arial" w:cs="Arial"/>
                <w:b/>
                <w:kern w:val="24"/>
              </w:rPr>
            </w:pPr>
            <w:r>
              <w:rPr>
                <w:rFonts w:ascii="Arial" w:eastAsia="MS PGothic" w:hAnsi="Arial" w:cs="Arial"/>
                <w:b/>
                <w:kern w:val="24"/>
              </w:rPr>
              <w:t xml:space="preserve">Question </w:t>
            </w:r>
          </w:p>
          <w:p w:rsidR="0034045E" w:rsidRDefault="0034045E" w:rsidP="00F03242">
            <w:pPr>
              <w:kinsoku w:val="0"/>
              <w:overflowPunct w:val="0"/>
              <w:textAlignment w:val="baseline"/>
              <w:rPr>
                <w:rFonts w:ascii="Arial" w:hAnsi="Arial" w:cs="Arial"/>
              </w:rPr>
            </w:pPr>
          </w:p>
        </w:tc>
        <w:tc>
          <w:tcPr>
            <w:tcW w:w="3748" w:type="pct"/>
          </w:tcPr>
          <w:p w:rsidR="0034045E" w:rsidRDefault="0034045E" w:rsidP="00F03242">
            <w:pPr>
              <w:kinsoku w:val="0"/>
              <w:overflowPunct w:val="0"/>
              <w:textAlignment w:val="baseline"/>
              <w:rPr>
                <w:rFonts w:ascii="Arial" w:eastAsia="MS PGothic" w:hAnsi="Arial" w:cs="Arial"/>
                <w:b/>
                <w:color w:val="000000" w:themeColor="text1"/>
                <w:kern w:val="24"/>
              </w:rPr>
            </w:pPr>
            <w:r>
              <w:rPr>
                <w:rFonts w:ascii="Arial" w:eastAsia="MS PGothic" w:hAnsi="Arial" w:cs="Arial"/>
                <w:b/>
                <w:color w:val="000000" w:themeColor="text1"/>
                <w:kern w:val="24"/>
              </w:rPr>
              <w:t>Response</w:t>
            </w:r>
          </w:p>
          <w:p w:rsidR="0034045E" w:rsidRDefault="0034045E" w:rsidP="00F03242">
            <w:pPr>
              <w:kinsoku w:val="0"/>
              <w:overflowPunct w:val="0"/>
              <w:textAlignment w:val="baseline"/>
              <w:rPr>
                <w:rFonts w:ascii="Arial" w:hAnsi="Arial" w:cs="Arial"/>
              </w:rPr>
            </w:pPr>
          </w:p>
        </w:tc>
      </w:tr>
      <w:tr w:rsidR="0034045E" w:rsidRPr="0034045E" w:rsidTr="0034045E">
        <w:tc>
          <w:tcPr>
            <w:tcW w:w="427"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1</w:t>
            </w:r>
          </w:p>
        </w:tc>
        <w:tc>
          <w:tcPr>
            <w:tcW w:w="825"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How does the project ensure it has buy-in to deliver successful outcome?</w:t>
            </w:r>
          </w:p>
        </w:tc>
        <w:tc>
          <w:tcPr>
            <w:tcW w:w="3748" w:type="pct"/>
          </w:tcPr>
          <w:p w:rsidR="0034045E" w:rsidRPr="0034045E" w:rsidRDefault="0034045E" w:rsidP="0094335A">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 xml:space="preserve">The training accreditation is a key component in ensuring that quality courses are checked and accredited for those individuals with a training need identified within the Cyber-Digital Careers Pathway programme. </w:t>
            </w:r>
          </w:p>
          <w:p w:rsidR="0034045E" w:rsidRPr="0034045E" w:rsidRDefault="0034045E" w:rsidP="0094335A">
            <w:pPr>
              <w:kinsoku w:val="0"/>
              <w:overflowPunct w:val="0"/>
              <w:textAlignment w:val="baseline"/>
              <w:rPr>
                <w:rFonts w:ascii="Arial" w:eastAsia="MS PGothic" w:hAnsi="Arial" w:cs="Arial"/>
                <w:color w:val="000000" w:themeColor="text1"/>
                <w:kern w:val="24"/>
              </w:rPr>
            </w:pPr>
          </w:p>
          <w:p w:rsidR="0034045E" w:rsidRPr="0034045E" w:rsidRDefault="0034045E" w:rsidP="0094335A">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There is a comprehensive stakeholder/working party in place comprising of subject matter experts from across this community who are continuously involved in the progression of the project to ensure the scheme envisaged is supported by all Law Enforcement Agencies.</w:t>
            </w:r>
          </w:p>
          <w:p w:rsidR="0034045E" w:rsidRPr="0034045E" w:rsidRDefault="0034045E" w:rsidP="00C22AD4">
            <w:pPr>
              <w:kinsoku w:val="0"/>
              <w:overflowPunct w:val="0"/>
              <w:textAlignment w:val="baseline"/>
              <w:rPr>
                <w:rFonts w:ascii="Arial" w:eastAsia="MS PGothic" w:hAnsi="Arial" w:cs="Arial"/>
                <w:color w:val="000000" w:themeColor="text1"/>
                <w:kern w:val="24"/>
              </w:rPr>
            </w:pPr>
          </w:p>
        </w:tc>
      </w:tr>
      <w:tr w:rsidR="0034045E" w:rsidRPr="0034045E" w:rsidTr="0034045E">
        <w:tc>
          <w:tcPr>
            <w:tcW w:w="427"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2</w:t>
            </w:r>
          </w:p>
        </w:tc>
        <w:tc>
          <w:tcPr>
            <w:tcW w:w="825"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How does this accreditation scheme relate to other cyber-digital schemes that are already in existence (e.g. Cyber-Digital Intelligence)?</w:t>
            </w:r>
          </w:p>
          <w:p w:rsidR="0034045E" w:rsidRPr="0034045E" w:rsidRDefault="0034045E" w:rsidP="00C22AD4">
            <w:pPr>
              <w:kinsoku w:val="0"/>
              <w:overflowPunct w:val="0"/>
              <w:textAlignment w:val="baseline"/>
              <w:rPr>
                <w:rFonts w:ascii="Arial" w:eastAsia="MS PGothic" w:hAnsi="Arial" w:cs="Arial"/>
                <w:color w:val="000000" w:themeColor="text1"/>
                <w:kern w:val="24"/>
              </w:rPr>
            </w:pPr>
          </w:p>
        </w:tc>
        <w:tc>
          <w:tcPr>
            <w:tcW w:w="3748" w:type="pct"/>
          </w:tcPr>
          <w:p w:rsidR="0034045E" w:rsidRPr="0034045E" w:rsidRDefault="0034045E" w:rsidP="0034045E">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 xml:space="preserve">There are a number of Cyber Apprenticeships projects being planned that CDCP is mapped to. There is also an Intelligence Profession across Law Enforcement that is available and again CDCP is mapped to. </w:t>
            </w:r>
            <w:r>
              <w:rPr>
                <w:rFonts w:ascii="Arial" w:eastAsia="MS PGothic" w:hAnsi="Arial" w:cs="Arial"/>
                <w:color w:val="000000" w:themeColor="text1"/>
                <w:kern w:val="24"/>
              </w:rPr>
              <w:t xml:space="preserve"> </w:t>
            </w:r>
            <w:r w:rsidRPr="0034045E">
              <w:rPr>
                <w:rFonts w:ascii="Arial" w:eastAsia="MS PGothic" w:hAnsi="Arial" w:cs="Arial"/>
                <w:color w:val="000000" w:themeColor="text1"/>
                <w:kern w:val="24"/>
              </w:rPr>
              <w:t xml:space="preserve">It is overseen by the Home Office and Cabinet Office.  </w:t>
            </w:r>
          </w:p>
        </w:tc>
      </w:tr>
      <w:tr w:rsidR="0034045E" w:rsidRPr="0034045E" w:rsidTr="0034045E">
        <w:tc>
          <w:tcPr>
            <w:tcW w:w="427"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3</w:t>
            </w:r>
          </w:p>
        </w:tc>
        <w:tc>
          <w:tcPr>
            <w:tcW w:w="825"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How do we envisage this training accreditation scheme operating?</w:t>
            </w:r>
          </w:p>
          <w:p w:rsidR="0034045E" w:rsidRPr="0034045E" w:rsidRDefault="0034045E" w:rsidP="00C22AD4">
            <w:pPr>
              <w:kinsoku w:val="0"/>
              <w:overflowPunct w:val="0"/>
              <w:textAlignment w:val="baseline"/>
              <w:rPr>
                <w:rFonts w:ascii="Arial" w:eastAsia="MS PGothic" w:hAnsi="Arial" w:cs="Arial"/>
                <w:color w:val="000000" w:themeColor="text1"/>
                <w:kern w:val="24"/>
              </w:rPr>
            </w:pPr>
          </w:p>
        </w:tc>
        <w:tc>
          <w:tcPr>
            <w:tcW w:w="3748" w:type="pct"/>
          </w:tcPr>
          <w:p w:rsid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We foresee this scheme operated by an independent accrediting organisation that itself is accredited by the likes of UKAS. The accrediting organisation would receive payment f</w:t>
            </w:r>
            <w:r>
              <w:rPr>
                <w:rFonts w:ascii="Arial" w:eastAsia="MS PGothic" w:hAnsi="Arial" w:cs="Arial"/>
                <w:color w:val="000000" w:themeColor="text1"/>
                <w:kern w:val="24"/>
              </w:rPr>
              <w:t>rom</w:t>
            </w:r>
            <w:r w:rsidRPr="0034045E">
              <w:rPr>
                <w:rFonts w:ascii="Arial" w:eastAsia="MS PGothic" w:hAnsi="Arial" w:cs="Arial"/>
                <w:color w:val="000000" w:themeColor="text1"/>
                <w:kern w:val="24"/>
              </w:rPr>
              <w:t xml:space="preserve"> training providers to approve the</w:t>
            </w:r>
            <w:r>
              <w:rPr>
                <w:rFonts w:ascii="Arial" w:eastAsia="MS PGothic" w:hAnsi="Arial" w:cs="Arial"/>
                <w:color w:val="000000" w:themeColor="text1"/>
                <w:kern w:val="24"/>
              </w:rPr>
              <w:t>ir</w:t>
            </w:r>
            <w:r w:rsidRPr="0034045E">
              <w:rPr>
                <w:rFonts w:ascii="Arial" w:eastAsia="MS PGothic" w:hAnsi="Arial" w:cs="Arial"/>
                <w:color w:val="000000" w:themeColor="text1"/>
                <w:kern w:val="24"/>
              </w:rPr>
              <w:t xml:space="preserve"> Cyber Digital Training </w:t>
            </w:r>
            <w:r>
              <w:rPr>
                <w:rFonts w:ascii="Arial" w:eastAsia="MS PGothic" w:hAnsi="Arial" w:cs="Arial"/>
                <w:color w:val="000000" w:themeColor="text1"/>
                <w:kern w:val="24"/>
              </w:rPr>
              <w:t xml:space="preserve">courses </w:t>
            </w:r>
            <w:r w:rsidRPr="0034045E">
              <w:rPr>
                <w:rFonts w:ascii="Arial" w:eastAsia="MS PGothic" w:hAnsi="Arial" w:cs="Arial"/>
                <w:color w:val="000000" w:themeColor="text1"/>
                <w:kern w:val="24"/>
              </w:rPr>
              <w:t>that will deliver and help candidates achieve the skills on the C</w:t>
            </w:r>
            <w:r>
              <w:rPr>
                <w:rFonts w:ascii="Arial" w:eastAsia="MS PGothic" w:hAnsi="Arial" w:cs="Arial"/>
                <w:color w:val="000000" w:themeColor="text1"/>
                <w:kern w:val="24"/>
              </w:rPr>
              <w:t>ollege of Policing (C</w:t>
            </w:r>
            <w:r w:rsidRPr="0034045E">
              <w:rPr>
                <w:rFonts w:ascii="Arial" w:eastAsia="MS PGothic" w:hAnsi="Arial" w:cs="Arial"/>
                <w:color w:val="000000" w:themeColor="text1"/>
                <w:kern w:val="24"/>
              </w:rPr>
              <w:t>oP</w:t>
            </w:r>
            <w:r>
              <w:rPr>
                <w:rFonts w:ascii="Arial" w:eastAsia="MS PGothic" w:hAnsi="Arial" w:cs="Arial"/>
                <w:color w:val="000000" w:themeColor="text1"/>
                <w:kern w:val="24"/>
              </w:rPr>
              <w:t>)</w:t>
            </w:r>
            <w:r w:rsidRPr="0034045E">
              <w:rPr>
                <w:rFonts w:ascii="Arial" w:eastAsia="MS PGothic" w:hAnsi="Arial" w:cs="Arial"/>
                <w:color w:val="000000" w:themeColor="text1"/>
                <w:kern w:val="24"/>
              </w:rPr>
              <w:t xml:space="preserve"> CDCP Skills and Standards Framework. </w:t>
            </w:r>
          </w:p>
          <w:p w:rsid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 xml:space="preserve">There will be quality conditions set by the CoP. </w:t>
            </w:r>
          </w:p>
          <w:p w:rsid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 xml:space="preserve">Candidates of CDCP and other projects can then use this list as approved/ accredited Cyber/Digital Training Excellence.  </w:t>
            </w:r>
          </w:p>
          <w:p w:rsidR="0034045E" w:rsidRPr="0034045E" w:rsidRDefault="0034045E" w:rsidP="00C22AD4">
            <w:pPr>
              <w:kinsoku w:val="0"/>
              <w:overflowPunct w:val="0"/>
              <w:textAlignment w:val="baseline"/>
              <w:rPr>
                <w:rFonts w:ascii="Arial" w:eastAsia="MS PGothic" w:hAnsi="Arial" w:cs="Arial"/>
                <w:color w:val="000000" w:themeColor="text1"/>
                <w:kern w:val="24"/>
              </w:rPr>
            </w:pPr>
          </w:p>
        </w:tc>
      </w:tr>
      <w:tr w:rsidR="0034045E" w:rsidRPr="0034045E" w:rsidTr="0034045E">
        <w:tc>
          <w:tcPr>
            <w:tcW w:w="427" w:type="pct"/>
          </w:tcPr>
          <w:p w:rsidR="0034045E" w:rsidRPr="0034045E" w:rsidRDefault="0034045E" w:rsidP="0094335A">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4</w:t>
            </w:r>
          </w:p>
        </w:tc>
        <w:tc>
          <w:tcPr>
            <w:tcW w:w="825" w:type="pct"/>
          </w:tcPr>
          <w:p w:rsidR="0034045E" w:rsidRPr="0034045E" w:rsidRDefault="0034045E" w:rsidP="0094335A">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 xml:space="preserve">Are the courses that are assessed and accredited against the Cyber-Digital Investigators Standards and Skills Framework then categorised as mandatory (or optional/recommended only) for those individuals with a skills gap/training need </w:t>
            </w:r>
            <w:r w:rsidRPr="0034045E">
              <w:rPr>
                <w:rFonts w:ascii="Arial" w:eastAsia="MS PGothic" w:hAnsi="Arial" w:cs="Arial"/>
                <w:color w:val="000000" w:themeColor="text1"/>
                <w:kern w:val="24"/>
              </w:rPr>
              <w:lastRenderedPageBreak/>
              <w:t>identified within the Cyber-Digital Careers Pathway programme?</w:t>
            </w:r>
          </w:p>
        </w:tc>
        <w:tc>
          <w:tcPr>
            <w:tcW w:w="3748"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lastRenderedPageBreak/>
              <w:t xml:space="preserve">The courses will be mandatory for those on the Cyber-Digital Careers Pathway. </w:t>
            </w:r>
          </w:p>
          <w:p w:rsidR="0034045E" w:rsidRPr="0034045E" w:rsidRDefault="0034045E" w:rsidP="00C22AD4">
            <w:pPr>
              <w:kinsoku w:val="0"/>
              <w:overflowPunct w:val="0"/>
              <w:textAlignment w:val="baseline"/>
              <w:rPr>
                <w:rFonts w:ascii="Arial" w:eastAsia="MS PGothic" w:hAnsi="Arial" w:cs="Arial"/>
                <w:color w:val="000000" w:themeColor="text1"/>
                <w:kern w:val="24"/>
              </w:rPr>
            </w:pPr>
          </w:p>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Link to the Skills and Standards Framework</w:t>
            </w:r>
            <w:r>
              <w:rPr>
                <w:rFonts w:ascii="Arial" w:eastAsia="MS PGothic" w:hAnsi="Arial" w:cs="Arial"/>
                <w:color w:val="000000" w:themeColor="text1"/>
                <w:kern w:val="24"/>
              </w:rPr>
              <w:t xml:space="preserve"> for reference</w:t>
            </w:r>
            <w:r w:rsidRPr="0034045E">
              <w:rPr>
                <w:rFonts w:ascii="Arial" w:eastAsia="MS PGothic" w:hAnsi="Arial" w:cs="Arial"/>
                <w:color w:val="000000" w:themeColor="text1"/>
                <w:kern w:val="24"/>
              </w:rPr>
              <w:t xml:space="preserve">; </w:t>
            </w:r>
            <w:hyperlink r:id="rId5" w:history="1">
              <w:r w:rsidRPr="0034045E">
                <w:rPr>
                  <w:rStyle w:val="Hyperlink"/>
                  <w:rFonts w:ascii="Arial" w:eastAsia="MS PGothic" w:hAnsi="Arial" w:cs="Arial"/>
                  <w:color w:val="000000" w:themeColor="text1"/>
                  <w:kern w:val="24"/>
                </w:rPr>
                <w:t>http://www.college.police.uk/What-we-do/Learning/career-pathways/Pages/Cyber-Digital-Career-Pathway.aspx</w:t>
              </w:r>
            </w:hyperlink>
            <w:r w:rsidRPr="0034045E">
              <w:rPr>
                <w:rFonts w:ascii="Arial" w:eastAsia="MS PGothic" w:hAnsi="Arial" w:cs="Arial"/>
                <w:color w:val="000000" w:themeColor="text1"/>
                <w:kern w:val="24"/>
              </w:rPr>
              <w:t>.</w:t>
            </w:r>
          </w:p>
          <w:p w:rsidR="0034045E" w:rsidRPr="0034045E" w:rsidRDefault="0034045E" w:rsidP="00C22AD4">
            <w:pPr>
              <w:kinsoku w:val="0"/>
              <w:overflowPunct w:val="0"/>
              <w:textAlignment w:val="baseline"/>
              <w:rPr>
                <w:rFonts w:ascii="Arial" w:eastAsia="MS PGothic" w:hAnsi="Arial" w:cs="Arial"/>
                <w:color w:val="000000" w:themeColor="text1"/>
                <w:kern w:val="24"/>
              </w:rPr>
            </w:pPr>
          </w:p>
        </w:tc>
      </w:tr>
      <w:tr w:rsidR="0034045E" w:rsidRPr="0034045E" w:rsidTr="0034045E">
        <w:tc>
          <w:tcPr>
            <w:tcW w:w="427"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5</w:t>
            </w:r>
          </w:p>
        </w:tc>
        <w:tc>
          <w:tcPr>
            <w:tcW w:w="825"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Is this project something the project intend to limit to the UK, or, will we be seeking it to be recognised internationally?</w:t>
            </w:r>
          </w:p>
          <w:p w:rsidR="0034045E" w:rsidRPr="0034045E" w:rsidRDefault="0034045E" w:rsidP="00C22AD4">
            <w:pPr>
              <w:kinsoku w:val="0"/>
              <w:overflowPunct w:val="0"/>
              <w:textAlignment w:val="baseline"/>
              <w:rPr>
                <w:rFonts w:ascii="Arial" w:eastAsia="MS PGothic" w:hAnsi="Arial" w:cs="Arial"/>
                <w:color w:val="000000" w:themeColor="text1"/>
                <w:kern w:val="24"/>
              </w:rPr>
            </w:pPr>
          </w:p>
        </w:tc>
        <w:tc>
          <w:tcPr>
            <w:tcW w:w="3748" w:type="pct"/>
          </w:tcPr>
          <w:p w:rsidR="0034045E" w:rsidRPr="0034045E" w:rsidRDefault="0034045E" w:rsidP="0034045E">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 xml:space="preserve">The NRCDTE will be created for CDCP but it MAY be able to be used for other purposes such as international uses subject to licensing agreements, funding agreements and CoP restrictions. </w:t>
            </w:r>
          </w:p>
        </w:tc>
      </w:tr>
      <w:tr w:rsidR="0034045E" w:rsidRPr="0034045E" w:rsidTr="0034045E">
        <w:tc>
          <w:tcPr>
            <w:tcW w:w="427" w:type="pct"/>
          </w:tcPr>
          <w:p w:rsidR="0034045E" w:rsidRPr="0034045E" w:rsidRDefault="0034045E" w:rsidP="00676AA3">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6</w:t>
            </w:r>
          </w:p>
        </w:tc>
        <w:tc>
          <w:tcPr>
            <w:tcW w:w="825" w:type="pct"/>
          </w:tcPr>
          <w:p w:rsidR="0034045E" w:rsidRPr="0034045E" w:rsidRDefault="0034045E" w:rsidP="00676AA3">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 xml:space="preserve">Do you have an anticipated duration of how long training courses that are successfully accredited will retain that accreditation once awarded? </w:t>
            </w:r>
          </w:p>
          <w:p w:rsidR="0034045E" w:rsidRPr="0034045E" w:rsidRDefault="0034045E" w:rsidP="00676AA3">
            <w:pPr>
              <w:kinsoku w:val="0"/>
              <w:overflowPunct w:val="0"/>
              <w:textAlignment w:val="baseline"/>
              <w:rPr>
                <w:rFonts w:ascii="Arial" w:eastAsia="MS PGothic" w:hAnsi="Arial" w:cs="Arial"/>
                <w:color w:val="000000" w:themeColor="text1"/>
                <w:kern w:val="24"/>
              </w:rPr>
            </w:pPr>
          </w:p>
        </w:tc>
        <w:tc>
          <w:tcPr>
            <w:tcW w:w="3748"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Annual</w:t>
            </w:r>
            <w:r>
              <w:rPr>
                <w:rFonts w:ascii="Arial" w:eastAsia="MS PGothic" w:hAnsi="Arial" w:cs="Arial"/>
                <w:color w:val="000000" w:themeColor="text1"/>
                <w:kern w:val="24"/>
              </w:rPr>
              <w:t xml:space="preserve"> retention.</w:t>
            </w:r>
            <w:bookmarkStart w:id="0" w:name="_GoBack"/>
            <w:bookmarkEnd w:id="0"/>
          </w:p>
        </w:tc>
      </w:tr>
      <w:tr w:rsidR="0034045E" w:rsidRPr="0034045E" w:rsidTr="0034045E">
        <w:tc>
          <w:tcPr>
            <w:tcW w:w="427"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7</w:t>
            </w:r>
          </w:p>
        </w:tc>
        <w:tc>
          <w:tcPr>
            <w:tcW w:w="825"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What account does the accreditation of training need to make in respect of the Welsh Language?</w:t>
            </w:r>
          </w:p>
          <w:p w:rsidR="0034045E" w:rsidRPr="0034045E" w:rsidRDefault="0034045E" w:rsidP="00C22AD4">
            <w:pPr>
              <w:kinsoku w:val="0"/>
              <w:overflowPunct w:val="0"/>
              <w:textAlignment w:val="baseline"/>
              <w:rPr>
                <w:rFonts w:ascii="Arial" w:eastAsia="MS PGothic" w:hAnsi="Arial" w:cs="Arial"/>
                <w:color w:val="000000" w:themeColor="text1"/>
                <w:kern w:val="24"/>
              </w:rPr>
            </w:pPr>
          </w:p>
        </w:tc>
        <w:tc>
          <w:tcPr>
            <w:tcW w:w="3748"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In the first instance our partners from Wales have not indicated a need for this but it will be under constant review.</w:t>
            </w:r>
          </w:p>
        </w:tc>
      </w:tr>
      <w:tr w:rsidR="0034045E" w:rsidRPr="0034045E" w:rsidTr="0034045E">
        <w:tc>
          <w:tcPr>
            <w:tcW w:w="427"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8</w:t>
            </w:r>
          </w:p>
        </w:tc>
        <w:tc>
          <w:tcPr>
            <w:tcW w:w="825"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Does the selected supplier itself need to be accredited in for them to be able to assess training courses against the Skills and Standards Framework?</w:t>
            </w:r>
          </w:p>
          <w:p w:rsidR="0034045E" w:rsidRPr="0034045E" w:rsidRDefault="0034045E" w:rsidP="00C22AD4">
            <w:pPr>
              <w:kinsoku w:val="0"/>
              <w:overflowPunct w:val="0"/>
              <w:textAlignment w:val="baseline"/>
              <w:rPr>
                <w:rFonts w:ascii="Arial" w:eastAsia="MS PGothic" w:hAnsi="Arial" w:cs="Arial"/>
                <w:color w:val="000000" w:themeColor="text1"/>
                <w:kern w:val="24"/>
              </w:rPr>
            </w:pPr>
          </w:p>
        </w:tc>
        <w:tc>
          <w:tcPr>
            <w:tcW w:w="3748"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 xml:space="preserve">The accrediting organisation needs to be a UK Government Accredited organisation able to accredit training itself. </w:t>
            </w:r>
            <w:proofErr w:type="spellStart"/>
            <w:r w:rsidRPr="0034045E">
              <w:rPr>
                <w:rFonts w:ascii="Arial" w:eastAsia="MS PGothic" w:hAnsi="Arial" w:cs="Arial"/>
                <w:color w:val="000000" w:themeColor="text1"/>
                <w:kern w:val="24"/>
              </w:rPr>
              <w:t>Eg</w:t>
            </w:r>
            <w:proofErr w:type="spellEnd"/>
            <w:r w:rsidRPr="0034045E">
              <w:rPr>
                <w:rFonts w:ascii="Arial" w:eastAsia="MS PGothic" w:hAnsi="Arial" w:cs="Arial"/>
                <w:color w:val="000000" w:themeColor="text1"/>
                <w:kern w:val="24"/>
              </w:rPr>
              <w:t xml:space="preserve"> UKAS approved/accredited. </w:t>
            </w:r>
          </w:p>
        </w:tc>
      </w:tr>
      <w:tr w:rsidR="0034045E" w:rsidRPr="0034045E" w:rsidTr="0034045E">
        <w:tc>
          <w:tcPr>
            <w:tcW w:w="427"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9</w:t>
            </w:r>
          </w:p>
        </w:tc>
        <w:tc>
          <w:tcPr>
            <w:tcW w:w="825"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Is “undercover” part of the scope of the project?</w:t>
            </w:r>
          </w:p>
        </w:tc>
        <w:tc>
          <w:tcPr>
            <w:tcW w:w="3748"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It is not part of the initial project scope (but it is anticipated that it may be included at a later date).</w:t>
            </w:r>
          </w:p>
          <w:p w:rsidR="0034045E" w:rsidRPr="0034045E" w:rsidRDefault="0034045E" w:rsidP="00C22AD4">
            <w:pPr>
              <w:kinsoku w:val="0"/>
              <w:overflowPunct w:val="0"/>
              <w:textAlignment w:val="baseline"/>
              <w:rPr>
                <w:rFonts w:ascii="Arial" w:eastAsia="MS PGothic" w:hAnsi="Arial" w:cs="Arial"/>
                <w:color w:val="000000" w:themeColor="text1"/>
                <w:kern w:val="24"/>
              </w:rPr>
            </w:pPr>
          </w:p>
        </w:tc>
      </w:tr>
      <w:tr w:rsidR="0034045E" w:rsidRPr="0034045E" w:rsidTr="0034045E">
        <w:tc>
          <w:tcPr>
            <w:tcW w:w="427"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Pr>
                <w:rFonts w:ascii="Arial" w:eastAsia="MS PGothic" w:hAnsi="Arial" w:cs="Arial"/>
                <w:color w:val="000000" w:themeColor="text1"/>
                <w:kern w:val="24"/>
              </w:rPr>
              <w:t>10</w:t>
            </w:r>
          </w:p>
        </w:tc>
        <w:tc>
          <w:tcPr>
            <w:tcW w:w="825"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Other accrediting organisations are currently accrediting training e.g. cyber-intelligence training courses/programmes, how does this project/scheme relate to these?</w:t>
            </w:r>
          </w:p>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 xml:space="preserve"> </w:t>
            </w:r>
          </w:p>
        </w:tc>
        <w:tc>
          <w:tcPr>
            <w:tcW w:w="3748" w:type="pct"/>
          </w:tcPr>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We are looking to cover all facets of the professionalisation of the cyber-digital investigation community within Law Enforcement Agencies.</w:t>
            </w:r>
          </w:p>
          <w:p w:rsidR="0034045E" w:rsidRPr="0034045E" w:rsidRDefault="0034045E" w:rsidP="00C22AD4">
            <w:pPr>
              <w:kinsoku w:val="0"/>
              <w:overflowPunct w:val="0"/>
              <w:textAlignment w:val="baseline"/>
              <w:rPr>
                <w:rFonts w:ascii="Arial" w:eastAsia="MS PGothic" w:hAnsi="Arial" w:cs="Arial"/>
                <w:color w:val="000000" w:themeColor="text1"/>
                <w:kern w:val="24"/>
              </w:rPr>
            </w:pPr>
            <w:r w:rsidRPr="0034045E">
              <w:rPr>
                <w:rFonts w:ascii="Arial" w:eastAsia="MS PGothic" w:hAnsi="Arial" w:cs="Arial"/>
                <w:color w:val="000000" w:themeColor="text1"/>
                <w:kern w:val="24"/>
              </w:rPr>
              <w:t>.</w:t>
            </w:r>
          </w:p>
        </w:tc>
      </w:tr>
    </w:tbl>
    <w:p w:rsidR="009E720A" w:rsidRPr="0034045E" w:rsidRDefault="009E720A" w:rsidP="009E720A">
      <w:pPr>
        <w:kinsoku w:val="0"/>
        <w:overflowPunct w:val="0"/>
        <w:ind w:left="360"/>
        <w:textAlignment w:val="baseline"/>
        <w:rPr>
          <w:rFonts w:ascii="Arial" w:hAnsi="Arial" w:cs="Arial"/>
          <w:color w:val="000000" w:themeColor="text1"/>
        </w:rPr>
      </w:pPr>
    </w:p>
    <w:p w:rsidR="00E86CB0" w:rsidRPr="0034045E" w:rsidRDefault="00E86CB0">
      <w:pPr>
        <w:rPr>
          <w:color w:val="000000" w:themeColor="text1"/>
        </w:rPr>
      </w:pPr>
    </w:p>
    <w:sectPr w:rsidR="00E86CB0" w:rsidRPr="00340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27013"/>
    <w:multiLevelType w:val="hybridMultilevel"/>
    <w:tmpl w:val="228A5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D64C3D"/>
    <w:multiLevelType w:val="hybridMultilevel"/>
    <w:tmpl w:val="2E6C38D8"/>
    <w:lvl w:ilvl="0" w:tplc="3C0CE0EA">
      <w:start w:val="1"/>
      <w:numFmt w:val="bullet"/>
      <w:lvlText w:val="•"/>
      <w:lvlJc w:val="left"/>
      <w:pPr>
        <w:tabs>
          <w:tab w:val="num" w:pos="720"/>
        </w:tabs>
        <w:ind w:left="720" w:hanging="360"/>
      </w:pPr>
      <w:rPr>
        <w:rFonts w:ascii="Arial" w:hAnsi="Arial" w:hint="default"/>
      </w:rPr>
    </w:lvl>
    <w:lvl w:ilvl="1" w:tplc="2F12489C" w:tentative="1">
      <w:start w:val="1"/>
      <w:numFmt w:val="bullet"/>
      <w:lvlText w:val="•"/>
      <w:lvlJc w:val="left"/>
      <w:pPr>
        <w:tabs>
          <w:tab w:val="num" w:pos="1440"/>
        </w:tabs>
        <w:ind w:left="1440" w:hanging="360"/>
      </w:pPr>
      <w:rPr>
        <w:rFonts w:ascii="Arial" w:hAnsi="Arial" w:hint="default"/>
      </w:rPr>
    </w:lvl>
    <w:lvl w:ilvl="2" w:tplc="1F6CEFE4" w:tentative="1">
      <w:start w:val="1"/>
      <w:numFmt w:val="bullet"/>
      <w:lvlText w:val="•"/>
      <w:lvlJc w:val="left"/>
      <w:pPr>
        <w:tabs>
          <w:tab w:val="num" w:pos="2160"/>
        </w:tabs>
        <w:ind w:left="2160" w:hanging="360"/>
      </w:pPr>
      <w:rPr>
        <w:rFonts w:ascii="Arial" w:hAnsi="Arial" w:hint="default"/>
      </w:rPr>
    </w:lvl>
    <w:lvl w:ilvl="3" w:tplc="9ABC86F4" w:tentative="1">
      <w:start w:val="1"/>
      <w:numFmt w:val="bullet"/>
      <w:lvlText w:val="•"/>
      <w:lvlJc w:val="left"/>
      <w:pPr>
        <w:tabs>
          <w:tab w:val="num" w:pos="2880"/>
        </w:tabs>
        <w:ind w:left="2880" w:hanging="360"/>
      </w:pPr>
      <w:rPr>
        <w:rFonts w:ascii="Arial" w:hAnsi="Arial" w:hint="default"/>
      </w:rPr>
    </w:lvl>
    <w:lvl w:ilvl="4" w:tplc="E6225AC0" w:tentative="1">
      <w:start w:val="1"/>
      <w:numFmt w:val="bullet"/>
      <w:lvlText w:val="•"/>
      <w:lvlJc w:val="left"/>
      <w:pPr>
        <w:tabs>
          <w:tab w:val="num" w:pos="3600"/>
        </w:tabs>
        <w:ind w:left="3600" w:hanging="360"/>
      </w:pPr>
      <w:rPr>
        <w:rFonts w:ascii="Arial" w:hAnsi="Arial" w:hint="default"/>
      </w:rPr>
    </w:lvl>
    <w:lvl w:ilvl="5" w:tplc="EB466266" w:tentative="1">
      <w:start w:val="1"/>
      <w:numFmt w:val="bullet"/>
      <w:lvlText w:val="•"/>
      <w:lvlJc w:val="left"/>
      <w:pPr>
        <w:tabs>
          <w:tab w:val="num" w:pos="4320"/>
        </w:tabs>
        <w:ind w:left="4320" w:hanging="360"/>
      </w:pPr>
      <w:rPr>
        <w:rFonts w:ascii="Arial" w:hAnsi="Arial" w:hint="default"/>
      </w:rPr>
    </w:lvl>
    <w:lvl w:ilvl="6" w:tplc="55D6641E" w:tentative="1">
      <w:start w:val="1"/>
      <w:numFmt w:val="bullet"/>
      <w:lvlText w:val="•"/>
      <w:lvlJc w:val="left"/>
      <w:pPr>
        <w:tabs>
          <w:tab w:val="num" w:pos="5040"/>
        </w:tabs>
        <w:ind w:left="5040" w:hanging="360"/>
      </w:pPr>
      <w:rPr>
        <w:rFonts w:ascii="Arial" w:hAnsi="Arial" w:hint="default"/>
      </w:rPr>
    </w:lvl>
    <w:lvl w:ilvl="7" w:tplc="53B49DE6" w:tentative="1">
      <w:start w:val="1"/>
      <w:numFmt w:val="bullet"/>
      <w:lvlText w:val="•"/>
      <w:lvlJc w:val="left"/>
      <w:pPr>
        <w:tabs>
          <w:tab w:val="num" w:pos="5760"/>
        </w:tabs>
        <w:ind w:left="5760" w:hanging="360"/>
      </w:pPr>
      <w:rPr>
        <w:rFonts w:ascii="Arial" w:hAnsi="Arial" w:hint="default"/>
      </w:rPr>
    </w:lvl>
    <w:lvl w:ilvl="8" w:tplc="1990127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B0"/>
    <w:rsid w:val="000007C2"/>
    <w:rsid w:val="002D6D9B"/>
    <w:rsid w:val="0034045E"/>
    <w:rsid w:val="003D1A0E"/>
    <w:rsid w:val="0058028E"/>
    <w:rsid w:val="00676AA3"/>
    <w:rsid w:val="0068012B"/>
    <w:rsid w:val="0094335A"/>
    <w:rsid w:val="009E720A"/>
    <w:rsid w:val="009F5E92"/>
    <w:rsid w:val="00C1727D"/>
    <w:rsid w:val="00C22AD4"/>
    <w:rsid w:val="00C857EA"/>
    <w:rsid w:val="00DB55BB"/>
    <w:rsid w:val="00E249FA"/>
    <w:rsid w:val="00E824EE"/>
    <w:rsid w:val="00E86CB0"/>
    <w:rsid w:val="00F03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339AE-F0F7-415B-BA75-24CDC022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27D"/>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9E7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2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248965">
      <w:bodyDiv w:val="1"/>
      <w:marLeft w:val="0"/>
      <w:marRight w:val="0"/>
      <w:marTop w:val="0"/>
      <w:marBottom w:val="0"/>
      <w:divBdr>
        <w:top w:val="none" w:sz="0" w:space="0" w:color="auto"/>
        <w:left w:val="none" w:sz="0" w:space="0" w:color="auto"/>
        <w:bottom w:val="none" w:sz="0" w:space="0" w:color="auto"/>
        <w:right w:val="none" w:sz="0" w:space="0" w:color="auto"/>
      </w:divBdr>
      <w:divsChild>
        <w:div w:id="456683708">
          <w:marLeft w:val="547"/>
          <w:marRight w:val="0"/>
          <w:marTop w:val="86"/>
          <w:marBottom w:val="0"/>
          <w:divBdr>
            <w:top w:val="none" w:sz="0" w:space="0" w:color="auto"/>
            <w:left w:val="none" w:sz="0" w:space="0" w:color="auto"/>
            <w:bottom w:val="none" w:sz="0" w:space="0" w:color="auto"/>
            <w:right w:val="none" w:sz="0" w:space="0" w:color="auto"/>
          </w:divBdr>
        </w:div>
        <w:div w:id="1660452469">
          <w:marLeft w:val="547"/>
          <w:marRight w:val="0"/>
          <w:marTop w:val="86"/>
          <w:marBottom w:val="0"/>
          <w:divBdr>
            <w:top w:val="none" w:sz="0" w:space="0" w:color="auto"/>
            <w:left w:val="none" w:sz="0" w:space="0" w:color="auto"/>
            <w:bottom w:val="none" w:sz="0" w:space="0" w:color="auto"/>
            <w:right w:val="none" w:sz="0" w:space="0" w:color="auto"/>
          </w:divBdr>
        </w:div>
        <w:div w:id="1592592083">
          <w:marLeft w:val="547"/>
          <w:marRight w:val="0"/>
          <w:marTop w:val="86"/>
          <w:marBottom w:val="0"/>
          <w:divBdr>
            <w:top w:val="none" w:sz="0" w:space="0" w:color="auto"/>
            <w:left w:val="none" w:sz="0" w:space="0" w:color="auto"/>
            <w:bottom w:val="none" w:sz="0" w:space="0" w:color="auto"/>
            <w:right w:val="none" w:sz="0" w:space="0" w:color="auto"/>
          </w:divBdr>
        </w:div>
        <w:div w:id="1751996417">
          <w:marLeft w:val="547"/>
          <w:marRight w:val="0"/>
          <w:marTop w:val="86"/>
          <w:marBottom w:val="0"/>
          <w:divBdr>
            <w:top w:val="none" w:sz="0" w:space="0" w:color="auto"/>
            <w:left w:val="none" w:sz="0" w:space="0" w:color="auto"/>
            <w:bottom w:val="none" w:sz="0" w:space="0" w:color="auto"/>
            <w:right w:val="none" w:sz="0" w:space="0" w:color="auto"/>
          </w:divBdr>
        </w:div>
        <w:div w:id="1605530347">
          <w:marLeft w:val="547"/>
          <w:marRight w:val="0"/>
          <w:marTop w:val="86"/>
          <w:marBottom w:val="0"/>
          <w:divBdr>
            <w:top w:val="none" w:sz="0" w:space="0" w:color="auto"/>
            <w:left w:val="none" w:sz="0" w:space="0" w:color="auto"/>
            <w:bottom w:val="none" w:sz="0" w:space="0" w:color="auto"/>
            <w:right w:val="none" w:sz="0" w:space="0" w:color="auto"/>
          </w:divBdr>
        </w:div>
        <w:div w:id="96871012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llege.police.uk/What-we-do/Learning/career-pathways/Pages/Cyber-Digital-Career-Pathwa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Policing</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Gardiner</dc:creator>
  <cp:keywords/>
  <dc:description/>
  <cp:lastModifiedBy>John Ryan</cp:lastModifiedBy>
  <cp:revision>2</cp:revision>
  <dcterms:created xsi:type="dcterms:W3CDTF">2017-08-11T09:43:00Z</dcterms:created>
  <dcterms:modified xsi:type="dcterms:W3CDTF">2017-08-11T09:43:00Z</dcterms:modified>
</cp:coreProperties>
</file>