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831AA" w14:textId="77777777" w:rsidR="00275143" w:rsidRDefault="00275143" w:rsidP="008E787C">
      <w:pPr>
        <w:rPr>
          <w:b/>
          <w:color w:val="ED8B00"/>
          <w:sz w:val="32"/>
        </w:rPr>
      </w:pPr>
      <w:bookmarkStart w:id="0" w:name="_GoBack"/>
    </w:p>
    <w:bookmarkEnd w:id="0"/>
    <w:p w14:paraId="1D95F956" w14:textId="77777777" w:rsidR="007E5D50" w:rsidRDefault="00B55707" w:rsidP="007E5D50">
      <w:pPr>
        <w:jc w:val="center"/>
        <w:rPr>
          <w:b/>
          <w:color w:val="ED8B00"/>
          <w:sz w:val="32"/>
        </w:rPr>
      </w:pPr>
      <w:r>
        <w:rPr>
          <w:b/>
          <w:color w:val="ED8B00"/>
          <w:sz w:val="32"/>
        </w:rPr>
        <w:lastRenderedPageBreak/>
        <w:t xml:space="preserve">TENDER TO </w:t>
      </w:r>
      <w:r w:rsidRPr="007E5D50">
        <w:rPr>
          <w:b/>
          <w:color w:val="ED8B00"/>
          <w:sz w:val="32"/>
        </w:rPr>
        <w:t xml:space="preserve">ESTABLISH A </w:t>
      </w:r>
      <w:r w:rsidR="00710D75" w:rsidRPr="007E5D50">
        <w:rPr>
          <w:b/>
          <w:color w:val="ED8B00"/>
          <w:sz w:val="32"/>
        </w:rPr>
        <w:t>FRAMEWORK AGREEMENT</w:t>
      </w:r>
      <w:r w:rsidR="007E5D50">
        <w:rPr>
          <w:b/>
          <w:color w:val="ED8B00"/>
          <w:sz w:val="32"/>
        </w:rPr>
        <w:t xml:space="preserve"> FO</w:t>
      </w:r>
      <w:r w:rsidR="002A4BAD">
        <w:rPr>
          <w:b/>
          <w:color w:val="ED8B00"/>
          <w:sz w:val="32"/>
        </w:rPr>
        <w:t>R</w:t>
      </w:r>
      <w:r w:rsidR="007E5D50">
        <w:rPr>
          <w:b/>
          <w:color w:val="ED8B00"/>
          <w:sz w:val="32"/>
        </w:rPr>
        <w:t xml:space="preserve"> THE SUPPLY OF CLINICAL CLEANING AND HYGIENE ASSOCIATED </w:t>
      </w:r>
      <w:r w:rsidR="002A4BAD">
        <w:rPr>
          <w:b/>
          <w:color w:val="ED8B00"/>
          <w:sz w:val="32"/>
        </w:rPr>
        <w:t>PRODUCTS</w:t>
      </w:r>
    </w:p>
    <w:p w14:paraId="1D8B2306" w14:textId="77777777" w:rsidR="00025D14" w:rsidRPr="002021E7" w:rsidRDefault="007E5D50" w:rsidP="007E5D50">
      <w:pPr>
        <w:jc w:val="center"/>
        <w:rPr>
          <w:b/>
          <w:color w:val="1B365D"/>
          <w:sz w:val="28"/>
        </w:rPr>
      </w:pPr>
      <w:r>
        <w:rPr>
          <w:b/>
          <w:color w:val="ED8B00"/>
          <w:sz w:val="32"/>
        </w:rPr>
        <w:t xml:space="preserve"> </w:t>
      </w:r>
      <w:r w:rsidR="00025D14">
        <w:rPr>
          <w:b/>
          <w:color w:val="1B365D"/>
          <w:sz w:val="28"/>
        </w:rPr>
        <w:t>Background</w:t>
      </w:r>
    </w:p>
    <w:p w14:paraId="7DCB5B4B" w14:textId="77777777" w:rsidR="00025D14" w:rsidRPr="00EB0D3E" w:rsidRDefault="00025D14" w:rsidP="008E787C">
      <w:pPr>
        <w:spacing w:afterLines="200" w:after="480" w:line="360" w:lineRule="auto"/>
        <w:ind w:left="720"/>
        <w:jc w:val="both"/>
      </w:pPr>
      <w:r w:rsidRPr="00EB0D3E">
        <w:t>HealthTrust Europe is a Central Purchasing Body who is able to carry out this tender exercise by virtue of its appointment as an agent of University Hospitals of Coventry and Warwickshire NHS Trust (“</w:t>
      </w:r>
      <w:r w:rsidRPr="00EB0D3E">
        <w:rPr>
          <w:b/>
        </w:rPr>
        <w:t>UHCW</w:t>
      </w:r>
      <w:r w:rsidRPr="00EB0D3E">
        <w:t xml:space="preserve">”). Notwithstanding HealthTrust Europe’s relationship with UHCW, it is HealthTrust Europe that is conducting this tender exercise and will execute the resultant contract with successful bidder(s). </w:t>
      </w:r>
    </w:p>
    <w:p w14:paraId="7D7A3C56" w14:textId="77777777" w:rsidR="00025D14" w:rsidRPr="00EB0D3E" w:rsidRDefault="00025D14" w:rsidP="008E787C">
      <w:pPr>
        <w:spacing w:afterLines="200" w:after="480" w:line="360" w:lineRule="auto"/>
        <w:ind w:left="720"/>
        <w:jc w:val="both"/>
      </w:pPr>
      <w:r w:rsidRPr="00EB0D3E">
        <w:rPr>
          <w:rFonts w:cs="Arial"/>
          <w:b/>
        </w:rPr>
        <w:t>For the avoidance of doubt, UHCW is NOT carrying out this tender, and if you have any queries about this PQQ you should only contact HealthTrust Europe.</w:t>
      </w:r>
    </w:p>
    <w:p w14:paraId="5569A541" w14:textId="77777777" w:rsidR="009C4630" w:rsidRDefault="00293FDE" w:rsidP="008E787C">
      <w:pPr>
        <w:pStyle w:val="ListParagraph"/>
        <w:numPr>
          <w:ilvl w:val="0"/>
          <w:numId w:val="17"/>
        </w:numPr>
        <w:spacing w:afterLines="200" w:after="480" w:line="360" w:lineRule="auto"/>
        <w:contextualSpacing w:val="0"/>
        <w:rPr>
          <w:b/>
          <w:color w:val="1B365D"/>
          <w:sz w:val="28"/>
        </w:rPr>
      </w:pPr>
      <w:r w:rsidRPr="00293FDE">
        <w:rPr>
          <w:b/>
          <w:color w:val="1B365D"/>
          <w:sz w:val="28"/>
        </w:rPr>
        <w:t>Scope of the Procurement</w:t>
      </w:r>
    </w:p>
    <w:p w14:paraId="50F58BC0" w14:textId="3E929A19" w:rsidR="00293FDE" w:rsidRPr="00EB0D3E" w:rsidRDefault="00293FDE" w:rsidP="008E787C">
      <w:pPr>
        <w:autoSpaceDE w:val="0"/>
        <w:autoSpaceDN w:val="0"/>
        <w:adjustRightInd w:val="0"/>
        <w:spacing w:before="100" w:beforeAutospacing="1" w:afterLines="200" w:after="480" w:line="360" w:lineRule="auto"/>
        <w:ind w:left="720"/>
        <w:jc w:val="both"/>
        <w:rPr>
          <w:rFonts w:cs="Arial"/>
          <w:b/>
          <w:bCs/>
          <w:i/>
          <w:iCs/>
          <w:color w:val="000000"/>
        </w:rPr>
      </w:pPr>
      <w:r w:rsidRPr="00EB0D3E">
        <w:rPr>
          <w:rFonts w:cs="Arial"/>
          <w:color w:val="000000"/>
        </w:rPr>
        <w:t>This pre-qualification questionnaire (</w:t>
      </w:r>
      <w:r w:rsidR="00B55707" w:rsidRPr="00EB0D3E">
        <w:rPr>
          <w:rFonts w:cs="Arial"/>
          <w:color w:val="000000"/>
        </w:rPr>
        <w:t>“</w:t>
      </w:r>
      <w:r w:rsidRPr="00EB0D3E">
        <w:rPr>
          <w:rFonts w:cs="Arial"/>
          <w:color w:val="000000"/>
        </w:rPr>
        <w:t>PQQ</w:t>
      </w:r>
      <w:r w:rsidR="00B55707" w:rsidRPr="00EB0D3E">
        <w:rPr>
          <w:rFonts w:cs="Arial"/>
          <w:color w:val="000000"/>
        </w:rPr>
        <w:t>”</w:t>
      </w:r>
      <w:r w:rsidRPr="00EB0D3E">
        <w:rPr>
          <w:rFonts w:cs="Arial"/>
          <w:color w:val="000000"/>
        </w:rPr>
        <w:t xml:space="preserve">) is the first stage of an </w:t>
      </w:r>
      <w:r w:rsidRPr="007E5D50">
        <w:rPr>
          <w:rFonts w:cs="Arial"/>
          <w:color w:val="000000"/>
        </w:rPr>
        <w:t>EU restricted</w:t>
      </w:r>
      <w:r w:rsidRPr="00EB0D3E">
        <w:rPr>
          <w:rFonts w:cs="Arial"/>
          <w:color w:val="000000"/>
        </w:rPr>
        <w:t xml:space="preserve"> tendering process (the “</w:t>
      </w:r>
      <w:r w:rsidRPr="00EB0D3E">
        <w:rPr>
          <w:rFonts w:cs="Arial"/>
          <w:b/>
          <w:color w:val="000000"/>
        </w:rPr>
        <w:t>Selection Phase</w:t>
      </w:r>
      <w:r w:rsidRPr="00EB0D3E">
        <w:rPr>
          <w:rFonts w:cs="Arial"/>
          <w:color w:val="000000"/>
        </w:rPr>
        <w:t xml:space="preserve">”). </w:t>
      </w:r>
      <w:r w:rsidR="00B55707" w:rsidRPr="00EB0D3E">
        <w:rPr>
          <w:rFonts w:cs="Arial"/>
          <w:color w:val="000000"/>
        </w:rPr>
        <w:t xml:space="preserve"> </w:t>
      </w:r>
      <w:r w:rsidRPr="00EB0D3E">
        <w:rPr>
          <w:rFonts w:cs="Arial"/>
          <w:color w:val="000000"/>
        </w:rPr>
        <w:t>Organisations wishing to tender for the contract (“</w:t>
      </w:r>
      <w:r w:rsidRPr="00EB0D3E">
        <w:rPr>
          <w:b/>
        </w:rPr>
        <w:t>Potential Providers</w:t>
      </w:r>
      <w:r w:rsidRPr="00EB0D3E">
        <w:rPr>
          <w:rFonts w:cs="Arial"/>
          <w:color w:val="000000"/>
        </w:rPr>
        <w:t xml:space="preserve">”) must complete this questionnaire in full and return it by </w:t>
      </w:r>
      <w:r w:rsidR="000D24D3">
        <w:rPr>
          <w:rFonts w:cs="Arial"/>
          <w:color w:val="000000"/>
        </w:rPr>
        <w:t>Thu</w:t>
      </w:r>
      <w:r w:rsidR="0011406E">
        <w:rPr>
          <w:rFonts w:cs="Arial"/>
          <w:color w:val="000000"/>
        </w:rPr>
        <w:t>rsday</w:t>
      </w:r>
      <w:r w:rsidR="00DA1649">
        <w:rPr>
          <w:rFonts w:cs="Arial"/>
          <w:color w:val="000000"/>
        </w:rPr>
        <w:t xml:space="preserve"> 15</w:t>
      </w:r>
      <w:r w:rsidR="00DA1649" w:rsidRPr="00DA1649">
        <w:rPr>
          <w:rFonts w:cs="Arial"/>
          <w:color w:val="000000"/>
          <w:vertAlign w:val="superscript"/>
        </w:rPr>
        <w:t>th</w:t>
      </w:r>
      <w:r w:rsidR="00DA1649">
        <w:rPr>
          <w:rFonts w:cs="Arial"/>
          <w:color w:val="000000"/>
        </w:rPr>
        <w:t xml:space="preserve"> of January 2016 in</w:t>
      </w:r>
      <w:r w:rsidRPr="00EB0D3E">
        <w:rPr>
          <w:rFonts w:cs="Arial"/>
          <w:bCs/>
          <w:iCs/>
          <w:color w:val="000000"/>
        </w:rPr>
        <w:t xml:space="preserve"> accordance with the instructions detailed in this PQQ</w:t>
      </w:r>
      <w:r w:rsidR="00025D14">
        <w:rPr>
          <w:rFonts w:cs="Arial"/>
          <w:bCs/>
          <w:iCs/>
          <w:color w:val="000000"/>
        </w:rPr>
        <w:t xml:space="preserve"> Guidance document</w:t>
      </w:r>
      <w:r w:rsidR="00B55707" w:rsidRPr="00EB0D3E">
        <w:rPr>
          <w:rFonts w:cs="Arial"/>
          <w:b/>
          <w:bCs/>
          <w:i/>
          <w:iCs/>
          <w:color w:val="000000"/>
        </w:rPr>
        <w:t xml:space="preserve">. </w:t>
      </w:r>
      <w:r w:rsidR="00025D14">
        <w:rPr>
          <w:rFonts w:cs="Arial"/>
          <w:b/>
          <w:bCs/>
          <w:i/>
          <w:iCs/>
          <w:color w:val="000000"/>
        </w:rPr>
        <w:t xml:space="preserve"> </w:t>
      </w:r>
      <w:r w:rsidR="00025D14">
        <w:t>Your attention is drawn to the closing date for receipt of PQQ submissions; p</w:t>
      </w:r>
      <w:r w:rsidR="00B55707" w:rsidRPr="00EB0D3E">
        <w:rPr>
          <w:rFonts w:cs="Arial"/>
          <w:bCs/>
          <w:iCs/>
          <w:color w:val="000000"/>
        </w:rPr>
        <w:t>lease note that this deadline will not be extended.</w:t>
      </w:r>
      <w:r w:rsidR="003E0744">
        <w:rPr>
          <w:rFonts w:cs="Arial"/>
          <w:bCs/>
          <w:iCs/>
          <w:color w:val="000000"/>
        </w:rPr>
        <w:t xml:space="preserve"> Failure to respond by the deadline for any reason is likely to result in your response being rejected. </w:t>
      </w:r>
    </w:p>
    <w:p w14:paraId="76FF161E" w14:textId="77777777" w:rsidR="00293FDE" w:rsidRPr="00EB0D3E" w:rsidRDefault="00293FDE" w:rsidP="008E787C">
      <w:pPr>
        <w:autoSpaceDE w:val="0"/>
        <w:autoSpaceDN w:val="0"/>
        <w:adjustRightInd w:val="0"/>
        <w:spacing w:before="100" w:beforeAutospacing="1" w:afterLines="200" w:after="480" w:line="360" w:lineRule="auto"/>
        <w:ind w:left="720"/>
        <w:jc w:val="both"/>
        <w:rPr>
          <w:rFonts w:cs="Arial"/>
          <w:color w:val="000000"/>
        </w:rPr>
      </w:pPr>
      <w:r w:rsidRPr="00EB0D3E">
        <w:rPr>
          <w:rFonts w:cs="Arial"/>
          <w:color w:val="000000"/>
        </w:rPr>
        <w:t>Those Potential Providers that successfully meet the standards required during the Selection Phase (in the opinion of HealthTrust Europe) will move to the second stage (the “</w:t>
      </w:r>
      <w:r w:rsidRPr="00EB0D3E">
        <w:rPr>
          <w:rFonts w:cs="Arial"/>
          <w:b/>
          <w:color w:val="000000"/>
        </w:rPr>
        <w:t>Award Phase</w:t>
      </w:r>
      <w:r w:rsidRPr="00EB0D3E">
        <w:rPr>
          <w:rFonts w:cs="Arial"/>
          <w:color w:val="000000"/>
        </w:rPr>
        <w:t>”) and will be invited to tender.</w:t>
      </w:r>
    </w:p>
    <w:p w14:paraId="33008724" w14:textId="77777777" w:rsidR="00986D1D" w:rsidRDefault="00025D14" w:rsidP="008E787C">
      <w:pPr>
        <w:spacing w:afterLines="200" w:after="480" w:line="360" w:lineRule="auto"/>
        <w:ind w:left="720"/>
        <w:jc w:val="both"/>
        <w:rPr>
          <w:rFonts w:cstheme="minorHAnsi"/>
          <w:lang w:eastAsia="en-GB"/>
        </w:rPr>
      </w:pPr>
      <w:r w:rsidRPr="00025D14">
        <w:rPr>
          <w:rFonts w:cstheme="minorHAnsi"/>
        </w:rPr>
        <w:t xml:space="preserve">HealthTrust Europe is seeking to establish </w:t>
      </w:r>
      <w:r w:rsidRPr="000D24D3">
        <w:rPr>
          <w:rFonts w:cstheme="minorHAnsi"/>
        </w:rPr>
        <w:t>a framework agreement</w:t>
      </w:r>
      <w:r w:rsidR="000D24D3" w:rsidRPr="000D24D3">
        <w:rPr>
          <w:rFonts w:cstheme="minorHAnsi"/>
        </w:rPr>
        <w:t xml:space="preserve"> </w:t>
      </w:r>
      <w:r w:rsidRPr="000D24D3">
        <w:rPr>
          <w:rFonts w:cstheme="minorHAnsi"/>
        </w:rPr>
        <w:t>for</w:t>
      </w:r>
      <w:r w:rsidRPr="00025D14">
        <w:rPr>
          <w:rFonts w:cstheme="minorHAnsi"/>
        </w:rPr>
        <w:t xml:space="preserve"> the supply of </w:t>
      </w:r>
      <w:r w:rsidR="000D24D3" w:rsidRPr="000D24D3">
        <w:rPr>
          <w:rFonts w:cstheme="minorHAnsi"/>
        </w:rPr>
        <w:t>Clinical Cleaning and Hygiene Associated</w:t>
      </w:r>
      <w:r w:rsidR="000D24D3">
        <w:rPr>
          <w:rFonts w:cstheme="minorHAnsi"/>
        </w:rPr>
        <w:t xml:space="preserve"> products. </w:t>
      </w:r>
      <w:r w:rsidRPr="00025D14">
        <w:rPr>
          <w:rFonts w:cstheme="minorHAnsi"/>
          <w:lang w:eastAsia="en-GB"/>
        </w:rPr>
        <w:t xml:space="preserve">The scope of </w:t>
      </w:r>
      <w:r w:rsidRPr="000D24D3">
        <w:rPr>
          <w:rFonts w:cstheme="minorHAnsi"/>
          <w:lang w:eastAsia="en-GB"/>
        </w:rPr>
        <w:t>this framework agreement</w:t>
      </w:r>
      <w:r w:rsidRPr="00025D14">
        <w:rPr>
          <w:rFonts w:cstheme="minorHAnsi"/>
          <w:lang w:eastAsia="en-GB"/>
        </w:rPr>
        <w:t xml:space="preserve"> includes</w:t>
      </w:r>
      <w:r w:rsidR="000D24D3">
        <w:rPr>
          <w:rFonts w:cstheme="minorHAnsi"/>
          <w:lang w:eastAsia="en-GB"/>
        </w:rPr>
        <w:t xml:space="preserve"> 15 Lots outlined below: </w:t>
      </w:r>
      <w:r w:rsidRPr="00025D14">
        <w:rPr>
          <w:rFonts w:cstheme="minorHAnsi"/>
          <w:lang w:eastAsia="en-GB"/>
        </w:rPr>
        <w:t xml:space="preserve"> </w:t>
      </w:r>
    </w:p>
    <w:p w14:paraId="364D4EDD" w14:textId="77777777" w:rsidR="00986D1D" w:rsidRDefault="00986D1D" w:rsidP="008F1C53">
      <w:pPr>
        <w:pStyle w:val="ListParagraph"/>
        <w:numPr>
          <w:ilvl w:val="0"/>
          <w:numId w:val="26"/>
        </w:numPr>
        <w:spacing w:afterLines="200" w:after="480"/>
        <w:jc w:val="both"/>
        <w:rPr>
          <w:rFonts w:cstheme="minorHAnsi"/>
        </w:rPr>
      </w:pPr>
      <w:r>
        <w:rPr>
          <w:rFonts w:cstheme="minorHAnsi"/>
        </w:rPr>
        <w:t xml:space="preserve">Lot 1: </w:t>
      </w:r>
      <w:r w:rsidR="008F1C53" w:rsidRPr="008F1C53">
        <w:rPr>
          <w:rFonts w:cstheme="minorHAnsi"/>
        </w:rPr>
        <w:t>Bags, Sacks, Sack Holders and Ties. Lot one encompasses the supply of all disposable bags and sacks, sack holders and ties used within the hospital environment inclusive of delivery to the Beneficiary and/or HTE’s nominated logistics provider.</w:t>
      </w:r>
    </w:p>
    <w:p w14:paraId="4ED74582" w14:textId="77777777" w:rsidR="00986D1D" w:rsidRPr="00986D1D" w:rsidRDefault="00986D1D" w:rsidP="008F1C53">
      <w:pPr>
        <w:pStyle w:val="ListParagraph"/>
        <w:numPr>
          <w:ilvl w:val="0"/>
          <w:numId w:val="26"/>
        </w:numPr>
        <w:jc w:val="both"/>
        <w:rPr>
          <w:rFonts w:cstheme="minorHAnsi"/>
        </w:rPr>
      </w:pPr>
      <w:r w:rsidRPr="00986D1D">
        <w:rPr>
          <w:rFonts w:cstheme="minorHAnsi"/>
        </w:rPr>
        <w:lastRenderedPageBreak/>
        <w:t>Lot 2:</w:t>
      </w:r>
      <w:r w:rsidR="008F1C53" w:rsidRPr="008F1C53">
        <w:t xml:space="preserve"> </w:t>
      </w:r>
      <w:r w:rsidR="008F1C53" w:rsidRPr="008F1C53">
        <w:rPr>
          <w:rFonts w:cstheme="minorHAnsi"/>
        </w:rPr>
        <w:t>Aprons</w:t>
      </w:r>
      <w:r w:rsidR="008F1C53">
        <w:rPr>
          <w:rFonts w:cstheme="minorHAnsi"/>
        </w:rPr>
        <w:t>.</w:t>
      </w:r>
      <w:r w:rsidRPr="00986D1D">
        <w:rPr>
          <w:rFonts w:cstheme="minorHAnsi"/>
        </w:rPr>
        <w:t xml:space="preserve"> </w:t>
      </w:r>
      <w:r w:rsidR="008F1C53" w:rsidRPr="008F1C53">
        <w:rPr>
          <w:rFonts w:cstheme="minorHAnsi"/>
        </w:rPr>
        <w:t>Lot two encompasses the supply of all aprons used within the environment of a hospital, inclusive of delivery to the Beneficiary and/or HTE’s nominated logistics provider.</w:t>
      </w:r>
    </w:p>
    <w:p w14:paraId="3392622C" w14:textId="77777777" w:rsidR="008F1C53" w:rsidRDefault="00986D1D" w:rsidP="002C0C85">
      <w:pPr>
        <w:pStyle w:val="ListParagraph"/>
        <w:numPr>
          <w:ilvl w:val="0"/>
          <w:numId w:val="26"/>
        </w:numPr>
        <w:spacing w:afterLines="200" w:after="480"/>
        <w:jc w:val="both"/>
      </w:pPr>
      <w:r w:rsidRPr="002C0C85">
        <w:rPr>
          <w:rFonts w:cstheme="minorHAnsi"/>
        </w:rPr>
        <w:t>Lot 3: Paper Hygiene.</w:t>
      </w:r>
      <w:r w:rsidRPr="00986D1D">
        <w:t xml:space="preserve"> </w:t>
      </w:r>
      <w:r w:rsidR="008F1C53">
        <w:t>Lot three encompasses the supply of all paper hygiene products that are used within the environment of a hospital, such as:</w:t>
      </w:r>
    </w:p>
    <w:p w14:paraId="11CCF293" w14:textId="77777777" w:rsidR="008F1C53" w:rsidRDefault="008F1C53" w:rsidP="002C0C85">
      <w:pPr>
        <w:pStyle w:val="ListParagraph"/>
        <w:spacing w:afterLines="200" w:after="480"/>
        <w:ind w:left="1440"/>
        <w:jc w:val="both"/>
      </w:pPr>
      <w:r>
        <w:t>•</w:t>
      </w:r>
      <w:r>
        <w:tab/>
        <w:t xml:space="preserve">Hand towels  </w:t>
      </w:r>
    </w:p>
    <w:p w14:paraId="7E82BAE7" w14:textId="77777777" w:rsidR="008F1C53" w:rsidRDefault="008F1C53" w:rsidP="002C0C85">
      <w:pPr>
        <w:pStyle w:val="ListParagraph"/>
        <w:spacing w:afterLines="200" w:after="480"/>
        <w:ind w:left="1440"/>
        <w:jc w:val="both"/>
      </w:pPr>
      <w:r>
        <w:t>•</w:t>
      </w:r>
      <w:r>
        <w:tab/>
        <w:t xml:space="preserve">Toilet tissue   </w:t>
      </w:r>
    </w:p>
    <w:p w14:paraId="78493763" w14:textId="77777777" w:rsidR="008F1C53" w:rsidRDefault="008F1C53" w:rsidP="002C0C85">
      <w:pPr>
        <w:pStyle w:val="ListParagraph"/>
        <w:spacing w:afterLines="200" w:after="480"/>
        <w:ind w:left="1440"/>
        <w:jc w:val="both"/>
      </w:pPr>
      <w:r>
        <w:t>•</w:t>
      </w:r>
      <w:r>
        <w:tab/>
        <w:t xml:space="preserve">Face tissue    </w:t>
      </w:r>
    </w:p>
    <w:p w14:paraId="2BDEBA64" w14:textId="77777777" w:rsidR="008F1C53" w:rsidRDefault="008F1C53" w:rsidP="002C0C85">
      <w:pPr>
        <w:pStyle w:val="ListParagraph"/>
        <w:spacing w:afterLines="200" w:after="480"/>
        <w:ind w:left="1440"/>
        <w:jc w:val="both"/>
      </w:pPr>
      <w:r>
        <w:t>•</w:t>
      </w:r>
      <w:r>
        <w:tab/>
        <w:t xml:space="preserve">Couch roll    </w:t>
      </w:r>
    </w:p>
    <w:p w14:paraId="1AA157AF" w14:textId="77777777" w:rsidR="008F1C53" w:rsidRDefault="008F1C53" w:rsidP="002C0C85">
      <w:pPr>
        <w:pStyle w:val="ListParagraph"/>
        <w:spacing w:afterLines="200" w:after="480"/>
        <w:ind w:left="1440"/>
        <w:jc w:val="both"/>
      </w:pPr>
      <w:r>
        <w:t>•</w:t>
      </w:r>
      <w:r>
        <w:tab/>
        <w:t>Blue roll/white roll</w:t>
      </w:r>
    </w:p>
    <w:p w14:paraId="3AADA7BF" w14:textId="77777777" w:rsidR="008F1C53" w:rsidRDefault="008F1C53" w:rsidP="002C0C85">
      <w:pPr>
        <w:pStyle w:val="ListParagraph"/>
        <w:spacing w:afterLines="200" w:after="480"/>
        <w:ind w:left="1440"/>
        <w:jc w:val="both"/>
      </w:pPr>
      <w:r>
        <w:t>•</w:t>
      </w:r>
      <w:r>
        <w:tab/>
        <w:t xml:space="preserve">Tray liners </w:t>
      </w:r>
    </w:p>
    <w:p w14:paraId="330915B1" w14:textId="77777777" w:rsidR="008F1C53" w:rsidRDefault="008F1C53" w:rsidP="002C0C85">
      <w:pPr>
        <w:pStyle w:val="ListParagraph"/>
        <w:spacing w:afterLines="200" w:after="480"/>
        <w:ind w:left="1440"/>
        <w:jc w:val="both"/>
      </w:pPr>
      <w:r>
        <w:t>•</w:t>
      </w:r>
      <w:r>
        <w:tab/>
        <w:t>Dispensers</w:t>
      </w:r>
    </w:p>
    <w:p w14:paraId="7E91EFD4" w14:textId="7EE5021C" w:rsidR="008F1C53" w:rsidRPr="002C0C85" w:rsidRDefault="0060246E" w:rsidP="002C0C85">
      <w:pPr>
        <w:pStyle w:val="ListParagraph"/>
        <w:spacing w:afterLines="200" w:after="480"/>
        <w:ind w:left="1440"/>
        <w:jc w:val="both"/>
        <w:rPr>
          <w:rFonts w:cstheme="minorHAnsi"/>
        </w:rPr>
      </w:pPr>
      <w:r>
        <w:t>a</w:t>
      </w:r>
      <w:r w:rsidR="00E70EBC">
        <w:t>nd any other p</w:t>
      </w:r>
      <w:r w:rsidR="008F1C53">
        <w:t>roduct that can be described as Paper Hygiene, inclusive of delivery to the Beneficiary and/or HTE’s nominated logistics provider.</w:t>
      </w:r>
    </w:p>
    <w:p w14:paraId="3FAA91A0" w14:textId="77777777" w:rsidR="00986D1D" w:rsidRPr="002C0C85" w:rsidRDefault="00986D1D" w:rsidP="002C0C85">
      <w:pPr>
        <w:pStyle w:val="ListParagraph"/>
        <w:numPr>
          <w:ilvl w:val="0"/>
          <w:numId w:val="26"/>
        </w:numPr>
        <w:spacing w:afterLines="200" w:after="480"/>
        <w:jc w:val="both"/>
        <w:rPr>
          <w:rFonts w:cstheme="minorHAnsi"/>
        </w:rPr>
      </w:pPr>
      <w:r w:rsidRPr="002C0C85">
        <w:rPr>
          <w:rFonts w:cstheme="minorHAnsi"/>
        </w:rPr>
        <w:t xml:space="preserve">Lot </w:t>
      </w:r>
      <w:r w:rsidR="0011406E" w:rsidRPr="002C0C85">
        <w:rPr>
          <w:rFonts w:cstheme="minorHAnsi"/>
        </w:rPr>
        <w:t>4:</w:t>
      </w:r>
      <w:r w:rsidRPr="002C0C85">
        <w:rPr>
          <w:rFonts w:cstheme="minorHAnsi"/>
        </w:rPr>
        <w:t xml:space="preserve"> Hand </w:t>
      </w:r>
      <w:r w:rsidR="008F1C53">
        <w:rPr>
          <w:rFonts w:cstheme="minorHAnsi"/>
        </w:rPr>
        <w:t>W</w:t>
      </w:r>
      <w:r w:rsidRPr="002C0C85">
        <w:rPr>
          <w:rFonts w:cstheme="minorHAnsi"/>
        </w:rPr>
        <w:t xml:space="preserve">ash and </w:t>
      </w:r>
      <w:r w:rsidR="008F1C53">
        <w:rPr>
          <w:rFonts w:cstheme="minorHAnsi"/>
        </w:rPr>
        <w:t>S</w:t>
      </w:r>
      <w:r w:rsidRPr="002C0C85">
        <w:rPr>
          <w:rFonts w:cstheme="minorHAnsi"/>
        </w:rPr>
        <w:t xml:space="preserve">anitizer. </w:t>
      </w:r>
      <w:r w:rsidR="008F1C53" w:rsidRPr="008F1C53">
        <w:rPr>
          <w:rFonts w:cstheme="minorHAnsi"/>
        </w:rPr>
        <w:t>Lot four encompasses the supply of all hand wash and sanitizer used within the clinical environment of a hospital, inclusive of delivery to the Beneficiary and/or HTE’s nominated logistics provider.</w:t>
      </w:r>
    </w:p>
    <w:p w14:paraId="0DA17979" w14:textId="77777777" w:rsidR="008F1C53" w:rsidRDefault="00986D1D" w:rsidP="002C0C85">
      <w:pPr>
        <w:pStyle w:val="ListParagraph"/>
        <w:numPr>
          <w:ilvl w:val="0"/>
          <w:numId w:val="26"/>
        </w:numPr>
        <w:spacing w:afterLines="200" w:after="480"/>
        <w:jc w:val="both"/>
        <w:rPr>
          <w:rFonts w:cstheme="minorHAnsi"/>
        </w:rPr>
      </w:pPr>
      <w:r w:rsidRPr="002C0C85">
        <w:rPr>
          <w:rFonts w:cstheme="minorHAnsi"/>
        </w:rPr>
        <w:t xml:space="preserve">Lot 5: Wipes and Applicators. </w:t>
      </w:r>
      <w:r w:rsidR="008F1C53" w:rsidRPr="008F1C53">
        <w:rPr>
          <w:rFonts w:cstheme="minorHAnsi"/>
        </w:rPr>
        <w:t>Lot five encompasses the supply of all Wipes and Applicators used within the clinical environment of a hospital, inclusive of delivery to the Beneficiary and/or HTE’s nominated logistics provider.</w:t>
      </w:r>
    </w:p>
    <w:p w14:paraId="06BDE257" w14:textId="77777777" w:rsidR="00986D1D" w:rsidRPr="002C0C85" w:rsidRDefault="00986D1D" w:rsidP="002C0C85">
      <w:pPr>
        <w:pStyle w:val="ListParagraph"/>
        <w:numPr>
          <w:ilvl w:val="0"/>
          <w:numId w:val="26"/>
        </w:numPr>
        <w:spacing w:afterLines="200" w:after="480"/>
        <w:jc w:val="both"/>
        <w:rPr>
          <w:rFonts w:cstheme="minorHAnsi"/>
        </w:rPr>
      </w:pPr>
      <w:r w:rsidRPr="002C0C85">
        <w:rPr>
          <w:rFonts w:cstheme="minorHAnsi"/>
        </w:rPr>
        <w:t xml:space="preserve">Lot 6: Cleaning Cloths. </w:t>
      </w:r>
      <w:r w:rsidR="00137A2A" w:rsidRPr="00137A2A">
        <w:rPr>
          <w:rFonts w:cstheme="minorHAnsi"/>
        </w:rPr>
        <w:t>Lot six encompasses the supply of all cleaning cloths used within the environment of a hospital, inclusive of delivery to the Beneficiary and/or HTE’s nominated logistics provider.</w:t>
      </w:r>
    </w:p>
    <w:p w14:paraId="3DA0CCBE" w14:textId="77777777" w:rsidR="00137A2A" w:rsidRDefault="00986D1D" w:rsidP="002C0C85">
      <w:pPr>
        <w:pStyle w:val="ListParagraph"/>
        <w:numPr>
          <w:ilvl w:val="0"/>
          <w:numId w:val="26"/>
        </w:numPr>
        <w:spacing w:afterLines="200" w:after="480"/>
        <w:jc w:val="both"/>
        <w:rPr>
          <w:rFonts w:cstheme="minorHAnsi"/>
        </w:rPr>
      </w:pPr>
      <w:r w:rsidRPr="002C0C85">
        <w:rPr>
          <w:rFonts w:cstheme="minorHAnsi"/>
        </w:rPr>
        <w:t xml:space="preserve">Lot 7: Instrument disinfectants and detergents. </w:t>
      </w:r>
      <w:r w:rsidR="00137A2A" w:rsidRPr="00137A2A">
        <w:rPr>
          <w:rFonts w:cstheme="minorHAnsi"/>
        </w:rPr>
        <w:t>Lot seven encompasses the supply of all instrument disinfectants and detergents used within the clinical environment of a hospital, inclusive of delivery to the Beneficiary and/or HTE’s nominated logistics provider.</w:t>
      </w:r>
    </w:p>
    <w:p w14:paraId="5CDB6425" w14:textId="77777777" w:rsidR="00986D1D" w:rsidRPr="002C0C85" w:rsidRDefault="00986D1D" w:rsidP="002C0C85">
      <w:pPr>
        <w:pStyle w:val="ListParagraph"/>
        <w:numPr>
          <w:ilvl w:val="0"/>
          <w:numId w:val="26"/>
        </w:numPr>
        <w:spacing w:afterLines="200" w:after="480"/>
        <w:jc w:val="both"/>
        <w:rPr>
          <w:rFonts w:cstheme="minorHAnsi"/>
        </w:rPr>
      </w:pPr>
      <w:r w:rsidRPr="002C0C85">
        <w:rPr>
          <w:rFonts w:cstheme="minorHAnsi"/>
        </w:rPr>
        <w:t>Lot 8: Cleaning chemicals including hard surface cleaning, disinfection and detergents.</w:t>
      </w:r>
      <w:r w:rsidRPr="00986D1D">
        <w:t xml:space="preserve"> </w:t>
      </w:r>
      <w:r w:rsidR="00137A2A" w:rsidRPr="00137A2A">
        <w:t>Lot eight encompasses the supply of all cleaning chemicals including hard surface cleaning, disinfection and detergents used within the environment of a hospital, inclusive of delivery to the Beneficiary and/or HTE’s nominated logistics provider.</w:t>
      </w:r>
    </w:p>
    <w:p w14:paraId="679DD873" w14:textId="77777777" w:rsidR="00986D1D" w:rsidRDefault="00986D1D" w:rsidP="00137A2A">
      <w:pPr>
        <w:pStyle w:val="ListParagraph"/>
        <w:numPr>
          <w:ilvl w:val="0"/>
          <w:numId w:val="26"/>
        </w:numPr>
        <w:jc w:val="both"/>
        <w:rPr>
          <w:rFonts w:cstheme="minorHAnsi"/>
        </w:rPr>
      </w:pPr>
      <w:r w:rsidRPr="002A4BAD">
        <w:rPr>
          <w:rFonts w:cstheme="minorHAnsi"/>
        </w:rPr>
        <w:t>Lot 9:</w:t>
      </w:r>
      <w:r w:rsidR="00137A2A" w:rsidRPr="00137A2A">
        <w:t xml:space="preserve"> </w:t>
      </w:r>
      <w:r w:rsidR="00137A2A" w:rsidRPr="00137A2A">
        <w:rPr>
          <w:rFonts w:cstheme="minorHAnsi"/>
        </w:rPr>
        <w:t xml:space="preserve">Advanced Infection Control Solutions for Use with the Patient or </w:t>
      </w:r>
      <w:r w:rsidR="002C0C85" w:rsidRPr="00137A2A">
        <w:rPr>
          <w:rFonts w:cstheme="minorHAnsi"/>
        </w:rPr>
        <w:t>Clinician</w:t>
      </w:r>
      <w:r w:rsidR="002C0C85">
        <w:rPr>
          <w:rFonts w:cstheme="minorHAnsi"/>
        </w:rPr>
        <w:t xml:space="preserve">. </w:t>
      </w:r>
      <w:r w:rsidRPr="002A4BAD">
        <w:rPr>
          <w:rFonts w:cstheme="minorHAnsi"/>
        </w:rPr>
        <w:t>Suppliers should provide various types of Advance Infection Control solutions inclusive of delivery to The Beneficiary and</w:t>
      </w:r>
      <w:r w:rsidR="0011406E" w:rsidRPr="002A4BAD">
        <w:rPr>
          <w:rFonts w:cstheme="minorHAnsi"/>
        </w:rPr>
        <w:t>/</w:t>
      </w:r>
      <w:r w:rsidRPr="002A4BAD">
        <w:rPr>
          <w:rFonts w:cstheme="minorHAnsi"/>
        </w:rPr>
        <w:t xml:space="preserve">or HTE’s </w:t>
      </w:r>
      <w:r w:rsidR="002A4BAD">
        <w:rPr>
          <w:rFonts w:cstheme="minorHAnsi"/>
        </w:rPr>
        <w:t>nominated logistics provider</w:t>
      </w:r>
      <w:r w:rsidRPr="002A4BAD">
        <w:rPr>
          <w:rFonts w:cstheme="minorHAnsi"/>
        </w:rPr>
        <w:t xml:space="preserve">. </w:t>
      </w:r>
    </w:p>
    <w:p w14:paraId="2D859B08" w14:textId="77777777" w:rsidR="00137A2A" w:rsidRPr="002C0C85" w:rsidRDefault="0059428C" w:rsidP="002C0C85">
      <w:pPr>
        <w:pStyle w:val="ListParagraph"/>
        <w:numPr>
          <w:ilvl w:val="0"/>
          <w:numId w:val="26"/>
        </w:numPr>
        <w:jc w:val="both"/>
        <w:rPr>
          <w:rFonts w:cstheme="minorHAnsi"/>
        </w:rPr>
      </w:pPr>
      <w:r w:rsidRPr="0059428C">
        <w:rPr>
          <w:rFonts w:cstheme="minorHAnsi"/>
        </w:rPr>
        <w:t xml:space="preserve">Lot 10: </w:t>
      </w:r>
      <w:r w:rsidR="00137A2A" w:rsidRPr="00137A2A">
        <w:rPr>
          <w:rFonts w:cstheme="minorHAnsi"/>
        </w:rPr>
        <w:t>Advanced Infection Control Solutions for the Clinical Environment</w:t>
      </w:r>
      <w:r w:rsidR="00137A2A">
        <w:rPr>
          <w:rFonts w:cstheme="minorHAnsi"/>
        </w:rPr>
        <w:t xml:space="preserve">. </w:t>
      </w:r>
      <w:r w:rsidR="00137A2A" w:rsidRPr="00137A2A">
        <w:rPr>
          <w:rFonts w:cstheme="minorHAnsi"/>
        </w:rPr>
        <w:t>Lot ten encompasses the supply of all advanced infection control solutions used within the clinical environment of a hospital.</w:t>
      </w:r>
      <w:r w:rsidR="00137A2A">
        <w:rPr>
          <w:rFonts w:cstheme="minorHAnsi"/>
        </w:rPr>
        <w:t xml:space="preserve"> </w:t>
      </w:r>
      <w:r w:rsidR="00137A2A" w:rsidRPr="00137A2A">
        <w:rPr>
          <w:rFonts w:cstheme="minorHAnsi"/>
        </w:rPr>
        <w:t xml:space="preserve">Product types  categorised as: </w:t>
      </w:r>
    </w:p>
    <w:p w14:paraId="799940EB" w14:textId="77777777" w:rsidR="00137A2A" w:rsidRPr="00137A2A" w:rsidRDefault="00137A2A" w:rsidP="002C0C85">
      <w:pPr>
        <w:pStyle w:val="ListParagraph"/>
        <w:ind w:left="1440"/>
        <w:jc w:val="both"/>
        <w:rPr>
          <w:rFonts w:cstheme="minorHAnsi"/>
        </w:rPr>
      </w:pPr>
      <w:r w:rsidRPr="00137A2A">
        <w:rPr>
          <w:rFonts w:cstheme="minorHAnsi"/>
        </w:rPr>
        <w:t>•</w:t>
      </w:r>
      <w:r w:rsidRPr="00137A2A">
        <w:rPr>
          <w:rFonts w:cstheme="minorHAnsi"/>
        </w:rPr>
        <w:tab/>
        <w:t>UV clinical disinfection systems for air and surface sterilization</w:t>
      </w:r>
    </w:p>
    <w:p w14:paraId="075C6E5C" w14:textId="77777777" w:rsidR="00137A2A" w:rsidRDefault="00137A2A" w:rsidP="002C0C85">
      <w:pPr>
        <w:pStyle w:val="ListParagraph"/>
        <w:ind w:left="1440"/>
        <w:jc w:val="both"/>
        <w:rPr>
          <w:rFonts w:cstheme="minorHAnsi"/>
        </w:rPr>
      </w:pPr>
      <w:r w:rsidRPr="00137A2A">
        <w:rPr>
          <w:rFonts w:cstheme="minorHAnsi"/>
        </w:rPr>
        <w:t>•</w:t>
      </w:r>
      <w:r w:rsidRPr="00137A2A">
        <w:rPr>
          <w:rFonts w:cstheme="minorHAnsi"/>
        </w:rPr>
        <w:tab/>
      </w:r>
      <w:r>
        <w:rPr>
          <w:rFonts w:cstheme="minorHAnsi"/>
        </w:rPr>
        <w:t xml:space="preserve">Hydroproxid room cleaning </w:t>
      </w:r>
      <w:r w:rsidRPr="00137A2A">
        <w:rPr>
          <w:rFonts w:cstheme="minorHAnsi"/>
        </w:rPr>
        <w:t xml:space="preserve">machine/gas </w:t>
      </w:r>
    </w:p>
    <w:p w14:paraId="000283FC" w14:textId="30FEF5DD" w:rsidR="0059428C" w:rsidRPr="002C0C85" w:rsidRDefault="0060246E" w:rsidP="002C0C85">
      <w:pPr>
        <w:pStyle w:val="ListParagraph"/>
        <w:ind w:left="1440"/>
        <w:jc w:val="both"/>
        <w:rPr>
          <w:rFonts w:cstheme="minorHAnsi"/>
        </w:rPr>
      </w:pPr>
      <w:r>
        <w:rPr>
          <w:rFonts w:cstheme="minorHAnsi"/>
        </w:rPr>
        <w:t>a</w:t>
      </w:r>
      <w:r w:rsidR="00E70EBC">
        <w:rPr>
          <w:rFonts w:cstheme="minorHAnsi"/>
        </w:rPr>
        <w:t xml:space="preserve">nd any other </w:t>
      </w:r>
      <w:r w:rsidR="00137A2A" w:rsidRPr="002C0C85">
        <w:rPr>
          <w:rFonts w:cstheme="minorHAnsi"/>
        </w:rPr>
        <w:t>product that can be described as an advanced infection control solutions for within the hospital clinical environment, inclusive of delivery to the Beneficiary and/or HTE’s nominated logistics provider.</w:t>
      </w:r>
    </w:p>
    <w:p w14:paraId="7B8E15BD" w14:textId="77777777" w:rsidR="00137A2A" w:rsidRPr="002C0C85" w:rsidRDefault="00986D1D" w:rsidP="002C0C85">
      <w:pPr>
        <w:pStyle w:val="ListParagraph"/>
        <w:numPr>
          <w:ilvl w:val="0"/>
          <w:numId w:val="26"/>
        </w:numPr>
        <w:jc w:val="both"/>
        <w:rPr>
          <w:rFonts w:cstheme="minorHAnsi"/>
        </w:rPr>
      </w:pPr>
      <w:r w:rsidRPr="002C0C85">
        <w:rPr>
          <w:rFonts w:cstheme="minorHAnsi"/>
        </w:rPr>
        <w:lastRenderedPageBreak/>
        <w:t>Lot 11: Patient Requisites</w:t>
      </w:r>
      <w:r w:rsidR="00030E5F" w:rsidRPr="002C0C85">
        <w:rPr>
          <w:rFonts w:cstheme="minorHAnsi"/>
        </w:rPr>
        <w:t xml:space="preserve">. </w:t>
      </w:r>
      <w:r w:rsidR="00137A2A" w:rsidRPr="00137A2A">
        <w:rPr>
          <w:rFonts w:cstheme="minorHAnsi"/>
        </w:rPr>
        <w:t xml:space="preserve">Lot eleven encompasses the supply of all patient requisites used within the environment of a hospital. Products types categorised as: </w:t>
      </w:r>
    </w:p>
    <w:p w14:paraId="14E4E089" w14:textId="77777777" w:rsidR="00137A2A" w:rsidRPr="00137A2A" w:rsidRDefault="00137A2A" w:rsidP="002C0C85">
      <w:pPr>
        <w:pStyle w:val="ListParagraph"/>
        <w:ind w:left="1440"/>
        <w:jc w:val="both"/>
        <w:rPr>
          <w:rFonts w:cstheme="minorHAnsi"/>
        </w:rPr>
      </w:pPr>
      <w:r w:rsidRPr="00137A2A">
        <w:rPr>
          <w:rFonts w:cstheme="minorHAnsi"/>
        </w:rPr>
        <w:t>•</w:t>
      </w:r>
      <w:r w:rsidRPr="00137A2A">
        <w:rPr>
          <w:rFonts w:cstheme="minorHAnsi"/>
        </w:rPr>
        <w:tab/>
        <w:t xml:space="preserve">Patient pack male </w:t>
      </w:r>
    </w:p>
    <w:p w14:paraId="2B86A630" w14:textId="77777777" w:rsidR="00137A2A" w:rsidRPr="00137A2A" w:rsidRDefault="00137A2A" w:rsidP="002C0C85">
      <w:pPr>
        <w:pStyle w:val="ListParagraph"/>
        <w:ind w:left="1440"/>
        <w:jc w:val="both"/>
        <w:rPr>
          <w:rFonts w:cstheme="minorHAnsi"/>
        </w:rPr>
      </w:pPr>
      <w:r w:rsidRPr="00137A2A">
        <w:rPr>
          <w:rFonts w:cstheme="minorHAnsi"/>
        </w:rPr>
        <w:t>•</w:t>
      </w:r>
      <w:r w:rsidRPr="00137A2A">
        <w:rPr>
          <w:rFonts w:cstheme="minorHAnsi"/>
        </w:rPr>
        <w:tab/>
        <w:t>Patient pack female</w:t>
      </w:r>
    </w:p>
    <w:p w14:paraId="67A23EAD" w14:textId="77777777" w:rsidR="00137A2A" w:rsidRPr="00137A2A" w:rsidRDefault="00137A2A" w:rsidP="002C0C85">
      <w:pPr>
        <w:pStyle w:val="ListParagraph"/>
        <w:ind w:left="1440"/>
        <w:jc w:val="both"/>
        <w:rPr>
          <w:rFonts w:cstheme="minorHAnsi"/>
        </w:rPr>
      </w:pPr>
      <w:r w:rsidRPr="00137A2A">
        <w:rPr>
          <w:rFonts w:cstheme="minorHAnsi"/>
        </w:rPr>
        <w:t>•</w:t>
      </w:r>
      <w:r w:rsidRPr="00137A2A">
        <w:rPr>
          <w:rFonts w:cstheme="minorHAnsi"/>
        </w:rPr>
        <w:tab/>
        <w:t xml:space="preserve">Patient pack child </w:t>
      </w:r>
    </w:p>
    <w:p w14:paraId="564B5860" w14:textId="77777777" w:rsidR="00137A2A" w:rsidRPr="00137A2A" w:rsidRDefault="00137A2A" w:rsidP="002C0C85">
      <w:pPr>
        <w:pStyle w:val="ListParagraph"/>
        <w:ind w:left="1440"/>
        <w:jc w:val="both"/>
        <w:rPr>
          <w:rFonts w:cstheme="minorHAnsi"/>
        </w:rPr>
      </w:pPr>
      <w:r w:rsidRPr="00137A2A">
        <w:rPr>
          <w:rFonts w:cstheme="minorHAnsi"/>
        </w:rPr>
        <w:t>•</w:t>
      </w:r>
      <w:r w:rsidRPr="00137A2A">
        <w:rPr>
          <w:rFonts w:cstheme="minorHAnsi"/>
        </w:rPr>
        <w:tab/>
        <w:t xml:space="preserve">Shampoo </w:t>
      </w:r>
    </w:p>
    <w:p w14:paraId="238A3970" w14:textId="77777777" w:rsidR="00137A2A" w:rsidRPr="00137A2A" w:rsidRDefault="00137A2A" w:rsidP="002C0C85">
      <w:pPr>
        <w:pStyle w:val="ListParagraph"/>
        <w:ind w:left="1440"/>
        <w:jc w:val="both"/>
        <w:rPr>
          <w:rFonts w:cstheme="minorHAnsi"/>
        </w:rPr>
      </w:pPr>
      <w:r w:rsidRPr="00137A2A">
        <w:rPr>
          <w:rFonts w:cstheme="minorHAnsi"/>
        </w:rPr>
        <w:t>•</w:t>
      </w:r>
      <w:r w:rsidRPr="00137A2A">
        <w:rPr>
          <w:rFonts w:cstheme="minorHAnsi"/>
        </w:rPr>
        <w:tab/>
        <w:t>Baby shampoo</w:t>
      </w:r>
    </w:p>
    <w:p w14:paraId="08CA3A02" w14:textId="77777777" w:rsidR="00137A2A" w:rsidRPr="00137A2A" w:rsidRDefault="00137A2A" w:rsidP="002C0C85">
      <w:pPr>
        <w:pStyle w:val="ListParagraph"/>
        <w:ind w:left="1440"/>
        <w:jc w:val="both"/>
        <w:rPr>
          <w:rFonts w:cstheme="minorHAnsi"/>
        </w:rPr>
      </w:pPr>
      <w:r w:rsidRPr="00137A2A">
        <w:rPr>
          <w:rFonts w:cstheme="minorHAnsi"/>
        </w:rPr>
        <w:t>•</w:t>
      </w:r>
      <w:r w:rsidRPr="00137A2A">
        <w:rPr>
          <w:rFonts w:cstheme="minorHAnsi"/>
        </w:rPr>
        <w:tab/>
        <w:t xml:space="preserve">Baby bathing </w:t>
      </w:r>
    </w:p>
    <w:p w14:paraId="51201AAB" w14:textId="77777777" w:rsidR="00137A2A" w:rsidRPr="00137A2A" w:rsidRDefault="00137A2A" w:rsidP="002C0C85">
      <w:pPr>
        <w:pStyle w:val="ListParagraph"/>
        <w:ind w:left="1440"/>
        <w:jc w:val="both"/>
        <w:rPr>
          <w:rFonts w:cstheme="minorHAnsi"/>
        </w:rPr>
      </w:pPr>
      <w:r w:rsidRPr="00137A2A">
        <w:rPr>
          <w:rFonts w:cstheme="minorHAnsi"/>
        </w:rPr>
        <w:t>•</w:t>
      </w:r>
      <w:r w:rsidRPr="00137A2A">
        <w:rPr>
          <w:rFonts w:cstheme="minorHAnsi"/>
        </w:rPr>
        <w:tab/>
        <w:t>Shower gel</w:t>
      </w:r>
    </w:p>
    <w:p w14:paraId="57ABF7F3" w14:textId="77777777" w:rsidR="00137A2A" w:rsidRPr="00137A2A" w:rsidRDefault="00137A2A" w:rsidP="002C0C85">
      <w:pPr>
        <w:pStyle w:val="ListParagraph"/>
        <w:ind w:left="1440"/>
        <w:jc w:val="both"/>
        <w:rPr>
          <w:rFonts w:cstheme="minorHAnsi"/>
        </w:rPr>
      </w:pPr>
      <w:r w:rsidRPr="00137A2A">
        <w:rPr>
          <w:rFonts w:cstheme="minorHAnsi"/>
        </w:rPr>
        <w:t>•</w:t>
      </w:r>
      <w:r w:rsidRPr="00137A2A">
        <w:rPr>
          <w:rFonts w:cstheme="minorHAnsi"/>
        </w:rPr>
        <w:tab/>
        <w:t xml:space="preserve">Razor disposable </w:t>
      </w:r>
    </w:p>
    <w:p w14:paraId="7B53F958" w14:textId="77777777" w:rsidR="00137A2A" w:rsidRPr="00137A2A" w:rsidRDefault="00137A2A" w:rsidP="002C0C85">
      <w:pPr>
        <w:pStyle w:val="ListParagraph"/>
        <w:ind w:left="1440"/>
        <w:jc w:val="both"/>
        <w:rPr>
          <w:rFonts w:cstheme="minorHAnsi"/>
        </w:rPr>
      </w:pPr>
      <w:r w:rsidRPr="00137A2A">
        <w:rPr>
          <w:rFonts w:cstheme="minorHAnsi"/>
        </w:rPr>
        <w:t>•</w:t>
      </w:r>
      <w:r w:rsidRPr="00137A2A">
        <w:rPr>
          <w:rFonts w:cstheme="minorHAnsi"/>
        </w:rPr>
        <w:tab/>
        <w:t xml:space="preserve">Shaving cream </w:t>
      </w:r>
    </w:p>
    <w:p w14:paraId="5F919D87" w14:textId="77777777" w:rsidR="00137A2A" w:rsidRPr="00137A2A" w:rsidRDefault="00137A2A" w:rsidP="002C0C85">
      <w:pPr>
        <w:pStyle w:val="ListParagraph"/>
        <w:ind w:left="1440"/>
        <w:jc w:val="both"/>
        <w:rPr>
          <w:rFonts w:cstheme="minorHAnsi"/>
        </w:rPr>
      </w:pPr>
      <w:r w:rsidRPr="00137A2A">
        <w:rPr>
          <w:rFonts w:cstheme="minorHAnsi"/>
        </w:rPr>
        <w:t>•</w:t>
      </w:r>
      <w:r w:rsidRPr="00137A2A">
        <w:rPr>
          <w:rFonts w:cstheme="minorHAnsi"/>
        </w:rPr>
        <w:tab/>
        <w:t>Shaving pack</w:t>
      </w:r>
    </w:p>
    <w:p w14:paraId="705527EB" w14:textId="77777777" w:rsidR="00137A2A" w:rsidRPr="00137A2A" w:rsidRDefault="00137A2A" w:rsidP="002C0C85">
      <w:pPr>
        <w:pStyle w:val="ListParagraph"/>
        <w:ind w:left="1440"/>
        <w:jc w:val="both"/>
        <w:rPr>
          <w:rFonts w:cstheme="minorHAnsi"/>
        </w:rPr>
      </w:pPr>
      <w:r w:rsidRPr="00137A2A">
        <w:rPr>
          <w:rFonts w:cstheme="minorHAnsi"/>
        </w:rPr>
        <w:t>•</w:t>
      </w:r>
      <w:r w:rsidRPr="00137A2A">
        <w:rPr>
          <w:rFonts w:cstheme="minorHAnsi"/>
        </w:rPr>
        <w:tab/>
        <w:t xml:space="preserve">Denture container disposable </w:t>
      </w:r>
    </w:p>
    <w:p w14:paraId="0DE96772" w14:textId="77777777" w:rsidR="00137A2A" w:rsidRPr="00137A2A" w:rsidRDefault="00137A2A" w:rsidP="002C0C85">
      <w:pPr>
        <w:pStyle w:val="ListParagraph"/>
        <w:ind w:left="1440"/>
        <w:jc w:val="both"/>
        <w:rPr>
          <w:rFonts w:cstheme="minorHAnsi"/>
        </w:rPr>
      </w:pPr>
      <w:r w:rsidRPr="00137A2A">
        <w:rPr>
          <w:rFonts w:cstheme="minorHAnsi"/>
        </w:rPr>
        <w:t>•</w:t>
      </w:r>
      <w:r w:rsidRPr="00137A2A">
        <w:rPr>
          <w:rFonts w:cstheme="minorHAnsi"/>
        </w:rPr>
        <w:tab/>
        <w:t xml:space="preserve">Toothpaste </w:t>
      </w:r>
    </w:p>
    <w:p w14:paraId="4E324AAB" w14:textId="77777777" w:rsidR="00137A2A" w:rsidRPr="00137A2A" w:rsidRDefault="00137A2A" w:rsidP="002C0C85">
      <w:pPr>
        <w:pStyle w:val="ListParagraph"/>
        <w:ind w:left="1440"/>
        <w:jc w:val="both"/>
        <w:rPr>
          <w:rFonts w:cstheme="minorHAnsi"/>
        </w:rPr>
      </w:pPr>
      <w:r w:rsidRPr="00137A2A">
        <w:rPr>
          <w:rFonts w:cstheme="minorHAnsi"/>
        </w:rPr>
        <w:t>•</w:t>
      </w:r>
      <w:r w:rsidRPr="00137A2A">
        <w:rPr>
          <w:rFonts w:cstheme="minorHAnsi"/>
        </w:rPr>
        <w:tab/>
        <w:t>Toothbrush</w:t>
      </w:r>
    </w:p>
    <w:p w14:paraId="7A675C2F" w14:textId="77777777" w:rsidR="00137A2A" w:rsidRPr="00137A2A" w:rsidRDefault="00137A2A" w:rsidP="002C0C85">
      <w:pPr>
        <w:pStyle w:val="ListParagraph"/>
        <w:ind w:left="1440"/>
        <w:jc w:val="both"/>
        <w:rPr>
          <w:rFonts w:cstheme="minorHAnsi"/>
        </w:rPr>
      </w:pPr>
      <w:r w:rsidRPr="00137A2A">
        <w:rPr>
          <w:rFonts w:cstheme="minorHAnsi"/>
        </w:rPr>
        <w:t>•</w:t>
      </w:r>
      <w:r w:rsidRPr="00137A2A">
        <w:rPr>
          <w:rFonts w:cstheme="minorHAnsi"/>
        </w:rPr>
        <w:tab/>
        <w:t>Ear plugs</w:t>
      </w:r>
    </w:p>
    <w:p w14:paraId="6A485DA6" w14:textId="77777777" w:rsidR="002C0C85" w:rsidRDefault="00137A2A" w:rsidP="002C0C85">
      <w:pPr>
        <w:pStyle w:val="ListParagraph"/>
        <w:ind w:left="1440"/>
        <w:jc w:val="both"/>
        <w:rPr>
          <w:rFonts w:cstheme="minorHAnsi"/>
        </w:rPr>
      </w:pPr>
      <w:r w:rsidRPr="00137A2A">
        <w:rPr>
          <w:rFonts w:cstheme="minorHAnsi"/>
        </w:rPr>
        <w:t>•</w:t>
      </w:r>
      <w:r w:rsidRPr="00137A2A">
        <w:rPr>
          <w:rFonts w:cstheme="minorHAnsi"/>
        </w:rPr>
        <w:tab/>
        <w:t>Comb</w:t>
      </w:r>
    </w:p>
    <w:p w14:paraId="753D9CC4" w14:textId="4790A13E" w:rsidR="00137A2A" w:rsidRPr="002C0C85" w:rsidRDefault="0060246E" w:rsidP="002C0C85">
      <w:pPr>
        <w:pStyle w:val="ListParagraph"/>
        <w:ind w:left="1440"/>
        <w:jc w:val="both"/>
        <w:rPr>
          <w:rFonts w:cstheme="minorHAnsi"/>
        </w:rPr>
      </w:pPr>
      <w:r>
        <w:rPr>
          <w:rFonts w:cstheme="minorHAnsi"/>
        </w:rPr>
        <w:t>a</w:t>
      </w:r>
      <w:r w:rsidR="00E70EBC">
        <w:rPr>
          <w:rFonts w:cstheme="minorHAnsi"/>
        </w:rPr>
        <w:t xml:space="preserve">nd any other </w:t>
      </w:r>
      <w:r w:rsidR="00137A2A" w:rsidRPr="002C0C85">
        <w:rPr>
          <w:rFonts w:cstheme="minorHAnsi"/>
        </w:rPr>
        <w:t>product that can be described as a patient requisite, inclusive of delivery to the Beneficiary and/or HTE’s nominated logistics provider.</w:t>
      </w:r>
    </w:p>
    <w:p w14:paraId="57B407E2" w14:textId="77777777" w:rsidR="002C0C85" w:rsidRPr="002C0C85" w:rsidRDefault="00986D1D" w:rsidP="002C0C85">
      <w:pPr>
        <w:pStyle w:val="ListParagraph"/>
        <w:numPr>
          <w:ilvl w:val="0"/>
          <w:numId w:val="26"/>
        </w:numPr>
        <w:jc w:val="both"/>
        <w:rPr>
          <w:rFonts w:cstheme="minorHAnsi"/>
        </w:rPr>
      </w:pPr>
      <w:r w:rsidRPr="002C0C85">
        <w:rPr>
          <w:rFonts w:cstheme="minorHAnsi"/>
        </w:rPr>
        <w:t xml:space="preserve">Lot </w:t>
      </w:r>
      <w:r w:rsidR="0011406E" w:rsidRPr="002C0C85">
        <w:rPr>
          <w:rFonts w:cstheme="minorHAnsi"/>
        </w:rPr>
        <w:t>12: Washroom</w:t>
      </w:r>
      <w:r w:rsidRPr="002C0C85">
        <w:rPr>
          <w:rFonts w:cstheme="minorHAnsi"/>
        </w:rPr>
        <w:t xml:space="preserve"> and Hou</w:t>
      </w:r>
      <w:r w:rsidR="00030E5F" w:rsidRPr="002C0C85">
        <w:rPr>
          <w:rFonts w:cstheme="minorHAnsi"/>
        </w:rPr>
        <w:t>sekeeping products</w:t>
      </w:r>
      <w:r w:rsidR="002C0C85">
        <w:rPr>
          <w:rFonts w:cstheme="minorHAnsi"/>
        </w:rPr>
        <w:t xml:space="preserve">. </w:t>
      </w:r>
      <w:r w:rsidR="00030E5F" w:rsidRPr="002C0C85">
        <w:rPr>
          <w:rFonts w:cstheme="minorHAnsi"/>
        </w:rPr>
        <w:t xml:space="preserve"> </w:t>
      </w:r>
      <w:r w:rsidR="002C0C85" w:rsidRPr="002C0C85">
        <w:rPr>
          <w:rFonts w:cstheme="minorHAnsi"/>
        </w:rPr>
        <w:t xml:space="preserve">Lot twelve encompasses the supply of all washroom and housekeeping products used within the environment of a hospital. Product types categorised as: </w:t>
      </w:r>
    </w:p>
    <w:p w14:paraId="309F4C88" w14:textId="77777777" w:rsidR="002C0C85" w:rsidRPr="002C0C85" w:rsidRDefault="002C0C85" w:rsidP="002C0C85">
      <w:pPr>
        <w:pStyle w:val="ListParagraph"/>
        <w:ind w:left="1440"/>
        <w:jc w:val="both"/>
        <w:rPr>
          <w:rFonts w:cstheme="minorHAnsi"/>
        </w:rPr>
      </w:pPr>
      <w:r w:rsidRPr="002C0C85">
        <w:rPr>
          <w:rFonts w:cstheme="minorHAnsi"/>
        </w:rPr>
        <w:t>•</w:t>
      </w:r>
      <w:r w:rsidRPr="002C0C85">
        <w:rPr>
          <w:rFonts w:cstheme="minorHAnsi"/>
        </w:rPr>
        <w:tab/>
        <w:t xml:space="preserve">Toilet cleaner </w:t>
      </w:r>
    </w:p>
    <w:p w14:paraId="6A47D8AB" w14:textId="77777777" w:rsidR="002C0C85" w:rsidRPr="002C0C85" w:rsidRDefault="002C0C85" w:rsidP="002C0C85">
      <w:pPr>
        <w:pStyle w:val="ListParagraph"/>
        <w:ind w:left="1440"/>
        <w:jc w:val="both"/>
        <w:rPr>
          <w:rFonts w:cstheme="minorHAnsi"/>
        </w:rPr>
      </w:pPr>
      <w:r w:rsidRPr="002C0C85">
        <w:rPr>
          <w:rFonts w:cstheme="minorHAnsi"/>
        </w:rPr>
        <w:t>•</w:t>
      </w:r>
      <w:r w:rsidRPr="002C0C85">
        <w:rPr>
          <w:rFonts w:cstheme="minorHAnsi"/>
        </w:rPr>
        <w:tab/>
        <w:t xml:space="preserve">Cream Cleanser Hospec </w:t>
      </w:r>
    </w:p>
    <w:p w14:paraId="614FFB1A" w14:textId="77777777" w:rsidR="002C0C85" w:rsidRPr="002C0C85" w:rsidRDefault="002C0C85" w:rsidP="002C0C85">
      <w:pPr>
        <w:pStyle w:val="ListParagraph"/>
        <w:ind w:left="1440"/>
        <w:jc w:val="both"/>
        <w:rPr>
          <w:rFonts w:cstheme="minorHAnsi"/>
        </w:rPr>
      </w:pPr>
      <w:r w:rsidRPr="002C0C85">
        <w:rPr>
          <w:rFonts w:cstheme="minorHAnsi"/>
        </w:rPr>
        <w:t>•</w:t>
      </w:r>
      <w:r w:rsidRPr="002C0C85">
        <w:rPr>
          <w:rFonts w:cstheme="minorHAnsi"/>
        </w:rPr>
        <w:tab/>
        <w:t xml:space="preserve">Air freshener </w:t>
      </w:r>
    </w:p>
    <w:p w14:paraId="5460EC43" w14:textId="77777777" w:rsidR="002C0C85" w:rsidRPr="002C0C85" w:rsidRDefault="002C0C85" w:rsidP="002C0C85">
      <w:pPr>
        <w:pStyle w:val="ListParagraph"/>
        <w:ind w:left="1440"/>
        <w:jc w:val="both"/>
        <w:rPr>
          <w:rFonts w:cstheme="minorHAnsi"/>
        </w:rPr>
      </w:pPr>
      <w:r w:rsidRPr="002C0C85">
        <w:rPr>
          <w:rFonts w:cstheme="minorHAnsi"/>
        </w:rPr>
        <w:t>•</w:t>
      </w:r>
      <w:r w:rsidRPr="002C0C85">
        <w:rPr>
          <w:rFonts w:cstheme="minorHAnsi"/>
        </w:rPr>
        <w:tab/>
        <w:t xml:space="preserve">Odour neutralizer </w:t>
      </w:r>
    </w:p>
    <w:p w14:paraId="25549BAF" w14:textId="77777777" w:rsidR="002C0C85" w:rsidRPr="002C0C85" w:rsidRDefault="002C0C85" w:rsidP="002C0C85">
      <w:pPr>
        <w:pStyle w:val="ListParagraph"/>
        <w:ind w:left="1440"/>
        <w:jc w:val="both"/>
        <w:rPr>
          <w:rFonts w:cstheme="minorHAnsi"/>
        </w:rPr>
      </w:pPr>
      <w:r w:rsidRPr="002C0C85">
        <w:rPr>
          <w:rFonts w:cstheme="minorHAnsi"/>
        </w:rPr>
        <w:t>•</w:t>
      </w:r>
      <w:r w:rsidRPr="002C0C85">
        <w:rPr>
          <w:rFonts w:cstheme="minorHAnsi"/>
        </w:rPr>
        <w:tab/>
        <w:t>Glass cleaner</w:t>
      </w:r>
    </w:p>
    <w:p w14:paraId="39E55E25" w14:textId="77777777" w:rsidR="002C0C85" w:rsidRPr="002C0C85" w:rsidRDefault="002C0C85" w:rsidP="002C0C85">
      <w:pPr>
        <w:pStyle w:val="ListParagraph"/>
        <w:ind w:left="1440"/>
        <w:jc w:val="both"/>
        <w:rPr>
          <w:rFonts w:cstheme="minorHAnsi"/>
        </w:rPr>
      </w:pPr>
      <w:r w:rsidRPr="002C0C85">
        <w:rPr>
          <w:rFonts w:cstheme="minorHAnsi"/>
        </w:rPr>
        <w:t>•</w:t>
      </w:r>
      <w:r w:rsidRPr="002C0C85">
        <w:rPr>
          <w:rFonts w:cstheme="minorHAnsi"/>
        </w:rPr>
        <w:tab/>
        <w:t>Dish washer tablets</w:t>
      </w:r>
    </w:p>
    <w:p w14:paraId="2F59758D" w14:textId="77777777" w:rsidR="002C0C85" w:rsidRPr="002C0C85" w:rsidRDefault="002C0C85" w:rsidP="002C0C85">
      <w:pPr>
        <w:pStyle w:val="ListParagraph"/>
        <w:ind w:left="1440"/>
        <w:jc w:val="both"/>
        <w:rPr>
          <w:rFonts w:cstheme="minorHAnsi"/>
        </w:rPr>
      </w:pPr>
      <w:r w:rsidRPr="002C0C85">
        <w:rPr>
          <w:rFonts w:cstheme="minorHAnsi"/>
        </w:rPr>
        <w:t>•</w:t>
      </w:r>
      <w:r w:rsidRPr="002C0C85">
        <w:rPr>
          <w:rFonts w:cstheme="minorHAnsi"/>
        </w:rPr>
        <w:tab/>
        <w:t xml:space="preserve">Washing up liquid </w:t>
      </w:r>
    </w:p>
    <w:p w14:paraId="15FF8056" w14:textId="77777777" w:rsidR="002C0C85" w:rsidRPr="002C0C85" w:rsidRDefault="002C0C85" w:rsidP="002C0C85">
      <w:pPr>
        <w:pStyle w:val="ListParagraph"/>
        <w:ind w:left="1440"/>
        <w:jc w:val="both"/>
        <w:rPr>
          <w:rFonts w:cstheme="minorHAnsi"/>
        </w:rPr>
      </w:pPr>
      <w:r w:rsidRPr="002C0C85">
        <w:rPr>
          <w:rFonts w:cstheme="minorHAnsi"/>
        </w:rPr>
        <w:t>•</w:t>
      </w:r>
      <w:r w:rsidRPr="002C0C85">
        <w:rPr>
          <w:rFonts w:cstheme="minorHAnsi"/>
        </w:rPr>
        <w:tab/>
        <w:t xml:space="preserve">Washing up brush </w:t>
      </w:r>
    </w:p>
    <w:p w14:paraId="05EB1C1E" w14:textId="51CF5F9F" w:rsidR="00986D1D" w:rsidRPr="002C0C85" w:rsidRDefault="0060246E" w:rsidP="002C0C85">
      <w:pPr>
        <w:pStyle w:val="ListParagraph"/>
        <w:ind w:left="1440"/>
        <w:jc w:val="both"/>
        <w:rPr>
          <w:rFonts w:cstheme="minorHAnsi"/>
        </w:rPr>
      </w:pPr>
      <w:r>
        <w:rPr>
          <w:rFonts w:cstheme="minorHAnsi"/>
        </w:rPr>
        <w:t>a</w:t>
      </w:r>
      <w:r w:rsidR="00E70EBC">
        <w:rPr>
          <w:rFonts w:cstheme="minorHAnsi"/>
        </w:rPr>
        <w:t xml:space="preserve">nd any other </w:t>
      </w:r>
      <w:r w:rsidR="002C0C85" w:rsidRPr="002C0C85">
        <w:rPr>
          <w:rFonts w:cstheme="minorHAnsi"/>
        </w:rPr>
        <w:t>product that could be described as an washroom and housekeeping product, inclusive of delivery to the Beneficiary and/or HTE’s nominated logistics provider.</w:t>
      </w:r>
    </w:p>
    <w:p w14:paraId="27A25935" w14:textId="77777777" w:rsidR="002C0C85" w:rsidRPr="002C0C85" w:rsidRDefault="00986D1D" w:rsidP="002C0C85">
      <w:pPr>
        <w:pStyle w:val="ListParagraph"/>
        <w:numPr>
          <w:ilvl w:val="0"/>
          <w:numId w:val="26"/>
        </w:numPr>
        <w:jc w:val="both"/>
        <w:rPr>
          <w:rFonts w:cstheme="minorHAnsi"/>
        </w:rPr>
      </w:pPr>
      <w:r w:rsidRPr="002C0C85">
        <w:rPr>
          <w:rFonts w:cstheme="minorHAnsi"/>
        </w:rPr>
        <w:t>Lot 13:</w:t>
      </w:r>
      <w:r w:rsidR="00030E5F" w:rsidRPr="002C0C85">
        <w:rPr>
          <w:rFonts w:cstheme="minorHAnsi"/>
        </w:rPr>
        <w:t xml:space="preserve"> Additional Janitorial product. </w:t>
      </w:r>
      <w:r w:rsidR="002C0C85" w:rsidRPr="002C0C85">
        <w:rPr>
          <w:rFonts w:cstheme="minorHAnsi"/>
        </w:rPr>
        <w:t>Lot thirteen encompasses the supply of all additional janitorial products used within the environment of a hospital. Products types categorised as:</w:t>
      </w:r>
    </w:p>
    <w:p w14:paraId="1A450379" w14:textId="77777777" w:rsidR="002C0C85" w:rsidRPr="002C0C85" w:rsidRDefault="002C0C85" w:rsidP="002C0C85">
      <w:pPr>
        <w:pStyle w:val="ListParagraph"/>
        <w:ind w:left="1440"/>
        <w:jc w:val="both"/>
        <w:rPr>
          <w:rFonts w:cstheme="minorHAnsi"/>
        </w:rPr>
      </w:pPr>
      <w:r w:rsidRPr="002C0C85">
        <w:rPr>
          <w:rFonts w:cstheme="minorHAnsi"/>
        </w:rPr>
        <w:t>•</w:t>
      </w:r>
      <w:r w:rsidRPr="002C0C85">
        <w:rPr>
          <w:rFonts w:cstheme="minorHAnsi"/>
        </w:rPr>
        <w:tab/>
        <w:t xml:space="preserve">Gloves  </w:t>
      </w:r>
    </w:p>
    <w:p w14:paraId="64A2FBCB" w14:textId="77777777" w:rsidR="002C0C85" w:rsidRPr="002C0C85" w:rsidRDefault="002C0C85" w:rsidP="002C0C85">
      <w:pPr>
        <w:pStyle w:val="ListParagraph"/>
        <w:ind w:left="1440"/>
        <w:jc w:val="both"/>
        <w:rPr>
          <w:rFonts w:cstheme="minorHAnsi"/>
        </w:rPr>
      </w:pPr>
      <w:r w:rsidRPr="002C0C85">
        <w:rPr>
          <w:rFonts w:cstheme="minorHAnsi"/>
        </w:rPr>
        <w:t>•</w:t>
      </w:r>
      <w:r w:rsidRPr="002C0C85">
        <w:rPr>
          <w:rFonts w:cstheme="minorHAnsi"/>
        </w:rPr>
        <w:tab/>
        <w:t xml:space="preserve">Mop and bucket </w:t>
      </w:r>
    </w:p>
    <w:p w14:paraId="5BA2757C" w14:textId="77777777" w:rsidR="002C0C85" w:rsidRPr="002C0C85" w:rsidRDefault="002C0C85" w:rsidP="002C0C85">
      <w:pPr>
        <w:pStyle w:val="ListParagraph"/>
        <w:ind w:left="1440"/>
        <w:jc w:val="both"/>
        <w:rPr>
          <w:rFonts w:cstheme="minorHAnsi"/>
        </w:rPr>
      </w:pPr>
      <w:r w:rsidRPr="002C0C85">
        <w:rPr>
          <w:rFonts w:cstheme="minorHAnsi"/>
        </w:rPr>
        <w:t>•</w:t>
      </w:r>
      <w:r w:rsidRPr="002C0C85">
        <w:rPr>
          <w:rFonts w:cstheme="minorHAnsi"/>
        </w:rPr>
        <w:tab/>
        <w:t>Microfiber mop disposable head</w:t>
      </w:r>
    </w:p>
    <w:p w14:paraId="0281EE9E" w14:textId="77777777" w:rsidR="002C0C85" w:rsidRPr="002C0C85" w:rsidRDefault="002C0C85" w:rsidP="002C0C85">
      <w:pPr>
        <w:pStyle w:val="ListParagraph"/>
        <w:ind w:left="1440"/>
        <w:jc w:val="both"/>
        <w:rPr>
          <w:rFonts w:cstheme="minorHAnsi"/>
        </w:rPr>
      </w:pPr>
      <w:r w:rsidRPr="002C0C85">
        <w:rPr>
          <w:rFonts w:cstheme="minorHAnsi"/>
        </w:rPr>
        <w:t>•</w:t>
      </w:r>
      <w:r w:rsidRPr="002C0C85">
        <w:rPr>
          <w:rFonts w:cstheme="minorHAnsi"/>
        </w:rPr>
        <w:tab/>
        <w:t xml:space="preserve">Microfiber mop laudable head </w:t>
      </w:r>
    </w:p>
    <w:p w14:paraId="4DABCB56" w14:textId="77777777" w:rsidR="002C0C85" w:rsidRPr="002C0C85" w:rsidRDefault="002C0C85" w:rsidP="002C0C85">
      <w:pPr>
        <w:pStyle w:val="ListParagraph"/>
        <w:ind w:left="1440"/>
        <w:jc w:val="both"/>
        <w:rPr>
          <w:rFonts w:cstheme="minorHAnsi"/>
        </w:rPr>
      </w:pPr>
      <w:r w:rsidRPr="002C0C85">
        <w:rPr>
          <w:rFonts w:cstheme="minorHAnsi"/>
        </w:rPr>
        <w:t>•</w:t>
      </w:r>
      <w:r w:rsidRPr="002C0C85">
        <w:rPr>
          <w:rFonts w:cstheme="minorHAnsi"/>
        </w:rPr>
        <w:tab/>
        <w:t xml:space="preserve">Dustpan </w:t>
      </w:r>
    </w:p>
    <w:p w14:paraId="52A474F7" w14:textId="77777777" w:rsidR="002C0C85" w:rsidRPr="002C0C85" w:rsidRDefault="002C0C85" w:rsidP="002C0C85">
      <w:pPr>
        <w:pStyle w:val="ListParagraph"/>
        <w:ind w:left="1440"/>
        <w:jc w:val="both"/>
        <w:rPr>
          <w:rFonts w:cstheme="minorHAnsi"/>
        </w:rPr>
      </w:pPr>
      <w:r w:rsidRPr="002C0C85">
        <w:rPr>
          <w:rFonts w:cstheme="minorHAnsi"/>
        </w:rPr>
        <w:t>•</w:t>
      </w:r>
      <w:r w:rsidRPr="002C0C85">
        <w:rPr>
          <w:rFonts w:cstheme="minorHAnsi"/>
        </w:rPr>
        <w:tab/>
        <w:t>Toilet brush</w:t>
      </w:r>
    </w:p>
    <w:p w14:paraId="0A280698" w14:textId="77777777" w:rsidR="002C0C85" w:rsidRPr="002C0C85" w:rsidRDefault="002C0C85" w:rsidP="002C0C85">
      <w:pPr>
        <w:pStyle w:val="ListParagraph"/>
        <w:ind w:left="1440"/>
        <w:jc w:val="both"/>
        <w:rPr>
          <w:rFonts w:cstheme="minorHAnsi"/>
        </w:rPr>
      </w:pPr>
      <w:r w:rsidRPr="002C0C85">
        <w:rPr>
          <w:rFonts w:cstheme="minorHAnsi"/>
        </w:rPr>
        <w:t>•</w:t>
      </w:r>
      <w:r w:rsidRPr="002C0C85">
        <w:rPr>
          <w:rFonts w:cstheme="minorHAnsi"/>
        </w:rPr>
        <w:tab/>
        <w:t xml:space="preserve">Washing up bush </w:t>
      </w:r>
    </w:p>
    <w:p w14:paraId="3C91A70C" w14:textId="77777777" w:rsidR="002C0C85" w:rsidRPr="002C0C85" w:rsidRDefault="002C0C85" w:rsidP="002C0C85">
      <w:pPr>
        <w:pStyle w:val="ListParagraph"/>
        <w:ind w:left="1440"/>
        <w:jc w:val="both"/>
        <w:rPr>
          <w:rFonts w:cstheme="minorHAnsi"/>
        </w:rPr>
      </w:pPr>
      <w:r w:rsidRPr="002C0C85">
        <w:rPr>
          <w:rFonts w:cstheme="minorHAnsi"/>
        </w:rPr>
        <w:t>•</w:t>
      </w:r>
      <w:r w:rsidRPr="002C0C85">
        <w:rPr>
          <w:rFonts w:cstheme="minorHAnsi"/>
        </w:rPr>
        <w:tab/>
        <w:t xml:space="preserve">Hazard wet floor sign </w:t>
      </w:r>
    </w:p>
    <w:p w14:paraId="3AC2492F" w14:textId="77777777" w:rsidR="002C0C85" w:rsidRPr="002C0C85" w:rsidRDefault="002C0C85" w:rsidP="002C0C85">
      <w:pPr>
        <w:pStyle w:val="ListParagraph"/>
        <w:ind w:left="1440"/>
        <w:jc w:val="both"/>
        <w:rPr>
          <w:rFonts w:cstheme="minorHAnsi"/>
        </w:rPr>
      </w:pPr>
      <w:r w:rsidRPr="002C0C85">
        <w:rPr>
          <w:rFonts w:cstheme="minorHAnsi"/>
        </w:rPr>
        <w:lastRenderedPageBreak/>
        <w:t>•</w:t>
      </w:r>
      <w:r w:rsidRPr="002C0C85">
        <w:rPr>
          <w:rFonts w:cstheme="minorHAnsi"/>
        </w:rPr>
        <w:tab/>
        <w:t xml:space="preserve">Duster </w:t>
      </w:r>
    </w:p>
    <w:p w14:paraId="4A7E5109" w14:textId="77777777" w:rsidR="002C0C85" w:rsidRPr="002C0C85" w:rsidRDefault="002C0C85" w:rsidP="002C0C85">
      <w:pPr>
        <w:pStyle w:val="ListParagraph"/>
        <w:ind w:left="1440"/>
        <w:jc w:val="both"/>
        <w:rPr>
          <w:rFonts w:cstheme="minorHAnsi"/>
        </w:rPr>
      </w:pPr>
      <w:r w:rsidRPr="002C0C85">
        <w:rPr>
          <w:rFonts w:cstheme="minorHAnsi"/>
        </w:rPr>
        <w:t>•</w:t>
      </w:r>
      <w:r w:rsidRPr="002C0C85">
        <w:rPr>
          <w:rFonts w:cstheme="minorHAnsi"/>
        </w:rPr>
        <w:tab/>
        <w:t xml:space="preserve">Brush (scrub) </w:t>
      </w:r>
    </w:p>
    <w:p w14:paraId="6AF7B29D" w14:textId="77777777" w:rsidR="002C0C85" w:rsidRPr="002C0C85" w:rsidRDefault="002C0C85" w:rsidP="002C0C85">
      <w:pPr>
        <w:pStyle w:val="ListParagraph"/>
        <w:ind w:left="1440"/>
        <w:jc w:val="both"/>
        <w:rPr>
          <w:rFonts w:cstheme="minorHAnsi"/>
        </w:rPr>
      </w:pPr>
      <w:r w:rsidRPr="002C0C85">
        <w:rPr>
          <w:rFonts w:cstheme="minorHAnsi"/>
        </w:rPr>
        <w:t>•</w:t>
      </w:r>
      <w:r w:rsidRPr="002C0C85">
        <w:rPr>
          <w:rFonts w:cstheme="minorHAnsi"/>
        </w:rPr>
        <w:tab/>
        <w:t xml:space="preserve">Broom </w:t>
      </w:r>
    </w:p>
    <w:p w14:paraId="3B8C23E7" w14:textId="77777777" w:rsidR="002C0C85" w:rsidRPr="002C0C85" w:rsidRDefault="002C0C85" w:rsidP="002C0C85">
      <w:pPr>
        <w:pStyle w:val="ListParagraph"/>
        <w:ind w:left="1440"/>
        <w:jc w:val="both"/>
        <w:rPr>
          <w:rFonts w:cstheme="minorHAnsi"/>
        </w:rPr>
      </w:pPr>
      <w:r w:rsidRPr="002C0C85">
        <w:rPr>
          <w:rFonts w:cstheme="minorHAnsi"/>
        </w:rPr>
        <w:t>•</w:t>
      </w:r>
      <w:r w:rsidRPr="002C0C85">
        <w:rPr>
          <w:rFonts w:cstheme="minorHAnsi"/>
        </w:rPr>
        <w:tab/>
        <w:t xml:space="preserve">Soft brush </w:t>
      </w:r>
    </w:p>
    <w:p w14:paraId="0A4A19EE" w14:textId="77777777" w:rsidR="002C0C85" w:rsidRPr="002C0C85" w:rsidRDefault="002C0C85" w:rsidP="002C0C85">
      <w:pPr>
        <w:pStyle w:val="ListParagraph"/>
        <w:ind w:left="1440"/>
        <w:jc w:val="both"/>
        <w:rPr>
          <w:rFonts w:cstheme="minorHAnsi"/>
        </w:rPr>
      </w:pPr>
      <w:r w:rsidRPr="002C0C85">
        <w:rPr>
          <w:rFonts w:cstheme="minorHAnsi"/>
        </w:rPr>
        <w:t>•</w:t>
      </w:r>
      <w:r w:rsidRPr="002C0C85">
        <w:rPr>
          <w:rFonts w:cstheme="minorHAnsi"/>
        </w:rPr>
        <w:tab/>
        <w:t xml:space="preserve">Washing bowl </w:t>
      </w:r>
    </w:p>
    <w:p w14:paraId="57D17E1A" w14:textId="1ED73898" w:rsidR="002C0C85" w:rsidRDefault="0060246E" w:rsidP="002C0C85">
      <w:pPr>
        <w:pStyle w:val="ListParagraph"/>
        <w:ind w:left="1440"/>
        <w:jc w:val="both"/>
        <w:rPr>
          <w:rFonts w:cstheme="minorHAnsi"/>
        </w:rPr>
      </w:pPr>
      <w:r>
        <w:rPr>
          <w:rFonts w:cstheme="minorHAnsi"/>
        </w:rPr>
        <w:t>a</w:t>
      </w:r>
      <w:r w:rsidR="00E70EBC">
        <w:rPr>
          <w:rFonts w:cstheme="minorHAnsi"/>
        </w:rPr>
        <w:t xml:space="preserve">nd any other </w:t>
      </w:r>
      <w:r w:rsidR="002C0C85" w:rsidRPr="002C0C85">
        <w:rPr>
          <w:rFonts w:cstheme="minorHAnsi"/>
        </w:rPr>
        <w:t>product that is described as an additional janitorial product, inclusive of delivery to the Beneficiary and/or HTE’s nominated logistics provider.</w:t>
      </w:r>
    </w:p>
    <w:p w14:paraId="1ADF7F98" w14:textId="77777777" w:rsidR="00030E5F" w:rsidRPr="002C0C85" w:rsidRDefault="00030E5F" w:rsidP="002C0C85">
      <w:pPr>
        <w:pStyle w:val="ListParagraph"/>
        <w:numPr>
          <w:ilvl w:val="0"/>
          <w:numId w:val="26"/>
        </w:numPr>
        <w:jc w:val="both"/>
        <w:rPr>
          <w:rFonts w:cstheme="minorHAnsi"/>
        </w:rPr>
      </w:pPr>
      <w:r w:rsidRPr="002C0C85">
        <w:rPr>
          <w:rFonts w:cstheme="minorHAnsi"/>
        </w:rPr>
        <w:t xml:space="preserve">Lot 14: Bedding and Disposable </w:t>
      </w:r>
      <w:r w:rsidR="002C0C85">
        <w:rPr>
          <w:rFonts w:cstheme="minorHAnsi"/>
        </w:rPr>
        <w:t>C</w:t>
      </w:r>
      <w:r w:rsidRPr="002C0C85">
        <w:rPr>
          <w:rFonts w:cstheme="minorHAnsi"/>
        </w:rPr>
        <w:t xml:space="preserve">urtains.  </w:t>
      </w:r>
      <w:r w:rsidR="002C0C85" w:rsidRPr="002C0C85">
        <w:rPr>
          <w:rFonts w:cstheme="minorHAnsi"/>
        </w:rPr>
        <w:t>Lot fourteen encompasses the supply of all bedding and disposable curtains used with in the environment of a hospital, inclusive of delivery to the Beneficiary and/or HTE’s nominated logistics provider.</w:t>
      </w:r>
    </w:p>
    <w:p w14:paraId="164AA881" w14:textId="3EA49A0A" w:rsidR="002C0C85" w:rsidRDefault="00030E5F" w:rsidP="002C0C85">
      <w:pPr>
        <w:pStyle w:val="ListParagraph"/>
        <w:numPr>
          <w:ilvl w:val="0"/>
          <w:numId w:val="26"/>
        </w:numPr>
        <w:spacing w:afterLines="200" w:after="480" w:line="360" w:lineRule="auto"/>
        <w:jc w:val="both"/>
        <w:rPr>
          <w:rFonts w:cstheme="minorHAnsi"/>
        </w:rPr>
      </w:pPr>
      <w:r w:rsidRPr="00E70EBC">
        <w:rPr>
          <w:rFonts w:cstheme="minorHAnsi"/>
        </w:rPr>
        <w:t xml:space="preserve">Lot 15: Committed </w:t>
      </w:r>
      <w:r w:rsidR="002C0C85" w:rsidRPr="00E70EBC">
        <w:rPr>
          <w:rFonts w:cstheme="minorHAnsi"/>
        </w:rPr>
        <w:t>A</w:t>
      </w:r>
      <w:r w:rsidRPr="00E70EBC">
        <w:rPr>
          <w:rFonts w:cstheme="minorHAnsi"/>
        </w:rPr>
        <w:t xml:space="preserve">ggregated </w:t>
      </w:r>
      <w:r w:rsidR="002C0C85" w:rsidRPr="00E70EBC">
        <w:rPr>
          <w:rFonts w:cstheme="minorHAnsi"/>
        </w:rPr>
        <w:t>S</w:t>
      </w:r>
      <w:r w:rsidRPr="00E70EBC">
        <w:rPr>
          <w:rFonts w:cstheme="minorHAnsi"/>
        </w:rPr>
        <w:t xml:space="preserve">pend </w:t>
      </w:r>
      <w:r w:rsidR="002C0C85" w:rsidRPr="00E70EBC">
        <w:rPr>
          <w:rFonts w:cstheme="minorHAnsi"/>
        </w:rPr>
        <w:t>M</w:t>
      </w:r>
      <w:r w:rsidRPr="00E70EBC">
        <w:rPr>
          <w:rFonts w:cstheme="minorHAnsi"/>
        </w:rPr>
        <w:t xml:space="preserve">odel. </w:t>
      </w:r>
      <w:r w:rsidR="002C0C85" w:rsidRPr="00E70EBC">
        <w:rPr>
          <w:rFonts w:cstheme="minorHAnsi"/>
        </w:rPr>
        <w:t xml:space="preserve">Lot fifteen Committed aggregated spend model. </w:t>
      </w:r>
    </w:p>
    <w:p w14:paraId="4BB65177" w14:textId="63636564" w:rsidR="00E70EBC" w:rsidRDefault="00DB13D2" w:rsidP="0060246E">
      <w:pPr>
        <w:pStyle w:val="ListParagraph"/>
        <w:spacing w:afterLines="200" w:after="480" w:line="360" w:lineRule="auto"/>
        <w:ind w:left="1440"/>
        <w:jc w:val="both"/>
        <w:rPr>
          <w:rFonts w:cstheme="minorHAnsi"/>
        </w:rPr>
      </w:pPr>
      <w:r>
        <w:rPr>
          <w:rFonts w:cstheme="minorHAnsi"/>
        </w:rPr>
        <w:t xml:space="preserve">Successful bidders with respect to one or more of the preceding Lots 1-14 shall be awarded a Framework agreement under Lot 15. Where </w:t>
      </w:r>
      <w:r w:rsidR="0060246E">
        <w:rPr>
          <w:rFonts w:cstheme="minorHAnsi"/>
        </w:rPr>
        <w:t>1 or more Contract Authority/Authorities</w:t>
      </w:r>
      <w:r w:rsidRPr="0060246E">
        <w:rPr>
          <w:rFonts w:cstheme="minorHAnsi"/>
        </w:rPr>
        <w:t xml:space="preserve"> wish</w:t>
      </w:r>
      <w:r w:rsidR="0060246E">
        <w:rPr>
          <w:rFonts w:cstheme="minorHAnsi"/>
        </w:rPr>
        <w:t>/wishes</w:t>
      </w:r>
      <w:r w:rsidRPr="0060246E">
        <w:rPr>
          <w:rFonts w:cstheme="minorHAnsi"/>
        </w:rPr>
        <w:t xml:space="preserve"> to aggregate their requirement for more than one of Lots 1-14 and/or make a spend commitment for one or more Lots 1-14, or both, such Contracting Authori</w:t>
      </w:r>
      <w:r w:rsidR="0060246E">
        <w:rPr>
          <w:rFonts w:cstheme="minorHAnsi"/>
        </w:rPr>
        <w:t>ty/Authorities</w:t>
      </w:r>
      <w:r w:rsidRPr="0060246E">
        <w:rPr>
          <w:rFonts w:cstheme="minorHAnsi"/>
        </w:rPr>
        <w:t xml:space="preserve"> may award a contract under Lot 15 by re-opening competition thereunder. </w:t>
      </w:r>
    </w:p>
    <w:p w14:paraId="77358BCF" w14:textId="77777777" w:rsidR="0060246E" w:rsidRPr="0060246E" w:rsidRDefault="0060246E" w:rsidP="0060246E">
      <w:pPr>
        <w:pStyle w:val="ListParagraph"/>
        <w:spacing w:afterLines="200" w:after="480" w:line="360" w:lineRule="auto"/>
        <w:ind w:left="1440"/>
        <w:jc w:val="both"/>
        <w:rPr>
          <w:rFonts w:cstheme="minorHAnsi"/>
        </w:rPr>
      </w:pPr>
    </w:p>
    <w:p w14:paraId="492F0E9E" w14:textId="77777777" w:rsidR="00025D14" w:rsidRDefault="00B4293D" w:rsidP="002C0C85">
      <w:pPr>
        <w:pStyle w:val="ListParagraph"/>
        <w:spacing w:afterLines="200" w:after="480" w:line="360" w:lineRule="auto"/>
        <w:jc w:val="both"/>
        <w:rPr>
          <w:rFonts w:cs="Arial"/>
          <w:bCs/>
          <w:iCs/>
          <w:color w:val="000000"/>
        </w:rPr>
      </w:pPr>
      <w:r w:rsidRPr="002C0C85">
        <w:rPr>
          <w:rFonts w:cs="Arial"/>
          <w:bCs/>
          <w:iCs/>
          <w:color w:val="000000"/>
        </w:rPr>
        <w:t xml:space="preserve">It is envisaged that this </w:t>
      </w:r>
      <w:r w:rsidR="00025D14" w:rsidRPr="002C0C85">
        <w:rPr>
          <w:rFonts w:cs="Arial"/>
          <w:bCs/>
          <w:iCs/>
          <w:color w:val="000000"/>
        </w:rPr>
        <w:t>framework agreement</w:t>
      </w:r>
      <w:r w:rsidRPr="002C0C85">
        <w:rPr>
          <w:rFonts w:cs="Arial"/>
          <w:bCs/>
          <w:iCs/>
          <w:color w:val="000000"/>
        </w:rPr>
        <w:t xml:space="preserve"> </w:t>
      </w:r>
      <w:r w:rsidR="00025D14" w:rsidRPr="002C0C85">
        <w:rPr>
          <w:rFonts w:cs="Arial"/>
          <w:bCs/>
          <w:iCs/>
          <w:color w:val="000000"/>
        </w:rPr>
        <w:t xml:space="preserve">will be let for a period of </w:t>
      </w:r>
      <w:r w:rsidRPr="002C0C85">
        <w:rPr>
          <w:rFonts w:cs="Arial"/>
          <w:bCs/>
          <w:iCs/>
          <w:color w:val="000000"/>
        </w:rPr>
        <w:t xml:space="preserve">3 </w:t>
      </w:r>
      <w:r w:rsidR="00025D14" w:rsidRPr="002C0C85">
        <w:rPr>
          <w:rFonts w:cs="Arial"/>
          <w:bCs/>
          <w:iCs/>
          <w:color w:val="000000"/>
        </w:rPr>
        <w:t>years (with an</w:t>
      </w:r>
      <w:r w:rsidRPr="002C0C85">
        <w:rPr>
          <w:rFonts w:cs="Arial"/>
          <w:bCs/>
          <w:iCs/>
          <w:color w:val="000000"/>
        </w:rPr>
        <w:t xml:space="preserve"> option to extend for a further 12 month</w:t>
      </w:r>
      <w:r w:rsidR="00025D14" w:rsidRPr="002C0C85">
        <w:rPr>
          <w:rFonts w:cs="Arial"/>
          <w:bCs/>
          <w:iCs/>
          <w:color w:val="000000"/>
        </w:rPr>
        <w:t xml:space="preserve"> period at HealthTrust Europe’s discretion).</w:t>
      </w:r>
    </w:p>
    <w:p w14:paraId="5C418646" w14:textId="77777777" w:rsidR="0060246E" w:rsidRPr="002C0C85" w:rsidRDefault="0060246E" w:rsidP="002C0C85">
      <w:pPr>
        <w:pStyle w:val="ListParagraph"/>
        <w:spacing w:afterLines="200" w:after="480" w:line="360" w:lineRule="auto"/>
        <w:jc w:val="both"/>
        <w:rPr>
          <w:rFonts w:cstheme="minorHAnsi"/>
        </w:rPr>
      </w:pPr>
    </w:p>
    <w:p w14:paraId="2D508E41" w14:textId="77777777" w:rsidR="00293FDE" w:rsidRPr="002021E7" w:rsidRDefault="002021E7" w:rsidP="008E787C">
      <w:pPr>
        <w:pStyle w:val="ListParagraph"/>
        <w:numPr>
          <w:ilvl w:val="0"/>
          <w:numId w:val="17"/>
        </w:numPr>
        <w:spacing w:afterLines="200" w:after="480" w:line="360" w:lineRule="auto"/>
        <w:contextualSpacing w:val="0"/>
        <w:rPr>
          <w:b/>
          <w:color w:val="1B365D"/>
          <w:sz w:val="28"/>
        </w:rPr>
      </w:pPr>
      <w:bookmarkStart w:id="1" w:name="_Toc322352486"/>
      <w:bookmarkStart w:id="2" w:name="_Toc363198256"/>
      <w:r>
        <w:rPr>
          <w:b/>
          <w:color w:val="1B365D"/>
          <w:sz w:val="28"/>
        </w:rPr>
        <w:t>Guidance notes for Potential Providers</w:t>
      </w:r>
      <w:bookmarkEnd w:id="1"/>
      <w:bookmarkEnd w:id="2"/>
      <w:r w:rsidR="00293FDE">
        <w:t xml:space="preserve"> </w:t>
      </w:r>
    </w:p>
    <w:p w14:paraId="066E18B3" w14:textId="77777777" w:rsidR="00293FDE" w:rsidRDefault="00293FDE" w:rsidP="00A24D4B">
      <w:pPr>
        <w:autoSpaceDE w:val="0"/>
        <w:autoSpaceDN w:val="0"/>
        <w:adjustRightInd w:val="0"/>
        <w:spacing w:before="100" w:beforeAutospacing="1" w:afterLines="200" w:after="480" w:line="360" w:lineRule="auto"/>
        <w:ind w:left="720"/>
        <w:jc w:val="both"/>
        <w:rPr>
          <w:rFonts w:cs="Arial"/>
        </w:rPr>
      </w:pPr>
      <w:r w:rsidRPr="00DC6667">
        <w:rPr>
          <w:rFonts w:cs="Arial"/>
        </w:rPr>
        <w:t>This PQQ is designed to provide HealthTrust Europe with the information required to assess whether your organisation is eligible to tender; has the economic and financial standing; and</w:t>
      </w:r>
      <w:r w:rsidR="00D75B1D">
        <w:rPr>
          <w:rFonts w:cs="Arial"/>
        </w:rPr>
        <w:t xml:space="preserve"> has </w:t>
      </w:r>
      <w:r w:rsidRPr="00DC6667">
        <w:rPr>
          <w:rFonts w:cs="Arial"/>
        </w:rPr>
        <w:t xml:space="preserve">the technical or professional capability to provide the goods and/or services described above. </w:t>
      </w:r>
      <w:r w:rsidR="00A24D4B">
        <w:rPr>
          <w:rFonts w:cs="Arial"/>
        </w:rPr>
        <w:t xml:space="preserve"> </w:t>
      </w:r>
      <w:r w:rsidRPr="00DC6667">
        <w:rPr>
          <w:rFonts w:cs="Arial"/>
        </w:rPr>
        <w:t xml:space="preserve">The word ‘organisation’ refers to a sole trader, partnership, incorporated company or other business entity, or similar entity operating </w:t>
      </w:r>
      <w:r w:rsidR="002E484D">
        <w:rPr>
          <w:rFonts w:cs="Arial"/>
        </w:rPr>
        <w:t>outside the UK, as appropriate.</w:t>
      </w:r>
      <w:r w:rsidR="008E787C">
        <w:rPr>
          <w:rFonts w:cs="Arial"/>
        </w:rPr>
        <w:t xml:space="preserve"> </w:t>
      </w:r>
    </w:p>
    <w:p w14:paraId="48B650A3" w14:textId="77777777" w:rsidR="008E787C" w:rsidRPr="00DC6667" w:rsidRDefault="008E787C" w:rsidP="008E787C">
      <w:pPr>
        <w:autoSpaceDE w:val="0"/>
        <w:autoSpaceDN w:val="0"/>
        <w:adjustRightInd w:val="0"/>
        <w:spacing w:before="100" w:beforeAutospacing="1" w:afterLines="200" w:after="480" w:line="360" w:lineRule="auto"/>
        <w:ind w:left="720"/>
        <w:jc w:val="both"/>
        <w:rPr>
          <w:rFonts w:cs="Arial"/>
        </w:rPr>
      </w:pPr>
      <w:r w:rsidRPr="00DC6667">
        <w:rPr>
          <w:rFonts w:cs="Arial"/>
        </w:rPr>
        <w:t>Any information or documents submitted in response to this questionnaire must rela</w:t>
      </w:r>
      <w:r w:rsidR="00A24D4B">
        <w:rPr>
          <w:rFonts w:cs="Arial"/>
        </w:rPr>
        <w:t xml:space="preserve">te to the Potential Provider, </w:t>
      </w:r>
      <w:r w:rsidRPr="00DC6667">
        <w:rPr>
          <w:rFonts w:cs="Arial"/>
        </w:rPr>
        <w:t>its guarantor (if required)</w:t>
      </w:r>
      <w:r w:rsidR="00A24D4B">
        <w:rPr>
          <w:rFonts w:cs="Arial"/>
        </w:rPr>
        <w:t xml:space="preserve"> and /or its subcontracting or consortium </w:t>
      </w:r>
      <w:r w:rsidR="002E484D">
        <w:rPr>
          <w:rFonts w:cs="Arial"/>
        </w:rPr>
        <w:t>arrangements</w:t>
      </w:r>
      <w:r w:rsidR="00A24D4B">
        <w:rPr>
          <w:rFonts w:cs="Arial"/>
        </w:rPr>
        <w:t xml:space="preserve"> (see below)</w:t>
      </w:r>
      <w:r w:rsidRPr="00DC6667">
        <w:rPr>
          <w:rFonts w:cs="Arial"/>
        </w:rPr>
        <w:t xml:space="preserve">. </w:t>
      </w:r>
      <w:r w:rsidR="00A24D4B">
        <w:rPr>
          <w:rFonts w:cs="Arial"/>
        </w:rPr>
        <w:t xml:space="preserve"> </w:t>
      </w:r>
      <w:r w:rsidRPr="00DC6667">
        <w:rPr>
          <w:rFonts w:cs="Arial"/>
        </w:rPr>
        <w:t xml:space="preserve">The Potential Provider </w:t>
      </w:r>
      <w:r w:rsidR="00A24D4B">
        <w:rPr>
          <w:rFonts w:cs="Arial"/>
        </w:rPr>
        <w:t>or</w:t>
      </w:r>
      <w:r w:rsidR="00914DE6">
        <w:rPr>
          <w:rFonts w:cs="Arial"/>
        </w:rPr>
        <w:t xml:space="preserve"> a separate legal entity</w:t>
      </w:r>
      <w:r w:rsidR="00A24D4B">
        <w:rPr>
          <w:rFonts w:cs="Arial"/>
        </w:rPr>
        <w:t xml:space="preserve"> created by a consortium will be t</w:t>
      </w:r>
      <w:r w:rsidRPr="00DC6667">
        <w:rPr>
          <w:rFonts w:cs="Arial"/>
        </w:rPr>
        <w:t>he orga</w:t>
      </w:r>
      <w:r w:rsidR="00E306BE">
        <w:rPr>
          <w:rFonts w:cs="Arial"/>
        </w:rPr>
        <w:t xml:space="preserve">nisation that will enter into </w:t>
      </w:r>
      <w:r w:rsidR="00E306BE" w:rsidRPr="00E306BE">
        <w:rPr>
          <w:rFonts w:cs="Arial"/>
        </w:rPr>
        <w:t xml:space="preserve">a </w:t>
      </w:r>
      <w:r w:rsidRPr="00E306BE">
        <w:rPr>
          <w:rFonts w:cs="Arial"/>
        </w:rPr>
        <w:t>framework agreement with</w:t>
      </w:r>
      <w:r w:rsidRPr="00DC6667">
        <w:rPr>
          <w:rFonts w:cs="Arial"/>
        </w:rPr>
        <w:t xml:space="preserve"> HealthTrust Europe acting as agent of UHCW if successfully awarded. </w:t>
      </w:r>
    </w:p>
    <w:p w14:paraId="15404D3E" w14:textId="77777777" w:rsidR="00D75B1D" w:rsidRDefault="008E787C" w:rsidP="008E787C">
      <w:pPr>
        <w:autoSpaceDE w:val="0"/>
        <w:autoSpaceDN w:val="0"/>
        <w:adjustRightInd w:val="0"/>
        <w:spacing w:before="100" w:beforeAutospacing="1" w:afterLines="200" w:after="480" w:line="360" w:lineRule="auto"/>
        <w:ind w:left="720"/>
        <w:jc w:val="both"/>
        <w:rPr>
          <w:rFonts w:cs="Arial"/>
        </w:rPr>
      </w:pPr>
      <w:r w:rsidRPr="00DC6667">
        <w:rPr>
          <w:rFonts w:cs="Arial"/>
        </w:rPr>
        <w:lastRenderedPageBreak/>
        <w:t xml:space="preserve">All responses and submissions provided may form part of the </w:t>
      </w:r>
      <w:r w:rsidRPr="00E306BE">
        <w:rPr>
          <w:rFonts w:cs="Arial"/>
        </w:rPr>
        <w:t>framework agreement</w:t>
      </w:r>
      <w:r w:rsidRPr="00DC6667">
        <w:rPr>
          <w:rFonts w:cs="Arial"/>
        </w:rPr>
        <w:t xml:space="preserve"> should your organisation subsequently be successful.</w:t>
      </w:r>
      <w:r w:rsidR="002E484D">
        <w:rPr>
          <w:rFonts w:cs="Arial"/>
        </w:rPr>
        <w:t xml:space="preserve">  </w:t>
      </w:r>
      <w:r w:rsidR="00D75B1D">
        <w:rPr>
          <w:rFonts w:cs="Arial"/>
        </w:rPr>
        <w:t>By submitting a response all Potential Providers</w:t>
      </w:r>
      <w:r w:rsidR="00D75B1D" w:rsidRPr="00D75B1D">
        <w:rPr>
          <w:rFonts w:cs="Arial"/>
          <w:lang w:val="en-US"/>
        </w:rPr>
        <w:t xml:space="preserve"> warrant and represent that the </w:t>
      </w:r>
      <w:r w:rsidR="00D75B1D">
        <w:rPr>
          <w:rFonts w:cs="Arial"/>
          <w:lang w:val="en-US"/>
        </w:rPr>
        <w:t xml:space="preserve">information set out within its PQQ response is </w:t>
      </w:r>
      <w:r w:rsidR="00D75B1D" w:rsidRPr="00D75B1D">
        <w:rPr>
          <w:rFonts w:cs="Arial"/>
          <w:lang w:val="en-US"/>
        </w:rPr>
        <w:t xml:space="preserve">true and accurate.  If HealthTrust Europe becomes aware </w:t>
      </w:r>
      <w:r w:rsidR="00D75B1D">
        <w:rPr>
          <w:rFonts w:cs="Arial"/>
          <w:lang w:val="en-US"/>
        </w:rPr>
        <w:t>that</w:t>
      </w:r>
      <w:r w:rsidR="00D75B1D" w:rsidRPr="00D75B1D">
        <w:rPr>
          <w:rFonts w:cs="Arial"/>
          <w:lang w:val="en-US"/>
        </w:rPr>
        <w:t xml:space="preserve"> the </w:t>
      </w:r>
      <w:r w:rsidR="002E484D">
        <w:rPr>
          <w:rFonts w:cs="Arial"/>
        </w:rPr>
        <w:t>Potential Provider</w:t>
      </w:r>
      <w:r w:rsidR="00D75B1D">
        <w:rPr>
          <w:rFonts w:cs="Arial"/>
        </w:rPr>
        <w:t xml:space="preserve"> has submitted </w:t>
      </w:r>
      <w:r w:rsidR="00D75B1D">
        <w:rPr>
          <w:rFonts w:cs="Arial"/>
          <w:lang w:val="en-US"/>
        </w:rPr>
        <w:t xml:space="preserve">inaccurate information in </w:t>
      </w:r>
      <w:r w:rsidR="002E484D">
        <w:rPr>
          <w:rFonts w:cs="Arial"/>
          <w:lang w:val="en-US"/>
        </w:rPr>
        <w:t>its</w:t>
      </w:r>
      <w:r w:rsidR="00D75B1D">
        <w:rPr>
          <w:rFonts w:cs="Arial"/>
          <w:lang w:val="en-US"/>
        </w:rPr>
        <w:t xml:space="preserve"> PQQ response</w:t>
      </w:r>
      <w:r w:rsidR="00D75B1D" w:rsidRPr="00D75B1D">
        <w:rPr>
          <w:rFonts w:cs="Arial"/>
          <w:lang w:val="en-US"/>
        </w:rPr>
        <w:t>, then HealthTrust Europe reserves the right t</w:t>
      </w:r>
      <w:r w:rsidR="00D75B1D">
        <w:rPr>
          <w:rFonts w:cs="Arial"/>
          <w:lang w:val="en-US"/>
        </w:rPr>
        <w:t xml:space="preserve">o disqualify the </w:t>
      </w:r>
      <w:r w:rsidR="00D75B1D">
        <w:rPr>
          <w:rFonts w:cs="Arial"/>
        </w:rPr>
        <w:t>Potential Provider</w:t>
      </w:r>
      <w:r w:rsidR="00D75B1D" w:rsidRPr="00D75B1D">
        <w:rPr>
          <w:rFonts w:cs="Arial"/>
          <w:lang w:val="en-US"/>
        </w:rPr>
        <w:t xml:space="preserve"> </w:t>
      </w:r>
      <w:r w:rsidR="00D75B1D">
        <w:rPr>
          <w:rFonts w:cs="Arial"/>
          <w:lang w:val="en-US"/>
        </w:rPr>
        <w:t xml:space="preserve">from the </w:t>
      </w:r>
      <w:r w:rsidR="00914DE6">
        <w:rPr>
          <w:rFonts w:cs="Arial"/>
          <w:lang w:val="en-US"/>
        </w:rPr>
        <w:t>procurement process</w:t>
      </w:r>
      <w:r w:rsidR="00D75B1D">
        <w:rPr>
          <w:rFonts w:cs="Arial"/>
          <w:lang w:val="en-US"/>
        </w:rPr>
        <w:t xml:space="preserve"> </w:t>
      </w:r>
      <w:r w:rsidR="00D75B1D" w:rsidRPr="00D75B1D">
        <w:rPr>
          <w:rFonts w:cs="Arial"/>
          <w:lang w:val="en-US"/>
        </w:rPr>
        <w:t>due to misrepresentation</w:t>
      </w:r>
      <w:r w:rsidR="00D75B1D">
        <w:rPr>
          <w:rFonts w:cs="Arial"/>
          <w:lang w:val="en-US"/>
        </w:rPr>
        <w:t xml:space="preserve">. </w:t>
      </w:r>
    </w:p>
    <w:p w14:paraId="51080D30" w14:textId="77777777" w:rsidR="00E11C0F" w:rsidRPr="00025D14" w:rsidRDefault="00E11C0F" w:rsidP="008E787C">
      <w:pPr>
        <w:pStyle w:val="ListParagraph"/>
        <w:numPr>
          <w:ilvl w:val="1"/>
          <w:numId w:val="17"/>
        </w:numPr>
        <w:spacing w:afterLines="200" w:after="480" w:line="360" w:lineRule="auto"/>
        <w:ind w:right="-333"/>
        <w:contextualSpacing w:val="0"/>
        <w:jc w:val="both"/>
        <w:rPr>
          <w:rFonts w:eastAsia="Arial" w:cstheme="minorHAnsi"/>
          <w:b/>
          <w:color w:val="1F497D" w:themeColor="text2"/>
          <w:sz w:val="28"/>
          <w:szCs w:val="28"/>
        </w:rPr>
      </w:pPr>
      <w:r w:rsidRPr="00025D14">
        <w:rPr>
          <w:rFonts w:eastAsia="Arial" w:cstheme="minorHAnsi"/>
          <w:b/>
          <w:color w:val="1F497D" w:themeColor="text2"/>
          <w:sz w:val="28"/>
          <w:szCs w:val="28"/>
        </w:rPr>
        <w:t>Subcontracting arrangements</w:t>
      </w:r>
    </w:p>
    <w:p w14:paraId="3CEED450" w14:textId="77777777" w:rsidR="00E11C0F" w:rsidRDefault="00E11C0F" w:rsidP="008E787C">
      <w:pPr>
        <w:spacing w:afterLines="200" w:after="480" w:line="360" w:lineRule="auto"/>
        <w:ind w:left="1080"/>
        <w:jc w:val="both"/>
      </w:pPr>
      <w:r>
        <w:t>Where a sub-contracting approach is proposed, all information requested should be given in respect of the prime contractor.</w:t>
      </w:r>
      <w:r w:rsidR="00025D14">
        <w:t xml:space="preserve">  </w:t>
      </w:r>
      <w:r>
        <w:t xml:space="preserve">Where sub-contractors will play a significant role in the delivery of the </w:t>
      </w:r>
      <w:r w:rsidR="00914DE6">
        <w:t>goods and/ or services</w:t>
      </w:r>
      <w:r>
        <w:t xml:space="preserve"> under any ensuing contract, please indicate in a separate annex (by inserting the relevant organisation name) the composition of the supply chain, indicating which member of the supply chain will be responsible for which elements of the </w:t>
      </w:r>
      <w:r w:rsidR="00914DE6">
        <w:t xml:space="preserve">contract </w:t>
      </w:r>
      <w:r>
        <w:t>requirement.</w:t>
      </w:r>
    </w:p>
    <w:p w14:paraId="3153CDCA" w14:textId="77777777" w:rsidR="00E11C0F" w:rsidRDefault="00E11C0F" w:rsidP="008E787C">
      <w:pPr>
        <w:spacing w:afterLines="200" w:after="480" w:line="360" w:lineRule="auto"/>
        <w:ind w:left="1080"/>
        <w:jc w:val="both"/>
      </w:pPr>
      <w:r>
        <w:t xml:space="preserve">It is recognised that arrangements in relation to sub-contracting may be subject to future change. However, </w:t>
      </w:r>
      <w:r w:rsidR="00914DE6">
        <w:t xml:space="preserve">Potential </w:t>
      </w:r>
      <w:r w:rsidR="00914DE6">
        <w:rPr>
          <w:rFonts w:cs="Arial"/>
        </w:rPr>
        <w:t>Providers</w:t>
      </w:r>
      <w:r w:rsidR="00914DE6" w:rsidRPr="00D75B1D">
        <w:rPr>
          <w:rFonts w:cs="Arial"/>
          <w:lang w:val="en-US"/>
        </w:rPr>
        <w:t xml:space="preserve"> </w:t>
      </w:r>
      <w:r>
        <w:t xml:space="preserve">should be aware that where sub-contractors are to play a significant role, any </w:t>
      </w:r>
      <w:r w:rsidR="00914DE6">
        <w:t xml:space="preserve">significant </w:t>
      </w:r>
      <w:r>
        <w:t xml:space="preserve">changes to those sub-contracting arrangements may constitute a material change and therefore may affect the ability of the </w:t>
      </w:r>
      <w:r w:rsidR="00914DE6">
        <w:t>Potential Providers</w:t>
      </w:r>
      <w:r>
        <w:t xml:space="preserve"> to deliver the </w:t>
      </w:r>
      <w:r w:rsidR="00914DE6">
        <w:t>good and/or services</w:t>
      </w:r>
      <w:r>
        <w:t xml:space="preserve"> resulting in them being eliminated from the procurement process. </w:t>
      </w:r>
    </w:p>
    <w:p w14:paraId="3E91C812" w14:textId="77777777" w:rsidR="00EB0D3E" w:rsidRPr="00025D14" w:rsidRDefault="00EB0D3E" w:rsidP="008E787C">
      <w:pPr>
        <w:pStyle w:val="ListParagraph"/>
        <w:numPr>
          <w:ilvl w:val="1"/>
          <w:numId w:val="17"/>
        </w:numPr>
        <w:spacing w:afterLines="200" w:after="480" w:line="360" w:lineRule="auto"/>
        <w:ind w:right="-333"/>
        <w:contextualSpacing w:val="0"/>
        <w:jc w:val="both"/>
        <w:rPr>
          <w:rFonts w:cstheme="minorHAnsi"/>
          <w:color w:val="1F497D" w:themeColor="text2"/>
          <w:sz w:val="28"/>
          <w:szCs w:val="28"/>
        </w:rPr>
      </w:pPr>
      <w:r w:rsidRPr="00025D14">
        <w:rPr>
          <w:rFonts w:eastAsia="Arial" w:cstheme="minorHAnsi"/>
          <w:b/>
          <w:color w:val="1F497D" w:themeColor="text2"/>
          <w:sz w:val="28"/>
          <w:szCs w:val="28"/>
        </w:rPr>
        <w:t>Consortium arrangements</w:t>
      </w:r>
    </w:p>
    <w:p w14:paraId="79B534D3" w14:textId="77777777" w:rsidR="00EB0D3E" w:rsidRPr="00DC6667" w:rsidRDefault="00A34F4F" w:rsidP="008E787C">
      <w:pPr>
        <w:spacing w:afterLines="200" w:after="480" w:line="360" w:lineRule="auto"/>
        <w:ind w:left="1080" w:right="-24"/>
        <w:jc w:val="both"/>
        <w:rPr>
          <w:rFonts w:cstheme="minorHAnsi"/>
        </w:rPr>
      </w:pPr>
      <w:r>
        <w:rPr>
          <w:rFonts w:eastAsia="Arial" w:cstheme="minorHAnsi"/>
        </w:rPr>
        <w:t xml:space="preserve">If a </w:t>
      </w:r>
      <w:r w:rsidR="008F4184">
        <w:rPr>
          <w:rFonts w:eastAsia="Arial" w:cstheme="minorHAnsi"/>
        </w:rPr>
        <w:t>Potential Provider</w:t>
      </w:r>
      <w:r w:rsidR="00EB0D3E" w:rsidRPr="00DC6667">
        <w:rPr>
          <w:rFonts w:eastAsia="Arial" w:cstheme="minorHAnsi"/>
        </w:rPr>
        <w:t xml:space="preserve"> completing this PQQ is doing so as part of a proposed consortium, the followi</w:t>
      </w:r>
      <w:r w:rsidR="008E787C">
        <w:rPr>
          <w:rFonts w:eastAsia="Arial" w:cstheme="minorHAnsi"/>
        </w:rPr>
        <w:t>ng information must be provided:</w:t>
      </w:r>
    </w:p>
    <w:p w14:paraId="37B87E23" w14:textId="77777777" w:rsidR="00EB0D3E" w:rsidRPr="004F3E22" w:rsidRDefault="008E787C" w:rsidP="004F3E22">
      <w:pPr>
        <w:pStyle w:val="ListParagraph"/>
        <w:numPr>
          <w:ilvl w:val="0"/>
          <w:numId w:val="23"/>
        </w:numPr>
        <w:suppressAutoHyphens/>
        <w:autoSpaceDN w:val="0"/>
        <w:spacing w:afterLines="200" w:after="480" w:line="360" w:lineRule="auto"/>
        <w:ind w:right="-24"/>
        <w:jc w:val="both"/>
        <w:rPr>
          <w:rFonts w:cstheme="minorHAnsi"/>
        </w:rPr>
      </w:pPr>
      <w:r w:rsidRPr="004F3E22">
        <w:rPr>
          <w:rFonts w:eastAsia="Arial" w:cstheme="minorHAnsi"/>
        </w:rPr>
        <w:t xml:space="preserve">the </w:t>
      </w:r>
      <w:r w:rsidR="00EB0D3E" w:rsidRPr="004F3E22">
        <w:rPr>
          <w:rFonts w:eastAsia="Arial" w:cstheme="minorHAnsi"/>
        </w:rPr>
        <w:t>names of all consortium members;</w:t>
      </w:r>
    </w:p>
    <w:p w14:paraId="3BCBC561" w14:textId="77777777" w:rsidR="00EB0D3E" w:rsidRPr="004F3E22" w:rsidRDefault="00EB0D3E" w:rsidP="004F3E22">
      <w:pPr>
        <w:pStyle w:val="ListParagraph"/>
        <w:numPr>
          <w:ilvl w:val="0"/>
          <w:numId w:val="23"/>
        </w:numPr>
        <w:suppressAutoHyphens/>
        <w:autoSpaceDN w:val="0"/>
        <w:spacing w:afterLines="200" w:after="480" w:line="360" w:lineRule="auto"/>
        <w:ind w:right="-24"/>
        <w:jc w:val="both"/>
        <w:rPr>
          <w:rFonts w:cstheme="minorHAnsi"/>
        </w:rPr>
      </w:pPr>
      <w:r w:rsidRPr="004F3E22">
        <w:rPr>
          <w:rFonts w:eastAsia="Arial" w:cstheme="minorHAnsi"/>
        </w:rPr>
        <w:t>the lead member of the consortium who will be contractually responsible for delivery of the contract (if a separate legal entity is not being created); and</w:t>
      </w:r>
    </w:p>
    <w:p w14:paraId="135FEAB7" w14:textId="77777777" w:rsidR="00EB0D3E" w:rsidRPr="004F3E22" w:rsidRDefault="00EB0D3E" w:rsidP="004F3E22">
      <w:pPr>
        <w:pStyle w:val="ListParagraph"/>
        <w:numPr>
          <w:ilvl w:val="0"/>
          <w:numId w:val="23"/>
        </w:numPr>
        <w:suppressAutoHyphens/>
        <w:autoSpaceDN w:val="0"/>
        <w:spacing w:afterLines="200" w:after="480" w:line="360" w:lineRule="auto"/>
        <w:ind w:right="-24"/>
        <w:jc w:val="both"/>
        <w:rPr>
          <w:rFonts w:cstheme="minorHAnsi"/>
        </w:rPr>
      </w:pPr>
      <w:r w:rsidRPr="004F3E22">
        <w:rPr>
          <w:rFonts w:eastAsia="Arial" w:cstheme="minorHAnsi"/>
        </w:rPr>
        <w:t>if the consortium is not proposing to form a legal entity, full details of proposed arrangements within a separate Appendix.</w:t>
      </w:r>
    </w:p>
    <w:p w14:paraId="61BC251A" w14:textId="77777777" w:rsidR="00EB0D3E" w:rsidRPr="00DC6667" w:rsidRDefault="00EB0D3E" w:rsidP="008E787C">
      <w:pPr>
        <w:spacing w:afterLines="200" w:after="480" w:line="360" w:lineRule="auto"/>
        <w:ind w:left="1080" w:right="-24"/>
        <w:jc w:val="both"/>
        <w:rPr>
          <w:rFonts w:cstheme="minorHAnsi"/>
        </w:rPr>
      </w:pPr>
      <w:r w:rsidRPr="00DC6667">
        <w:rPr>
          <w:rFonts w:eastAsia="Arial" w:cstheme="minorHAnsi"/>
        </w:rPr>
        <w:lastRenderedPageBreak/>
        <w:t xml:space="preserve">All members of the consortium will be required to provide the information required in </w:t>
      </w:r>
      <w:r w:rsidRPr="00DC6667">
        <w:rPr>
          <w:rFonts w:eastAsia="Arial" w:cstheme="minorHAnsi"/>
          <w:u w:val="single"/>
        </w:rPr>
        <w:t>all</w:t>
      </w:r>
      <w:r w:rsidRPr="00DC6667">
        <w:rPr>
          <w:rFonts w:eastAsia="Arial" w:cstheme="minorHAnsi"/>
        </w:rPr>
        <w:t xml:space="preserve"> sections of the PQQ as part of a single composite response to </w:t>
      </w:r>
      <w:r w:rsidR="00914DE6">
        <w:rPr>
          <w:rFonts w:eastAsia="Arial" w:cstheme="minorHAnsi"/>
        </w:rPr>
        <w:t xml:space="preserve">HealthTrust Europe </w:t>
      </w:r>
      <w:r w:rsidRPr="00DC6667">
        <w:rPr>
          <w:rFonts w:eastAsia="Arial" w:cstheme="minorHAnsi"/>
        </w:rPr>
        <w:t xml:space="preserve"> i.e. each member of the consortium is required to complete the form.</w:t>
      </w:r>
      <w:r w:rsidR="00914DE6">
        <w:rPr>
          <w:rFonts w:eastAsia="Arial" w:cstheme="minorHAnsi"/>
        </w:rPr>
        <w:t xml:space="preserve">  </w:t>
      </w:r>
      <w:r w:rsidRPr="00DC6667">
        <w:rPr>
          <w:rFonts w:eastAsia="Arial" w:cstheme="minorHAnsi"/>
        </w:rPr>
        <w:t xml:space="preserve">Where you are proposing to create a separate legal entity, such as a Special Purpose Vehicle (SPV), you should provide details of the actual or proposed percentage shareholding of the constituent members within the new legal entity in a separate Appendix.  Please note that </w:t>
      </w:r>
      <w:r w:rsidR="00914DE6">
        <w:rPr>
          <w:rFonts w:eastAsia="Arial" w:cstheme="minorHAnsi"/>
        </w:rPr>
        <w:t xml:space="preserve">HealthTrust Europe </w:t>
      </w:r>
      <w:r w:rsidRPr="00DC6667">
        <w:rPr>
          <w:rFonts w:eastAsia="Arial" w:cstheme="minorHAnsi"/>
        </w:rPr>
        <w:t>may require the consortium to assume a specific legal form if awarded the contract, to the extent that a specific legal form is deemed as being necessary for the satisfactory performance of the contract.</w:t>
      </w:r>
    </w:p>
    <w:p w14:paraId="09E8403F" w14:textId="77777777" w:rsidR="00E306BE" w:rsidRDefault="008E787C" w:rsidP="00E306BE">
      <w:pPr>
        <w:spacing w:afterLines="200" w:after="480" w:line="360" w:lineRule="auto"/>
        <w:ind w:left="1080" w:right="-24"/>
        <w:jc w:val="both"/>
        <w:rPr>
          <w:rFonts w:eastAsia="Arial" w:cstheme="minorHAnsi"/>
        </w:rPr>
      </w:pPr>
      <w:r>
        <w:rPr>
          <w:rFonts w:eastAsia="Arial" w:cstheme="minorHAnsi"/>
        </w:rPr>
        <w:t>We</w:t>
      </w:r>
      <w:r w:rsidR="00EB0D3E" w:rsidRPr="00DC6667">
        <w:rPr>
          <w:rFonts w:eastAsia="Arial" w:cstheme="minorHAnsi"/>
        </w:rPr>
        <w:t xml:space="preserve"> recognise that arrangements in relation to a consortium bid may be subject to future change. </w:t>
      </w:r>
      <w:r w:rsidR="00914DE6">
        <w:rPr>
          <w:rFonts w:cs="Arial"/>
        </w:rPr>
        <w:t>Potential Providers</w:t>
      </w:r>
      <w:r w:rsidR="00EB0D3E" w:rsidRPr="00DC6667">
        <w:rPr>
          <w:rFonts w:eastAsia="Arial" w:cstheme="minorHAnsi"/>
        </w:rPr>
        <w:t xml:space="preserve"> should therefore respond on the basis of the arrangements as currently envisaged. </w:t>
      </w:r>
      <w:r w:rsidR="00914DE6">
        <w:rPr>
          <w:rFonts w:cs="Arial"/>
        </w:rPr>
        <w:t>Potential Providers</w:t>
      </w:r>
      <w:r w:rsidR="00EB0D3E" w:rsidRPr="00DC6667">
        <w:rPr>
          <w:rFonts w:eastAsia="Arial" w:cstheme="minorHAnsi"/>
        </w:rPr>
        <w:t xml:space="preserve"> are reminded that </w:t>
      </w:r>
      <w:r w:rsidR="00914DE6">
        <w:rPr>
          <w:rFonts w:eastAsia="Arial" w:cstheme="minorHAnsi"/>
        </w:rPr>
        <w:t>HealthTrust Europe</w:t>
      </w:r>
      <w:r w:rsidR="00EB0D3E" w:rsidRPr="00DC6667">
        <w:rPr>
          <w:rFonts w:eastAsia="Arial" w:cstheme="minorHAnsi"/>
        </w:rPr>
        <w:t xml:space="preserve"> must be immediately notified of any changes, or proposed changes, in relation to the bidding model so that a further assessment can be carried out by applying the selection criteria to the new information provided. </w:t>
      </w:r>
      <w:r w:rsidR="00914DE6">
        <w:rPr>
          <w:rFonts w:eastAsia="Arial" w:cstheme="minorHAnsi"/>
        </w:rPr>
        <w:t xml:space="preserve"> HealthTrust Europe</w:t>
      </w:r>
      <w:r w:rsidR="00EB0D3E" w:rsidRPr="00DC6667">
        <w:rPr>
          <w:rFonts w:eastAsia="Arial" w:cstheme="minorHAnsi"/>
        </w:rPr>
        <w:t xml:space="preserve"> reserves the right to deselect the </w:t>
      </w:r>
      <w:r w:rsidR="00914DE6">
        <w:rPr>
          <w:rFonts w:cs="Arial"/>
        </w:rPr>
        <w:t>Potential Providers</w:t>
      </w:r>
      <w:r w:rsidR="00914DE6" w:rsidRPr="00D75B1D">
        <w:rPr>
          <w:rFonts w:cs="Arial"/>
          <w:lang w:val="en-US"/>
        </w:rPr>
        <w:t xml:space="preserve"> </w:t>
      </w:r>
      <w:r w:rsidR="00EB0D3E" w:rsidRPr="00DC6667">
        <w:rPr>
          <w:rFonts w:eastAsia="Arial" w:cstheme="minorHAnsi"/>
        </w:rPr>
        <w:t>prior to any award of contract, based on an assessment of the updated information</w:t>
      </w:r>
      <w:r w:rsidR="00E306BE">
        <w:rPr>
          <w:rFonts w:eastAsia="Arial" w:cstheme="minorHAnsi"/>
        </w:rPr>
        <w:t>.</w:t>
      </w:r>
    </w:p>
    <w:p w14:paraId="2DF576A5" w14:textId="77777777" w:rsidR="003E7897" w:rsidRPr="002021E7" w:rsidRDefault="003E7897" w:rsidP="00E306BE">
      <w:pPr>
        <w:spacing w:afterLines="200" w:after="480" w:line="360" w:lineRule="auto"/>
        <w:ind w:left="1080" w:right="-24"/>
        <w:jc w:val="both"/>
        <w:rPr>
          <w:b/>
          <w:color w:val="1B365D"/>
          <w:sz w:val="28"/>
        </w:rPr>
      </w:pPr>
      <w:r>
        <w:rPr>
          <w:b/>
          <w:color w:val="1B365D"/>
          <w:sz w:val="28"/>
        </w:rPr>
        <w:t>Indicative Programme</w:t>
      </w:r>
      <w:r>
        <w:t xml:space="preserve"> </w:t>
      </w:r>
    </w:p>
    <w:p w14:paraId="3CD575E7" w14:textId="77777777" w:rsidR="00293FDE" w:rsidRPr="00244568" w:rsidRDefault="00293FDE" w:rsidP="005F3878">
      <w:pPr>
        <w:pStyle w:val="BlockText"/>
        <w:spacing w:before="100" w:beforeAutospacing="1" w:after="200" w:line="360" w:lineRule="auto"/>
        <w:ind w:left="720" w:right="34"/>
        <w:jc w:val="both"/>
        <w:rPr>
          <w:rFonts w:asciiTheme="minorHAnsi" w:hAnsiTheme="minorHAnsi" w:cstheme="minorHAnsi"/>
          <w:sz w:val="22"/>
          <w:szCs w:val="22"/>
        </w:rPr>
      </w:pPr>
      <w:r w:rsidRPr="00244568">
        <w:rPr>
          <w:rFonts w:asciiTheme="minorHAnsi" w:hAnsiTheme="minorHAnsi" w:cstheme="minorHAnsi"/>
          <w:sz w:val="22"/>
          <w:szCs w:val="22"/>
        </w:rPr>
        <w:t>Set out below is the proposed procurement timetable</w:t>
      </w:r>
      <w:r w:rsidRPr="00244568">
        <w:rPr>
          <w:rFonts w:asciiTheme="minorHAnsi" w:hAnsiTheme="minorHAnsi" w:cstheme="minorHAnsi"/>
          <w:i/>
          <w:iCs/>
          <w:sz w:val="22"/>
          <w:szCs w:val="22"/>
        </w:rPr>
        <w:t xml:space="preserve">. </w:t>
      </w:r>
      <w:r w:rsidRPr="00244568">
        <w:rPr>
          <w:rFonts w:asciiTheme="minorHAnsi" w:hAnsiTheme="minorHAnsi" w:cstheme="minorHAnsi"/>
          <w:sz w:val="22"/>
          <w:szCs w:val="22"/>
        </w:rPr>
        <w:t>This is intended as a guide and, whilst HealthTrust Europe does not intend to depart from the timetable, it reserves the right to do so at any time.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2693"/>
      </w:tblGrid>
      <w:tr w:rsidR="00293FDE" w:rsidRPr="00244568" w14:paraId="2479EFA9" w14:textId="77777777" w:rsidTr="00117EA5">
        <w:trPr>
          <w:trHeight w:val="367"/>
        </w:trPr>
        <w:tc>
          <w:tcPr>
            <w:tcW w:w="5812" w:type="dxa"/>
            <w:tcBorders>
              <w:top w:val="single" w:sz="4" w:space="0" w:color="auto"/>
              <w:left w:val="single" w:sz="4" w:space="0" w:color="auto"/>
              <w:bottom w:val="single" w:sz="4" w:space="0" w:color="auto"/>
              <w:right w:val="single" w:sz="4" w:space="0" w:color="auto"/>
            </w:tcBorders>
            <w:shd w:val="clear" w:color="auto" w:fill="FFC000"/>
            <w:vAlign w:val="center"/>
          </w:tcPr>
          <w:p w14:paraId="6418F037" w14:textId="77777777" w:rsidR="00293FDE" w:rsidRPr="00244568" w:rsidRDefault="00293FDE" w:rsidP="0078661C">
            <w:pPr>
              <w:pStyle w:val="Header"/>
              <w:tabs>
                <w:tab w:val="left" w:pos="720"/>
              </w:tabs>
              <w:spacing w:before="100" w:beforeAutospacing="1" w:after="120"/>
              <w:jc w:val="center"/>
              <w:rPr>
                <w:rFonts w:cstheme="minorHAnsi"/>
              </w:rPr>
            </w:pPr>
            <w:r w:rsidRPr="00244568">
              <w:rPr>
                <w:rFonts w:cstheme="minorHAnsi"/>
              </w:rPr>
              <w:t>Activity</w:t>
            </w:r>
          </w:p>
        </w:tc>
        <w:tc>
          <w:tcPr>
            <w:tcW w:w="2693" w:type="dxa"/>
            <w:tcBorders>
              <w:top w:val="single" w:sz="4" w:space="0" w:color="auto"/>
              <w:left w:val="single" w:sz="4" w:space="0" w:color="auto"/>
              <w:bottom w:val="single" w:sz="4" w:space="0" w:color="auto"/>
              <w:right w:val="single" w:sz="4" w:space="0" w:color="auto"/>
            </w:tcBorders>
            <w:shd w:val="clear" w:color="auto" w:fill="FFC000"/>
            <w:vAlign w:val="center"/>
          </w:tcPr>
          <w:p w14:paraId="2BC44AE5" w14:textId="77777777" w:rsidR="00293FDE" w:rsidRPr="00244568" w:rsidRDefault="00293FDE" w:rsidP="0078661C">
            <w:pPr>
              <w:pStyle w:val="Header"/>
              <w:tabs>
                <w:tab w:val="left" w:pos="720"/>
              </w:tabs>
              <w:spacing w:before="100" w:beforeAutospacing="1" w:after="120"/>
              <w:jc w:val="center"/>
              <w:rPr>
                <w:rFonts w:cstheme="minorHAnsi"/>
              </w:rPr>
            </w:pPr>
            <w:r w:rsidRPr="00244568">
              <w:rPr>
                <w:rFonts w:cstheme="minorHAnsi"/>
              </w:rPr>
              <w:t>Date</w:t>
            </w:r>
          </w:p>
        </w:tc>
      </w:tr>
      <w:tr w:rsidR="00293FDE" w:rsidRPr="00244568" w14:paraId="777AED58" w14:textId="77777777" w:rsidTr="00117EA5">
        <w:tc>
          <w:tcPr>
            <w:tcW w:w="5812" w:type="dxa"/>
            <w:tcBorders>
              <w:top w:val="single" w:sz="4" w:space="0" w:color="auto"/>
              <w:left w:val="single" w:sz="4" w:space="0" w:color="auto"/>
              <w:bottom w:val="single" w:sz="4" w:space="0" w:color="auto"/>
              <w:right w:val="single" w:sz="4" w:space="0" w:color="auto"/>
            </w:tcBorders>
            <w:vAlign w:val="center"/>
          </w:tcPr>
          <w:p w14:paraId="74EBF045" w14:textId="77777777" w:rsidR="00293FDE" w:rsidRPr="00244568" w:rsidRDefault="00293FDE" w:rsidP="0078661C">
            <w:pPr>
              <w:pStyle w:val="Header"/>
              <w:tabs>
                <w:tab w:val="left" w:pos="1701"/>
              </w:tabs>
              <w:spacing w:before="100" w:beforeAutospacing="1" w:after="120"/>
              <w:jc w:val="both"/>
              <w:rPr>
                <w:rFonts w:cstheme="minorHAnsi"/>
                <w:bCs/>
              </w:rPr>
            </w:pPr>
            <w:r w:rsidRPr="00244568">
              <w:rPr>
                <w:rFonts w:cstheme="minorHAnsi"/>
              </w:rPr>
              <w:t>Publication of OJEU Notice &amp; Issue of PQQ Document</w:t>
            </w:r>
          </w:p>
        </w:tc>
        <w:tc>
          <w:tcPr>
            <w:tcW w:w="2693" w:type="dxa"/>
            <w:tcBorders>
              <w:top w:val="single" w:sz="4" w:space="0" w:color="auto"/>
              <w:left w:val="single" w:sz="4" w:space="0" w:color="auto"/>
              <w:bottom w:val="single" w:sz="4" w:space="0" w:color="auto"/>
              <w:right w:val="single" w:sz="4" w:space="0" w:color="auto"/>
            </w:tcBorders>
            <w:vAlign w:val="center"/>
          </w:tcPr>
          <w:p w14:paraId="1A6D8B05" w14:textId="3EDCDE1D" w:rsidR="00293FDE" w:rsidRPr="00112F51" w:rsidRDefault="008A2814" w:rsidP="00112F51">
            <w:pPr>
              <w:pStyle w:val="Header"/>
              <w:tabs>
                <w:tab w:val="left" w:pos="720"/>
              </w:tabs>
              <w:spacing w:before="100" w:beforeAutospacing="1" w:after="120"/>
              <w:jc w:val="center"/>
              <w:rPr>
                <w:rFonts w:cstheme="minorHAnsi"/>
                <w:highlight w:val="yellow"/>
              </w:rPr>
            </w:pPr>
            <w:r>
              <w:rPr>
                <w:rFonts w:cstheme="minorHAnsi"/>
              </w:rPr>
              <w:t>16</w:t>
            </w:r>
            <w:r w:rsidR="000846AE" w:rsidRPr="000846AE">
              <w:rPr>
                <w:rFonts w:cstheme="minorHAnsi"/>
                <w:vertAlign w:val="superscript"/>
              </w:rPr>
              <w:t>th</w:t>
            </w:r>
            <w:r w:rsidR="000846AE">
              <w:rPr>
                <w:rFonts w:cstheme="minorHAnsi"/>
              </w:rPr>
              <w:t xml:space="preserve"> December</w:t>
            </w:r>
            <w:r w:rsidR="0020408F">
              <w:rPr>
                <w:rFonts w:cstheme="minorHAnsi"/>
              </w:rPr>
              <w:t xml:space="preserve"> 2015</w:t>
            </w:r>
          </w:p>
        </w:tc>
      </w:tr>
      <w:tr w:rsidR="00293FDE" w:rsidRPr="00244568" w14:paraId="1702E1AF" w14:textId="77777777" w:rsidTr="00117EA5">
        <w:tc>
          <w:tcPr>
            <w:tcW w:w="5812" w:type="dxa"/>
            <w:tcBorders>
              <w:top w:val="single" w:sz="4" w:space="0" w:color="auto"/>
              <w:left w:val="single" w:sz="4" w:space="0" w:color="auto"/>
              <w:bottom w:val="single" w:sz="4" w:space="0" w:color="auto"/>
              <w:right w:val="single" w:sz="4" w:space="0" w:color="auto"/>
            </w:tcBorders>
            <w:vAlign w:val="center"/>
          </w:tcPr>
          <w:p w14:paraId="41F04174" w14:textId="77777777" w:rsidR="00293FDE" w:rsidRPr="00244568" w:rsidRDefault="00293FDE" w:rsidP="0078661C">
            <w:pPr>
              <w:pStyle w:val="Header"/>
              <w:tabs>
                <w:tab w:val="left" w:pos="1701"/>
              </w:tabs>
              <w:spacing w:before="100" w:beforeAutospacing="1" w:after="120"/>
              <w:jc w:val="both"/>
              <w:rPr>
                <w:rFonts w:cstheme="minorHAnsi"/>
                <w:bCs/>
              </w:rPr>
            </w:pPr>
            <w:r w:rsidRPr="00244568">
              <w:rPr>
                <w:rFonts w:cstheme="minorHAnsi"/>
                <w:bCs/>
              </w:rPr>
              <w:t>Deadline for Submission of PQQ</w:t>
            </w:r>
          </w:p>
        </w:tc>
        <w:tc>
          <w:tcPr>
            <w:tcW w:w="2693" w:type="dxa"/>
            <w:tcBorders>
              <w:top w:val="single" w:sz="4" w:space="0" w:color="auto"/>
              <w:left w:val="single" w:sz="4" w:space="0" w:color="auto"/>
              <w:bottom w:val="single" w:sz="4" w:space="0" w:color="auto"/>
              <w:right w:val="single" w:sz="4" w:space="0" w:color="auto"/>
            </w:tcBorders>
            <w:vAlign w:val="center"/>
          </w:tcPr>
          <w:p w14:paraId="390BDBFA" w14:textId="0ADA4F44" w:rsidR="00293FDE" w:rsidRPr="00112F51" w:rsidRDefault="008A2814" w:rsidP="00112F51">
            <w:pPr>
              <w:pStyle w:val="Header"/>
              <w:tabs>
                <w:tab w:val="left" w:pos="720"/>
              </w:tabs>
              <w:spacing w:before="100" w:beforeAutospacing="1" w:after="120"/>
              <w:jc w:val="center"/>
              <w:rPr>
                <w:rFonts w:cstheme="minorHAnsi"/>
                <w:highlight w:val="yellow"/>
              </w:rPr>
            </w:pPr>
            <w:r>
              <w:rPr>
                <w:rFonts w:cstheme="minorHAnsi"/>
              </w:rPr>
              <w:t>15</w:t>
            </w:r>
            <w:r w:rsidR="000846AE" w:rsidRPr="000846AE">
              <w:rPr>
                <w:rFonts w:cstheme="minorHAnsi"/>
                <w:vertAlign w:val="superscript"/>
              </w:rPr>
              <w:t>th</w:t>
            </w:r>
            <w:r w:rsidR="000846AE">
              <w:rPr>
                <w:rFonts w:cstheme="minorHAnsi"/>
              </w:rPr>
              <w:t xml:space="preserve">  January 2016</w:t>
            </w:r>
          </w:p>
        </w:tc>
      </w:tr>
      <w:tr w:rsidR="00293FDE" w:rsidRPr="00244568" w14:paraId="254F1761" w14:textId="77777777" w:rsidTr="00117EA5">
        <w:tc>
          <w:tcPr>
            <w:tcW w:w="5812" w:type="dxa"/>
            <w:tcBorders>
              <w:top w:val="single" w:sz="4" w:space="0" w:color="auto"/>
              <w:left w:val="single" w:sz="4" w:space="0" w:color="auto"/>
              <w:bottom w:val="single" w:sz="4" w:space="0" w:color="auto"/>
              <w:right w:val="single" w:sz="4" w:space="0" w:color="auto"/>
            </w:tcBorders>
            <w:vAlign w:val="center"/>
          </w:tcPr>
          <w:p w14:paraId="6498C493" w14:textId="77777777" w:rsidR="00293FDE" w:rsidRPr="00244568" w:rsidRDefault="00293FDE" w:rsidP="0078661C">
            <w:pPr>
              <w:pStyle w:val="Header"/>
              <w:tabs>
                <w:tab w:val="left" w:pos="1701"/>
              </w:tabs>
              <w:spacing w:before="100" w:beforeAutospacing="1" w:after="120"/>
              <w:jc w:val="both"/>
              <w:rPr>
                <w:rFonts w:cstheme="minorHAnsi"/>
                <w:bCs/>
              </w:rPr>
            </w:pPr>
            <w:r w:rsidRPr="00244568">
              <w:rPr>
                <w:rFonts w:cstheme="minorHAnsi"/>
              </w:rPr>
              <w:t>PPQ Evaluation Period</w:t>
            </w:r>
          </w:p>
        </w:tc>
        <w:tc>
          <w:tcPr>
            <w:tcW w:w="2693" w:type="dxa"/>
            <w:tcBorders>
              <w:top w:val="single" w:sz="4" w:space="0" w:color="auto"/>
              <w:left w:val="single" w:sz="4" w:space="0" w:color="auto"/>
              <w:bottom w:val="single" w:sz="4" w:space="0" w:color="auto"/>
              <w:right w:val="single" w:sz="4" w:space="0" w:color="auto"/>
            </w:tcBorders>
            <w:vAlign w:val="center"/>
          </w:tcPr>
          <w:p w14:paraId="53BA189D" w14:textId="2BE6E546" w:rsidR="00293FDE" w:rsidRPr="00112F51" w:rsidRDefault="008A2814" w:rsidP="000846AE">
            <w:pPr>
              <w:pStyle w:val="Header"/>
              <w:tabs>
                <w:tab w:val="left" w:pos="720"/>
              </w:tabs>
              <w:spacing w:before="100" w:beforeAutospacing="1" w:after="120"/>
              <w:jc w:val="center"/>
              <w:rPr>
                <w:rFonts w:cstheme="minorHAnsi"/>
                <w:highlight w:val="yellow"/>
              </w:rPr>
            </w:pPr>
            <w:r>
              <w:rPr>
                <w:rFonts w:cstheme="minorHAnsi"/>
              </w:rPr>
              <w:t>15</w:t>
            </w:r>
            <w:r w:rsidR="000846AE" w:rsidRPr="000846AE">
              <w:rPr>
                <w:rFonts w:cstheme="minorHAnsi"/>
                <w:vertAlign w:val="superscript"/>
              </w:rPr>
              <w:t>th</w:t>
            </w:r>
            <w:r>
              <w:rPr>
                <w:rFonts w:cstheme="minorHAnsi"/>
              </w:rPr>
              <w:t xml:space="preserve"> January to </w:t>
            </w:r>
            <w:r w:rsidR="00A11794">
              <w:rPr>
                <w:rFonts w:cstheme="minorHAnsi"/>
              </w:rPr>
              <w:t>5</w:t>
            </w:r>
            <w:r w:rsidRPr="008A2814">
              <w:rPr>
                <w:rFonts w:cstheme="minorHAnsi"/>
                <w:vertAlign w:val="superscript"/>
              </w:rPr>
              <w:t>th</w:t>
            </w:r>
            <w:r>
              <w:rPr>
                <w:rFonts w:cstheme="minorHAnsi"/>
              </w:rPr>
              <w:t xml:space="preserve"> February</w:t>
            </w:r>
            <w:r w:rsidR="000846AE">
              <w:rPr>
                <w:rFonts w:cstheme="minorHAnsi"/>
              </w:rPr>
              <w:t xml:space="preserve"> 2016</w:t>
            </w:r>
            <w:r w:rsidR="0020408F">
              <w:rPr>
                <w:rFonts w:cstheme="minorHAnsi"/>
              </w:rPr>
              <w:t xml:space="preserve"> </w:t>
            </w:r>
          </w:p>
        </w:tc>
      </w:tr>
      <w:tr w:rsidR="00293FDE" w:rsidRPr="00244568" w14:paraId="1AD173EC" w14:textId="77777777" w:rsidTr="00117EA5">
        <w:tc>
          <w:tcPr>
            <w:tcW w:w="5812" w:type="dxa"/>
            <w:tcBorders>
              <w:top w:val="single" w:sz="4" w:space="0" w:color="auto"/>
              <w:left w:val="single" w:sz="4" w:space="0" w:color="auto"/>
              <w:bottom w:val="single" w:sz="4" w:space="0" w:color="auto"/>
              <w:right w:val="single" w:sz="4" w:space="0" w:color="auto"/>
            </w:tcBorders>
            <w:vAlign w:val="center"/>
          </w:tcPr>
          <w:p w14:paraId="66409DA2" w14:textId="77777777" w:rsidR="00293FDE" w:rsidRPr="00244568" w:rsidRDefault="00293FDE" w:rsidP="0078661C">
            <w:pPr>
              <w:pStyle w:val="Header"/>
              <w:tabs>
                <w:tab w:val="left" w:pos="1701"/>
              </w:tabs>
              <w:spacing w:before="100" w:beforeAutospacing="1" w:after="120"/>
              <w:jc w:val="both"/>
              <w:rPr>
                <w:rFonts w:cstheme="minorHAnsi"/>
                <w:bCs/>
              </w:rPr>
            </w:pPr>
            <w:r w:rsidRPr="00244568">
              <w:rPr>
                <w:rFonts w:cstheme="minorHAnsi"/>
                <w:bCs/>
              </w:rPr>
              <w:t xml:space="preserve">Tender Invitation (Successful PQQ applicants) </w:t>
            </w:r>
          </w:p>
        </w:tc>
        <w:tc>
          <w:tcPr>
            <w:tcW w:w="2693" w:type="dxa"/>
            <w:tcBorders>
              <w:top w:val="single" w:sz="4" w:space="0" w:color="auto"/>
              <w:left w:val="single" w:sz="4" w:space="0" w:color="auto"/>
              <w:bottom w:val="single" w:sz="4" w:space="0" w:color="auto"/>
              <w:right w:val="single" w:sz="4" w:space="0" w:color="auto"/>
            </w:tcBorders>
            <w:vAlign w:val="center"/>
          </w:tcPr>
          <w:p w14:paraId="57EC2EEF" w14:textId="2F6A03B2" w:rsidR="00293FDE" w:rsidRPr="00244568" w:rsidRDefault="00A11794" w:rsidP="0078661C">
            <w:pPr>
              <w:pStyle w:val="Header"/>
              <w:tabs>
                <w:tab w:val="left" w:pos="720"/>
              </w:tabs>
              <w:spacing w:before="100" w:beforeAutospacing="1" w:after="120"/>
              <w:jc w:val="center"/>
              <w:rPr>
                <w:rFonts w:cstheme="minorHAnsi"/>
                <w:highlight w:val="yellow"/>
              </w:rPr>
            </w:pPr>
            <w:r w:rsidRPr="00A11794">
              <w:rPr>
                <w:rFonts w:cstheme="minorHAnsi"/>
              </w:rPr>
              <w:t>5</w:t>
            </w:r>
            <w:r w:rsidR="008A2814" w:rsidRPr="00A11794">
              <w:rPr>
                <w:rFonts w:cstheme="minorHAnsi"/>
                <w:vertAlign w:val="superscript"/>
              </w:rPr>
              <w:t>th</w:t>
            </w:r>
            <w:r w:rsidR="008A2814" w:rsidRPr="00A11794">
              <w:rPr>
                <w:rFonts w:cstheme="minorHAnsi"/>
              </w:rPr>
              <w:t xml:space="preserve"> February</w:t>
            </w:r>
            <w:r w:rsidR="0020408F" w:rsidRPr="00A11794">
              <w:rPr>
                <w:rFonts w:cstheme="minorHAnsi"/>
              </w:rPr>
              <w:t xml:space="preserve"> 2016</w:t>
            </w:r>
          </w:p>
        </w:tc>
      </w:tr>
      <w:tr w:rsidR="00293FDE" w:rsidRPr="00244568" w14:paraId="6383732E" w14:textId="77777777" w:rsidTr="00117EA5">
        <w:tc>
          <w:tcPr>
            <w:tcW w:w="5812" w:type="dxa"/>
            <w:tcBorders>
              <w:top w:val="single" w:sz="4" w:space="0" w:color="auto"/>
              <w:left w:val="single" w:sz="4" w:space="0" w:color="auto"/>
              <w:bottom w:val="single" w:sz="4" w:space="0" w:color="auto"/>
              <w:right w:val="single" w:sz="4" w:space="0" w:color="auto"/>
            </w:tcBorders>
            <w:vAlign w:val="center"/>
          </w:tcPr>
          <w:p w14:paraId="7058EA31" w14:textId="77777777" w:rsidR="00293FDE" w:rsidRPr="00244568" w:rsidRDefault="00293FDE" w:rsidP="0078661C">
            <w:pPr>
              <w:pStyle w:val="Header"/>
              <w:tabs>
                <w:tab w:val="left" w:pos="1701"/>
              </w:tabs>
              <w:spacing w:before="100" w:beforeAutospacing="1" w:after="120"/>
              <w:jc w:val="both"/>
              <w:rPr>
                <w:rFonts w:cstheme="minorHAnsi"/>
              </w:rPr>
            </w:pPr>
            <w:r w:rsidRPr="00244568">
              <w:rPr>
                <w:rFonts w:cstheme="minorHAnsi"/>
                <w:bCs/>
              </w:rPr>
              <w:t>Tender Return</w:t>
            </w:r>
          </w:p>
        </w:tc>
        <w:tc>
          <w:tcPr>
            <w:tcW w:w="2693" w:type="dxa"/>
            <w:tcBorders>
              <w:top w:val="single" w:sz="4" w:space="0" w:color="auto"/>
              <w:left w:val="single" w:sz="4" w:space="0" w:color="auto"/>
              <w:bottom w:val="single" w:sz="4" w:space="0" w:color="auto"/>
              <w:right w:val="single" w:sz="4" w:space="0" w:color="auto"/>
            </w:tcBorders>
            <w:vAlign w:val="center"/>
          </w:tcPr>
          <w:p w14:paraId="1E1D4241" w14:textId="70BAAD87" w:rsidR="00293FDE" w:rsidRPr="00A11794" w:rsidRDefault="00A11794" w:rsidP="00A11794">
            <w:pPr>
              <w:pStyle w:val="Header"/>
              <w:tabs>
                <w:tab w:val="left" w:pos="720"/>
              </w:tabs>
              <w:spacing w:before="100" w:beforeAutospacing="1" w:after="120"/>
              <w:rPr>
                <w:rFonts w:cstheme="minorHAnsi"/>
              </w:rPr>
            </w:pPr>
            <w:r>
              <w:rPr>
                <w:rFonts w:cstheme="minorHAnsi"/>
              </w:rPr>
              <w:t xml:space="preserve"> 7</w:t>
            </w:r>
            <w:r w:rsidRPr="00A11794">
              <w:rPr>
                <w:rFonts w:cstheme="minorHAnsi"/>
                <w:vertAlign w:val="superscript"/>
              </w:rPr>
              <w:t>th</w:t>
            </w:r>
            <w:r>
              <w:rPr>
                <w:rFonts w:cstheme="minorHAnsi"/>
              </w:rPr>
              <w:t xml:space="preserve"> March</w:t>
            </w:r>
            <w:r w:rsidR="0020408F">
              <w:rPr>
                <w:rFonts w:cstheme="minorHAnsi"/>
              </w:rPr>
              <w:t xml:space="preserve"> 2016</w:t>
            </w:r>
          </w:p>
        </w:tc>
      </w:tr>
      <w:tr w:rsidR="00293FDE" w:rsidRPr="00244568" w14:paraId="2F8F20F3" w14:textId="77777777" w:rsidTr="00117EA5">
        <w:tc>
          <w:tcPr>
            <w:tcW w:w="5812" w:type="dxa"/>
            <w:tcBorders>
              <w:top w:val="single" w:sz="4" w:space="0" w:color="auto"/>
              <w:left w:val="single" w:sz="4" w:space="0" w:color="auto"/>
              <w:bottom w:val="single" w:sz="4" w:space="0" w:color="auto"/>
              <w:right w:val="single" w:sz="4" w:space="0" w:color="auto"/>
            </w:tcBorders>
            <w:vAlign w:val="center"/>
          </w:tcPr>
          <w:p w14:paraId="44E6950F" w14:textId="77777777" w:rsidR="00293FDE" w:rsidRPr="00244568" w:rsidRDefault="00293FDE" w:rsidP="0078661C">
            <w:pPr>
              <w:pStyle w:val="Header"/>
              <w:tabs>
                <w:tab w:val="left" w:pos="1701"/>
              </w:tabs>
              <w:spacing w:before="100" w:beforeAutospacing="1" w:after="120"/>
              <w:jc w:val="both"/>
              <w:rPr>
                <w:rFonts w:cstheme="minorHAnsi"/>
                <w:bCs/>
              </w:rPr>
            </w:pPr>
            <w:r w:rsidRPr="00244568">
              <w:rPr>
                <w:rFonts w:cstheme="minorHAnsi"/>
                <w:bCs/>
              </w:rPr>
              <w:t>Tender Evaluation Period</w:t>
            </w:r>
          </w:p>
        </w:tc>
        <w:tc>
          <w:tcPr>
            <w:tcW w:w="2693" w:type="dxa"/>
            <w:tcBorders>
              <w:top w:val="single" w:sz="4" w:space="0" w:color="auto"/>
              <w:left w:val="single" w:sz="4" w:space="0" w:color="auto"/>
              <w:bottom w:val="single" w:sz="4" w:space="0" w:color="auto"/>
              <w:right w:val="single" w:sz="4" w:space="0" w:color="auto"/>
            </w:tcBorders>
            <w:vAlign w:val="center"/>
          </w:tcPr>
          <w:p w14:paraId="5CF1491F" w14:textId="1A867273" w:rsidR="00293FDE" w:rsidRPr="00112F51" w:rsidRDefault="00A11794" w:rsidP="00A11794">
            <w:pPr>
              <w:pStyle w:val="Header"/>
              <w:tabs>
                <w:tab w:val="left" w:pos="720"/>
              </w:tabs>
              <w:spacing w:before="100" w:beforeAutospacing="1" w:after="120"/>
              <w:rPr>
                <w:rFonts w:cstheme="minorHAnsi"/>
              </w:rPr>
            </w:pPr>
            <w:r>
              <w:rPr>
                <w:rFonts w:cstheme="minorHAnsi"/>
              </w:rPr>
              <w:t>7</w:t>
            </w:r>
            <w:r w:rsidRPr="00A11794">
              <w:rPr>
                <w:rFonts w:cstheme="minorHAnsi"/>
                <w:vertAlign w:val="superscript"/>
              </w:rPr>
              <w:t>th</w:t>
            </w:r>
            <w:r>
              <w:rPr>
                <w:rFonts w:cstheme="minorHAnsi"/>
              </w:rPr>
              <w:t xml:space="preserve"> March 2016-28</w:t>
            </w:r>
            <w:r w:rsidR="0020408F" w:rsidRPr="00117EA5">
              <w:rPr>
                <w:rFonts w:cstheme="minorHAnsi"/>
                <w:vertAlign w:val="superscript"/>
              </w:rPr>
              <w:t>th</w:t>
            </w:r>
            <w:r w:rsidR="000846AE">
              <w:rPr>
                <w:rFonts w:cstheme="minorHAnsi"/>
              </w:rPr>
              <w:t xml:space="preserve"> March</w:t>
            </w:r>
            <w:r w:rsidR="0020408F">
              <w:rPr>
                <w:rFonts w:cstheme="minorHAnsi"/>
              </w:rPr>
              <w:t xml:space="preserve"> 2016</w:t>
            </w:r>
          </w:p>
        </w:tc>
      </w:tr>
      <w:tr w:rsidR="00293FDE" w:rsidRPr="00244568" w14:paraId="0E5F3E2D" w14:textId="77777777" w:rsidTr="00117EA5">
        <w:tc>
          <w:tcPr>
            <w:tcW w:w="5812" w:type="dxa"/>
            <w:tcBorders>
              <w:top w:val="single" w:sz="4" w:space="0" w:color="auto"/>
              <w:left w:val="single" w:sz="4" w:space="0" w:color="auto"/>
              <w:bottom w:val="single" w:sz="4" w:space="0" w:color="auto"/>
              <w:right w:val="single" w:sz="4" w:space="0" w:color="auto"/>
            </w:tcBorders>
            <w:vAlign w:val="center"/>
          </w:tcPr>
          <w:p w14:paraId="20EFD954" w14:textId="77777777" w:rsidR="00293FDE" w:rsidRPr="00244568" w:rsidRDefault="00293FDE" w:rsidP="0078661C">
            <w:pPr>
              <w:pStyle w:val="Header"/>
              <w:tabs>
                <w:tab w:val="left" w:pos="1701"/>
              </w:tabs>
              <w:spacing w:before="100" w:beforeAutospacing="1" w:after="120"/>
              <w:jc w:val="both"/>
              <w:rPr>
                <w:rFonts w:cstheme="minorHAnsi"/>
                <w:bCs/>
              </w:rPr>
            </w:pPr>
            <w:r w:rsidRPr="00244568">
              <w:rPr>
                <w:rFonts w:cstheme="minorHAnsi"/>
                <w:bCs/>
              </w:rPr>
              <w:t>Contract Award</w:t>
            </w:r>
          </w:p>
        </w:tc>
        <w:tc>
          <w:tcPr>
            <w:tcW w:w="2693" w:type="dxa"/>
            <w:tcBorders>
              <w:top w:val="single" w:sz="4" w:space="0" w:color="auto"/>
              <w:left w:val="single" w:sz="4" w:space="0" w:color="auto"/>
              <w:bottom w:val="single" w:sz="4" w:space="0" w:color="auto"/>
              <w:right w:val="single" w:sz="4" w:space="0" w:color="auto"/>
            </w:tcBorders>
            <w:vAlign w:val="center"/>
          </w:tcPr>
          <w:p w14:paraId="2C713732" w14:textId="51EB8E05" w:rsidR="00293FDE" w:rsidRPr="00244568" w:rsidRDefault="00A11794" w:rsidP="000846AE">
            <w:pPr>
              <w:pStyle w:val="Header"/>
              <w:tabs>
                <w:tab w:val="left" w:pos="720"/>
              </w:tabs>
              <w:spacing w:before="100" w:beforeAutospacing="1" w:after="120"/>
              <w:rPr>
                <w:rFonts w:cstheme="minorHAnsi"/>
                <w:highlight w:val="yellow"/>
              </w:rPr>
            </w:pPr>
            <w:r>
              <w:rPr>
                <w:rFonts w:cstheme="minorHAnsi"/>
              </w:rPr>
              <w:t xml:space="preserve">        8</w:t>
            </w:r>
            <w:r w:rsidR="000846AE" w:rsidRPr="000846AE">
              <w:rPr>
                <w:rFonts w:cstheme="minorHAnsi"/>
                <w:vertAlign w:val="superscript"/>
              </w:rPr>
              <w:t>th</w:t>
            </w:r>
            <w:r w:rsidR="000846AE">
              <w:rPr>
                <w:rFonts w:cstheme="minorHAnsi"/>
                <w:vertAlign w:val="superscript"/>
              </w:rPr>
              <w:t xml:space="preserve"> </w:t>
            </w:r>
            <w:r>
              <w:rPr>
                <w:rFonts w:cstheme="minorHAnsi"/>
              </w:rPr>
              <w:t xml:space="preserve"> April</w:t>
            </w:r>
            <w:r w:rsidR="000846AE">
              <w:rPr>
                <w:rFonts w:cstheme="minorHAnsi"/>
              </w:rPr>
              <w:t xml:space="preserve"> </w:t>
            </w:r>
            <w:r w:rsidR="0020408F">
              <w:rPr>
                <w:rFonts w:cstheme="minorHAnsi"/>
              </w:rPr>
              <w:t>2016</w:t>
            </w:r>
          </w:p>
        </w:tc>
      </w:tr>
      <w:tr w:rsidR="00293FDE" w:rsidRPr="00244568" w14:paraId="77D68A53" w14:textId="77777777" w:rsidTr="00117EA5">
        <w:tc>
          <w:tcPr>
            <w:tcW w:w="5812" w:type="dxa"/>
            <w:tcBorders>
              <w:top w:val="single" w:sz="4" w:space="0" w:color="auto"/>
              <w:left w:val="single" w:sz="4" w:space="0" w:color="auto"/>
              <w:bottom w:val="single" w:sz="4" w:space="0" w:color="auto"/>
              <w:right w:val="single" w:sz="4" w:space="0" w:color="auto"/>
            </w:tcBorders>
            <w:vAlign w:val="center"/>
          </w:tcPr>
          <w:p w14:paraId="76E102FC" w14:textId="77777777" w:rsidR="00293FDE" w:rsidRPr="00244568" w:rsidRDefault="0020408F" w:rsidP="0078661C">
            <w:pPr>
              <w:pStyle w:val="Header"/>
              <w:tabs>
                <w:tab w:val="left" w:pos="1701"/>
              </w:tabs>
              <w:spacing w:before="100" w:beforeAutospacing="1" w:after="120"/>
              <w:jc w:val="both"/>
              <w:rPr>
                <w:rFonts w:cstheme="minorHAnsi"/>
                <w:bCs/>
              </w:rPr>
            </w:pPr>
            <w:r>
              <w:rPr>
                <w:rFonts w:cstheme="minorHAnsi"/>
                <w:bCs/>
              </w:rPr>
              <w:t xml:space="preserve">Expiry of </w:t>
            </w:r>
            <w:r w:rsidR="00293FDE" w:rsidRPr="00244568">
              <w:rPr>
                <w:rFonts w:cstheme="minorHAnsi"/>
                <w:bCs/>
              </w:rPr>
              <w:t>Standstill Period</w:t>
            </w:r>
          </w:p>
        </w:tc>
        <w:tc>
          <w:tcPr>
            <w:tcW w:w="2693" w:type="dxa"/>
            <w:tcBorders>
              <w:top w:val="single" w:sz="4" w:space="0" w:color="auto"/>
              <w:left w:val="single" w:sz="4" w:space="0" w:color="auto"/>
              <w:bottom w:val="single" w:sz="4" w:space="0" w:color="auto"/>
              <w:right w:val="single" w:sz="4" w:space="0" w:color="auto"/>
            </w:tcBorders>
            <w:vAlign w:val="center"/>
          </w:tcPr>
          <w:p w14:paraId="313C780E" w14:textId="42A66EC9" w:rsidR="00293FDE" w:rsidRPr="00244568" w:rsidRDefault="00A11794" w:rsidP="0078661C">
            <w:pPr>
              <w:pStyle w:val="Header"/>
              <w:tabs>
                <w:tab w:val="left" w:pos="720"/>
              </w:tabs>
              <w:spacing w:before="100" w:beforeAutospacing="1" w:after="120"/>
              <w:jc w:val="center"/>
              <w:rPr>
                <w:rFonts w:cstheme="minorHAnsi"/>
                <w:highlight w:val="yellow"/>
              </w:rPr>
            </w:pPr>
            <w:r>
              <w:rPr>
                <w:rFonts w:cstheme="minorHAnsi"/>
              </w:rPr>
              <w:t>8</w:t>
            </w:r>
            <w:r w:rsidR="000846AE">
              <w:rPr>
                <w:rFonts w:cstheme="minorHAnsi"/>
                <w:vertAlign w:val="superscript"/>
              </w:rPr>
              <w:t>th</w:t>
            </w:r>
            <w:r>
              <w:rPr>
                <w:rFonts w:cstheme="minorHAnsi"/>
              </w:rPr>
              <w:t xml:space="preserve"> April</w:t>
            </w:r>
            <w:r w:rsidR="0020408F">
              <w:rPr>
                <w:rFonts w:cstheme="minorHAnsi"/>
              </w:rPr>
              <w:t xml:space="preserve"> 2016</w:t>
            </w:r>
          </w:p>
        </w:tc>
      </w:tr>
      <w:tr w:rsidR="00293FDE" w:rsidRPr="00244568" w14:paraId="4CE1586C" w14:textId="77777777" w:rsidTr="00117EA5">
        <w:tc>
          <w:tcPr>
            <w:tcW w:w="5812" w:type="dxa"/>
            <w:tcBorders>
              <w:top w:val="single" w:sz="4" w:space="0" w:color="auto"/>
              <w:left w:val="single" w:sz="4" w:space="0" w:color="auto"/>
              <w:bottom w:val="single" w:sz="4" w:space="0" w:color="auto"/>
              <w:right w:val="single" w:sz="4" w:space="0" w:color="auto"/>
            </w:tcBorders>
            <w:vAlign w:val="center"/>
          </w:tcPr>
          <w:p w14:paraId="7C8578CD" w14:textId="77777777" w:rsidR="00293FDE" w:rsidRPr="00244568" w:rsidRDefault="00293FDE" w:rsidP="0078661C">
            <w:pPr>
              <w:pStyle w:val="Header"/>
              <w:tabs>
                <w:tab w:val="left" w:pos="1701"/>
              </w:tabs>
              <w:spacing w:before="100" w:beforeAutospacing="1" w:after="120"/>
              <w:jc w:val="both"/>
              <w:rPr>
                <w:rFonts w:cstheme="minorHAnsi"/>
                <w:bCs/>
              </w:rPr>
            </w:pPr>
            <w:r w:rsidRPr="00244568">
              <w:rPr>
                <w:rFonts w:cstheme="minorHAnsi"/>
                <w:bCs/>
              </w:rPr>
              <w:t>Contract Execution</w:t>
            </w:r>
          </w:p>
        </w:tc>
        <w:tc>
          <w:tcPr>
            <w:tcW w:w="2693" w:type="dxa"/>
            <w:tcBorders>
              <w:top w:val="single" w:sz="4" w:space="0" w:color="auto"/>
              <w:left w:val="single" w:sz="4" w:space="0" w:color="auto"/>
              <w:bottom w:val="single" w:sz="4" w:space="0" w:color="auto"/>
              <w:right w:val="single" w:sz="4" w:space="0" w:color="auto"/>
            </w:tcBorders>
            <w:vAlign w:val="center"/>
          </w:tcPr>
          <w:p w14:paraId="27784AFB" w14:textId="0091DE32" w:rsidR="00293FDE" w:rsidRPr="00244568" w:rsidRDefault="00A11794" w:rsidP="0078661C">
            <w:pPr>
              <w:pStyle w:val="Header"/>
              <w:tabs>
                <w:tab w:val="left" w:pos="720"/>
              </w:tabs>
              <w:spacing w:before="100" w:beforeAutospacing="1" w:after="120"/>
              <w:jc w:val="center"/>
              <w:rPr>
                <w:rFonts w:cstheme="minorHAnsi"/>
                <w:highlight w:val="yellow"/>
              </w:rPr>
            </w:pPr>
            <w:r>
              <w:rPr>
                <w:rFonts w:cstheme="minorHAnsi"/>
              </w:rPr>
              <w:t>11</w:t>
            </w:r>
            <w:r w:rsidR="0020408F" w:rsidRPr="00117EA5">
              <w:rPr>
                <w:rFonts w:cstheme="minorHAnsi"/>
                <w:vertAlign w:val="superscript"/>
              </w:rPr>
              <w:t>th</w:t>
            </w:r>
            <w:r>
              <w:rPr>
                <w:rFonts w:cstheme="minorHAnsi"/>
              </w:rPr>
              <w:t xml:space="preserve"> April</w:t>
            </w:r>
            <w:r w:rsidR="0020408F">
              <w:rPr>
                <w:rFonts w:cstheme="minorHAnsi"/>
              </w:rPr>
              <w:t xml:space="preserve"> 2016</w:t>
            </w:r>
          </w:p>
        </w:tc>
      </w:tr>
      <w:tr w:rsidR="00293FDE" w:rsidRPr="00244568" w14:paraId="71B0272B" w14:textId="77777777" w:rsidTr="00117EA5">
        <w:tc>
          <w:tcPr>
            <w:tcW w:w="5812" w:type="dxa"/>
            <w:tcBorders>
              <w:top w:val="single" w:sz="4" w:space="0" w:color="auto"/>
              <w:left w:val="single" w:sz="4" w:space="0" w:color="auto"/>
              <w:bottom w:val="single" w:sz="4" w:space="0" w:color="auto"/>
              <w:right w:val="single" w:sz="4" w:space="0" w:color="auto"/>
            </w:tcBorders>
            <w:vAlign w:val="center"/>
          </w:tcPr>
          <w:p w14:paraId="7C0A0DE2" w14:textId="77777777" w:rsidR="00293FDE" w:rsidRPr="00244568" w:rsidRDefault="00293FDE" w:rsidP="0078661C">
            <w:pPr>
              <w:pStyle w:val="Header"/>
              <w:tabs>
                <w:tab w:val="left" w:pos="1701"/>
              </w:tabs>
              <w:spacing w:before="100" w:beforeAutospacing="1" w:after="120"/>
              <w:jc w:val="both"/>
              <w:rPr>
                <w:rFonts w:cstheme="minorHAnsi"/>
                <w:bCs/>
              </w:rPr>
            </w:pPr>
            <w:r w:rsidRPr="00244568">
              <w:rPr>
                <w:rFonts w:cstheme="minorHAnsi"/>
                <w:bCs/>
              </w:rPr>
              <w:lastRenderedPageBreak/>
              <w:t>Contract Commencement</w:t>
            </w:r>
          </w:p>
        </w:tc>
        <w:tc>
          <w:tcPr>
            <w:tcW w:w="2693" w:type="dxa"/>
            <w:tcBorders>
              <w:top w:val="single" w:sz="4" w:space="0" w:color="auto"/>
              <w:left w:val="single" w:sz="4" w:space="0" w:color="auto"/>
              <w:bottom w:val="single" w:sz="4" w:space="0" w:color="auto"/>
              <w:right w:val="single" w:sz="4" w:space="0" w:color="auto"/>
            </w:tcBorders>
            <w:vAlign w:val="center"/>
          </w:tcPr>
          <w:p w14:paraId="28C39176" w14:textId="661F4AB7" w:rsidR="00293FDE" w:rsidRPr="00244568" w:rsidRDefault="008A4D3F" w:rsidP="0078661C">
            <w:pPr>
              <w:pStyle w:val="Header"/>
              <w:tabs>
                <w:tab w:val="left" w:pos="720"/>
              </w:tabs>
              <w:spacing w:before="100" w:beforeAutospacing="1" w:after="120"/>
              <w:jc w:val="center"/>
              <w:rPr>
                <w:rFonts w:cstheme="minorHAnsi"/>
                <w:highlight w:val="yellow"/>
              </w:rPr>
            </w:pPr>
            <w:r>
              <w:rPr>
                <w:rFonts w:cstheme="minorHAnsi"/>
              </w:rPr>
              <w:t>11</w:t>
            </w:r>
            <w:r w:rsidRPr="008A4D3F">
              <w:rPr>
                <w:rFonts w:cstheme="minorHAnsi"/>
                <w:vertAlign w:val="superscript"/>
              </w:rPr>
              <w:t>th</w:t>
            </w:r>
            <w:r>
              <w:rPr>
                <w:rFonts w:cstheme="minorHAnsi"/>
              </w:rPr>
              <w:t xml:space="preserve"> April</w:t>
            </w:r>
            <w:r w:rsidR="0020408F">
              <w:rPr>
                <w:rFonts w:cstheme="minorHAnsi"/>
              </w:rPr>
              <w:t xml:space="preserve"> 2016</w:t>
            </w:r>
          </w:p>
        </w:tc>
      </w:tr>
      <w:tr w:rsidR="00293FDE" w:rsidRPr="00244568" w14:paraId="78EDE8CC" w14:textId="77777777" w:rsidTr="00117EA5">
        <w:tc>
          <w:tcPr>
            <w:tcW w:w="5812" w:type="dxa"/>
            <w:tcBorders>
              <w:top w:val="single" w:sz="4" w:space="0" w:color="auto"/>
              <w:left w:val="single" w:sz="4" w:space="0" w:color="auto"/>
              <w:bottom w:val="single" w:sz="4" w:space="0" w:color="auto"/>
              <w:right w:val="single" w:sz="4" w:space="0" w:color="auto"/>
            </w:tcBorders>
            <w:vAlign w:val="center"/>
          </w:tcPr>
          <w:p w14:paraId="0DDB8B85" w14:textId="77777777" w:rsidR="00293FDE" w:rsidRPr="00244568" w:rsidRDefault="00293FDE" w:rsidP="0078661C">
            <w:pPr>
              <w:pStyle w:val="Header"/>
              <w:tabs>
                <w:tab w:val="left" w:pos="1701"/>
              </w:tabs>
              <w:spacing w:before="100" w:beforeAutospacing="1" w:after="120"/>
              <w:jc w:val="both"/>
              <w:rPr>
                <w:rFonts w:cstheme="minorHAnsi"/>
                <w:bCs/>
              </w:rPr>
            </w:pPr>
            <w:r w:rsidRPr="00244568">
              <w:rPr>
                <w:rFonts w:cstheme="minorHAnsi"/>
                <w:bCs/>
              </w:rPr>
              <w:t>Contract Period*</w:t>
            </w:r>
          </w:p>
        </w:tc>
        <w:tc>
          <w:tcPr>
            <w:tcW w:w="2693" w:type="dxa"/>
            <w:tcBorders>
              <w:top w:val="single" w:sz="4" w:space="0" w:color="auto"/>
              <w:left w:val="single" w:sz="4" w:space="0" w:color="auto"/>
              <w:bottom w:val="single" w:sz="4" w:space="0" w:color="auto"/>
              <w:right w:val="single" w:sz="4" w:space="0" w:color="auto"/>
            </w:tcBorders>
            <w:vAlign w:val="center"/>
          </w:tcPr>
          <w:p w14:paraId="3A841A33" w14:textId="77777777" w:rsidR="00293FDE" w:rsidRPr="00244568" w:rsidRDefault="00D70094" w:rsidP="00D70094">
            <w:pPr>
              <w:pStyle w:val="Header"/>
              <w:tabs>
                <w:tab w:val="left" w:pos="720"/>
              </w:tabs>
              <w:spacing w:before="100" w:beforeAutospacing="1" w:after="120"/>
              <w:jc w:val="center"/>
              <w:rPr>
                <w:rFonts w:cstheme="minorHAnsi"/>
                <w:highlight w:val="yellow"/>
              </w:rPr>
            </w:pPr>
            <w:r w:rsidRPr="00D70094">
              <w:rPr>
                <w:rFonts w:cstheme="minorHAnsi"/>
              </w:rPr>
              <w:t xml:space="preserve"> 3 </w:t>
            </w:r>
            <w:r w:rsidR="00293FDE" w:rsidRPr="00D70094">
              <w:rPr>
                <w:rFonts w:cstheme="minorHAnsi"/>
              </w:rPr>
              <w:t>years</w:t>
            </w:r>
            <w:r w:rsidRPr="00D70094">
              <w:rPr>
                <w:rFonts w:cstheme="minorHAnsi"/>
              </w:rPr>
              <w:t xml:space="preserve"> </w:t>
            </w:r>
          </w:p>
        </w:tc>
      </w:tr>
      <w:tr w:rsidR="00293FDE" w:rsidRPr="00244568" w14:paraId="4EFD98D4" w14:textId="77777777" w:rsidTr="00117EA5">
        <w:tc>
          <w:tcPr>
            <w:tcW w:w="5812" w:type="dxa"/>
            <w:tcBorders>
              <w:top w:val="single" w:sz="4" w:space="0" w:color="auto"/>
              <w:left w:val="single" w:sz="4" w:space="0" w:color="auto"/>
              <w:bottom w:val="single" w:sz="4" w:space="0" w:color="auto"/>
              <w:right w:val="single" w:sz="4" w:space="0" w:color="auto"/>
            </w:tcBorders>
            <w:vAlign w:val="center"/>
          </w:tcPr>
          <w:p w14:paraId="5A08C4E2" w14:textId="77777777" w:rsidR="00293FDE" w:rsidRPr="00244568" w:rsidRDefault="00293FDE" w:rsidP="0078661C">
            <w:pPr>
              <w:pStyle w:val="Header"/>
              <w:tabs>
                <w:tab w:val="left" w:pos="720"/>
              </w:tabs>
              <w:spacing w:before="100" w:beforeAutospacing="1" w:after="120"/>
              <w:jc w:val="both"/>
              <w:rPr>
                <w:rFonts w:cstheme="minorHAnsi"/>
                <w:bCs/>
              </w:rPr>
            </w:pPr>
            <w:r w:rsidRPr="00244568">
              <w:rPr>
                <w:rFonts w:cstheme="minorHAnsi"/>
                <w:bCs/>
              </w:rPr>
              <w:t>Contract Completion</w:t>
            </w:r>
          </w:p>
        </w:tc>
        <w:tc>
          <w:tcPr>
            <w:tcW w:w="2693" w:type="dxa"/>
            <w:tcBorders>
              <w:top w:val="single" w:sz="4" w:space="0" w:color="auto"/>
              <w:left w:val="single" w:sz="4" w:space="0" w:color="auto"/>
              <w:bottom w:val="single" w:sz="4" w:space="0" w:color="auto"/>
              <w:right w:val="single" w:sz="4" w:space="0" w:color="auto"/>
            </w:tcBorders>
            <w:vAlign w:val="center"/>
          </w:tcPr>
          <w:p w14:paraId="1D75E5CD" w14:textId="59D4F820" w:rsidR="00293FDE" w:rsidRPr="00244568" w:rsidRDefault="008A4D3F" w:rsidP="0078661C">
            <w:pPr>
              <w:pStyle w:val="Header"/>
              <w:tabs>
                <w:tab w:val="left" w:pos="720"/>
              </w:tabs>
              <w:spacing w:before="100" w:beforeAutospacing="1" w:after="120"/>
              <w:jc w:val="center"/>
              <w:rPr>
                <w:rFonts w:cstheme="minorHAnsi"/>
                <w:highlight w:val="yellow"/>
              </w:rPr>
            </w:pPr>
            <w:r>
              <w:rPr>
                <w:rFonts w:cstheme="minorHAnsi"/>
              </w:rPr>
              <w:t>11</w:t>
            </w:r>
            <w:r w:rsidRPr="008A4D3F">
              <w:rPr>
                <w:rFonts w:cstheme="minorHAnsi"/>
                <w:vertAlign w:val="superscript"/>
              </w:rPr>
              <w:t>th</w:t>
            </w:r>
            <w:r>
              <w:rPr>
                <w:rFonts w:cstheme="minorHAnsi"/>
              </w:rPr>
              <w:t xml:space="preserve"> April</w:t>
            </w:r>
            <w:r w:rsidR="0020408F">
              <w:rPr>
                <w:rFonts w:cstheme="minorHAnsi"/>
              </w:rPr>
              <w:t xml:space="preserve"> 2019</w:t>
            </w:r>
          </w:p>
        </w:tc>
      </w:tr>
    </w:tbl>
    <w:p w14:paraId="71DCCF0F" w14:textId="2380664F" w:rsidR="00293FDE" w:rsidRPr="005F3878" w:rsidRDefault="00293FDE" w:rsidP="005F3878">
      <w:pPr>
        <w:pStyle w:val="Header"/>
        <w:tabs>
          <w:tab w:val="left" w:pos="720"/>
        </w:tabs>
        <w:spacing w:before="100" w:beforeAutospacing="1" w:afterLines="200" w:after="480" w:line="360" w:lineRule="auto"/>
        <w:ind w:left="709"/>
        <w:jc w:val="both"/>
        <w:rPr>
          <w:rFonts w:cstheme="minorHAnsi"/>
          <w:b/>
          <w:i/>
        </w:rPr>
      </w:pPr>
      <w:r w:rsidRPr="005F3878">
        <w:rPr>
          <w:rFonts w:cstheme="minorHAnsi"/>
        </w:rPr>
        <w:t xml:space="preserve">* With the option for HealthTrust </w:t>
      </w:r>
      <w:r w:rsidR="003437F3" w:rsidRPr="005F3878">
        <w:rPr>
          <w:rFonts w:cstheme="minorHAnsi"/>
        </w:rPr>
        <w:t>Europe</w:t>
      </w:r>
      <w:r w:rsidR="003437F3">
        <w:rPr>
          <w:rFonts w:cstheme="minorHAnsi"/>
        </w:rPr>
        <w:t xml:space="preserve"> </w:t>
      </w:r>
      <w:r w:rsidR="003437F3" w:rsidRPr="005F3878">
        <w:rPr>
          <w:rFonts w:cstheme="minorHAnsi"/>
        </w:rPr>
        <w:t>to</w:t>
      </w:r>
      <w:r w:rsidRPr="005F3878">
        <w:rPr>
          <w:rFonts w:cstheme="minorHAnsi"/>
        </w:rPr>
        <w:t xml:space="preserve"> extend for up to </w:t>
      </w:r>
      <w:r w:rsidR="00D70094">
        <w:rPr>
          <w:rFonts w:cstheme="minorHAnsi"/>
          <w:iCs/>
        </w:rPr>
        <w:t>12</w:t>
      </w:r>
      <w:r w:rsidR="00D70094">
        <w:rPr>
          <w:rFonts w:cstheme="minorHAnsi"/>
        </w:rPr>
        <w:t xml:space="preserve"> month</w:t>
      </w:r>
      <w:r w:rsidR="0020408F">
        <w:rPr>
          <w:rFonts w:cstheme="minorHAnsi"/>
        </w:rPr>
        <w:t>s</w:t>
      </w:r>
      <w:r w:rsidRPr="00496E42">
        <w:rPr>
          <w:rFonts w:cstheme="minorHAnsi"/>
        </w:rPr>
        <w:t xml:space="preserve">. </w:t>
      </w:r>
    </w:p>
    <w:p w14:paraId="3F006EAE" w14:textId="77777777" w:rsidR="003E7897" w:rsidRPr="005F3878" w:rsidRDefault="003E7897" w:rsidP="005F3878">
      <w:pPr>
        <w:pStyle w:val="ListParagraph"/>
        <w:numPr>
          <w:ilvl w:val="0"/>
          <w:numId w:val="17"/>
        </w:numPr>
        <w:spacing w:afterLines="200" w:after="480" w:line="360" w:lineRule="auto"/>
        <w:contextualSpacing w:val="0"/>
        <w:rPr>
          <w:rFonts w:cstheme="minorHAnsi"/>
          <w:b/>
          <w:color w:val="1B365D"/>
          <w:sz w:val="28"/>
        </w:rPr>
      </w:pPr>
      <w:r w:rsidRPr="005F3878">
        <w:rPr>
          <w:rFonts w:cstheme="minorHAnsi"/>
          <w:b/>
          <w:color w:val="1B365D"/>
          <w:sz w:val="28"/>
        </w:rPr>
        <w:t>PQQ Submission Requirements</w:t>
      </w:r>
    </w:p>
    <w:p w14:paraId="0EA2E959" w14:textId="77777777" w:rsidR="003E7897" w:rsidRPr="005F3878" w:rsidRDefault="003E7897" w:rsidP="005F3878">
      <w:pPr>
        <w:pStyle w:val="BlockText"/>
        <w:spacing w:before="100" w:beforeAutospacing="1" w:afterLines="50" w:line="360" w:lineRule="auto"/>
        <w:ind w:left="709" w:right="32" w:firstLine="11"/>
        <w:jc w:val="both"/>
        <w:rPr>
          <w:rFonts w:asciiTheme="minorHAnsi" w:hAnsiTheme="minorHAnsi" w:cstheme="minorHAnsi"/>
          <w:sz w:val="22"/>
          <w:szCs w:val="22"/>
        </w:rPr>
      </w:pPr>
      <w:r w:rsidRPr="005F3878">
        <w:rPr>
          <w:rFonts w:asciiTheme="minorHAnsi" w:hAnsiTheme="minorHAnsi" w:cstheme="minorHAnsi"/>
          <w:sz w:val="22"/>
          <w:szCs w:val="22"/>
        </w:rPr>
        <w:t xml:space="preserve">Potential Providers are invited to complete the PQQ and to submit </w:t>
      </w:r>
      <w:r w:rsidR="00244568" w:rsidRPr="005F3878">
        <w:rPr>
          <w:rFonts w:asciiTheme="minorHAnsi" w:hAnsiTheme="minorHAnsi" w:cstheme="minorHAnsi"/>
          <w:sz w:val="22"/>
          <w:szCs w:val="22"/>
        </w:rPr>
        <w:t xml:space="preserve">it, together with any requested </w:t>
      </w:r>
      <w:r w:rsidRPr="005F3878">
        <w:rPr>
          <w:rFonts w:asciiTheme="minorHAnsi" w:hAnsiTheme="minorHAnsi" w:cstheme="minorHAnsi"/>
          <w:sz w:val="22"/>
          <w:szCs w:val="22"/>
        </w:rPr>
        <w:t xml:space="preserve">supporting information, on the HealthTrust Europe portal at </w:t>
      </w:r>
      <w:hyperlink r:id="rId8" w:history="1">
        <w:r w:rsidRPr="005F3878">
          <w:rPr>
            <w:rStyle w:val="Hyperlink"/>
            <w:rFonts w:asciiTheme="minorHAnsi" w:hAnsiTheme="minorHAnsi" w:cstheme="minorHAnsi"/>
            <w:sz w:val="22"/>
            <w:szCs w:val="22"/>
          </w:rPr>
          <w:t>https://healthtrusteurope.bravosolution.co.uk</w:t>
        </w:r>
      </w:hyperlink>
      <w:r w:rsidRPr="005F3878">
        <w:rPr>
          <w:rFonts w:asciiTheme="minorHAnsi" w:hAnsiTheme="minorHAnsi" w:cstheme="minorHAnsi"/>
          <w:sz w:val="22"/>
          <w:szCs w:val="22"/>
        </w:rPr>
        <w:t xml:space="preserve"> (the “</w:t>
      </w:r>
      <w:r w:rsidRPr="005F3878">
        <w:rPr>
          <w:rFonts w:asciiTheme="minorHAnsi" w:hAnsiTheme="minorHAnsi" w:cstheme="minorHAnsi"/>
          <w:b/>
          <w:sz w:val="22"/>
          <w:szCs w:val="22"/>
        </w:rPr>
        <w:t>Portal</w:t>
      </w:r>
      <w:r w:rsidRPr="005F3878">
        <w:rPr>
          <w:rFonts w:asciiTheme="minorHAnsi" w:hAnsiTheme="minorHAnsi" w:cstheme="minorHAnsi"/>
          <w:sz w:val="22"/>
          <w:szCs w:val="22"/>
        </w:rPr>
        <w:t xml:space="preserve">”).  </w:t>
      </w:r>
    </w:p>
    <w:p w14:paraId="1ADEB089" w14:textId="77777777" w:rsidR="003E7897" w:rsidRPr="005F3878" w:rsidRDefault="003E7897" w:rsidP="005F3878">
      <w:pPr>
        <w:autoSpaceDE w:val="0"/>
        <w:autoSpaceDN w:val="0"/>
        <w:adjustRightInd w:val="0"/>
        <w:spacing w:afterLines="50" w:after="120" w:line="360" w:lineRule="auto"/>
        <w:ind w:firstLine="720"/>
        <w:jc w:val="both"/>
        <w:rPr>
          <w:rFonts w:cstheme="minorHAnsi"/>
          <w:lang w:eastAsia="en-GB"/>
        </w:rPr>
      </w:pPr>
      <w:r w:rsidRPr="005F3878">
        <w:rPr>
          <w:rFonts w:cstheme="minorHAnsi"/>
          <w:lang w:eastAsia="en-GB"/>
        </w:rPr>
        <w:t>The Potential Provider must:</w:t>
      </w:r>
    </w:p>
    <w:p w14:paraId="6C2729E5" w14:textId="77777777" w:rsidR="003E7897" w:rsidRPr="005F3878" w:rsidRDefault="003E7897" w:rsidP="005F3878">
      <w:pPr>
        <w:pStyle w:val="ListParagraph"/>
        <w:numPr>
          <w:ilvl w:val="0"/>
          <w:numId w:val="5"/>
        </w:numPr>
        <w:autoSpaceDE w:val="0"/>
        <w:autoSpaceDN w:val="0"/>
        <w:adjustRightInd w:val="0"/>
        <w:spacing w:afterLines="50" w:after="120" w:line="360" w:lineRule="auto"/>
        <w:ind w:left="2127" w:hanging="426"/>
        <w:contextualSpacing w:val="0"/>
        <w:jc w:val="both"/>
        <w:rPr>
          <w:rFonts w:cstheme="minorHAnsi"/>
        </w:rPr>
      </w:pPr>
      <w:r w:rsidRPr="005F3878">
        <w:rPr>
          <w:rFonts w:cstheme="minorHAnsi"/>
        </w:rPr>
        <w:t xml:space="preserve">register on the Portal </w:t>
      </w:r>
    </w:p>
    <w:p w14:paraId="357F23E3" w14:textId="77777777" w:rsidR="003E7897" w:rsidRPr="005F3878" w:rsidRDefault="003E7897" w:rsidP="005F3878">
      <w:pPr>
        <w:pStyle w:val="ListParagraph"/>
        <w:numPr>
          <w:ilvl w:val="0"/>
          <w:numId w:val="5"/>
        </w:numPr>
        <w:autoSpaceDE w:val="0"/>
        <w:autoSpaceDN w:val="0"/>
        <w:adjustRightInd w:val="0"/>
        <w:spacing w:afterLines="50" w:after="120" w:line="360" w:lineRule="auto"/>
        <w:ind w:left="2127" w:hanging="426"/>
        <w:contextualSpacing w:val="0"/>
        <w:jc w:val="both"/>
        <w:rPr>
          <w:rFonts w:cstheme="minorHAnsi"/>
        </w:rPr>
      </w:pPr>
      <w:r w:rsidRPr="005F3878">
        <w:rPr>
          <w:rFonts w:cstheme="minorHAnsi"/>
        </w:rPr>
        <w:t>log in to the Portal with the username/password</w:t>
      </w:r>
    </w:p>
    <w:p w14:paraId="6990924E" w14:textId="77777777" w:rsidR="003E7897" w:rsidRPr="005F3878" w:rsidRDefault="003E7897" w:rsidP="005F3878">
      <w:pPr>
        <w:pStyle w:val="ListParagraph"/>
        <w:numPr>
          <w:ilvl w:val="0"/>
          <w:numId w:val="5"/>
        </w:numPr>
        <w:autoSpaceDE w:val="0"/>
        <w:autoSpaceDN w:val="0"/>
        <w:adjustRightInd w:val="0"/>
        <w:spacing w:afterLines="50" w:after="120" w:line="360" w:lineRule="auto"/>
        <w:ind w:left="2127" w:hanging="426"/>
        <w:contextualSpacing w:val="0"/>
        <w:jc w:val="both"/>
        <w:rPr>
          <w:rFonts w:cstheme="minorHAnsi"/>
        </w:rPr>
      </w:pPr>
      <w:r w:rsidRPr="005F3878">
        <w:rPr>
          <w:rFonts w:cstheme="minorHAnsi"/>
        </w:rPr>
        <w:t xml:space="preserve">click the </w:t>
      </w:r>
      <w:r w:rsidRPr="005F3878">
        <w:rPr>
          <w:rFonts w:cstheme="minorHAnsi"/>
          <w:b/>
          <w:i/>
        </w:rPr>
        <w:t>PQQs/ITTs Open to All Suppliers</w:t>
      </w:r>
      <w:r w:rsidRPr="005F3878">
        <w:rPr>
          <w:rFonts w:cstheme="minorHAnsi"/>
        </w:rPr>
        <w:t xml:space="preserve"> link (these are the PQQs/ITTs open to any registered supplier) </w:t>
      </w:r>
    </w:p>
    <w:p w14:paraId="6A49A82E" w14:textId="77777777" w:rsidR="003E7897" w:rsidRPr="005F3878" w:rsidRDefault="003E7897" w:rsidP="005F3878">
      <w:pPr>
        <w:pStyle w:val="ListParagraph"/>
        <w:numPr>
          <w:ilvl w:val="0"/>
          <w:numId w:val="5"/>
        </w:numPr>
        <w:autoSpaceDE w:val="0"/>
        <w:autoSpaceDN w:val="0"/>
        <w:adjustRightInd w:val="0"/>
        <w:spacing w:afterLines="50" w:after="120" w:line="360" w:lineRule="auto"/>
        <w:ind w:left="2127" w:hanging="426"/>
        <w:contextualSpacing w:val="0"/>
        <w:jc w:val="both"/>
        <w:rPr>
          <w:rFonts w:cstheme="minorHAnsi"/>
        </w:rPr>
      </w:pPr>
      <w:r w:rsidRPr="005F3878">
        <w:rPr>
          <w:rFonts w:cstheme="minorHAnsi"/>
        </w:rPr>
        <w:t>click on the PQQ which has a title that corresponds to this tender</w:t>
      </w:r>
    </w:p>
    <w:p w14:paraId="26C5D17E" w14:textId="77777777" w:rsidR="003E7897" w:rsidRPr="005F3878" w:rsidRDefault="003E7897" w:rsidP="005F3878">
      <w:pPr>
        <w:pStyle w:val="ListParagraph"/>
        <w:numPr>
          <w:ilvl w:val="0"/>
          <w:numId w:val="5"/>
        </w:numPr>
        <w:tabs>
          <w:tab w:val="left" w:pos="5096"/>
        </w:tabs>
        <w:autoSpaceDE w:val="0"/>
        <w:autoSpaceDN w:val="0"/>
        <w:adjustRightInd w:val="0"/>
        <w:spacing w:afterLines="50" w:after="120" w:line="360" w:lineRule="auto"/>
        <w:ind w:left="2127" w:hanging="426"/>
        <w:contextualSpacing w:val="0"/>
        <w:jc w:val="both"/>
        <w:rPr>
          <w:rFonts w:cstheme="minorHAnsi"/>
        </w:rPr>
      </w:pPr>
      <w:r w:rsidRPr="005F3878">
        <w:rPr>
          <w:rFonts w:cstheme="minorHAnsi"/>
        </w:rPr>
        <w:t xml:space="preserve">click the </w:t>
      </w:r>
      <w:r w:rsidRPr="005F3878">
        <w:rPr>
          <w:rFonts w:cstheme="minorHAnsi"/>
          <w:b/>
          <w:i/>
        </w:rPr>
        <w:t>Express Interest</w:t>
      </w:r>
      <w:r w:rsidRPr="005F3878">
        <w:rPr>
          <w:rFonts w:cstheme="minorHAnsi"/>
        </w:rPr>
        <w:t xml:space="preserve"> button at the top of the page (this will move the PQQ/ITT into your My PQQs/My ITTs page)</w:t>
      </w:r>
    </w:p>
    <w:p w14:paraId="0E028E04" w14:textId="77777777" w:rsidR="003E7897" w:rsidRPr="005F3878" w:rsidRDefault="003E7897" w:rsidP="005F3878">
      <w:pPr>
        <w:pStyle w:val="ListParagraph"/>
        <w:numPr>
          <w:ilvl w:val="0"/>
          <w:numId w:val="5"/>
        </w:numPr>
        <w:tabs>
          <w:tab w:val="left" w:pos="5096"/>
        </w:tabs>
        <w:autoSpaceDE w:val="0"/>
        <w:autoSpaceDN w:val="0"/>
        <w:adjustRightInd w:val="0"/>
        <w:spacing w:afterLines="50" w:after="120" w:line="360" w:lineRule="auto"/>
        <w:ind w:left="2127" w:right="34" w:hanging="426"/>
        <w:contextualSpacing w:val="0"/>
        <w:jc w:val="both"/>
        <w:rPr>
          <w:rFonts w:cstheme="minorHAnsi"/>
        </w:rPr>
      </w:pPr>
      <w:r w:rsidRPr="005F3878">
        <w:rPr>
          <w:rFonts w:cstheme="minorHAnsi"/>
        </w:rPr>
        <w:t xml:space="preserve">access any attachments by clicking </w:t>
      </w:r>
      <w:r w:rsidRPr="005F3878">
        <w:rPr>
          <w:rFonts w:cstheme="minorHAnsi"/>
          <w:b/>
          <w:i/>
        </w:rPr>
        <w:t>Buyer Attachments</w:t>
      </w:r>
      <w:r w:rsidRPr="005F3878">
        <w:rPr>
          <w:rFonts w:cstheme="minorHAnsi"/>
        </w:rPr>
        <w:t xml:space="preserve"> in the PQQ/ITT Details box.</w:t>
      </w:r>
    </w:p>
    <w:p w14:paraId="130EEE9F" w14:textId="77777777" w:rsidR="003E7897" w:rsidRPr="005F3878" w:rsidRDefault="003E7897" w:rsidP="005F3878">
      <w:pPr>
        <w:pStyle w:val="ListParagraph"/>
        <w:numPr>
          <w:ilvl w:val="0"/>
          <w:numId w:val="5"/>
        </w:numPr>
        <w:tabs>
          <w:tab w:val="left" w:pos="5096"/>
        </w:tabs>
        <w:autoSpaceDE w:val="0"/>
        <w:autoSpaceDN w:val="0"/>
        <w:adjustRightInd w:val="0"/>
        <w:spacing w:afterLines="50" w:after="120" w:line="360" w:lineRule="auto"/>
        <w:ind w:left="2127" w:right="34" w:hanging="426"/>
        <w:contextualSpacing w:val="0"/>
        <w:jc w:val="both"/>
        <w:rPr>
          <w:rFonts w:cstheme="minorHAnsi"/>
        </w:rPr>
      </w:pPr>
      <w:r w:rsidRPr="005F3878">
        <w:rPr>
          <w:rFonts w:cstheme="minorHAnsi"/>
        </w:rPr>
        <w:t>follow the onscreen instructions to complete the PQQ</w:t>
      </w:r>
    </w:p>
    <w:p w14:paraId="3EE501F5" w14:textId="77777777" w:rsidR="003E7897" w:rsidRPr="005F3878" w:rsidRDefault="003E7897" w:rsidP="005F3878">
      <w:pPr>
        <w:pStyle w:val="ListParagraph"/>
        <w:numPr>
          <w:ilvl w:val="0"/>
          <w:numId w:val="5"/>
        </w:numPr>
        <w:tabs>
          <w:tab w:val="left" w:pos="5096"/>
        </w:tabs>
        <w:autoSpaceDE w:val="0"/>
        <w:autoSpaceDN w:val="0"/>
        <w:adjustRightInd w:val="0"/>
        <w:spacing w:afterLines="50" w:after="120" w:line="360" w:lineRule="auto"/>
        <w:ind w:left="2127" w:right="34" w:hanging="426"/>
        <w:contextualSpacing w:val="0"/>
        <w:jc w:val="both"/>
        <w:rPr>
          <w:rFonts w:cstheme="minorHAnsi"/>
        </w:rPr>
      </w:pPr>
      <w:r w:rsidRPr="005F3878">
        <w:rPr>
          <w:rFonts w:cstheme="minorHAnsi"/>
        </w:rPr>
        <w:t xml:space="preserve">submit the reply using the </w:t>
      </w:r>
      <w:r w:rsidRPr="005F3878">
        <w:rPr>
          <w:rFonts w:cstheme="minorHAnsi"/>
          <w:b/>
          <w:i/>
        </w:rPr>
        <w:t>Submit Response</w:t>
      </w:r>
      <w:r w:rsidRPr="005F3878">
        <w:rPr>
          <w:rFonts w:cstheme="minorHAnsi"/>
        </w:rPr>
        <w:t xml:space="preserve"> button at the top of the page</w:t>
      </w:r>
    </w:p>
    <w:p w14:paraId="7288F6AF" w14:textId="77777777" w:rsidR="003E7897" w:rsidRPr="005F3878" w:rsidRDefault="003E7897" w:rsidP="005F3878">
      <w:pPr>
        <w:pStyle w:val="BlockText"/>
        <w:spacing w:afterLines="50" w:line="360" w:lineRule="auto"/>
        <w:ind w:left="720" w:right="34"/>
        <w:jc w:val="both"/>
        <w:rPr>
          <w:rFonts w:asciiTheme="minorHAnsi" w:hAnsiTheme="minorHAnsi" w:cstheme="minorHAnsi"/>
          <w:sz w:val="22"/>
          <w:szCs w:val="22"/>
        </w:rPr>
      </w:pPr>
      <w:r w:rsidRPr="005F3878">
        <w:rPr>
          <w:rFonts w:asciiTheme="minorHAnsi" w:hAnsiTheme="minorHAnsi" w:cstheme="minorHAnsi"/>
          <w:sz w:val="22"/>
          <w:szCs w:val="22"/>
        </w:rPr>
        <w:t xml:space="preserve">Each Potential Provider must </w:t>
      </w:r>
      <w:r w:rsidRPr="005F3878">
        <w:rPr>
          <w:rFonts w:asciiTheme="minorHAnsi" w:hAnsiTheme="minorHAnsi" w:cstheme="minorHAnsi"/>
          <w:color w:val="000000"/>
          <w:sz w:val="22"/>
          <w:szCs w:val="22"/>
        </w:rPr>
        <w:t>complete all sections of the PQQ in full in English, answering questions fully but as concisely as possible.</w:t>
      </w:r>
      <w:r w:rsidRPr="005F3878">
        <w:rPr>
          <w:rFonts w:asciiTheme="minorHAnsi" w:hAnsiTheme="minorHAnsi" w:cstheme="minorHAnsi"/>
          <w:sz w:val="22"/>
          <w:szCs w:val="22"/>
        </w:rPr>
        <w:t xml:space="preserve"> Sections of the PQQ that each Potential Provider must complete include (but are not limited to):</w:t>
      </w:r>
    </w:p>
    <w:p w14:paraId="0B6C79E2" w14:textId="77777777" w:rsidR="003E7897" w:rsidRPr="005F3878" w:rsidRDefault="003E7897" w:rsidP="005F3878">
      <w:pPr>
        <w:pStyle w:val="ListParagraph"/>
        <w:numPr>
          <w:ilvl w:val="0"/>
          <w:numId w:val="6"/>
        </w:numPr>
        <w:tabs>
          <w:tab w:val="left" w:pos="5096"/>
        </w:tabs>
        <w:autoSpaceDE w:val="0"/>
        <w:autoSpaceDN w:val="0"/>
        <w:adjustRightInd w:val="0"/>
        <w:spacing w:afterLines="50" w:after="120" w:line="360" w:lineRule="auto"/>
        <w:ind w:left="2126" w:right="34" w:hanging="425"/>
        <w:contextualSpacing w:val="0"/>
        <w:jc w:val="both"/>
        <w:rPr>
          <w:rFonts w:cstheme="minorHAnsi"/>
        </w:rPr>
      </w:pPr>
      <w:r w:rsidRPr="005F3878">
        <w:rPr>
          <w:rFonts w:cstheme="minorHAnsi"/>
        </w:rPr>
        <w:t xml:space="preserve">the Qualification Envelope; and </w:t>
      </w:r>
    </w:p>
    <w:p w14:paraId="5B8C9291" w14:textId="77777777" w:rsidR="003E7897" w:rsidRPr="005F3878" w:rsidRDefault="003E7897" w:rsidP="005F3878">
      <w:pPr>
        <w:pStyle w:val="ListParagraph"/>
        <w:numPr>
          <w:ilvl w:val="0"/>
          <w:numId w:val="6"/>
        </w:numPr>
        <w:tabs>
          <w:tab w:val="left" w:pos="5096"/>
        </w:tabs>
        <w:autoSpaceDE w:val="0"/>
        <w:autoSpaceDN w:val="0"/>
        <w:adjustRightInd w:val="0"/>
        <w:spacing w:afterLines="50" w:after="120" w:line="360" w:lineRule="auto"/>
        <w:ind w:left="2126" w:right="34" w:hanging="425"/>
        <w:contextualSpacing w:val="0"/>
        <w:jc w:val="both"/>
        <w:rPr>
          <w:rFonts w:cstheme="minorHAnsi"/>
        </w:rPr>
      </w:pPr>
      <w:r w:rsidRPr="005F3878">
        <w:rPr>
          <w:rFonts w:cstheme="minorHAnsi"/>
        </w:rPr>
        <w:t xml:space="preserve">the Technical Envelope. </w:t>
      </w:r>
    </w:p>
    <w:p w14:paraId="3ADF98BF" w14:textId="664572ED" w:rsidR="003E7897" w:rsidRPr="005F3878" w:rsidRDefault="003E7897" w:rsidP="00496E42">
      <w:pPr>
        <w:pStyle w:val="BlockText"/>
        <w:spacing w:afterLines="200" w:after="480" w:line="360" w:lineRule="auto"/>
        <w:ind w:left="709" w:right="34" w:firstLine="11"/>
        <w:jc w:val="both"/>
        <w:rPr>
          <w:rFonts w:asciiTheme="minorHAnsi" w:hAnsiTheme="minorHAnsi" w:cstheme="minorHAnsi"/>
          <w:sz w:val="22"/>
          <w:szCs w:val="22"/>
        </w:rPr>
      </w:pPr>
      <w:r w:rsidRPr="005F3878">
        <w:rPr>
          <w:rFonts w:asciiTheme="minorHAnsi" w:hAnsiTheme="minorHAnsi" w:cstheme="minorHAnsi"/>
          <w:sz w:val="22"/>
          <w:szCs w:val="22"/>
        </w:rPr>
        <w:lastRenderedPageBreak/>
        <w:t>Please note, any amendments to the original wording of the documents for submission are not permitted and will result in an application being rejected should this occur.</w:t>
      </w:r>
      <w:r w:rsidR="00496E42">
        <w:rPr>
          <w:rFonts w:asciiTheme="minorHAnsi" w:hAnsiTheme="minorHAnsi" w:cstheme="minorHAnsi"/>
          <w:sz w:val="22"/>
          <w:szCs w:val="22"/>
        </w:rPr>
        <w:t xml:space="preserve"> </w:t>
      </w:r>
      <w:r w:rsidRPr="005F3878">
        <w:rPr>
          <w:rFonts w:asciiTheme="minorHAnsi" w:hAnsiTheme="minorHAnsi" w:cstheme="minorHAnsi"/>
          <w:sz w:val="22"/>
          <w:szCs w:val="22"/>
        </w:rPr>
        <w:t xml:space="preserve">All fully completed responses must be submitted using the above method by 12:00 hours on </w:t>
      </w:r>
      <w:r w:rsidR="00DA1649">
        <w:rPr>
          <w:rFonts w:asciiTheme="minorHAnsi" w:hAnsiTheme="minorHAnsi" w:cstheme="minorHAnsi"/>
          <w:sz w:val="22"/>
          <w:szCs w:val="22"/>
        </w:rPr>
        <w:t>The 15</w:t>
      </w:r>
      <w:r w:rsidR="00DA1649" w:rsidRPr="00DA1649">
        <w:rPr>
          <w:rFonts w:asciiTheme="minorHAnsi" w:hAnsiTheme="minorHAnsi" w:cstheme="minorHAnsi"/>
          <w:sz w:val="22"/>
          <w:szCs w:val="22"/>
          <w:vertAlign w:val="superscript"/>
        </w:rPr>
        <w:t>th</w:t>
      </w:r>
      <w:r w:rsidR="00DA1649">
        <w:rPr>
          <w:rFonts w:asciiTheme="minorHAnsi" w:hAnsiTheme="minorHAnsi" w:cstheme="minorHAnsi"/>
          <w:sz w:val="22"/>
          <w:szCs w:val="22"/>
        </w:rPr>
        <w:t xml:space="preserve"> January 2016</w:t>
      </w:r>
      <w:r w:rsidRPr="00D70094">
        <w:rPr>
          <w:rFonts w:asciiTheme="minorHAnsi" w:hAnsiTheme="minorHAnsi" w:cstheme="minorHAnsi"/>
          <w:color w:val="0000FF"/>
          <w:sz w:val="22"/>
          <w:szCs w:val="22"/>
        </w:rPr>
        <w:t>.</w:t>
      </w:r>
      <w:r w:rsidR="00244568" w:rsidRPr="00D70094">
        <w:rPr>
          <w:rFonts w:asciiTheme="minorHAnsi" w:hAnsiTheme="minorHAnsi" w:cstheme="minorHAnsi"/>
          <w:sz w:val="22"/>
          <w:szCs w:val="22"/>
        </w:rPr>
        <w:t xml:space="preserve"> Failure</w:t>
      </w:r>
      <w:r w:rsidR="00244568" w:rsidRPr="005F3878">
        <w:rPr>
          <w:rFonts w:asciiTheme="minorHAnsi" w:hAnsiTheme="minorHAnsi" w:cstheme="minorHAnsi"/>
          <w:sz w:val="22"/>
          <w:szCs w:val="22"/>
        </w:rPr>
        <w:t xml:space="preserve"> </w:t>
      </w:r>
      <w:r w:rsidRPr="005F3878">
        <w:rPr>
          <w:rFonts w:asciiTheme="minorHAnsi" w:hAnsiTheme="minorHAnsi" w:cstheme="minorHAnsi"/>
          <w:sz w:val="22"/>
          <w:szCs w:val="22"/>
        </w:rPr>
        <w:t xml:space="preserve">to return an electronic submission by the deadline will result in an application being rejected. </w:t>
      </w:r>
    </w:p>
    <w:p w14:paraId="2EF3A996" w14:textId="77777777" w:rsidR="003E7897" w:rsidRPr="005F3878" w:rsidRDefault="003E7897" w:rsidP="005F3878">
      <w:pPr>
        <w:autoSpaceDE w:val="0"/>
        <w:autoSpaceDN w:val="0"/>
        <w:adjustRightInd w:val="0"/>
        <w:spacing w:before="100" w:beforeAutospacing="1" w:afterLines="200" w:after="480" w:line="360" w:lineRule="auto"/>
        <w:ind w:left="1600" w:hanging="880"/>
        <w:jc w:val="both"/>
        <w:rPr>
          <w:rFonts w:cstheme="minorHAnsi"/>
        </w:rPr>
      </w:pPr>
      <w:r w:rsidRPr="005F3878">
        <w:rPr>
          <w:rFonts w:cstheme="minorHAnsi"/>
        </w:rPr>
        <w:t xml:space="preserve">If you require any further advice, contact the Bravo e-Tendering Helpdesk at </w:t>
      </w:r>
      <w:r w:rsidRPr="005F3878">
        <w:rPr>
          <w:rFonts w:cstheme="minorHAnsi"/>
          <w:lang w:eastAsia="en-GB"/>
        </w:rPr>
        <w:t>help@bravosolution.co.uk.</w:t>
      </w:r>
    </w:p>
    <w:p w14:paraId="54BD9CEF" w14:textId="77777777" w:rsidR="003E7897" w:rsidRPr="005F3878" w:rsidRDefault="003E7897" w:rsidP="005F3878">
      <w:pPr>
        <w:pStyle w:val="ListParagraph"/>
        <w:numPr>
          <w:ilvl w:val="0"/>
          <w:numId w:val="17"/>
        </w:numPr>
        <w:spacing w:afterLines="200" w:after="480" w:line="360" w:lineRule="auto"/>
        <w:contextualSpacing w:val="0"/>
        <w:rPr>
          <w:rFonts w:cstheme="minorHAnsi"/>
          <w:b/>
          <w:color w:val="1B365D"/>
          <w:sz w:val="28"/>
        </w:rPr>
      </w:pPr>
      <w:bookmarkStart w:id="3" w:name="_Toc322352489"/>
      <w:bookmarkStart w:id="4" w:name="_Toc363198259"/>
      <w:r w:rsidRPr="005F3878">
        <w:rPr>
          <w:rFonts w:cstheme="minorHAnsi"/>
          <w:b/>
          <w:color w:val="1B365D"/>
          <w:sz w:val="28"/>
        </w:rPr>
        <w:t>Enquiries Regarding the PQQ</w:t>
      </w:r>
    </w:p>
    <w:bookmarkEnd w:id="3"/>
    <w:bookmarkEnd w:id="4"/>
    <w:p w14:paraId="093A5492" w14:textId="77777777" w:rsidR="003E7897" w:rsidRPr="00567A0F" w:rsidRDefault="003E7897" w:rsidP="00567A0F">
      <w:pPr>
        <w:spacing w:before="100" w:beforeAutospacing="1" w:afterLines="200" w:after="480" w:line="360" w:lineRule="auto"/>
        <w:ind w:left="720"/>
        <w:jc w:val="both"/>
        <w:rPr>
          <w:rFonts w:cstheme="minorHAnsi"/>
        </w:rPr>
      </w:pPr>
      <w:r w:rsidRPr="005F3878">
        <w:rPr>
          <w:rFonts w:cstheme="minorHAnsi"/>
        </w:rPr>
        <w:t>All enquiries from Potential Providers regarding the PQQ are to be submitted via the</w:t>
      </w:r>
      <w:r w:rsidR="00567A0F">
        <w:rPr>
          <w:rFonts w:cstheme="minorHAnsi"/>
        </w:rPr>
        <w:t xml:space="preserve"> Bravo</w:t>
      </w:r>
      <w:r w:rsidRPr="005F3878">
        <w:rPr>
          <w:rFonts w:cstheme="minorHAnsi"/>
        </w:rPr>
        <w:t xml:space="preserve"> Portal</w:t>
      </w:r>
      <w:r w:rsidR="00567A0F">
        <w:rPr>
          <w:rFonts w:cstheme="minorHAnsi"/>
        </w:rPr>
        <w:t xml:space="preserve"> only</w:t>
      </w:r>
      <w:r w:rsidRPr="005F3878">
        <w:rPr>
          <w:rFonts w:cstheme="minorHAnsi"/>
        </w:rPr>
        <w:t xml:space="preserve">. </w:t>
      </w:r>
      <w:r w:rsidR="00567A0F">
        <w:rPr>
          <w:rFonts w:cstheme="minorHAnsi"/>
        </w:rPr>
        <w:t xml:space="preserve"> </w:t>
      </w:r>
      <w:r w:rsidRPr="005F3878">
        <w:rPr>
          <w:rFonts w:cstheme="minorHAnsi"/>
        </w:rPr>
        <w:t>No approach of any kind in connection with this PQQ should be made to any other person within, or associated with, HealthTrust Europe</w:t>
      </w:r>
      <w:r w:rsidRPr="005F3878">
        <w:rPr>
          <w:rFonts w:cstheme="minorHAnsi"/>
          <w:b/>
        </w:rPr>
        <w:t xml:space="preserve">. </w:t>
      </w:r>
    </w:p>
    <w:p w14:paraId="1DCB0D0E" w14:textId="77777777" w:rsidR="003E7897" w:rsidRPr="005F3878" w:rsidRDefault="003E7897" w:rsidP="005F3878">
      <w:pPr>
        <w:spacing w:afterLines="200" w:after="480" w:line="360" w:lineRule="auto"/>
        <w:ind w:left="720"/>
        <w:rPr>
          <w:rFonts w:cstheme="minorHAnsi"/>
          <w:b/>
        </w:rPr>
      </w:pPr>
      <w:r w:rsidRPr="005F3878">
        <w:rPr>
          <w:rFonts w:cstheme="minorHAnsi"/>
          <w:b/>
        </w:rPr>
        <w:t>For the avoidance of doubt, UHCW is NOT carrying out this tender, and if you have any queries about this PQQ you should only contact HealthTrust Europe.</w:t>
      </w:r>
    </w:p>
    <w:p w14:paraId="11C0856A" w14:textId="77777777" w:rsidR="003E7897" w:rsidRPr="005F3878" w:rsidRDefault="003E7897" w:rsidP="005F3878">
      <w:pPr>
        <w:pStyle w:val="ListParagraph"/>
        <w:numPr>
          <w:ilvl w:val="0"/>
          <w:numId w:val="17"/>
        </w:numPr>
        <w:spacing w:afterLines="200" w:after="480" w:line="360" w:lineRule="auto"/>
        <w:contextualSpacing w:val="0"/>
        <w:rPr>
          <w:rFonts w:cstheme="minorHAnsi"/>
          <w:sz w:val="20"/>
        </w:rPr>
      </w:pPr>
      <w:r w:rsidRPr="005F3878">
        <w:rPr>
          <w:rFonts w:cstheme="minorHAnsi"/>
          <w:b/>
          <w:color w:val="1B365D"/>
          <w:sz w:val="28"/>
        </w:rPr>
        <w:t>Additional Information</w:t>
      </w:r>
    </w:p>
    <w:p w14:paraId="21CAF73F" w14:textId="77777777" w:rsidR="003E7897" w:rsidRPr="005F3878" w:rsidRDefault="003E7897" w:rsidP="005F3878">
      <w:pPr>
        <w:spacing w:afterLines="200" w:after="480" w:line="360" w:lineRule="auto"/>
        <w:ind w:left="720"/>
        <w:jc w:val="both"/>
        <w:rPr>
          <w:rFonts w:cstheme="minorHAnsi"/>
        </w:rPr>
      </w:pPr>
      <w:r w:rsidRPr="005F3878">
        <w:rPr>
          <w:rFonts w:cstheme="minorHAnsi"/>
        </w:rPr>
        <w:t xml:space="preserve">HealthTrust Europe expressly reserves the right to require a Potential Provider to provide additional information supplementing or clarifying any of the information provided in response to the requests set out in this PQQ. </w:t>
      </w:r>
      <w:r w:rsidR="00567A0F">
        <w:rPr>
          <w:rFonts w:cstheme="minorHAnsi"/>
        </w:rPr>
        <w:t xml:space="preserve"> </w:t>
      </w:r>
      <w:r w:rsidRPr="005F3878">
        <w:rPr>
          <w:rFonts w:cstheme="minorHAnsi"/>
        </w:rPr>
        <w:t xml:space="preserve">HealthTrust Europe may seek independent financial and market advice to validate information declared, or to assist in the evaluation.  </w:t>
      </w:r>
    </w:p>
    <w:p w14:paraId="027BE729" w14:textId="77777777" w:rsidR="003E7897" w:rsidRPr="005F3878" w:rsidRDefault="0067520A" w:rsidP="005F3878">
      <w:pPr>
        <w:pStyle w:val="ListParagraph"/>
        <w:numPr>
          <w:ilvl w:val="0"/>
          <w:numId w:val="17"/>
        </w:numPr>
        <w:spacing w:afterLines="200" w:after="480" w:line="360" w:lineRule="auto"/>
        <w:contextualSpacing w:val="0"/>
        <w:rPr>
          <w:rFonts w:cstheme="minorHAnsi"/>
          <w:b/>
          <w:color w:val="1B365D"/>
          <w:sz w:val="28"/>
        </w:rPr>
      </w:pPr>
      <w:r w:rsidRPr="005F3878">
        <w:rPr>
          <w:rFonts w:cstheme="minorHAnsi"/>
          <w:b/>
          <w:color w:val="1B365D"/>
          <w:sz w:val="28"/>
        </w:rPr>
        <w:t>Clarification Questions</w:t>
      </w:r>
    </w:p>
    <w:p w14:paraId="665FB701" w14:textId="77777777" w:rsidR="003E7897" w:rsidRPr="005F3878" w:rsidRDefault="003E7897" w:rsidP="005F3878">
      <w:pPr>
        <w:spacing w:before="100" w:beforeAutospacing="1" w:afterLines="200" w:after="480" w:line="360" w:lineRule="auto"/>
        <w:ind w:left="720"/>
        <w:jc w:val="both"/>
        <w:rPr>
          <w:rFonts w:cstheme="minorHAnsi"/>
        </w:rPr>
      </w:pPr>
      <w:r w:rsidRPr="005F3878">
        <w:rPr>
          <w:rFonts w:cstheme="minorHAnsi"/>
        </w:rPr>
        <w:t xml:space="preserve">With the exception of information which is </w:t>
      </w:r>
      <w:r w:rsidR="00567A0F">
        <w:rPr>
          <w:rFonts w:cstheme="minorHAnsi"/>
        </w:rPr>
        <w:t xml:space="preserve">deemed confidential and / or </w:t>
      </w:r>
      <w:r w:rsidRPr="005F3878">
        <w:rPr>
          <w:rFonts w:cstheme="minorHAnsi"/>
        </w:rPr>
        <w:t>commercially sensitive, all questions raised and responses supplied in relation to this procurement will be shared with all Potential Providers.</w:t>
      </w:r>
      <w:r w:rsidR="00567A0F">
        <w:rPr>
          <w:rFonts w:cstheme="minorHAnsi"/>
        </w:rPr>
        <w:t xml:space="preserve"> If your organisation considers that any calcification questions asked via the Bravo Portal to be confidential and / or </w:t>
      </w:r>
      <w:r w:rsidR="00567A0F" w:rsidRPr="005F3878">
        <w:rPr>
          <w:rFonts w:cstheme="minorHAnsi"/>
        </w:rPr>
        <w:t>commercially sensitive</w:t>
      </w:r>
      <w:r w:rsidR="00567A0F">
        <w:rPr>
          <w:rFonts w:cstheme="minorHAnsi"/>
        </w:rPr>
        <w:t xml:space="preserve"> this should be expressly stated together with the question asked.</w:t>
      </w:r>
    </w:p>
    <w:p w14:paraId="00FC9A87" w14:textId="77777777" w:rsidR="003E7897" w:rsidRPr="005F3878" w:rsidRDefault="0067520A" w:rsidP="005F3878">
      <w:pPr>
        <w:pStyle w:val="ListParagraph"/>
        <w:numPr>
          <w:ilvl w:val="0"/>
          <w:numId w:val="17"/>
        </w:numPr>
        <w:spacing w:afterLines="200" w:after="480" w:line="360" w:lineRule="auto"/>
        <w:contextualSpacing w:val="0"/>
        <w:rPr>
          <w:rFonts w:cstheme="minorHAnsi"/>
          <w:b/>
          <w:color w:val="1B365D"/>
          <w:sz w:val="28"/>
        </w:rPr>
      </w:pPr>
      <w:bookmarkStart w:id="5" w:name="_Toc322352491"/>
      <w:bookmarkStart w:id="6" w:name="_Toc363198262"/>
      <w:r w:rsidRPr="005F3878">
        <w:rPr>
          <w:rFonts w:cstheme="minorHAnsi"/>
          <w:b/>
          <w:color w:val="1B365D"/>
          <w:sz w:val="28"/>
        </w:rPr>
        <w:lastRenderedPageBreak/>
        <w:t>Freedom of Information</w:t>
      </w:r>
      <w:r w:rsidRPr="005F3878">
        <w:rPr>
          <w:rFonts w:cstheme="minorHAnsi"/>
        </w:rPr>
        <w:t xml:space="preserve"> </w:t>
      </w:r>
      <w:bookmarkEnd w:id="5"/>
      <w:bookmarkEnd w:id="6"/>
    </w:p>
    <w:p w14:paraId="75C0EC81" w14:textId="77777777" w:rsidR="003E7897" w:rsidRPr="005F3878" w:rsidRDefault="003E7897" w:rsidP="005F3878">
      <w:pPr>
        <w:spacing w:before="100" w:beforeAutospacing="1" w:afterLines="200" w:after="480" w:line="360" w:lineRule="auto"/>
        <w:ind w:left="709" w:firstLine="11"/>
        <w:jc w:val="both"/>
        <w:rPr>
          <w:rFonts w:cstheme="minorHAnsi"/>
        </w:rPr>
      </w:pPr>
      <w:r w:rsidRPr="005F3878">
        <w:rPr>
          <w:rFonts w:cstheme="minorHAnsi"/>
        </w:rPr>
        <w:t>In accordance with the obligations and duties placed upon public authorities by the Freedom of Information Act 2000 (the ‘</w:t>
      </w:r>
      <w:r w:rsidRPr="005F3878">
        <w:rPr>
          <w:rFonts w:cstheme="minorHAnsi"/>
          <w:b/>
        </w:rPr>
        <w:t>FoIA’</w:t>
      </w:r>
      <w:r w:rsidRPr="005F3878">
        <w:rPr>
          <w:rFonts w:cstheme="minorHAnsi"/>
        </w:rPr>
        <w:t xml:space="preserve">), all information submitted to HealthTrust Europe acting in its capacity as agent of UHCW may be disclosed in response to a request made to HTE or UHCW pursuant to the FoIA.  For the avoidance of doubt, UHCW is ultimately responsible for responding to requests about this procurement exercise and all requests made to HTE must be forwarded to UHCW for their consideration.  </w:t>
      </w:r>
    </w:p>
    <w:p w14:paraId="053E0B4D" w14:textId="77777777" w:rsidR="003E7897" w:rsidRPr="005F3878" w:rsidRDefault="003E7897" w:rsidP="005F3878">
      <w:pPr>
        <w:spacing w:before="100" w:beforeAutospacing="1" w:afterLines="50" w:after="120" w:line="360" w:lineRule="auto"/>
        <w:ind w:left="709" w:firstLine="11"/>
        <w:jc w:val="both"/>
        <w:rPr>
          <w:rFonts w:cstheme="minorHAnsi"/>
        </w:rPr>
      </w:pPr>
      <w:r w:rsidRPr="005F3878">
        <w:rPr>
          <w:rFonts w:cstheme="minorHAnsi"/>
        </w:rPr>
        <w:t xml:space="preserve">In respect of any information submitted by a Potential Provider that it considers to be commercially sensitive the </w:t>
      </w:r>
      <w:bookmarkStart w:id="7" w:name="_Ref199321611"/>
      <w:r w:rsidRPr="005F3878">
        <w:rPr>
          <w:rFonts w:cstheme="minorHAnsi"/>
        </w:rPr>
        <w:t>Potential Provider</w:t>
      </w:r>
      <w:bookmarkEnd w:id="7"/>
      <w:r w:rsidRPr="005F3878">
        <w:rPr>
          <w:rFonts w:cstheme="minorHAnsi"/>
        </w:rPr>
        <w:t xml:space="preserve"> should:</w:t>
      </w:r>
    </w:p>
    <w:p w14:paraId="38444058" w14:textId="77777777" w:rsidR="003E7897" w:rsidRPr="005F3878" w:rsidRDefault="003E7897" w:rsidP="005F3878">
      <w:pPr>
        <w:pStyle w:val="ListNumber"/>
        <w:numPr>
          <w:ilvl w:val="0"/>
          <w:numId w:val="7"/>
        </w:numPr>
        <w:tabs>
          <w:tab w:val="clear" w:pos="397"/>
        </w:tabs>
        <w:spacing w:before="100" w:beforeAutospacing="1" w:afterLines="50" w:line="360" w:lineRule="auto"/>
        <w:ind w:left="2127" w:hanging="567"/>
        <w:jc w:val="both"/>
        <w:rPr>
          <w:rFonts w:asciiTheme="minorHAnsi" w:hAnsiTheme="minorHAnsi" w:cstheme="minorHAnsi"/>
          <w:sz w:val="22"/>
          <w:szCs w:val="22"/>
        </w:rPr>
      </w:pPr>
      <w:r w:rsidRPr="005F3878">
        <w:rPr>
          <w:rFonts w:asciiTheme="minorHAnsi" w:hAnsiTheme="minorHAnsi" w:cstheme="minorHAnsi"/>
          <w:sz w:val="22"/>
          <w:szCs w:val="22"/>
        </w:rPr>
        <w:t>clearly identify such information as commercially sensitive;</w:t>
      </w:r>
    </w:p>
    <w:p w14:paraId="2D6552BA" w14:textId="77777777" w:rsidR="003E7897" w:rsidRPr="005F3878" w:rsidRDefault="003E7897" w:rsidP="005F3878">
      <w:pPr>
        <w:pStyle w:val="ListNumber"/>
        <w:numPr>
          <w:ilvl w:val="0"/>
          <w:numId w:val="7"/>
        </w:numPr>
        <w:tabs>
          <w:tab w:val="clear" w:pos="397"/>
        </w:tabs>
        <w:spacing w:before="100" w:beforeAutospacing="1" w:afterLines="50" w:line="360" w:lineRule="auto"/>
        <w:ind w:left="2127" w:hanging="567"/>
        <w:jc w:val="both"/>
        <w:rPr>
          <w:rFonts w:asciiTheme="minorHAnsi" w:hAnsiTheme="minorHAnsi" w:cstheme="minorHAnsi"/>
          <w:sz w:val="22"/>
          <w:szCs w:val="22"/>
        </w:rPr>
      </w:pPr>
      <w:r w:rsidRPr="005F3878">
        <w:rPr>
          <w:rFonts w:asciiTheme="minorHAnsi" w:hAnsiTheme="minorHAnsi" w:cstheme="minorHAnsi"/>
          <w:sz w:val="22"/>
          <w:szCs w:val="22"/>
        </w:rPr>
        <w:t>explain the potential implications of disclosure of such information; and</w:t>
      </w:r>
    </w:p>
    <w:p w14:paraId="23236C7C" w14:textId="77777777" w:rsidR="003E7897" w:rsidRPr="005F3878" w:rsidRDefault="003E7897" w:rsidP="005F3878">
      <w:pPr>
        <w:pStyle w:val="ListNumber"/>
        <w:numPr>
          <w:ilvl w:val="0"/>
          <w:numId w:val="7"/>
        </w:numPr>
        <w:tabs>
          <w:tab w:val="clear" w:pos="397"/>
        </w:tabs>
        <w:spacing w:before="100" w:beforeAutospacing="1" w:afterLines="50" w:line="360" w:lineRule="auto"/>
        <w:ind w:left="2127" w:hanging="567"/>
        <w:jc w:val="both"/>
        <w:rPr>
          <w:rFonts w:asciiTheme="minorHAnsi" w:hAnsiTheme="minorHAnsi" w:cstheme="minorHAnsi"/>
          <w:sz w:val="22"/>
          <w:szCs w:val="22"/>
        </w:rPr>
      </w:pPr>
      <w:r w:rsidRPr="005F3878">
        <w:rPr>
          <w:rFonts w:asciiTheme="minorHAnsi" w:hAnsiTheme="minorHAnsi" w:cstheme="minorHAnsi"/>
          <w:sz w:val="22"/>
          <w:szCs w:val="22"/>
        </w:rPr>
        <w:t>provide an estimate of the period of time during which the Potential Provider believes that such information will remain commercially sensitive.</w:t>
      </w:r>
    </w:p>
    <w:p w14:paraId="21058C64" w14:textId="77777777" w:rsidR="003E7897" w:rsidRPr="005F3878" w:rsidRDefault="003E7897" w:rsidP="00567A0F">
      <w:pPr>
        <w:spacing w:before="100" w:beforeAutospacing="1" w:afterLines="200" w:after="480" w:line="360" w:lineRule="auto"/>
        <w:ind w:left="709" w:firstLine="11"/>
        <w:jc w:val="both"/>
        <w:rPr>
          <w:rFonts w:cstheme="minorHAnsi"/>
        </w:rPr>
      </w:pPr>
      <w:r w:rsidRPr="005F3878">
        <w:rPr>
          <w:rFonts w:cstheme="minorHAnsi"/>
        </w:rPr>
        <w:t xml:space="preserve">Please submit responses to </w:t>
      </w:r>
      <w:r w:rsidR="00567A0F">
        <w:rPr>
          <w:rFonts w:cstheme="minorHAnsi"/>
        </w:rPr>
        <w:t xml:space="preserve">the above sub-paragraphs </w:t>
      </w:r>
      <w:r w:rsidRPr="005F3878">
        <w:rPr>
          <w:rFonts w:cstheme="minorHAnsi"/>
        </w:rPr>
        <w:t>as an Annex with the completed PQQ.</w:t>
      </w:r>
      <w:r w:rsidR="00567A0F">
        <w:rPr>
          <w:rFonts w:cstheme="minorHAnsi"/>
        </w:rPr>
        <w:t xml:space="preserve"> </w:t>
      </w:r>
      <w:r w:rsidRPr="005F3878">
        <w:rPr>
          <w:rFonts w:cstheme="minorHAnsi"/>
        </w:rPr>
        <w:t xml:space="preserve">Where a Potential Provider identifies information as commercially sensitive, UHCW will take that into account on issues of disclosure. </w:t>
      </w:r>
      <w:r w:rsidR="00567A0F">
        <w:rPr>
          <w:rFonts w:cstheme="minorHAnsi"/>
        </w:rPr>
        <w:t xml:space="preserve"> </w:t>
      </w:r>
      <w:r w:rsidRPr="005F3878">
        <w:rPr>
          <w:rFonts w:cstheme="minorHAnsi"/>
        </w:rPr>
        <w:t>Potential Providers should note, however, that, even where information is so identified as commercially sensitive, UHCW may be required to disclose such information in accordance with the FoIA. Accordingly, UHCW cannot guarantee that any information marked ‘commercially sensitive’ will not be disclosed.</w:t>
      </w:r>
    </w:p>
    <w:p w14:paraId="6CE7ACC5" w14:textId="77777777" w:rsidR="0067520A" w:rsidRPr="005F3878" w:rsidRDefault="0067520A" w:rsidP="005F3878">
      <w:pPr>
        <w:pStyle w:val="ListParagraph"/>
        <w:numPr>
          <w:ilvl w:val="0"/>
          <w:numId w:val="17"/>
        </w:numPr>
        <w:spacing w:afterLines="200" w:after="480" w:line="360" w:lineRule="auto"/>
        <w:contextualSpacing w:val="0"/>
        <w:rPr>
          <w:rFonts w:cstheme="minorHAnsi"/>
          <w:b/>
          <w:color w:val="1B365D"/>
          <w:sz w:val="28"/>
        </w:rPr>
      </w:pPr>
      <w:r w:rsidRPr="005F3878">
        <w:rPr>
          <w:rFonts w:cstheme="minorHAnsi"/>
          <w:b/>
          <w:color w:val="1B365D"/>
          <w:sz w:val="28"/>
        </w:rPr>
        <w:t xml:space="preserve"> Selection Approach </w:t>
      </w:r>
    </w:p>
    <w:p w14:paraId="0EDBF69C" w14:textId="77777777" w:rsidR="003E7897" w:rsidRPr="005F3878" w:rsidRDefault="003E7897" w:rsidP="005F3878">
      <w:pPr>
        <w:pStyle w:val="Header"/>
        <w:spacing w:before="100" w:beforeAutospacing="1" w:afterLines="200" w:after="480" w:line="360" w:lineRule="auto"/>
        <w:ind w:left="720"/>
        <w:jc w:val="both"/>
        <w:rPr>
          <w:rFonts w:cstheme="minorHAnsi"/>
        </w:rPr>
      </w:pPr>
      <w:r w:rsidRPr="005F3878">
        <w:rPr>
          <w:rFonts w:cstheme="minorHAnsi"/>
        </w:rPr>
        <w:t xml:space="preserve">It is the intention of HealthTrust Europe to compile a tender list from Potential Providers that meet the criteria set out in this PQQ.  </w:t>
      </w:r>
    </w:p>
    <w:p w14:paraId="279067A9" w14:textId="77777777" w:rsidR="003E7897" w:rsidRPr="005F3878" w:rsidRDefault="003E7897" w:rsidP="005F3878">
      <w:pPr>
        <w:pStyle w:val="Header"/>
        <w:spacing w:before="100" w:beforeAutospacing="1" w:afterLines="200" w:after="480" w:line="360" w:lineRule="auto"/>
        <w:ind w:left="720" w:hanging="720"/>
        <w:jc w:val="both"/>
        <w:rPr>
          <w:rFonts w:cstheme="minorHAnsi"/>
          <w:i/>
        </w:rPr>
      </w:pPr>
      <w:r w:rsidRPr="005F3878">
        <w:rPr>
          <w:rFonts w:cstheme="minorHAnsi"/>
        </w:rPr>
        <w:tab/>
      </w:r>
      <w:r w:rsidRPr="00D70094">
        <w:rPr>
          <w:rFonts w:cstheme="minorHAnsi"/>
        </w:rPr>
        <w:t xml:space="preserve">Potential Providers will only be considered for the lots for which they indicate their interest. Applications made for more than one of the lots does not automatically mean selection. Potential Providers will be advised as to </w:t>
      </w:r>
      <w:r w:rsidRPr="00D70094">
        <w:rPr>
          <w:rFonts w:cstheme="minorHAnsi"/>
        </w:rPr>
        <w:lastRenderedPageBreak/>
        <w:t>which of the lots they have been shortlisted for, and in the case of non-selection, the reasons for this will also be explained.</w:t>
      </w:r>
    </w:p>
    <w:p w14:paraId="69E57F94" w14:textId="77777777" w:rsidR="003E7897" w:rsidRPr="005F3878" w:rsidRDefault="003E7897" w:rsidP="006805AF">
      <w:pPr>
        <w:pStyle w:val="Header"/>
        <w:spacing w:before="100" w:beforeAutospacing="1" w:afterLines="200" w:after="480" w:line="360" w:lineRule="auto"/>
        <w:ind w:left="709" w:firstLine="11"/>
        <w:jc w:val="both"/>
        <w:rPr>
          <w:rFonts w:cstheme="minorHAnsi"/>
        </w:rPr>
      </w:pPr>
      <w:r w:rsidRPr="005F3878">
        <w:rPr>
          <w:rFonts w:cstheme="minorHAnsi"/>
        </w:rPr>
        <w:t xml:space="preserve">Potential Providers who fail to fully complete the information required by the deadline stated in the contract notice or </w:t>
      </w:r>
      <w:r w:rsidR="00567A0F">
        <w:rPr>
          <w:rFonts w:cstheme="minorHAnsi"/>
        </w:rPr>
        <w:t xml:space="preserve">within this guidance document </w:t>
      </w:r>
      <w:r w:rsidRPr="005F3878">
        <w:rPr>
          <w:rFonts w:cstheme="minorHAnsi"/>
        </w:rPr>
        <w:t>will be rejected.</w:t>
      </w:r>
      <w:r w:rsidR="006805AF">
        <w:rPr>
          <w:rFonts w:cstheme="minorHAnsi"/>
        </w:rPr>
        <w:t xml:space="preserve">  </w:t>
      </w:r>
      <w:r w:rsidRPr="005F3878">
        <w:rPr>
          <w:rFonts w:cstheme="minorHAnsi"/>
        </w:rPr>
        <w:t xml:space="preserve">Any Potential Providers whose application does not meet one or more pass/fail criteria will be rejected. </w:t>
      </w:r>
    </w:p>
    <w:p w14:paraId="245C5205" w14:textId="77777777" w:rsidR="0067520A" w:rsidRPr="005F3878" w:rsidRDefault="003E7897" w:rsidP="00231E0B">
      <w:pPr>
        <w:pStyle w:val="Header"/>
        <w:spacing w:afterLines="200" w:after="480" w:line="360" w:lineRule="auto"/>
        <w:ind w:left="709" w:firstLine="11"/>
        <w:jc w:val="both"/>
        <w:rPr>
          <w:rFonts w:cstheme="minorHAnsi"/>
          <w:b/>
          <w:color w:val="1B365D"/>
          <w:sz w:val="28"/>
        </w:rPr>
      </w:pPr>
      <w:r w:rsidRPr="005F3878">
        <w:rPr>
          <w:rFonts w:cstheme="minorHAnsi"/>
        </w:rPr>
        <w:t>All Potential Providers who pass all of the pass/fail criteria will be in</w:t>
      </w:r>
      <w:r w:rsidR="00D70094">
        <w:rPr>
          <w:rFonts w:cstheme="minorHAnsi"/>
        </w:rPr>
        <w:t>vited to submit a formal tender.</w:t>
      </w:r>
      <w:r w:rsidR="0067520A" w:rsidRPr="005F3878">
        <w:rPr>
          <w:rFonts w:cstheme="minorHAnsi"/>
          <w:b/>
          <w:color w:val="1B365D"/>
          <w:sz w:val="28"/>
        </w:rPr>
        <w:t xml:space="preserve">Costs and Expenses </w:t>
      </w:r>
      <w:r w:rsidR="0067520A" w:rsidRPr="005F3878">
        <w:rPr>
          <w:rFonts w:cstheme="minorHAnsi"/>
        </w:rPr>
        <w:t xml:space="preserve"> </w:t>
      </w:r>
    </w:p>
    <w:p w14:paraId="04C349F5" w14:textId="77777777" w:rsidR="003E7897" w:rsidRPr="005F3878" w:rsidRDefault="003E7897" w:rsidP="005F3878">
      <w:pPr>
        <w:pStyle w:val="Header"/>
        <w:tabs>
          <w:tab w:val="left" w:pos="720"/>
        </w:tabs>
        <w:spacing w:before="100" w:beforeAutospacing="1" w:afterLines="200" w:after="480" w:line="360" w:lineRule="auto"/>
        <w:ind w:left="720"/>
        <w:jc w:val="both"/>
        <w:rPr>
          <w:rFonts w:cstheme="minorHAnsi"/>
        </w:rPr>
      </w:pPr>
      <w:r w:rsidRPr="005F3878">
        <w:rPr>
          <w:rFonts w:cstheme="minorHAnsi"/>
        </w:rPr>
        <w:t>HealthTrust Europe reserves the right not to award any contract and may withdraw or abandon the tender process at its absolute discretion at any time, subject to the requirements of the Public Contracts Regulations 20</w:t>
      </w:r>
      <w:r w:rsidR="00BC6C5B">
        <w:rPr>
          <w:rFonts w:cstheme="minorHAnsi"/>
        </w:rPr>
        <w:t>15</w:t>
      </w:r>
      <w:r w:rsidRPr="005F3878">
        <w:rPr>
          <w:rFonts w:cstheme="minorHAnsi"/>
        </w:rPr>
        <w:t xml:space="preserve"> (as amended). Potential Providers shall be solely responsible for all costs and expenses incurred in connection with or associated with the preparation and submission of their PQQ response and all future stages of this procurement process.  Under no circumstances will HealthTrust Europe, or any of its advisers, be liable for any costs or expenses borne by a Potential Provider or any of its consortium members or sub-contractors in connection with this procurement process.</w:t>
      </w:r>
    </w:p>
    <w:p w14:paraId="52F90210" w14:textId="77777777" w:rsidR="0067520A" w:rsidRPr="005F3878" w:rsidRDefault="0067520A" w:rsidP="005F3878">
      <w:pPr>
        <w:pStyle w:val="ListParagraph"/>
        <w:numPr>
          <w:ilvl w:val="0"/>
          <w:numId w:val="17"/>
        </w:numPr>
        <w:spacing w:afterLines="200" w:after="480" w:line="360" w:lineRule="auto"/>
        <w:contextualSpacing w:val="0"/>
        <w:rPr>
          <w:rFonts w:cstheme="minorHAnsi"/>
          <w:b/>
          <w:color w:val="1B365D"/>
          <w:sz w:val="28"/>
        </w:rPr>
      </w:pPr>
      <w:r w:rsidRPr="005F3878">
        <w:rPr>
          <w:rFonts w:cstheme="minorHAnsi"/>
          <w:b/>
          <w:color w:val="1B365D"/>
          <w:sz w:val="28"/>
        </w:rPr>
        <w:t xml:space="preserve"> Information</w:t>
      </w:r>
      <w:r w:rsidRPr="005F3878">
        <w:rPr>
          <w:rFonts w:cstheme="minorHAnsi"/>
        </w:rPr>
        <w:t xml:space="preserve"> </w:t>
      </w:r>
    </w:p>
    <w:p w14:paraId="35D0F349" w14:textId="77777777" w:rsidR="003E7897" w:rsidRPr="005F3878" w:rsidRDefault="003E7897" w:rsidP="005F3878">
      <w:pPr>
        <w:spacing w:before="100" w:beforeAutospacing="1" w:afterLines="200" w:after="480" w:line="360" w:lineRule="auto"/>
        <w:ind w:left="720"/>
        <w:jc w:val="both"/>
        <w:rPr>
          <w:rFonts w:cstheme="minorHAnsi"/>
        </w:rPr>
      </w:pPr>
      <w:r w:rsidRPr="005F3878">
        <w:rPr>
          <w:rFonts w:cstheme="minorHAnsi"/>
        </w:rPr>
        <w:t>Potential Providers must obtain for themselves, at their own responsibility and expense, all information necessary for the preparation of their PQQ responses.  All Potential Providers are required to ensure that they fully understand the contents of the PQQ in order to submit an acceptable PQQ response.</w:t>
      </w:r>
    </w:p>
    <w:p w14:paraId="2C11F856" w14:textId="77777777" w:rsidR="003E7897" w:rsidRPr="005F3878" w:rsidRDefault="003E7897" w:rsidP="005F3878">
      <w:pPr>
        <w:spacing w:before="100" w:beforeAutospacing="1" w:afterLines="200" w:after="480" w:line="360" w:lineRule="auto"/>
        <w:ind w:left="720"/>
        <w:jc w:val="both"/>
        <w:rPr>
          <w:rFonts w:cstheme="minorHAnsi"/>
        </w:rPr>
      </w:pPr>
      <w:r w:rsidRPr="005F3878">
        <w:rPr>
          <w:rFonts w:cstheme="minorHAnsi"/>
        </w:rPr>
        <w:t>Information that is supplied to the Potential Providers as part of the procurement exercise is supplied in good faith. However, no warranty or representation is given as to the accuracy or comp</w:t>
      </w:r>
      <w:r w:rsidR="00ED5113" w:rsidRPr="005F3878">
        <w:rPr>
          <w:rFonts w:cstheme="minorHAnsi"/>
        </w:rPr>
        <w:t xml:space="preserve">leteness of such information. </w:t>
      </w:r>
      <w:r w:rsidRPr="005F3878">
        <w:rPr>
          <w:rFonts w:cstheme="minorHAnsi"/>
        </w:rPr>
        <w:t xml:space="preserve">Potential Providers must satisfy themselves as to the accuracy of such information.  No responsibility is accepted by HealthTrust Europe or its advisors for any loss or damage caused from the use by the Potential Providers of such information, unless such information has been supplied fraudulently by HealthTrust Europe. </w:t>
      </w:r>
    </w:p>
    <w:p w14:paraId="4870B34A" w14:textId="77777777" w:rsidR="0067520A" w:rsidRPr="005F3878" w:rsidRDefault="0067520A" w:rsidP="005F3878">
      <w:pPr>
        <w:pStyle w:val="ListParagraph"/>
        <w:numPr>
          <w:ilvl w:val="0"/>
          <w:numId w:val="17"/>
        </w:numPr>
        <w:spacing w:afterLines="200" w:after="480" w:line="360" w:lineRule="auto"/>
        <w:contextualSpacing w:val="0"/>
        <w:rPr>
          <w:rFonts w:cstheme="minorHAnsi"/>
          <w:b/>
          <w:color w:val="1B365D"/>
          <w:sz w:val="28"/>
        </w:rPr>
      </w:pPr>
      <w:r w:rsidRPr="005F3878">
        <w:rPr>
          <w:rFonts w:cstheme="minorHAnsi"/>
          <w:b/>
          <w:color w:val="1B365D"/>
          <w:sz w:val="28"/>
        </w:rPr>
        <w:lastRenderedPageBreak/>
        <w:t xml:space="preserve"> Assessment of Potential Providers’ Suitability </w:t>
      </w:r>
    </w:p>
    <w:p w14:paraId="269AF2A1" w14:textId="77777777" w:rsidR="003E7897" w:rsidRPr="005F3878" w:rsidRDefault="003E7897" w:rsidP="005F3878">
      <w:pPr>
        <w:spacing w:before="240" w:afterLines="200" w:after="480" w:line="360" w:lineRule="auto"/>
        <w:ind w:left="720" w:hanging="720"/>
        <w:jc w:val="both"/>
        <w:rPr>
          <w:rFonts w:cstheme="minorHAnsi"/>
        </w:rPr>
      </w:pPr>
      <w:r w:rsidRPr="005F3878">
        <w:rPr>
          <w:rFonts w:cstheme="minorHAnsi"/>
          <w:sz w:val="20"/>
        </w:rPr>
        <w:tab/>
      </w:r>
      <w:r w:rsidRPr="005F3878">
        <w:rPr>
          <w:rFonts w:cstheme="minorHAnsi"/>
        </w:rPr>
        <w:t>Potential Providers must complete the PQQ in accordance with the requirements detailed in Section 5 of this PQQ</w:t>
      </w:r>
      <w:r w:rsidR="00AD4DDB">
        <w:rPr>
          <w:rFonts w:cstheme="minorHAnsi"/>
        </w:rPr>
        <w:t xml:space="preserve"> guidance document</w:t>
      </w:r>
      <w:r w:rsidRPr="005F3878">
        <w:rPr>
          <w:rFonts w:cstheme="minorHAnsi"/>
        </w:rPr>
        <w:t xml:space="preserve">.  </w:t>
      </w:r>
    </w:p>
    <w:p w14:paraId="215ACEAD" w14:textId="77777777" w:rsidR="003E7897" w:rsidRPr="005F3878" w:rsidRDefault="003E7897" w:rsidP="005F3878">
      <w:pPr>
        <w:pStyle w:val="loose"/>
        <w:spacing w:afterLines="200" w:after="480" w:line="360" w:lineRule="auto"/>
        <w:ind w:left="720" w:right="4"/>
        <w:jc w:val="both"/>
        <w:rPr>
          <w:rFonts w:asciiTheme="minorHAnsi" w:hAnsiTheme="minorHAnsi" w:cstheme="minorHAnsi"/>
          <w:color w:val="000000"/>
          <w:sz w:val="22"/>
          <w:szCs w:val="22"/>
        </w:rPr>
      </w:pPr>
      <w:r w:rsidRPr="005F3878">
        <w:rPr>
          <w:rFonts w:asciiTheme="minorHAnsi" w:hAnsiTheme="minorHAnsi" w:cstheme="minorHAnsi"/>
          <w:color w:val="000000"/>
          <w:sz w:val="22"/>
          <w:szCs w:val="22"/>
        </w:rPr>
        <w:t>HealthTrust Europe may treat any economic operator as ineligible or decide not to select an economic operator in accordance with Regulation</w:t>
      </w:r>
      <w:r w:rsidR="00161B1E">
        <w:rPr>
          <w:rFonts w:asciiTheme="minorHAnsi" w:hAnsiTheme="minorHAnsi" w:cstheme="minorHAnsi"/>
          <w:color w:val="000000"/>
          <w:sz w:val="22"/>
          <w:szCs w:val="22"/>
        </w:rPr>
        <w:t xml:space="preserve"> 57 </w:t>
      </w:r>
      <w:r w:rsidRPr="005F3878">
        <w:rPr>
          <w:rFonts w:asciiTheme="minorHAnsi" w:hAnsiTheme="minorHAnsi" w:cstheme="minorHAnsi"/>
          <w:color w:val="000000"/>
          <w:sz w:val="22"/>
          <w:szCs w:val="22"/>
        </w:rPr>
        <w:t>of the Public Contracts Regulations 20</w:t>
      </w:r>
      <w:r w:rsidR="00161B1E">
        <w:rPr>
          <w:rFonts w:asciiTheme="minorHAnsi" w:hAnsiTheme="minorHAnsi" w:cstheme="minorHAnsi"/>
          <w:color w:val="000000"/>
          <w:sz w:val="22"/>
          <w:szCs w:val="22"/>
        </w:rPr>
        <w:t>15</w:t>
      </w:r>
      <w:r w:rsidRPr="005F3878">
        <w:rPr>
          <w:rFonts w:asciiTheme="minorHAnsi" w:hAnsiTheme="minorHAnsi" w:cstheme="minorHAnsi"/>
          <w:color w:val="000000"/>
          <w:sz w:val="22"/>
          <w:szCs w:val="22"/>
        </w:rPr>
        <w:t xml:space="preserve"> (as amended). </w:t>
      </w:r>
    </w:p>
    <w:p w14:paraId="33B78190" w14:textId="77777777" w:rsidR="003E7897" w:rsidRPr="005F3878" w:rsidRDefault="003E7897" w:rsidP="005F3878">
      <w:pPr>
        <w:spacing w:before="240" w:afterLines="200" w:after="480" w:line="360" w:lineRule="auto"/>
        <w:ind w:left="720"/>
        <w:jc w:val="both"/>
        <w:rPr>
          <w:rFonts w:cstheme="minorHAnsi"/>
        </w:rPr>
      </w:pPr>
      <w:r w:rsidRPr="005F3878">
        <w:rPr>
          <w:rFonts w:cstheme="minorHAnsi"/>
        </w:rPr>
        <w:t xml:space="preserve">HealthTrust Europe will use the completed PQQs to undertake an assessment of the economic or financial standing as well as the technical or professional ability of each Potential Provider </w:t>
      </w:r>
      <w:r w:rsidRPr="005F3878">
        <w:rPr>
          <w:rFonts w:cstheme="minorHAnsi"/>
          <w:color w:val="000000"/>
        </w:rPr>
        <w:t xml:space="preserve">in accordance with Regulations </w:t>
      </w:r>
      <w:r w:rsidR="00161B1E">
        <w:rPr>
          <w:rFonts w:cstheme="minorHAnsi"/>
          <w:color w:val="000000"/>
        </w:rPr>
        <w:t>58</w:t>
      </w:r>
      <w:r w:rsidRPr="005F3878">
        <w:rPr>
          <w:rFonts w:cstheme="minorHAnsi"/>
          <w:color w:val="000000"/>
        </w:rPr>
        <w:t xml:space="preserve"> of the Public Contracts Regulations 2006 (as amended)</w:t>
      </w:r>
    </w:p>
    <w:p w14:paraId="21F24C6D" w14:textId="77777777" w:rsidR="003E7897" w:rsidRPr="005F3878" w:rsidRDefault="003E7897" w:rsidP="005F3878">
      <w:pPr>
        <w:spacing w:before="240" w:afterLines="200" w:after="480" w:line="360" w:lineRule="auto"/>
        <w:ind w:left="720"/>
        <w:jc w:val="both"/>
        <w:rPr>
          <w:rFonts w:cstheme="minorHAnsi"/>
        </w:rPr>
      </w:pPr>
      <w:r w:rsidRPr="005F3878">
        <w:rPr>
          <w:rFonts w:cstheme="minorHAnsi"/>
        </w:rPr>
        <w:t xml:space="preserve">Each Potential Provider’s PQQ will be assessed in accordance with the PQQ Evaluation Process set out in Appendix 1 and Appendix 2. </w:t>
      </w:r>
    </w:p>
    <w:p w14:paraId="676AC6A4" w14:textId="77777777" w:rsidR="0067520A" w:rsidRPr="005F3878" w:rsidRDefault="0067520A" w:rsidP="005F3878">
      <w:pPr>
        <w:pStyle w:val="ListParagraph"/>
        <w:numPr>
          <w:ilvl w:val="0"/>
          <w:numId w:val="17"/>
        </w:numPr>
        <w:spacing w:afterLines="200" w:after="480" w:line="360" w:lineRule="auto"/>
        <w:contextualSpacing w:val="0"/>
        <w:rPr>
          <w:rFonts w:cstheme="minorHAnsi"/>
          <w:b/>
          <w:color w:val="1B365D"/>
          <w:sz w:val="28"/>
        </w:rPr>
      </w:pPr>
      <w:r w:rsidRPr="005F3878">
        <w:rPr>
          <w:rFonts w:cstheme="minorHAnsi"/>
          <w:b/>
          <w:color w:val="1B365D"/>
          <w:sz w:val="28"/>
        </w:rPr>
        <w:t xml:space="preserve"> Parent Company Guarantee</w:t>
      </w:r>
      <w:r w:rsidRPr="005F3878">
        <w:rPr>
          <w:rFonts w:cstheme="minorHAnsi"/>
        </w:rPr>
        <w:t xml:space="preserve"> </w:t>
      </w:r>
    </w:p>
    <w:p w14:paraId="065361A4" w14:textId="77777777" w:rsidR="003E7897" w:rsidRPr="005F3878" w:rsidRDefault="003E7897" w:rsidP="005F3878">
      <w:pPr>
        <w:spacing w:before="240" w:afterLines="50" w:after="120" w:line="360" w:lineRule="auto"/>
        <w:ind w:left="709" w:firstLine="11"/>
        <w:jc w:val="both"/>
        <w:rPr>
          <w:rFonts w:cstheme="minorHAnsi"/>
        </w:rPr>
      </w:pPr>
      <w:r w:rsidRPr="005F3878">
        <w:rPr>
          <w:rFonts w:cstheme="minorHAnsi"/>
        </w:rPr>
        <w:t xml:space="preserve">Where any of the steps in the financial assessment in Appendix 2 result in an outcome of </w:t>
      </w:r>
      <w:r w:rsidRPr="005F3878">
        <w:rPr>
          <w:rFonts w:cstheme="minorHAnsi"/>
          <w:i/>
        </w:rPr>
        <w:t>“</w:t>
      </w:r>
      <w:r w:rsidRPr="005F3878">
        <w:rPr>
          <w:rFonts w:cstheme="minorHAnsi"/>
          <w:b/>
          <w:i/>
        </w:rPr>
        <w:t>FAIL</w:t>
      </w:r>
      <w:r w:rsidRPr="005F3878">
        <w:rPr>
          <w:rFonts w:cstheme="minorHAnsi"/>
          <w:i/>
        </w:rPr>
        <w:t xml:space="preserve">, go to </w:t>
      </w:r>
      <w:r w:rsidRPr="005F3878">
        <w:rPr>
          <w:rFonts w:cstheme="minorHAnsi"/>
          <w:b/>
          <w:i/>
        </w:rPr>
        <w:t>step 9</w:t>
      </w:r>
      <w:r w:rsidRPr="005F3878">
        <w:rPr>
          <w:rFonts w:cstheme="minorHAnsi"/>
          <w:i/>
        </w:rPr>
        <w:t>”</w:t>
      </w:r>
      <w:r w:rsidRPr="005F3878">
        <w:rPr>
          <w:rFonts w:cstheme="minorHAnsi"/>
        </w:rPr>
        <w:t>, HealthTrust Europe will:</w:t>
      </w:r>
    </w:p>
    <w:p w14:paraId="47D57ECF" w14:textId="77777777" w:rsidR="003E7897" w:rsidRPr="005F3878" w:rsidRDefault="003E7897" w:rsidP="005F3878">
      <w:pPr>
        <w:pStyle w:val="ListParagraph"/>
        <w:numPr>
          <w:ilvl w:val="1"/>
          <w:numId w:val="8"/>
        </w:numPr>
        <w:spacing w:before="240" w:afterLines="50" w:after="120" w:line="360" w:lineRule="auto"/>
        <w:ind w:left="2268" w:hanging="567"/>
        <w:contextualSpacing w:val="0"/>
        <w:jc w:val="both"/>
        <w:rPr>
          <w:rFonts w:cstheme="minorHAnsi"/>
        </w:rPr>
      </w:pPr>
      <w:r w:rsidRPr="005F3878">
        <w:rPr>
          <w:rFonts w:cstheme="minorHAnsi"/>
        </w:rPr>
        <w:t xml:space="preserve">obtain financial information from the parent company of the Potential Provider and assess in accordance with steps 3-8 of the financial assessment; and </w:t>
      </w:r>
    </w:p>
    <w:p w14:paraId="646EA7CF" w14:textId="77777777" w:rsidR="003E7897" w:rsidRPr="005F3878" w:rsidRDefault="003E7897" w:rsidP="005F3878">
      <w:pPr>
        <w:pStyle w:val="ListParagraph"/>
        <w:numPr>
          <w:ilvl w:val="1"/>
          <w:numId w:val="8"/>
        </w:numPr>
        <w:spacing w:before="240" w:afterLines="50" w:after="120" w:line="360" w:lineRule="auto"/>
        <w:ind w:left="2268" w:hanging="567"/>
        <w:contextualSpacing w:val="0"/>
        <w:jc w:val="both"/>
        <w:rPr>
          <w:rFonts w:cstheme="minorHAnsi"/>
        </w:rPr>
      </w:pPr>
      <w:r w:rsidRPr="005F3878">
        <w:rPr>
          <w:rFonts w:cstheme="minorHAnsi"/>
        </w:rPr>
        <w:t xml:space="preserve">require such parent company to provide a letter of intent to provide a guarantee in respect of the supply by the Potential Provider if awarded.  </w:t>
      </w:r>
    </w:p>
    <w:p w14:paraId="04289D86" w14:textId="77777777" w:rsidR="003E7897" w:rsidRPr="005F3878" w:rsidRDefault="003E7897" w:rsidP="005F3878">
      <w:pPr>
        <w:spacing w:before="240" w:afterLines="200" w:after="480" w:line="360" w:lineRule="auto"/>
        <w:ind w:left="709"/>
        <w:jc w:val="both"/>
        <w:rPr>
          <w:rFonts w:cstheme="minorHAnsi"/>
        </w:rPr>
      </w:pPr>
      <w:r w:rsidRPr="005F3878">
        <w:rPr>
          <w:rFonts w:cstheme="minorHAnsi"/>
        </w:rPr>
        <w:t>If the parent company complies with steps 2.1.1(a)-(b) above, then the Potential Provider shall pass the financial assessment in Appendix 2 on the condition that (if the Potential Provider is successful at the Award Phase) HealthTrust Europe will require the parent company to provide the duly executed parent company guarantee as a condition precedent to the awarded contract.</w:t>
      </w:r>
    </w:p>
    <w:p w14:paraId="252FD1AF" w14:textId="77777777" w:rsidR="0067520A" w:rsidRPr="005F3878" w:rsidRDefault="0067520A" w:rsidP="005F3878">
      <w:pPr>
        <w:pStyle w:val="ListParagraph"/>
        <w:numPr>
          <w:ilvl w:val="0"/>
          <w:numId w:val="17"/>
        </w:numPr>
        <w:spacing w:afterLines="200" w:after="480" w:line="360" w:lineRule="auto"/>
        <w:contextualSpacing w:val="0"/>
        <w:rPr>
          <w:rFonts w:cstheme="minorHAnsi"/>
          <w:b/>
          <w:color w:val="1B365D"/>
          <w:sz w:val="28"/>
        </w:rPr>
      </w:pPr>
      <w:r w:rsidRPr="005F3878">
        <w:rPr>
          <w:rFonts w:cstheme="minorHAnsi"/>
          <w:b/>
          <w:color w:val="1B365D"/>
          <w:sz w:val="28"/>
        </w:rPr>
        <w:lastRenderedPageBreak/>
        <w:t xml:space="preserve"> Sid4Gov</w:t>
      </w:r>
      <w:r w:rsidRPr="005F3878">
        <w:rPr>
          <w:rFonts w:cstheme="minorHAnsi"/>
        </w:rPr>
        <w:t xml:space="preserve"> </w:t>
      </w:r>
    </w:p>
    <w:p w14:paraId="368BDC4C" w14:textId="77777777" w:rsidR="003E7897" w:rsidRPr="005F3878" w:rsidRDefault="003E7897" w:rsidP="005F3878">
      <w:pPr>
        <w:pStyle w:val="NormalWeb"/>
        <w:spacing w:afterLines="200" w:after="480" w:afterAutospacing="0" w:line="360" w:lineRule="auto"/>
        <w:ind w:left="720"/>
        <w:rPr>
          <w:rFonts w:asciiTheme="minorHAnsi" w:hAnsiTheme="minorHAnsi" w:cstheme="minorHAnsi"/>
          <w:sz w:val="22"/>
          <w:szCs w:val="22"/>
        </w:rPr>
      </w:pPr>
      <w:r w:rsidRPr="005F3878">
        <w:rPr>
          <w:rFonts w:asciiTheme="minorHAnsi" w:hAnsiTheme="minorHAnsi" w:cstheme="minorHAnsi"/>
          <w:sz w:val="22"/>
          <w:szCs w:val="22"/>
        </w:rPr>
        <w:t xml:space="preserve">HealthTrust Europe utilises the sid4gov supplier information database. Candidates are requested to register on sid4gov at </w:t>
      </w:r>
      <w:hyperlink r:id="rId9" w:history="1">
        <w:r w:rsidRPr="005F3878">
          <w:rPr>
            <w:rStyle w:val="Hyperlink"/>
            <w:rFonts w:asciiTheme="minorHAnsi" w:hAnsiTheme="minorHAnsi" w:cstheme="minorHAnsi"/>
            <w:sz w:val="22"/>
            <w:szCs w:val="22"/>
          </w:rPr>
          <w:t>https://sid4gov.cabinetoffice.gov.uk/organisation/register</w:t>
        </w:r>
      </w:hyperlink>
      <w:r w:rsidRPr="005F3878">
        <w:rPr>
          <w:rFonts w:asciiTheme="minorHAnsi" w:hAnsiTheme="minorHAnsi" w:cstheme="minorHAnsi"/>
          <w:sz w:val="22"/>
          <w:szCs w:val="22"/>
        </w:rPr>
        <w:t xml:space="preserve"> and submit their sid4gov company profile for publication on the database. Candidates already registered on sid4gov must ensure that information is up to date. Where access to sid4gov is unavailable, please contact the sid4gov helpdesk at </w:t>
      </w:r>
      <w:hyperlink r:id="rId10" w:history="1">
        <w:r w:rsidRPr="005F3878">
          <w:rPr>
            <w:rStyle w:val="Hyperlink"/>
            <w:rFonts w:asciiTheme="minorHAnsi" w:hAnsiTheme="minorHAnsi" w:cstheme="minorHAnsi"/>
            <w:sz w:val="22"/>
            <w:szCs w:val="22"/>
          </w:rPr>
          <w:t>sid4gov@gps.gsi.gov.uk</w:t>
        </w:r>
      </w:hyperlink>
      <w:r w:rsidRPr="005F3878">
        <w:rPr>
          <w:rFonts w:asciiTheme="minorHAnsi" w:hAnsiTheme="minorHAnsi" w:cstheme="minorHAnsi"/>
          <w:sz w:val="22"/>
          <w:szCs w:val="22"/>
        </w:rPr>
        <w:t xml:space="preserve">. </w:t>
      </w:r>
    </w:p>
    <w:p w14:paraId="2E8F3284" w14:textId="77777777" w:rsidR="003E7897" w:rsidRPr="005F3878" w:rsidRDefault="003E7897" w:rsidP="005F3878">
      <w:pPr>
        <w:pStyle w:val="ListParagraph"/>
        <w:tabs>
          <w:tab w:val="left" w:pos="709"/>
          <w:tab w:val="left" w:pos="4820"/>
          <w:tab w:val="left" w:pos="6804"/>
        </w:tabs>
        <w:spacing w:before="100" w:beforeAutospacing="1" w:afterLines="200" w:after="480" w:line="360" w:lineRule="auto"/>
        <w:ind w:left="709"/>
        <w:contextualSpacing w:val="0"/>
        <w:rPr>
          <w:rFonts w:cstheme="minorHAnsi"/>
        </w:rPr>
      </w:pPr>
      <w:r w:rsidRPr="005F3878">
        <w:rPr>
          <w:rFonts w:cstheme="minorHAnsi"/>
        </w:rPr>
        <w:t xml:space="preserve">Please note that, at present, sid4gov does not prepopulate any fields of the PQQ on the Portal, and therefore </w:t>
      </w:r>
      <w:r w:rsidR="00707051">
        <w:rPr>
          <w:rFonts w:cstheme="minorHAnsi"/>
        </w:rPr>
        <w:t>Potential Provider</w:t>
      </w:r>
      <w:r w:rsidRPr="005F3878">
        <w:rPr>
          <w:rFonts w:cstheme="minorHAnsi"/>
        </w:rPr>
        <w:t>s must complete the Qualification and Technical Envelopes of the PQQ in Bravo in full.</w:t>
      </w:r>
    </w:p>
    <w:p w14:paraId="4691C2CD" w14:textId="77777777" w:rsidR="00677304" w:rsidRDefault="00677304"/>
    <w:p w14:paraId="60EB0BEF" w14:textId="77777777" w:rsidR="00677304" w:rsidRDefault="00677304"/>
    <w:p w14:paraId="3435CB62" w14:textId="77777777" w:rsidR="00677304" w:rsidRDefault="00677304"/>
    <w:p w14:paraId="0EC8363D" w14:textId="77777777" w:rsidR="00677304" w:rsidRDefault="00677304"/>
    <w:p w14:paraId="31D56826" w14:textId="77777777" w:rsidR="00677304" w:rsidRDefault="00677304"/>
    <w:p w14:paraId="6309572A" w14:textId="77777777" w:rsidR="00677304" w:rsidRDefault="00677304"/>
    <w:p w14:paraId="7861CC88" w14:textId="77777777" w:rsidR="00677304" w:rsidRDefault="00677304"/>
    <w:p w14:paraId="5AF07B49" w14:textId="77777777" w:rsidR="00677304" w:rsidRDefault="00677304"/>
    <w:p w14:paraId="56B67F5A" w14:textId="58C911DB" w:rsidR="0060246E" w:rsidRDefault="0060246E">
      <w:r>
        <w:br w:type="page"/>
      </w:r>
    </w:p>
    <w:p w14:paraId="34BEE403" w14:textId="77777777" w:rsidR="00E13374" w:rsidRDefault="00E13374"/>
    <w:p w14:paraId="324085C0" w14:textId="77777777" w:rsidR="0067520A" w:rsidRDefault="0067520A" w:rsidP="0067520A">
      <w:pPr>
        <w:rPr>
          <w:b/>
          <w:color w:val="1B365D"/>
          <w:sz w:val="28"/>
        </w:rPr>
      </w:pPr>
      <w:r w:rsidRPr="0067520A">
        <w:rPr>
          <w:b/>
          <w:color w:val="1F497D" w:themeColor="text2"/>
          <w:sz w:val="28"/>
          <w:szCs w:val="28"/>
        </w:rPr>
        <w:t xml:space="preserve">Appendix 1 PQQ Evaluation Process </w:t>
      </w:r>
      <w:r w:rsidR="00F0178C">
        <w:rPr>
          <w:b/>
          <w:color w:val="1F497D" w:themeColor="text2"/>
          <w:sz w:val="28"/>
          <w:szCs w:val="28"/>
        </w:rPr>
        <w:t xml:space="preserve">- </w:t>
      </w:r>
      <w:r w:rsidRPr="0067520A">
        <w:rPr>
          <w:b/>
          <w:color w:val="1B365D"/>
          <w:sz w:val="28"/>
        </w:rPr>
        <w:t>Assessment Criteria</w:t>
      </w:r>
    </w:p>
    <w:tbl>
      <w:tblPr>
        <w:tblW w:w="104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4678"/>
        <w:gridCol w:w="2551"/>
        <w:gridCol w:w="1984"/>
      </w:tblGrid>
      <w:tr w:rsidR="007B7EE1" w14:paraId="398A8E75" w14:textId="77777777" w:rsidTr="00F0178C">
        <w:trPr>
          <w:trHeight w:val="374"/>
        </w:trPr>
        <w:tc>
          <w:tcPr>
            <w:tcW w:w="1276" w:type="dxa"/>
            <w:shd w:val="clear" w:color="auto" w:fill="FFC000"/>
            <w:vAlign w:val="center"/>
          </w:tcPr>
          <w:p w14:paraId="7057D95C" w14:textId="77777777" w:rsidR="007B7EE1" w:rsidRDefault="007B7EE1" w:rsidP="0078661C">
            <w:pPr>
              <w:spacing w:after="120"/>
              <w:jc w:val="center"/>
              <w:rPr>
                <w:rFonts w:cs="Arial"/>
                <w:b/>
                <w:sz w:val="20"/>
              </w:rPr>
            </w:pPr>
            <w:r>
              <w:rPr>
                <w:rFonts w:cs="Arial"/>
                <w:b/>
                <w:sz w:val="20"/>
              </w:rPr>
              <w:t>Criteria / Questions</w:t>
            </w:r>
          </w:p>
        </w:tc>
        <w:tc>
          <w:tcPr>
            <w:tcW w:w="4678" w:type="dxa"/>
            <w:shd w:val="clear" w:color="auto" w:fill="FFC000"/>
            <w:vAlign w:val="center"/>
          </w:tcPr>
          <w:p w14:paraId="753A8A9E" w14:textId="77777777" w:rsidR="007B7EE1" w:rsidRDefault="007B7EE1" w:rsidP="0078661C">
            <w:pPr>
              <w:spacing w:after="120"/>
              <w:jc w:val="center"/>
              <w:rPr>
                <w:rFonts w:cs="Arial"/>
                <w:b/>
                <w:sz w:val="20"/>
              </w:rPr>
            </w:pPr>
            <w:r>
              <w:rPr>
                <w:rFonts w:cs="Arial"/>
                <w:b/>
                <w:sz w:val="20"/>
              </w:rPr>
              <w:t>Background</w:t>
            </w:r>
          </w:p>
        </w:tc>
        <w:tc>
          <w:tcPr>
            <w:tcW w:w="2551" w:type="dxa"/>
            <w:shd w:val="clear" w:color="auto" w:fill="FFC000"/>
            <w:vAlign w:val="center"/>
          </w:tcPr>
          <w:p w14:paraId="61E4B453" w14:textId="77777777" w:rsidR="007B7EE1" w:rsidRDefault="007B7EE1" w:rsidP="0078661C">
            <w:pPr>
              <w:spacing w:after="120"/>
              <w:jc w:val="center"/>
              <w:rPr>
                <w:rFonts w:cs="Arial"/>
                <w:b/>
                <w:sz w:val="20"/>
              </w:rPr>
            </w:pPr>
            <w:r>
              <w:rPr>
                <w:rFonts w:cs="Arial"/>
                <w:b/>
                <w:sz w:val="20"/>
              </w:rPr>
              <w:t>How Questions are to be Scored</w:t>
            </w:r>
          </w:p>
        </w:tc>
        <w:tc>
          <w:tcPr>
            <w:tcW w:w="1984" w:type="dxa"/>
            <w:shd w:val="clear" w:color="auto" w:fill="FFC000"/>
            <w:vAlign w:val="center"/>
          </w:tcPr>
          <w:p w14:paraId="1DE6C7C5" w14:textId="77777777" w:rsidR="007B7EE1" w:rsidRDefault="007B7EE1" w:rsidP="0078661C">
            <w:pPr>
              <w:spacing w:after="120"/>
              <w:jc w:val="center"/>
              <w:rPr>
                <w:rFonts w:cs="Arial"/>
                <w:b/>
                <w:sz w:val="20"/>
              </w:rPr>
            </w:pPr>
            <w:r>
              <w:rPr>
                <w:rFonts w:cs="Arial"/>
                <w:b/>
                <w:sz w:val="20"/>
              </w:rPr>
              <w:t>Weighting</w:t>
            </w:r>
          </w:p>
        </w:tc>
      </w:tr>
      <w:tr w:rsidR="007B7EE1" w14:paraId="35909B2F" w14:textId="77777777" w:rsidTr="00F0178C">
        <w:tc>
          <w:tcPr>
            <w:tcW w:w="1276" w:type="dxa"/>
            <w:shd w:val="clear" w:color="auto" w:fill="auto"/>
          </w:tcPr>
          <w:p w14:paraId="1387F9B2" w14:textId="77777777" w:rsidR="007B7EE1" w:rsidRDefault="00EC50B2" w:rsidP="0078661C">
            <w:pPr>
              <w:spacing w:after="120"/>
              <w:jc w:val="both"/>
              <w:rPr>
                <w:rFonts w:cs="Arial"/>
                <w:sz w:val="20"/>
                <w:lang w:eastAsia="en-GB"/>
              </w:rPr>
            </w:pPr>
            <w:r>
              <w:rPr>
                <w:rFonts w:cs="Arial"/>
                <w:sz w:val="20"/>
                <w:lang w:eastAsia="en-GB"/>
              </w:rPr>
              <w:t xml:space="preserve">Grounds for Mandatory  </w:t>
            </w:r>
          </w:p>
        </w:tc>
        <w:tc>
          <w:tcPr>
            <w:tcW w:w="4678" w:type="dxa"/>
            <w:shd w:val="clear" w:color="auto" w:fill="auto"/>
          </w:tcPr>
          <w:p w14:paraId="6282D750" w14:textId="77777777" w:rsidR="007B7EE1" w:rsidRDefault="007B7EE1" w:rsidP="00E13374">
            <w:pPr>
              <w:spacing w:after="120"/>
              <w:jc w:val="both"/>
              <w:rPr>
                <w:rFonts w:cs="Arial"/>
                <w:sz w:val="20"/>
                <w:lang w:eastAsia="en-GB"/>
              </w:rPr>
            </w:pPr>
            <w:r>
              <w:rPr>
                <w:rFonts w:cs="Arial"/>
                <w:sz w:val="20"/>
                <w:lang w:eastAsia="en-GB"/>
              </w:rPr>
              <w:t xml:space="preserve">The Potential Provider </w:t>
            </w:r>
            <w:r w:rsidR="00E13374">
              <w:rPr>
                <w:rFonts w:cs="Arial"/>
                <w:sz w:val="20"/>
                <w:lang w:eastAsia="en-GB"/>
              </w:rPr>
              <w:t>should not be excluded b</w:t>
            </w:r>
            <w:r>
              <w:rPr>
                <w:rFonts w:cs="Arial"/>
                <w:sz w:val="20"/>
                <w:lang w:eastAsia="en-GB"/>
              </w:rPr>
              <w:t xml:space="preserve">y virtue of Regulation </w:t>
            </w:r>
            <w:r w:rsidR="00E13374">
              <w:rPr>
                <w:rFonts w:cs="Arial"/>
                <w:sz w:val="20"/>
                <w:lang w:eastAsia="en-GB"/>
              </w:rPr>
              <w:t>57</w:t>
            </w:r>
            <w:r>
              <w:rPr>
                <w:rFonts w:cs="Arial"/>
                <w:sz w:val="20"/>
                <w:lang w:eastAsia="en-GB"/>
              </w:rPr>
              <w:t xml:space="preserve"> of the P</w:t>
            </w:r>
            <w:r w:rsidR="00E13374">
              <w:rPr>
                <w:rFonts w:cs="Arial"/>
                <w:sz w:val="20"/>
                <w:lang w:eastAsia="en-GB"/>
              </w:rPr>
              <w:t>ublic Contracts Regulations 2015</w:t>
            </w:r>
            <w:r>
              <w:rPr>
                <w:rFonts w:cs="Arial"/>
                <w:sz w:val="20"/>
                <w:lang w:eastAsia="en-GB"/>
              </w:rPr>
              <w:t xml:space="preserve"> (as amended).</w:t>
            </w:r>
          </w:p>
        </w:tc>
        <w:tc>
          <w:tcPr>
            <w:tcW w:w="2551" w:type="dxa"/>
          </w:tcPr>
          <w:p w14:paraId="508AF400" w14:textId="77777777" w:rsidR="007B7EE1" w:rsidRDefault="00C4531D" w:rsidP="00C4531D">
            <w:pPr>
              <w:spacing w:after="120"/>
              <w:jc w:val="center"/>
              <w:rPr>
                <w:rFonts w:cs="Arial"/>
                <w:sz w:val="20"/>
                <w:lang w:eastAsia="en-GB"/>
              </w:rPr>
            </w:pPr>
            <w:r>
              <w:rPr>
                <w:rFonts w:cs="Arial"/>
                <w:sz w:val="20"/>
                <w:lang w:eastAsia="en-GB"/>
              </w:rPr>
              <w:t>Pass/fail</w:t>
            </w:r>
          </w:p>
        </w:tc>
        <w:tc>
          <w:tcPr>
            <w:tcW w:w="1984" w:type="dxa"/>
          </w:tcPr>
          <w:p w14:paraId="7DBF78F7" w14:textId="77777777" w:rsidR="007B7EE1" w:rsidRDefault="00C4531D" w:rsidP="00C4531D">
            <w:pPr>
              <w:spacing w:after="120"/>
              <w:jc w:val="center"/>
              <w:rPr>
                <w:rFonts w:cs="Arial"/>
                <w:sz w:val="20"/>
                <w:lang w:eastAsia="en-GB"/>
              </w:rPr>
            </w:pPr>
            <w:r w:rsidRPr="00C4531D">
              <w:rPr>
                <w:rFonts w:cs="Arial"/>
                <w:sz w:val="20"/>
                <w:lang w:eastAsia="en-GB"/>
              </w:rPr>
              <w:t>Pass/fail</w:t>
            </w:r>
          </w:p>
        </w:tc>
      </w:tr>
      <w:tr w:rsidR="007B7EE1" w14:paraId="566633F2" w14:textId="77777777" w:rsidTr="00F0178C">
        <w:tc>
          <w:tcPr>
            <w:tcW w:w="1276" w:type="dxa"/>
            <w:shd w:val="clear" w:color="auto" w:fill="auto"/>
          </w:tcPr>
          <w:p w14:paraId="079E32DE" w14:textId="77777777" w:rsidR="007B7EE1" w:rsidRDefault="007B7EE1" w:rsidP="0078661C">
            <w:pPr>
              <w:spacing w:after="120"/>
              <w:jc w:val="both"/>
              <w:rPr>
                <w:rFonts w:cs="Arial"/>
                <w:sz w:val="20"/>
              </w:rPr>
            </w:pPr>
            <w:r>
              <w:rPr>
                <w:rFonts w:cs="Arial"/>
                <w:sz w:val="20"/>
              </w:rPr>
              <w:t xml:space="preserve">Technical or professional ability </w:t>
            </w:r>
          </w:p>
        </w:tc>
        <w:tc>
          <w:tcPr>
            <w:tcW w:w="4678" w:type="dxa"/>
            <w:shd w:val="clear" w:color="auto" w:fill="auto"/>
          </w:tcPr>
          <w:p w14:paraId="5B122B7D" w14:textId="77777777" w:rsidR="007B7EE1" w:rsidRDefault="007B7EE1" w:rsidP="0078661C">
            <w:pPr>
              <w:spacing w:after="120"/>
              <w:jc w:val="both"/>
              <w:rPr>
                <w:rFonts w:cs="Arial"/>
                <w:sz w:val="20"/>
                <w:lang w:eastAsia="en-GB"/>
              </w:rPr>
            </w:pPr>
            <w:r>
              <w:rPr>
                <w:rFonts w:cs="Arial"/>
                <w:sz w:val="20"/>
                <w:lang w:eastAsia="en-GB"/>
              </w:rPr>
              <w:t>The Potential Provider meets the minimum set standards of technical and service quality competence by way of tools, educational and professional expertise to service the term and value of the contract.</w:t>
            </w:r>
          </w:p>
          <w:p w14:paraId="631B4721" w14:textId="77777777" w:rsidR="007B7EE1" w:rsidRDefault="007B7EE1" w:rsidP="0078661C">
            <w:pPr>
              <w:spacing w:after="120"/>
              <w:rPr>
                <w:rFonts w:cs="Arial"/>
                <w:sz w:val="20"/>
                <w:lang w:eastAsia="en-GB"/>
              </w:rPr>
            </w:pPr>
            <w:r>
              <w:rPr>
                <w:rFonts w:cs="Arial"/>
                <w:sz w:val="20"/>
                <w:lang w:eastAsia="en-GB"/>
              </w:rPr>
              <w:t xml:space="preserve">This includes supporting reference details, compliance with health and safety, existence of a quality management system, or sustainability requirements. </w:t>
            </w:r>
          </w:p>
        </w:tc>
        <w:tc>
          <w:tcPr>
            <w:tcW w:w="2551" w:type="dxa"/>
          </w:tcPr>
          <w:p w14:paraId="2884AC55" w14:textId="77777777" w:rsidR="007B7EE1" w:rsidRDefault="00C4531D" w:rsidP="00C4531D">
            <w:pPr>
              <w:spacing w:after="120"/>
              <w:jc w:val="center"/>
              <w:rPr>
                <w:rFonts w:cs="Arial"/>
                <w:sz w:val="20"/>
                <w:lang w:eastAsia="en-GB"/>
              </w:rPr>
            </w:pPr>
            <w:r w:rsidRPr="00C4531D">
              <w:rPr>
                <w:rFonts w:cs="Arial"/>
                <w:sz w:val="20"/>
                <w:lang w:eastAsia="en-GB"/>
              </w:rPr>
              <w:t>Pass/fail</w:t>
            </w:r>
          </w:p>
        </w:tc>
        <w:tc>
          <w:tcPr>
            <w:tcW w:w="1984" w:type="dxa"/>
          </w:tcPr>
          <w:p w14:paraId="04D40F93" w14:textId="77777777" w:rsidR="007B7EE1" w:rsidRDefault="00C4531D" w:rsidP="00C4531D">
            <w:pPr>
              <w:spacing w:after="120"/>
              <w:jc w:val="center"/>
              <w:rPr>
                <w:rFonts w:cs="Arial"/>
                <w:sz w:val="20"/>
                <w:lang w:eastAsia="en-GB"/>
              </w:rPr>
            </w:pPr>
            <w:r w:rsidRPr="00C4531D">
              <w:rPr>
                <w:rFonts w:cs="Arial"/>
                <w:sz w:val="20"/>
                <w:lang w:eastAsia="en-GB"/>
              </w:rPr>
              <w:t>Pass/fail</w:t>
            </w:r>
          </w:p>
        </w:tc>
      </w:tr>
      <w:tr w:rsidR="00807965" w14:paraId="066F7A0F" w14:textId="77777777" w:rsidTr="00F0178C">
        <w:tc>
          <w:tcPr>
            <w:tcW w:w="1276" w:type="dxa"/>
            <w:shd w:val="clear" w:color="auto" w:fill="auto"/>
          </w:tcPr>
          <w:p w14:paraId="2A0CF338" w14:textId="05EA0F1D" w:rsidR="00807965" w:rsidRDefault="00807965" w:rsidP="0078661C">
            <w:pPr>
              <w:spacing w:after="120"/>
              <w:jc w:val="both"/>
              <w:rPr>
                <w:rFonts w:cs="Arial"/>
                <w:sz w:val="20"/>
              </w:rPr>
            </w:pPr>
            <w:r>
              <w:rPr>
                <w:rFonts w:cs="Arial"/>
                <w:sz w:val="20"/>
              </w:rPr>
              <w:t xml:space="preserve">CE marking </w:t>
            </w:r>
          </w:p>
        </w:tc>
        <w:tc>
          <w:tcPr>
            <w:tcW w:w="4678" w:type="dxa"/>
            <w:shd w:val="clear" w:color="auto" w:fill="auto"/>
          </w:tcPr>
          <w:p w14:paraId="4DDB6650" w14:textId="1CE281E5" w:rsidR="00807965" w:rsidRDefault="00807965" w:rsidP="00807965">
            <w:pPr>
              <w:spacing w:after="120"/>
              <w:jc w:val="both"/>
              <w:rPr>
                <w:rFonts w:cs="Arial"/>
                <w:sz w:val="20"/>
                <w:lang w:eastAsia="en-GB"/>
              </w:rPr>
            </w:pPr>
            <w:r>
              <w:rPr>
                <w:rFonts w:cs="Arial"/>
                <w:sz w:val="20"/>
                <w:lang w:eastAsia="en-GB"/>
              </w:rPr>
              <w:t xml:space="preserve">The Potential Provider confirms all products </w:t>
            </w:r>
            <w:r w:rsidRPr="00807965">
              <w:rPr>
                <w:rFonts w:cs="Arial"/>
                <w:sz w:val="20"/>
                <w:lang w:eastAsia="en-GB"/>
              </w:rPr>
              <w:t>intend to supply through</w:t>
            </w:r>
            <w:r>
              <w:rPr>
                <w:rFonts w:cs="Arial"/>
                <w:sz w:val="20"/>
                <w:lang w:eastAsia="en-GB"/>
              </w:rPr>
              <w:t xml:space="preserve"> the agreement </w:t>
            </w:r>
            <w:r w:rsidRPr="00807965">
              <w:rPr>
                <w:rFonts w:cs="Arial"/>
                <w:sz w:val="20"/>
                <w:lang w:eastAsia="en-GB"/>
              </w:rPr>
              <w:t>CE marked.</w:t>
            </w:r>
          </w:p>
        </w:tc>
        <w:tc>
          <w:tcPr>
            <w:tcW w:w="2551" w:type="dxa"/>
          </w:tcPr>
          <w:p w14:paraId="74F0E307" w14:textId="389DDE85" w:rsidR="00807965" w:rsidRPr="00C4531D" w:rsidRDefault="00807965" w:rsidP="00C4531D">
            <w:pPr>
              <w:spacing w:after="120"/>
              <w:jc w:val="center"/>
              <w:rPr>
                <w:rFonts w:cs="Arial"/>
                <w:sz w:val="20"/>
                <w:lang w:eastAsia="en-GB"/>
              </w:rPr>
            </w:pPr>
            <w:r>
              <w:rPr>
                <w:rFonts w:cs="Arial"/>
                <w:sz w:val="20"/>
                <w:lang w:eastAsia="en-GB"/>
              </w:rPr>
              <w:t xml:space="preserve">Pass/fail </w:t>
            </w:r>
          </w:p>
        </w:tc>
        <w:tc>
          <w:tcPr>
            <w:tcW w:w="1984" w:type="dxa"/>
          </w:tcPr>
          <w:p w14:paraId="584266D2" w14:textId="1B6E743A" w:rsidR="00807965" w:rsidRPr="00C4531D" w:rsidRDefault="00807965" w:rsidP="00C4531D">
            <w:pPr>
              <w:spacing w:after="120"/>
              <w:jc w:val="center"/>
              <w:rPr>
                <w:rFonts w:cs="Arial"/>
                <w:sz w:val="20"/>
                <w:lang w:eastAsia="en-GB"/>
              </w:rPr>
            </w:pPr>
            <w:r>
              <w:rPr>
                <w:rFonts w:cs="Arial"/>
                <w:sz w:val="20"/>
                <w:lang w:eastAsia="en-GB"/>
              </w:rPr>
              <w:t>Pass/fail</w:t>
            </w:r>
          </w:p>
        </w:tc>
      </w:tr>
      <w:tr w:rsidR="00807965" w14:paraId="34DF112D" w14:textId="77777777" w:rsidTr="00F0178C">
        <w:tc>
          <w:tcPr>
            <w:tcW w:w="1276" w:type="dxa"/>
            <w:shd w:val="clear" w:color="auto" w:fill="auto"/>
          </w:tcPr>
          <w:p w14:paraId="27954F3E" w14:textId="29091466" w:rsidR="00807965" w:rsidRDefault="00807965" w:rsidP="0078661C">
            <w:pPr>
              <w:spacing w:after="120"/>
              <w:jc w:val="both"/>
              <w:rPr>
                <w:rFonts w:cs="Arial"/>
                <w:sz w:val="20"/>
              </w:rPr>
            </w:pPr>
            <w:r w:rsidRPr="00807965">
              <w:rPr>
                <w:rFonts w:cs="Arial"/>
                <w:sz w:val="20"/>
              </w:rPr>
              <w:t>Control of Substances Hazardous to Health</w:t>
            </w:r>
          </w:p>
        </w:tc>
        <w:tc>
          <w:tcPr>
            <w:tcW w:w="4678" w:type="dxa"/>
            <w:shd w:val="clear" w:color="auto" w:fill="auto"/>
          </w:tcPr>
          <w:p w14:paraId="260DB712" w14:textId="45868CA3" w:rsidR="00807965" w:rsidRDefault="00807965" w:rsidP="00807965">
            <w:pPr>
              <w:spacing w:after="120"/>
              <w:jc w:val="both"/>
              <w:rPr>
                <w:rFonts w:cs="Arial"/>
                <w:sz w:val="20"/>
                <w:lang w:eastAsia="en-GB"/>
              </w:rPr>
            </w:pPr>
            <w:r w:rsidRPr="00807965">
              <w:rPr>
                <w:rFonts w:cs="Arial"/>
                <w:sz w:val="20"/>
                <w:lang w:eastAsia="en-GB"/>
              </w:rPr>
              <w:t>The Potential Provider confirms all</w:t>
            </w:r>
            <w:r>
              <w:rPr>
                <w:rFonts w:cs="Arial"/>
                <w:sz w:val="20"/>
                <w:lang w:eastAsia="en-GB"/>
              </w:rPr>
              <w:t xml:space="preserve"> Chemical</w:t>
            </w:r>
            <w:r w:rsidRPr="00807965">
              <w:rPr>
                <w:rFonts w:cs="Arial"/>
                <w:sz w:val="20"/>
                <w:lang w:eastAsia="en-GB"/>
              </w:rPr>
              <w:t xml:space="preserve"> products intend to supply through the agreement</w:t>
            </w:r>
            <w:r>
              <w:rPr>
                <w:rFonts w:cs="Arial"/>
                <w:sz w:val="20"/>
                <w:lang w:eastAsia="en-GB"/>
              </w:rPr>
              <w:t xml:space="preserve"> </w:t>
            </w:r>
            <w:r w:rsidRPr="00807965">
              <w:rPr>
                <w:rFonts w:cs="Arial"/>
                <w:sz w:val="20"/>
                <w:lang w:eastAsia="en-GB"/>
              </w:rPr>
              <w:t>are supplied</w:t>
            </w:r>
            <w:r>
              <w:rPr>
                <w:rFonts w:cs="Arial"/>
                <w:sz w:val="20"/>
                <w:lang w:eastAsia="en-GB"/>
              </w:rPr>
              <w:t xml:space="preserve"> with </w:t>
            </w:r>
            <w:r w:rsidRPr="00807965">
              <w:rPr>
                <w:rFonts w:cs="Arial"/>
                <w:sz w:val="20"/>
                <w:lang w:eastAsia="en-GB"/>
              </w:rPr>
              <w:t>Control of Substances Hazardous to Health</w:t>
            </w:r>
            <w:r>
              <w:rPr>
                <w:rFonts w:cs="Arial"/>
                <w:sz w:val="20"/>
                <w:lang w:eastAsia="en-GB"/>
              </w:rPr>
              <w:t xml:space="preserve"> </w:t>
            </w:r>
            <w:r w:rsidRPr="00807965">
              <w:rPr>
                <w:rFonts w:cs="Arial"/>
                <w:sz w:val="20"/>
                <w:lang w:eastAsia="en-GB"/>
              </w:rPr>
              <w:t>(COSHH) Data sheets</w:t>
            </w:r>
            <w:r>
              <w:rPr>
                <w:rFonts w:cs="Arial"/>
                <w:sz w:val="20"/>
                <w:lang w:eastAsia="en-GB"/>
              </w:rPr>
              <w:t>.</w:t>
            </w:r>
          </w:p>
        </w:tc>
        <w:tc>
          <w:tcPr>
            <w:tcW w:w="2551" w:type="dxa"/>
          </w:tcPr>
          <w:p w14:paraId="7734F432" w14:textId="55CE2C32" w:rsidR="00807965" w:rsidRDefault="00807965" w:rsidP="00C4531D">
            <w:pPr>
              <w:spacing w:after="120"/>
              <w:jc w:val="center"/>
              <w:rPr>
                <w:rFonts w:cs="Arial"/>
                <w:sz w:val="20"/>
                <w:lang w:eastAsia="en-GB"/>
              </w:rPr>
            </w:pPr>
            <w:r>
              <w:rPr>
                <w:rFonts w:cs="Arial"/>
                <w:sz w:val="20"/>
                <w:lang w:eastAsia="en-GB"/>
              </w:rPr>
              <w:t>Pass/fail</w:t>
            </w:r>
          </w:p>
        </w:tc>
        <w:tc>
          <w:tcPr>
            <w:tcW w:w="1984" w:type="dxa"/>
          </w:tcPr>
          <w:p w14:paraId="45890704" w14:textId="618251FA" w:rsidR="00807965" w:rsidRDefault="00807965" w:rsidP="00C4531D">
            <w:pPr>
              <w:spacing w:after="120"/>
              <w:jc w:val="center"/>
              <w:rPr>
                <w:rFonts w:cs="Arial"/>
                <w:sz w:val="20"/>
                <w:lang w:eastAsia="en-GB"/>
              </w:rPr>
            </w:pPr>
            <w:r>
              <w:rPr>
                <w:rFonts w:cs="Arial"/>
                <w:sz w:val="20"/>
                <w:lang w:eastAsia="en-GB"/>
              </w:rPr>
              <w:t xml:space="preserve">Pass/fail </w:t>
            </w:r>
          </w:p>
        </w:tc>
      </w:tr>
      <w:tr w:rsidR="00807965" w14:paraId="51D1DB30" w14:textId="77777777" w:rsidTr="00F0178C">
        <w:tc>
          <w:tcPr>
            <w:tcW w:w="1276" w:type="dxa"/>
            <w:shd w:val="clear" w:color="auto" w:fill="auto"/>
          </w:tcPr>
          <w:p w14:paraId="55A79F13" w14:textId="353FEBBD" w:rsidR="00807965" w:rsidRPr="00807965" w:rsidRDefault="00807965" w:rsidP="0078661C">
            <w:pPr>
              <w:spacing w:after="120"/>
              <w:jc w:val="both"/>
              <w:rPr>
                <w:rFonts w:cs="Arial"/>
                <w:sz w:val="20"/>
              </w:rPr>
            </w:pPr>
            <w:r w:rsidRPr="00807965">
              <w:rPr>
                <w:rFonts w:cs="Arial"/>
                <w:sz w:val="20"/>
              </w:rPr>
              <w:t>Economic or financial standing</w:t>
            </w:r>
          </w:p>
        </w:tc>
        <w:tc>
          <w:tcPr>
            <w:tcW w:w="4678" w:type="dxa"/>
            <w:shd w:val="clear" w:color="auto" w:fill="auto"/>
          </w:tcPr>
          <w:p w14:paraId="148F8362" w14:textId="77777777" w:rsidR="00807965" w:rsidRDefault="00807965" w:rsidP="00807965">
            <w:pPr>
              <w:spacing w:after="120"/>
              <w:jc w:val="both"/>
              <w:rPr>
                <w:rFonts w:cs="Arial"/>
                <w:sz w:val="20"/>
                <w:lang w:eastAsia="en-GB"/>
              </w:rPr>
            </w:pPr>
            <w:r>
              <w:rPr>
                <w:rFonts w:cs="Arial"/>
                <w:sz w:val="20"/>
                <w:lang w:eastAsia="en-GB"/>
              </w:rPr>
              <w:t>The Potential Provider meets the minimum set standards of economic and financial standing to service the term and value of the contract.</w:t>
            </w:r>
          </w:p>
          <w:p w14:paraId="1A8E82A2" w14:textId="60AFF295" w:rsidR="00807965" w:rsidRPr="00807965" w:rsidRDefault="00807965" w:rsidP="00807965">
            <w:pPr>
              <w:spacing w:after="120"/>
              <w:jc w:val="both"/>
              <w:rPr>
                <w:rFonts w:cs="Arial"/>
                <w:sz w:val="20"/>
                <w:lang w:eastAsia="en-GB"/>
              </w:rPr>
            </w:pPr>
            <w:r>
              <w:rPr>
                <w:rFonts w:cs="Arial"/>
                <w:sz w:val="20"/>
                <w:lang w:eastAsia="en-GB"/>
              </w:rPr>
              <w:t>This will include the financial assessment outlined in Appendix 2.</w:t>
            </w:r>
          </w:p>
        </w:tc>
        <w:tc>
          <w:tcPr>
            <w:tcW w:w="2551" w:type="dxa"/>
          </w:tcPr>
          <w:p w14:paraId="68363573" w14:textId="62DD8753" w:rsidR="00807965" w:rsidRDefault="00807965" w:rsidP="00C4531D">
            <w:pPr>
              <w:spacing w:after="120"/>
              <w:jc w:val="center"/>
              <w:rPr>
                <w:rFonts w:cs="Arial"/>
                <w:sz w:val="20"/>
                <w:lang w:eastAsia="en-GB"/>
              </w:rPr>
            </w:pPr>
            <w:r w:rsidRPr="00C4531D">
              <w:rPr>
                <w:rFonts w:cs="Arial"/>
                <w:sz w:val="20"/>
                <w:lang w:eastAsia="en-GB"/>
              </w:rPr>
              <w:t>Pass/fail</w:t>
            </w:r>
          </w:p>
        </w:tc>
        <w:tc>
          <w:tcPr>
            <w:tcW w:w="1984" w:type="dxa"/>
          </w:tcPr>
          <w:p w14:paraId="02AD6A40" w14:textId="679D6D1E" w:rsidR="00807965" w:rsidRDefault="00807965" w:rsidP="00C4531D">
            <w:pPr>
              <w:spacing w:after="120"/>
              <w:jc w:val="center"/>
              <w:rPr>
                <w:rFonts w:cs="Arial"/>
                <w:sz w:val="20"/>
                <w:lang w:eastAsia="en-GB"/>
              </w:rPr>
            </w:pPr>
            <w:r w:rsidRPr="00C4531D">
              <w:rPr>
                <w:rFonts w:cs="Arial"/>
                <w:sz w:val="20"/>
                <w:lang w:eastAsia="en-GB"/>
              </w:rPr>
              <w:t>Pass/fail</w:t>
            </w:r>
          </w:p>
        </w:tc>
      </w:tr>
    </w:tbl>
    <w:p w14:paraId="31F016A3" w14:textId="77777777" w:rsidR="007B7EE1" w:rsidRDefault="007B7EE1" w:rsidP="007B7EE1">
      <w:pPr>
        <w:pStyle w:val="Header"/>
        <w:tabs>
          <w:tab w:val="left" w:pos="1701"/>
        </w:tabs>
        <w:spacing w:before="100" w:beforeAutospacing="1" w:after="120"/>
        <w:rPr>
          <w:rFonts w:cs="Arial"/>
          <w:sz w:val="20"/>
        </w:rPr>
      </w:pPr>
      <w:r>
        <w:rPr>
          <w:rFonts w:cs="Arial"/>
          <w:sz w:val="20"/>
        </w:rPr>
        <w:t xml:space="preserve">* Alternatively a Potential Provider may self-insure their supply under </w:t>
      </w:r>
      <w:r w:rsidRPr="00D70094">
        <w:rPr>
          <w:rFonts w:cs="Arial"/>
          <w:sz w:val="20"/>
        </w:rPr>
        <w:t>this framework agreement</w:t>
      </w:r>
      <w:r>
        <w:rPr>
          <w:rFonts w:cs="Arial"/>
          <w:sz w:val="20"/>
        </w:rPr>
        <w:t xml:space="preserve">, but only where the requirements of Appendix 2 are met. </w:t>
      </w:r>
    </w:p>
    <w:p w14:paraId="62A12C8D" w14:textId="77777777" w:rsidR="0067520A" w:rsidRDefault="0067520A">
      <w:pPr>
        <w:rPr>
          <w:b/>
          <w:color w:val="1B365D"/>
          <w:sz w:val="28"/>
        </w:rPr>
      </w:pPr>
      <w:r>
        <w:rPr>
          <w:b/>
          <w:color w:val="1B365D"/>
          <w:sz w:val="28"/>
        </w:rPr>
        <w:br w:type="page"/>
      </w:r>
    </w:p>
    <w:p w14:paraId="5C37060C" w14:textId="77777777" w:rsidR="0067520A" w:rsidRPr="0067520A" w:rsidRDefault="0067520A" w:rsidP="0067520A">
      <w:pPr>
        <w:rPr>
          <w:b/>
          <w:color w:val="1F497D" w:themeColor="text2"/>
          <w:sz w:val="28"/>
          <w:szCs w:val="28"/>
        </w:rPr>
      </w:pPr>
      <w:r w:rsidRPr="0067520A">
        <w:rPr>
          <w:b/>
          <w:color w:val="1F497D" w:themeColor="text2"/>
          <w:sz w:val="28"/>
          <w:szCs w:val="28"/>
        </w:rPr>
        <w:lastRenderedPageBreak/>
        <w:t xml:space="preserve">Appendix </w:t>
      </w:r>
      <w:r>
        <w:rPr>
          <w:b/>
          <w:color w:val="1F497D" w:themeColor="text2"/>
          <w:sz w:val="28"/>
          <w:szCs w:val="28"/>
        </w:rPr>
        <w:t xml:space="preserve">2 Financial Supplier Assessment </w:t>
      </w:r>
      <w:r w:rsidRPr="0067520A">
        <w:rPr>
          <w:b/>
          <w:color w:val="1F497D" w:themeColor="text2"/>
          <w:sz w:val="28"/>
          <w:szCs w:val="28"/>
        </w:rPr>
        <w:t xml:space="preserve"> </w:t>
      </w:r>
    </w:p>
    <w:p w14:paraId="45EFD89E" w14:textId="77777777" w:rsidR="0067520A" w:rsidRPr="00F0178C" w:rsidRDefault="0067520A" w:rsidP="0067520A">
      <w:pPr>
        <w:rPr>
          <w:color w:val="000000" w:themeColor="text1"/>
        </w:rPr>
      </w:pPr>
      <w:r w:rsidRPr="00F0178C">
        <w:rPr>
          <w:color w:val="000000" w:themeColor="text1"/>
        </w:rPr>
        <w:t>Please note that this section is not for completion by Potential Providers, but details the financial evaluation criteria that HealthTrust Europe will complete to assess financial aspects of the PQQ.</w:t>
      </w:r>
    </w:p>
    <w:tbl>
      <w:tblPr>
        <w:tblpPr w:leftFromText="180" w:rightFromText="180" w:vertAnchor="page" w:horzAnchor="margin" w:tblpY="4334"/>
        <w:tblW w:w="4875" w:type="pct"/>
        <w:tblLayout w:type="fixed"/>
        <w:tblLook w:val="0000" w:firstRow="0" w:lastRow="0" w:firstColumn="0" w:lastColumn="0" w:noHBand="0" w:noVBand="0"/>
      </w:tblPr>
      <w:tblGrid>
        <w:gridCol w:w="610"/>
        <w:gridCol w:w="8"/>
        <w:gridCol w:w="4484"/>
        <w:gridCol w:w="1099"/>
        <w:gridCol w:w="3986"/>
        <w:gridCol w:w="8"/>
      </w:tblGrid>
      <w:tr w:rsidR="00EA3D2F" w:rsidRPr="00ED5113" w14:paraId="197447B4" w14:textId="77777777" w:rsidTr="00ED5113">
        <w:trPr>
          <w:gridAfter w:val="1"/>
          <w:wAfter w:w="5" w:type="pct"/>
          <w:trHeight w:val="615"/>
        </w:trPr>
        <w:tc>
          <w:tcPr>
            <w:tcW w:w="303" w:type="pct"/>
            <w:gridSpan w:val="2"/>
            <w:tcBorders>
              <w:top w:val="single" w:sz="4" w:space="0" w:color="auto"/>
              <w:left w:val="single" w:sz="4" w:space="0" w:color="auto"/>
              <w:bottom w:val="single" w:sz="4" w:space="0" w:color="auto"/>
              <w:right w:val="single" w:sz="4" w:space="0" w:color="auto"/>
            </w:tcBorders>
            <w:shd w:val="clear" w:color="auto" w:fill="FFC000"/>
            <w:vAlign w:val="center"/>
          </w:tcPr>
          <w:p w14:paraId="1D561292" w14:textId="77777777" w:rsidR="00EA3D2F" w:rsidRPr="00ED5113" w:rsidRDefault="00EA3D2F" w:rsidP="007C4A81">
            <w:pPr>
              <w:widowControl w:val="0"/>
              <w:spacing w:before="100" w:beforeAutospacing="1" w:after="120"/>
              <w:jc w:val="center"/>
              <w:rPr>
                <w:rFonts w:cstheme="minorHAnsi"/>
                <w:b/>
                <w:bCs/>
                <w:color w:val="000000"/>
              </w:rPr>
            </w:pPr>
            <w:r w:rsidRPr="00ED5113">
              <w:rPr>
                <w:rFonts w:cstheme="minorHAnsi"/>
                <w:b/>
                <w:bCs/>
                <w:color w:val="000000"/>
              </w:rPr>
              <w:t>Step No.</w:t>
            </w:r>
          </w:p>
        </w:tc>
        <w:tc>
          <w:tcPr>
            <w:tcW w:w="2198" w:type="pct"/>
            <w:tcBorders>
              <w:top w:val="single" w:sz="4" w:space="0" w:color="auto"/>
              <w:left w:val="single" w:sz="4" w:space="0" w:color="auto"/>
              <w:bottom w:val="single" w:sz="4" w:space="0" w:color="auto"/>
              <w:right w:val="single" w:sz="4" w:space="0" w:color="auto"/>
            </w:tcBorders>
            <w:shd w:val="clear" w:color="auto" w:fill="FFC000"/>
            <w:vAlign w:val="center"/>
          </w:tcPr>
          <w:p w14:paraId="0A133778" w14:textId="77777777" w:rsidR="00EA3D2F" w:rsidRPr="00ED5113" w:rsidRDefault="00EA3D2F" w:rsidP="007C4A81">
            <w:pPr>
              <w:widowControl w:val="0"/>
              <w:spacing w:before="100" w:beforeAutospacing="1" w:after="120"/>
              <w:jc w:val="center"/>
              <w:rPr>
                <w:rFonts w:cstheme="minorHAnsi"/>
                <w:b/>
                <w:bCs/>
                <w:color w:val="000000"/>
              </w:rPr>
            </w:pPr>
            <w:r w:rsidRPr="00ED5113">
              <w:rPr>
                <w:rFonts w:cstheme="minorHAnsi"/>
                <w:b/>
                <w:bCs/>
                <w:color w:val="000000"/>
              </w:rPr>
              <w:t>Test Description</w:t>
            </w:r>
          </w:p>
        </w:tc>
        <w:tc>
          <w:tcPr>
            <w:tcW w:w="539" w:type="pct"/>
            <w:tcBorders>
              <w:top w:val="single" w:sz="4" w:space="0" w:color="auto"/>
              <w:left w:val="single" w:sz="4" w:space="0" w:color="auto"/>
              <w:bottom w:val="single" w:sz="4" w:space="0" w:color="auto"/>
              <w:right w:val="single" w:sz="4" w:space="0" w:color="auto"/>
            </w:tcBorders>
            <w:shd w:val="clear" w:color="auto" w:fill="FFC000"/>
            <w:vAlign w:val="center"/>
          </w:tcPr>
          <w:p w14:paraId="1E43B490" w14:textId="77777777" w:rsidR="00EA3D2F" w:rsidRPr="00ED5113" w:rsidRDefault="00EA3D2F" w:rsidP="007C4A81">
            <w:pPr>
              <w:widowControl w:val="0"/>
              <w:spacing w:before="100" w:beforeAutospacing="1" w:after="120"/>
              <w:jc w:val="center"/>
              <w:rPr>
                <w:rFonts w:cstheme="minorHAnsi"/>
                <w:b/>
                <w:bCs/>
                <w:color w:val="000000"/>
              </w:rPr>
            </w:pPr>
            <w:r w:rsidRPr="00ED5113">
              <w:rPr>
                <w:rFonts w:cstheme="minorHAnsi"/>
                <w:b/>
                <w:bCs/>
                <w:color w:val="000000"/>
              </w:rPr>
              <w:t>Response type required</w:t>
            </w:r>
          </w:p>
        </w:tc>
        <w:tc>
          <w:tcPr>
            <w:tcW w:w="1955" w:type="pct"/>
            <w:tcBorders>
              <w:top w:val="single" w:sz="4" w:space="0" w:color="auto"/>
              <w:left w:val="single" w:sz="4" w:space="0" w:color="auto"/>
              <w:bottom w:val="single" w:sz="4" w:space="0" w:color="auto"/>
              <w:right w:val="single" w:sz="4" w:space="0" w:color="auto"/>
            </w:tcBorders>
            <w:shd w:val="clear" w:color="auto" w:fill="FFC000"/>
            <w:vAlign w:val="center"/>
          </w:tcPr>
          <w:p w14:paraId="2672B41B" w14:textId="77777777" w:rsidR="00EA3D2F" w:rsidRPr="00ED5113" w:rsidRDefault="00EA3D2F" w:rsidP="007C4A81">
            <w:pPr>
              <w:widowControl w:val="0"/>
              <w:spacing w:before="100" w:beforeAutospacing="1" w:after="120"/>
              <w:jc w:val="center"/>
              <w:rPr>
                <w:rFonts w:cstheme="minorHAnsi"/>
                <w:b/>
                <w:bCs/>
                <w:color w:val="000000"/>
              </w:rPr>
            </w:pPr>
            <w:r w:rsidRPr="00ED5113">
              <w:rPr>
                <w:rFonts w:cstheme="minorHAnsi"/>
                <w:b/>
                <w:bCs/>
                <w:color w:val="000000"/>
              </w:rPr>
              <w:t>Interpretation of response</w:t>
            </w:r>
          </w:p>
        </w:tc>
      </w:tr>
      <w:tr w:rsidR="00EA3D2F" w:rsidRPr="00ED5113" w14:paraId="1C9CE206" w14:textId="77777777" w:rsidTr="00ED5113">
        <w:trPr>
          <w:trHeight w:val="1200"/>
        </w:trPr>
        <w:tc>
          <w:tcPr>
            <w:tcW w:w="299" w:type="pct"/>
            <w:tcBorders>
              <w:top w:val="single" w:sz="4" w:space="0" w:color="auto"/>
              <w:left w:val="single" w:sz="4" w:space="0" w:color="auto"/>
              <w:bottom w:val="single" w:sz="4" w:space="0" w:color="auto"/>
              <w:right w:val="single" w:sz="4" w:space="0" w:color="auto"/>
            </w:tcBorders>
            <w:vAlign w:val="center"/>
          </w:tcPr>
          <w:p w14:paraId="1CEF7A57" w14:textId="77777777" w:rsidR="00EA3D2F" w:rsidRPr="00ED5113" w:rsidRDefault="00EA3D2F" w:rsidP="007C4A81">
            <w:pPr>
              <w:widowControl w:val="0"/>
              <w:spacing w:before="100" w:beforeAutospacing="1" w:after="120"/>
              <w:jc w:val="center"/>
              <w:rPr>
                <w:rFonts w:cstheme="minorHAnsi"/>
                <w:b/>
                <w:bCs/>
                <w:color w:val="000000"/>
              </w:rPr>
            </w:pPr>
            <w:r w:rsidRPr="00ED5113">
              <w:rPr>
                <w:rFonts w:cstheme="minorHAnsi"/>
                <w:b/>
                <w:bCs/>
                <w:color w:val="000000"/>
              </w:rPr>
              <w:t>1</w:t>
            </w:r>
          </w:p>
        </w:tc>
        <w:tc>
          <w:tcPr>
            <w:tcW w:w="2203" w:type="pct"/>
            <w:gridSpan w:val="2"/>
            <w:tcBorders>
              <w:top w:val="single" w:sz="4" w:space="0" w:color="auto"/>
              <w:left w:val="single" w:sz="4" w:space="0" w:color="auto"/>
              <w:bottom w:val="single" w:sz="4" w:space="0" w:color="auto"/>
              <w:right w:val="single" w:sz="4" w:space="0" w:color="auto"/>
            </w:tcBorders>
            <w:vAlign w:val="center"/>
          </w:tcPr>
          <w:p w14:paraId="2A352D0E" w14:textId="77777777" w:rsidR="00EA3D2F" w:rsidRPr="00ED5113" w:rsidRDefault="00EA3D2F" w:rsidP="007C4A81">
            <w:pPr>
              <w:widowControl w:val="0"/>
              <w:spacing w:before="100" w:beforeAutospacing="1" w:after="120"/>
              <w:rPr>
                <w:rFonts w:cstheme="minorHAnsi"/>
                <w:color w:val="000000"/>
              </w:rPr>
            </w:pPr>
            <w:r w:rsidRPr="00ED5113">
              <w:rPr>
                <w:rFonts w:cstheme="minorHAnsi"/>
                <w:b/>
                <w:color w:val="000000"/>
              </w:rPr>
              <w:t xml:space="preserve">Turnover </w:t>
            </w:r>
            <w:r w:rsidRPr="00ED5113">
              <w:rPr>
                <w:rFonts w:cstheme="minorHAnsi"/>
                <w:color w:val="000000"/>
              </w:rPr>
              <w:t xml:space="preserve">- Is the annual turnover of the Potential Provider at </w:t>
            </w:r>
            <w:r w:rsidRPr="00D70094">
              <w:rPr>
                <w:rFonts w:cstheme="minorHAnsi"/>
                <w:color w:val="000000"/>
              </w:rPr>
              <w:t xml:space="preserve">least </w:t>
            </w:r>
            <w:r w:rsidR="00F0178C" w:rsidRPr="00D70094">
              <w:rPr>
                <w:rFonts w:cstheme="minorHAnsi"/>
                <w:color w:val="000000"/>
              </w:rPr>
              <w:t>two</w:t>
            </w:r>
            <w:r w:rsidRPr="00D70094">
              <w:rPr>
                <w:rFonts w:cstheme="minorHAnsi"/>
                <w:color w:val="000000"/>
              </w:rPr>
              <w:t xml:space="preserve"> times</w:t>
            </w:r>
            <w:r w:rsidRPr="00ED5113">
              <w:rPr>
                <w:rFonts w:cstheme="minorHAnsi"/>
                <w:color w:val="000000"/>
              </w:rPr>
              <w:t xml:space="preserve"> the Turnover Threshold?</w:t>
            </w:r>
          </w:p>
          <w:p w14:paraId="550E3692" w14:textId="77777777" w:rsidR="00EA3D2F" w:rsidRPr="00ED5113" w:rsidRDefault="00EA3D2F" w:rsidP="007C4A81">
            <w:pPr>
              <w:widowControl w:val="0"/>
              <w:rPr>
                <w:rFonts w:cstheme="minorHAnsi"/>
                <w:color w:val="000000"/>
              </w:rPr>
            </w:pPr>
            <w:r w:rsidRPr="00ED5113">
              <w:rPr>
                <w:rFonts w:cstheme="minorHAnsi"/>
                <w:color w:val="000000"/>
              </w:rPr>
              <w:t>The Turnover Threshold is calculated as follows:</w:t>
            </w:r>
          </w:p>
          <w:p w14:paraId="1D5059A1" w14:textId="77777777" w:rsidR="00EA3D2F" w:rsidRPr="00ED5113" w:rsidRDefault="00EA3D2F" w:rsidP="007C4A81">
            <w:pPr>
              <w:widowControl w:val="0"/>
              <w:rPr>
                <w:rFonts w:cstheme="minorHAnsi"/>
                <w:i/>
                <w:color w:val="000000"/>
              </w:rPr>
            </w:pPr>
            <w:r w:rsidRPr="00ED5113">
              <w:rPr>
                <w:rFonts w:cstheme="minorHAnsi"/>
                <w:i/>
                <w:color w:val="000000"/>
              </w:rPr>
              <w:t>(The total contract value ÷ the number of years of the contract) ÷ the number of participating Member Trusts)</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E8B401E" w14:textId="77777777" w:rsidR="00EA3D2F" w:rsidRPr="00ED5113" w:rsidRDefault="00EA3D2F" w:rsidP="007C4A81">
            <w:pPr>
              <w:widowControl w:val="0"/>
              <w:spacing w:before="100" w:beforeAutospacing="1" w:after="120"/>
              <w:rPr>
                <w:rFonts w:cstheme="minorHAnsi"/>
                <w:color w:val="000000"/>
              </w:rPr>
            </w:pPr>
            <w:r w:rsidRPr="00ED5113">
              <w:rPr>
                <w:rFonts w:cstheme="minorHAnsi"/>
                <w:color w:val="000000"/>
              </w:rPr>
              <w:t>Yes / No</w:t>
            </w:r>
          </w:p>
        </w:tc>
        <w:tc>
          <w:tcPr>
            <w:tcW w:w="19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279571" w14:textId="77777777" w:rsidR="00EA3D2F" w:rsidRPr="00ED5113" w:rsidRDefault="00EA3D2F" w:rsidP="007C4A81">
            <w:pPr>
              <w:widowControl w:val="0"/>
              <w:spacing w:before="100" w:beforeAutospacing="1" w:after="120"/>
              <w:rPr>
                <w:rFonts w:cstheme="minorHAnsi"/>
                <w:color w:val="000000"/>
              </w:rPr>
            </w:pPr>
            <w:r w:rsidRPr="00ED5113">
              <w:rPr>
                <w:rFonts w:cstheme="minorHAnsi"/>
                <w:color w:val="000000"/>
              </w:rPr>
              <w:t xml:space="preserve">If yes, go to </w:t>
            </w:r>
            <w:r w:rsidRPr="00ED5113">
              <w:rPr>
                <w:rFonts w:cstheme="minorHAnsi"/>
                <w:b/>
                <w:color w:val="000000"/>
              </w:rPr>
              <w:t>step 2</w:t>
            </w:r>
            <w:r w:rsidRPr="00ED5113">
              <w:rPr>
                <w:rFonts w:cstheme="minorHAnsi"/>
                <w:color w:val="000000"/>
              </w:rPr>
              <w:br/>
            </w:r>
            <w:r w:rsidRPr="00ED5113">
              <w:rPr>
                <w:rFonts w:cstheme="minorHAnsi"/>
                <w:color w:val="000000"/>
              </w:rPr>
              <w:br/>
              <w:t xml:space="preserve">If no, </w:t>
            </w:r>
            <w:r w:rsidRPr="00ED5113">
              <w:rPr>
                <w:rFonts w:cstheme="minorHAnsi"/>
                <w:b/>
                <w:color w:val="000000"/>
              </w:rPr>
              <w:t>FAIL</w:t>
            </w:r>
          </w:p>
        </w:tc>
      </w:tr>
      <w:tr w:rsidR="00EA3D2F" w:rsidRPr="00ED5113" w14:paraId="4B91AC0E" w14:textId="77777777" w:rsidTr="00ED5113">
        <w:trPr>
          <w:trHeight w:val="900"/>
        </w:trPr>
        <w:tc>
          <w:tcPr>
            <w:tcW w:w="299" w:type="pct"/>
            <w:tcBorders>
              <w:top w:val="single" w:sz="4" w:space="0" w:color="auto"/>
              <w:left w:val="single" w:sz="4" w:space="0" w:color="auto"/>
              <w:bottom w:val="single" w:sz="4" w:space="0" w:color="auto"/>
              <w:right w:val="single" w:sz="4" w:space="0" w:color="auto"/>
            </w:tcBorders>
            <w:vAlign w:val="center"/>
          </w:tcPr>
          <w:p w14:paraId="4997CF14" w14:textId="77777777" w:rsidR="00EA3D2F" w:rsidRPr="00ED5113" w:rsidRDefault="00EA3D2F" w:rsidP="007C4A81">
            <w:pPr>
              <w:widowControl w:val="0"/>
              <w:spacing w:before="100" w:beforeAutospacing="1" w:after="120"/>
              <w:jc w:val="center"/>
              <w:rPr>
                <w:rFonts w:cstheme="minorHAnsi"/>
                <w:bCs/>
                <w:color w:val="000000"/>
              </w:rPr>
            </w:pPr>
            <w:r w:rsidRPr="00ED5113">
              <w:rPr>
                <w:rFonts w:cstheme="minorHAnsi"/>
                <w:bCs/>
                <w:color w:val="000000"/>
              </w:rPr>
              <w:t>2</w:t>
            </w:r>
          </w:p>
        </w:tc>
        <w:tc>
          <w:tcPr>
            <w:tcW w:w="2203" w:type="pct"/>
            <w:gridSpan w:val="2"/>
            <w:tcBorders>
              <w:top w:val="single" w:sz="4" w:space="0" w:color="auto"/>
              <w:left w:val="single" w:sz="4" w:space="0" w:color="auto"/>
              <w:bottom w:val="single" w:sz="4" w:space="0" w:color="auto"/>
              <w:right w:val="single" w:sz="4" w:space="0" w:color="auto"/>
            </w:tcBorders>
            <w:vAlign w:val="center"/>
          </w:tcPr>
          <w:p w14:paraId="5FF0165E" w14:textId="77777777" w:rsidR="00EA3D2F" w:rsidRPr="00ED5113" w:rsidRDefault="00EA3D2F" w:rsidP="007C4A81">
            <w:pPr>
              <w:widowControl w:val="0"/>
              <w:spacing w:before="100" w:beforeAutospacing="1" w:after="120"/>
              <w:rPr>
                <w:rFonts w:cstheme="minorHAnsi"/>
              </w:rPr>
            </w:pPr>
            <w:r w:rsidRPr="00ED5113">
              <w:rPr>
                <w:rFonts w:cstheme="minorHAnsi"/>
                <w:b/>
                <w:color w:val="000000"/>
              </w:rPr>
              <w:t>D&amp;B Score -</w:t>
            </w:r>
            <w:r w:rsidRPr="00ED5113">
              <w:rPr>
                <w:rFonts w:cstheme="minorHAnsi"/>
                <w:color w:val="000000"/>
              </w:rPr>
              <w:t xml:space="preserve"> Obtain business failure score from Dun &amp; Bradstreet (D&amp;B) in respect of the</w:t>
            </w:r>
            <w:r w:rsidRPr="00ED5113">
              <w:rPr>
                <w:rFonts w:cstheme="minorHAnsi"/>
              </w:rPr>
              <w:t xml:space="preserve"> Potential Provider </w:t>
            </w:r>
            <w:r w:rsidRPr="00ED5113">
              <w:rPr>
                <w:rFonts w:cstheme="minorHAnsi"/>
                <w:color w:val="000000"/>
              </w:rPr>
              <w:t xml:space="preserve">and assess whether the </w:t>
            </w:r>
            <w:r w:rsidRPr="00ED5113">
              <w:rPr>
                <w:rFonts w:cstheme="minorHAnsi"/>
              </w:rPr>
              <w:t xml:space="preserve">Potential Provider meets the Required Score. </w:t>
            </w:r>
          </w:p>
          <w:p w14:paraId="189707C4" w14:textId="77777777" w:rsidR="00EA3D2F" w:rsidRPr="00ED5113" w:rsidRDefault="00EA3D2F" w:rsidP="00F0178C">
            <w:pPr>
              <w:pStyle w:val="NoSpacing"/>
              <w:widowControl w:val="0"/>
              <w:rPr>
                <w:rFonts w:asciiTheme="minorHAnsi" w:hAnsiTheme="minorHAnsi" w:cstheme="minorHAnsi"/>
                <w:szCs w:val="22"/>
              </w:rPr>
            </w:pPr>
            <w:r w:rsidRPr="00ED5113">
              <w:rPr>
                <w:rFonts w:asciiTheme="minorHAnsi" w:hAnsiTheme="minorHAnsi" w:cstheme="minorHAnsi"/>
                <w:szCs w:val="22"/>
              </w:rPr>
              <w:t xml:space="preserve">The Required Score for this tender </w:t>
            </w:r>
            <w:r w:rsidRPr="00D70094">
              <w:rPr>
                <w:rFonts w:asciiTheme="minorHAnsi" w:hAnsiTheme="minorHAnsi" w:cstheme="minorHAnsi"/>
                <w:szCs w:val="22"/>
              </w:rPr>
              <w:t xml:space="preserve">is </w:t>
            </w:r>
            <w:r w:rsidR="00D70094" w:rsidRPr="00D70094">
              <w:rPr>
                <w:rFonts w:asciiTheme="minorHAnsi" w:hAnsiTheme="minorHAnsi" w:cstheme="minorHAnsi"/>
                <w:szCs w:val="22"/>
              </w:rPr>
              <w:t>70</w:t>
            </w:r>
            <w:r w:rsidRPr="00D70094">
              <w:rPr>
                <w:rFonts w:asciiTheme="minorHAnsi" w:hAnsiTheme="minorHAnsi" w:cstheme="minorHAnsi"/>
                <w:szCs w:val="22"/>
              </w:rPr>
              <w:t>.</w:t>
            </w:r>
            <w:r w:rsidRPr="00ED5113">
              <w:rPr>
                <w:rFonts w:asciiTheme="minorHAnsi" w:hAnsiTheme="minorHAnsi" w:cstheme="minorHAnsi"/>
                <w:szCs w:val="22"/>
              </w:rPr>
              <w:t xml:space="preserve"> </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511A817" w14:textId="77777777" w:rsidR="00EA3D2F" w:rsidRPr="00ED5113" w:rsidRDefault="00EA3D2F" w:rsidP="007C4A81">
            <w:pPr>
              <w:widowControl w:val="0"/>
              <w:spacing w:before="100" w:beforeAutospacing="1" w:after="120"/>
              <w:rPr>
                <w:rFonts w:cstheme="minorHAnsi"/>
                <w:color w:val="000000"/>
              </w:rPr>
            </w:pPr>
            <w:r w:rsidRPr="00ED5113">
              <w:rPr>
                <w:rFonts w:cstheme="minorHAnsi"/>
                <w:color w:val="000000"/>
              </w:rPr>
              <w:t>Numeric, range: 0-100</w:t>
            </w:r>
          </w:p>
        </w:tc>
        <w:tc>
          <w:tcPr>
            <w:tcW w:w="19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6A7BE8" w14:textId="77777777" w:rsidR="00EA3D2F" w:rsidRPr="00ED5113" w:rsidRDefault="00EA3D2F" w:rsidP="007C4A81">
            <w:pPr>
              <w:pStyle w:val="NoSpacing"/>
              <w:widowControl w:val="0"/>
              <w:rPr>
                <w:rFonts w:asciiTheme="minorHAnsi" w:hAnsiTheme="minorHAnsi" w:cstheme="minorHAnsi"/>
                <w:szCs w:val="22"/>
              </w:rPr>
            </w:pPr>
            <w:r w:rsidRPr="00ED5113">
              <w:rPr>
                <w:rFonts w:asciiTheme="minorHAnsi" w:hAnsiTheme="minorHAnsi" w:cstheme="minorHAnsi"/>
                <w:szCs w:val="22"/>
              </w:rPr>
              <w:t xml:space="preserve">If score is equal to, or more than, the Required Score then automatic </w:t>
            </w:r>
            <w:r w:rsidRPr="00ED5113">
              <w:rPr>
                <w:rFonts w:asciiTheme="minorHAnsi" w:hAnsiTheme="minorHAnsi" w:cstheme="minorHAnsi"/>
                <w:b/>
                <w:szCs w:val="22"/>
              </w:rPr>
              <w:t>PASS</w:t>
            </w:r>
            <w:r w:rsidRPr="00ED5113">
              <w:rPr>
                <w:rFonts w:asciiTheme="minorHAnsi" w:hAnsiTheme="minorHAnsi" w:cstheme="minorHAnsi"/>
                <w:szCs w:val="22"/>
              </w:rPr>
              <w:t xml:space="preserve"> to Award Phase </w:t>
            </w:r>
            <w:r w:rsidRPr="00ED5113">
              <w:rPr>
                <w:rFonts w:asciiTheme="minorHAnsi" w:hAnsiTheme="minorHAnsi" w:cstheme="minorHAnsi"/>
                <w:color w:val="000000"/>
                <w:szCs w:val="22"/>
              </w:rPr>
              <w:t xml:space="preserve">(unless </w:t>
            </w:r>
            <w:r w:rsidRPr="00ED5113">
              <w:rPr>
                <w:rFonts w:asciiTheme="minorHAnsi" w:hAnsiTheme="minorHAnsi" w:cstheme="minorHAnsi"/>
                <w:szCs w:val="22"/>
              </w:rPr>
              <w:t xml:space="preserve">the Potential Provider intends to self-insure, in which case go to </w:t>
            </w:r>
            <w:r w:rsidRPr="00ED5113">
              <w:rPr>
                <w:rFonts w:asciiTheme="minorHAnsi" w:hAnsiTheme="minorHAnsi" w:cstheme="minorHAnsi"/>
                <w:b/>
                <w:szCs w:val="22"/>
              </w:rPr>
              <w:t>step 2A</w:t>
            </w:r>
            <w:r w:rsidRPr="00ED5113">
              <w:rPr>
                <w:rFonts w:asciiTheme="minorHAnsi" w:hAnsiTheme="minorHAnsi" w:cstheme="minorHAnsi"/>
                <w:szCs w:val="22"/>
              </w:rPr>
              <w:t>).</w:t>
            </w:r>
          </w:p>
          <w:p w14:paraId="2D204F5F" w14:textId="77777777" w:rsidR="00EA3D2F" w:rsidRPr="00ED5113" w:rsidRDefault="00EA3D2F" w:rsidP="007C4A81">
            <w:pPr>
              <w:widowControl w:val="0"/>
              <w:spacing w:before="100" w:beforeAutospacing="1" w:after="120"/>
              <w:rPr>
                <w:rFonts w:cstheme="minorHAnsi"/>
              </w:rPr>
            </w:pPr>
            <w:r w:rsidRPr="00ED5113">
              <w:rPr>
                <w:rFonts w:cstheme="minorHAnsi"/>
                <w:color w:val="000000"/>
              </w:rPr>
              <w:t xml:space="preserve">If score is less than the required score, or the D&amp;B score is not available, go to </w:t>
            </w:r>
            <w:r w:rsidRPr="00ED5113">
              <w:rPr>
                <w:rFonts w:cstheme="minorHAnsi"/>
                <w:b/>
                <w:color w:val="000000"/>
              </w:rPr>
              <w:t>step 3</w:t>
            </w:r>
            <w:r w:rsidRPr="00ED5113">
              <w:rPr>
                <w:rFonts w:cstheme="minorHAnsi"/>
                <w:color w:val="000000"/>
              </w:rPr>
              <w:t xml:space="preserve"> (unless </w:t>
            </w:r>
            <w:r w:rsidRPr="00ED5113">
              <w:rPr>
                <w:rFonts w:cstheme="minorHAnsi"/>
              </w:rPr>
              <w:t xml:space="preserve">the Potential Provider intends to self-insure, in which case go to </w:t>
            </w:r>
            <w:r w:rsidRPr="00ED5113">
              <w:rPr>
                <w:rFonts w:cstheme="minorHAnsi"/>
                <w:b/>
              </w:rPr>
              <w:t>step 2A</w:t>
            </w:r>
            <w:r w:rsidRPr="00ED5113">
              <w:rPr>
                <w:rFonts w:cstheme="minorHAnsi"/>
              </w:rPr>
              <w:t>).</w:t>
            </w:r>
          </w:p>
        </w:tc>
      </w:tr>
      <w:tr w:rsidR="00EA3D2F" w:rsidRPr="00ED5113" w14:paraId="5975BCBE" w14:textId="77777777" w:rsidTr="00ED5113">
        <w:trPr>
          <w:trHeight w:val="900"/>
        </w:trPr>
        <w:tc>
          <w:tcPr>
            <w:tcW w:w="299" w:type="pct"/>
            <w:tcBorders>
              <w:top w:val="single" w:sz="4" w:space="0" w:color="auto"/>
              <w:left w:val="single" w:sz="4" w:space="0" w:color="auto"/>
              <w:bottom w:val="single" w:sz="4" w:space="0" w:color="auto"/>
              <w:right w:val="single" w:sz="4" w:space="0" w:color="auto"/>
            </w:tcBorders>
            <w:vAlign w:val="center"/>
          </w:tcPr>
          <w:p w14:paraId="2E8265EF" w14:textId="77777777" w:rsidR="00EA3D2F" w:rsidRPr="00ED5113" w:rsidRDefault="00EA3D2F" w:rsidP="007C4A81">
            <w:pPr>
              <w:widowControl w:val="0"/>
              <w:spacing w:before="100" w:beforeAutospacing="1" w:after="120"/>
              <w:jc w:val="center"/>
              <w:rPr>
                <w:rFonts w:cstheme="minorHAnsi"/>
                <w:b/>
                <w:bCs/>
                <w:color w:val="000000"/>
              </w:rPr>
            </w:pPr>
            <w:r w:rsidRPr="00ED5113">
              <w:rPr>
                <w:rFonts w:cstheme="minorHAnsi"/>
                <w:b/>
                <w:bCs/>
                <w:color w:val="000000"/>
              </w:rPr>
              <w:t>2A</w:t>
            </w:r>
          </w:p>
        </w:tc>
        <w:tc>
          <w:tcPr>
            <w:tcW w:w="2203" w:type="pct"/>
            <w:gridSpan w:val="2"/>
            <w:tcBorders>
              <w:top w:val="single" w:sz="4" w:space="0" w:color="auto"/>
              <w:left w:val="single" w:sz="4" w:space="0" w:color="auto"/>
              <w:bottom w:val="single" w:sz="4" w:space="0" w:color="auto"/>
              <w:right w:val="single" w:sz="4" w:space="0" w:color="auto"/>
            </w:tcBorders>
            <w:vAlign w:val="center"/>
          </w:tcPr>
          <w:p w14:paraId="5B8D5B4A" w14:textId="77777777" w:rsidR="00EA3D2F" w:rsidRPr="00ED5113" w:rsidRDefault="00EA3D2F" w:rsidP="007C4A81">
            <w:pPr>
              <w:widowControl w:val="0"/>
              <w:spacing w:before="100" w:beforeAutospacing="1" w:after="120"/>
              <w:rPr>
                <w:rFonts w:cstheme="minorHAnsi"/>
              </w:rPr>
            </w:pPr>
            <w:r w:rsidRPr="00ED5113">
              <w:rPr>
                <w:rFonts w:cstheme="minorHAnsi"/>
                <w:b/>
              </w:rPr>
              <w:t>Self-Insurance</w:t>
            </w:r>
            <w:r w:rsidRPr="00ED5113">
              <w:rPr>
                <w:rFonts w:cstheme="minorHAnsi"/>
              </w:rPr>
              <w:t xml:space="preserve"> - If the Potential Provider has indicated in the Qualification Questionnaire that it intends to self-insure its supply under this agreement if awarded, calculate whether the Potential Provider meets the Self Insurance Score. </w:t>
            </w:r>
          </w:p>
          <w:p w14:paraId="58F3FB13" w14:textId="77777777" w:rsidR="00EA3D2F" w:rsidRPr="00ED5113" w:rsidRDefault="00EA3D2F" w:rsidP="007C4A81">
            <w:pPr>
              <w:pStyle w:val="NoSpacing"/>
              <w:widowControl w:val="0"/>
              <w:rPr>
                <w:rFonts w:asciiTheme="minorHAnsi" w:hAnsiTheme="minorHAnsi" w:cstheme="minorHAnsi"/>
                <w:szCs w:val="22"/>
              </w:rPr>
            </w:pPr>
            <w:r w:rsidRPr="00ED5113">
              <w:rPr>
                <w:rFonts w:asciiTheme="minorHAnsi" w:hAnsiTheme="minorHAnsi" w:cstheme="minorHAnsi"/>
                <w:szCs w:val="22"/>
              </w:rPr>
              <w:t xml:space="preserve">The Self Insurance Score is a </w:t>
            </w:r>
            <w:r w:rsidRPr="00ED5113">
              <w:rPr>
                <w:rFonts w:asciiTheme="minorHAnsi" w:hAnsiTheme="minorHAnsi" w:cstheme="minorHAnsi"/>
                <w:color w:val="000000"/>
                <w:szCs w:val="22"/>
              </w:rPr>
              <w:t>business failure score from Dun &amp; Bradstreet (D&amp;B) of</w:t>
            </w:r>
            <w:r w:rsidRPr="00ED5113">
              <w:rPr>
                <w:rFonts w:asciiTheme="minorHAnsi" w:hAnsiTheme="minorHAnsi" w:cstheme="minorHAnsi"/>
                <w:szCs w:val="22"/>
              </w:rPr>
              <w:t xml:space="preserve"> </w:t>
            </w:r>
            <w:r w:rsidRPr="00ED5113">
              <w:rPr>
                <w:rFonts w:asciiTheme="minorHAnsi" w:hAnsiTheme="minorHAnsi" w:cstheme="minorHAnsi"/>
                <w:b/>
                <w:szCs w:val="22"/>
              </w:rPr>
              <w:t>70</w:t>
            </w:r>
            <w:r w:rsidRPr="00ED5113">
              <w:rPr>
                <w:rFonts w:asciiTheme="minorHAnsi" w:hAnsiTheme="minorHAnsi" w:cstheme="minorHAnsi"/>
                <w:szCs w:val="22"/>
              </w:rPr>
              <w:t xml:space="preserve">. </w:t>
            </w:r>
          </w:p>
          <w:p w14:paraId="22F3F5E6" w14:textId="77777777" w:rsidR="00EA3D2F" w:rsidRPr="00ED5113" w:rsidRDefault="00EA3D2F" w:rsidP="007C4A81">
            <w:pPr>
              <w:widowControl w:val="0"/>
              <w:spacing w:before="100" w:beforeAutospacing="1" w:after="120"/>
              <w:rPr>
                <w:rFonts w:cstheme="minorHAnsi"/>
                <w:color w:val="00000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42D44E9" w14:textId="77777777" w:rsidR="00EA3D2F" w:rsidRPr="00ED5113" w:rsidRDefault="00EA3D2F" w:rsidP="007C4A81">
            <w:pPr>
              <w:widowControl w:val="0"/>
              <w:spacing w:before="100" w:beforeAutospacing="1" w:after="120"/>
              <w:rPr>
                <w:rFonts w:cstheme="minorHAnsi"/>
                <w:color w:val="000000"/>
              </w:rPr>
            </w:pPr>
            <w:r w:rsidRPr="00ED5113">
              <w:rPr>
                <w:rFonts w:cstheme="minorHAnsi"/>
                <w:color w:val="000000"/>
              </w:rPr>
              <w:t>Numeric, range: 0-100</w:t>
            </w:r>
          </w:p>
        </w:tc>
        <w:tc>
          <w:tcPr>
            <w:tcW w:w="19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B955A4" w14:textId="77777777" w:rsidR="00EA3D2F" w:rsidRPr="00ED5113" w:rsidRDefault="00EA3D2F" w:rsidP="007C4A81">
            <w:pPr>
              <w:pStyle w:val="NoSpacing"/>
              <w:widowControl w:val="0"/>
              <w:rPr>
                <w:rFonts w:asciiTheme="minorHAnsi" w:hAnsiTheme="minorHAnsi" w:cstheme="minorHAnsi"/>
                <w:szCs w:val="22"/>
              </w:rPr>
            </w:pPr>
          </w:p>
          <w:p w14:paraId="7C175ADA" w14:textId="77777777" w:rsidR="00EA3D2F" w:rsidRPr="00ED5113" w:rsidRDefault="00EA3D2F" w:rsidP="007C4A81">
            <w:pPr>
              <w:pStyle w:val="NoSpacing"/>
              <w:widowControl w:val="0"/>
              <w:rPr>
                <w:rFonts w:asciiTheme="minorHAnsi" w:hAnsiTheme="minorHAnsi" w:cstheme="minorHAnsi"/>
                <w:szCs w:val="22"/>
              </w:rPr>
            </w:pPr>
            <w:r w:rsidRPr="00ED5113">
              <w:rPr>
                <w:rFonts w:asciiTheme="minorHAnsi" w:hAnsiTheme="minorHAnsi" w:cstheme="minorHAnsi"/>
                <w:szCs w:val="22"/>
              </w:rPr>
              <w:t xml:space="preserve">If the score is equal to, or more than, the Self Insurance Score, then automatic </w:t>
            </w:r>
            <w:r w:rsidRPr="00ED5113">
              <w:rPr>
                <w:rFonts w:asciiTheme="minorHAnsi" w:hAnsiTheme="minorHAnsi" w:cstheme="minorHAnsi"/>
                <w:b/>
                <w:szCs w:val="22"/>
              </w:rPr>
              <w:t>PASS</w:t>
            </w:r>
            <w:r w:rsidRPr="00ED5113">
              <w:rPr>
                <w:rFonts w:asciiTheme="minorHAnsi" w:hAnsiTheme="minorHAnsi" w:cstheme="minorHAnsi"/>
                <w:szCs w:val="22"/>
              </w:rPr>
              <w:t xml:space="preserve"> to Award Phase.</w:t>
            </w:r>
          </w:p>
          <w:p w14:paraId="27055B14" w14:textId="77777777" w:rsidR="00EA3D2F" w:rsidRPr="00ED5113" w:rsidRDefault="00EA3D2F" w:rsidP="007C4A81">
            <w:pPr>
              <w:pStyle w:val="NoSpacing"/>
              <w:widowControl w:val="0"/>
              <w:rPr>
                <w:rFonts w:asciiTheme="minorHAnsi" w:hAnsiTheme="minorHAnsi" w:cstheme="minorHAnsi"/>
                <w:szCs w:val="22"/>
              </w:rPr>
            </w:pPr>
          </w:p>
          <w:p w14:paraId="1383C7BD" w14:textId="77777777" w:rsidR="00EA3D2F" w:rsidRPr="00ED5113" w:rsidRDefault="00EA3D2F" w:rsidP="007C4A81">
            <w:pPr>
              <w:pStyle w:val="NoSpacing"/>
              <w:widowControl w:val="0"/>
              <w:rPr>
                <w:rFonts w:asciiTheme="minorHAnsi" w:hAnsiTheme="minorHAnsi" w:cstheme="minorHAnsi"/>
                <w:szCs w:val="22"/>
              </w:rPr>
            </w:pPr>
            <w:r w:rsidRPr="00ED5113">
              <w:rPr>
                <w:rFonts w:asciiTheme="minorHAnsi" w:hAnsiTheme="minorHAnsi" w:cstheme="minorHAnsi"/>
                <w:szCs w:val="22"/>
              </w:rPr>
              <w:t xml:space="preserve">If the score is less than the Self Insurance Score, then request that the Potential Provider gives an undertaking to obtain the required insurance policies if awarded. </w:t>
            </w:r>
          </w:p>
          <w:p w14:paraId="41925D59" w14:textId="77777777" w:rsidR="00EA3D2F" w:rsidRPr="00ED5113" w:rsidRDefault="00EA3D2F" w:rsidP="007C4A81">
            <w:pPr>
              <w:pStyle w:val="NoSpacing"/>
              <w:widowControl w:val="0"/>
              <w:rPr>
                <w:rFonts w:asciiTheme="minorHAnsi" w:hAnsiTheme="minorHAnsi" w:cstheme="minorHAnsi"/>
                <w:szCs w:val="22"/>
              </w:rPr>
            </w:pPr>
          </w:p>
          <w:p w14:paraId="2714084F" w14:textId="77777777" w:rsidR="00EA3D2F" w:rsidRPr="00ED5113" w:rsidRDefault="00EA3D2F" w:rsidP="007C4A81">
            <w:pPr>
              <w:pStyle w:val="NoSpacing"/>
              <w:widowControl w:val="0"/>
              <w:rPr>
                <w:rFonts w:asciiTheme="minorHAnsi" w:hAnsiTheme="minorHAnsi" w:cstheme="minorHAnsi"/>
                <w:szCs w:val="22"/>
              </w:rPr>
            </w:pPr>
            <w:r w:rsidRPr="00ED5113">
              <w:rPr>
                <w:rFonts w:asciiTheme="minorHAnsi" w:hAnsiTheme="minorHAnsi" w:cstheme="minorHAnsi"/>
                <w:szCs w:val="22"/>
              </w:rPr>
              <w:t>If the Potential Provider gives the undertaking:</w:t>
            </w:r>
          </w:p>
          <w:p w14:paraId="468F8488" w14:textId="77777777" w:rsidR="00EA3D2F" w:rsidRPr="00ED5113" w:rsidRDefault="00EA3D2F" w:rsidP="007C4A81">
            <w:pPr>
              <w:pStyle w:val="NoSpacing"/>
              <w:widowControl w:val="0"/>
              <w:numPr>
                <w:ilvl w:val="0"/>
                <w:numId w:val="12"/>
              </w:numPr>
              <w:rPr>
                <w:rFonts w:asciiTheme="minorHAnsi" w:hAnsiTheme="minorHAnsi" w:cstheme="minorHAnsi"/>
                <w:szCs w:val="22"/>
              </w:rPr>
            </w:pPr>
            <w:r w:rsidRPr="00ED5113">
              <w:rPr>
                <w:rFonts w:asciiTheme="minorHAnsi" w:hAnsiTheme="minorHAnsi" w:cstheme="minorHAnsi"/>
                <w:szCs w:val="22"/>
              </w:rPr>
              <w:lastRenderedPageBreak/>
              <w:t xml:space="preserve">if the Potential Provider would otherwise have passed under </w:t>
            </w:r>
            <w:r w:rsidRPr="00ED5113">
              <w:rPr>
                <w:rFonts w:asciiTheme="minorHAnsi" w:hAnsiTheme="minorHAnsi" w:cstheme="minorHAnsi"/>
                <w:b/>
                <w:szCs w:val="22"/>
              </w:rPr>
              <w:t>step 2</w:t>
            </w:r>
            <w:r w:rsidRPr="00ED5113">
              <w:rPr>
                <w:rFonts w:asciiTheme="minorHAnsi" w:hAnsiTheme="minorHAnsi" w:cstheme="minorHAnsi"/>
                <w:szCs w:val="22"/>
              </w:rPr>
              <w:t xml:space="preserve">, automatic </w:t>
            </w:r>
            <w:r w:rsidRPr="00ED5113">
              <w:rPr>
                <w:rFonts w:asciiTheme="minorHAnsi" w:hAnsiTheme="minorHAnsi" w:cstheme="minorHAnsi"/>
                <w:b/>
                <w:szCs w:val="22"/>
              </w:rPr>
              <w:t>PASS</w:t>
            </w:r>
            <w:r w:rsidRPr="00ED5113">
              <w:rPr>
                <w:rFonts w:asciiTheme="minorHAnsi" w:hAnsiTheme="minorHAnsi" w:cstheme="minorHAnsi"/>
                <w:szCs w:val="22"/>
              </w:rPr>
              <w:t xml:space="preserve"> to Award Phase</w:t>
            </w:r>
          </w:p>
          <w:p w14:paraId="0ADC3A57" w14:textId="77777777" w:rsidR="00EA3D2F" w:rsidRPr="00ED5113" w:rsidRDefault="00EA3D2F" w:rsidP="007C4A81">
            <w:pPr>
              <w:pStyle w:val="NoSpacing"/>
              <w:widowControl w:val="0"/>
              <w:numPr>
                <w:ilvl w:val="0"/>
                <w:numId w:val="12"/>
              </w:numPr>
              <w:rPr>
                <w:rFonts w:asciiTheme="minorHAnsi" w:hAnsiTheme="minorHAnsi" w:cstheme="minorHAnsi"/>
                <w:szCs w:val="22"/>
              </w:rPr>
            </w:pPr>
            <w:r w:rsidRPr="00ED5113">
              <w:rPr>
                <w:rFonts w:asciiTheme="minorHAnsi" w:hAnsiTheme="minorHAnsi" w:cstheme="minorHAnsi"/>
                <w:szCs w:val="22"/>
              </w:rPr>
              <w:t xml:space="preserve">if the Potential Provider would otherwise have failed under </w:t>
            </w:r>
            <w:r w:rsidRPr="00ED5113">
              <w:rPr>
                <w:rFonts w:asciiTheme="minorHAnsi" w:hAnsiTheme="minorHAnsi" w:cstheme="minorHAnsi"/>
                <w:b/>
                <w:szCs w:val="22"/>
              </w:rPr>
              <w:t>step 2</w:t>
            </w:r>
            <w:r w:rsidRPr="00ED5113">
              <w:rPr>
                <w:rFonts w:asciiTheme="minorHAnsi" w:hAnsiTheme="minorHAnsi" w:cstheme="minorHAnsi"/>
                <w:szCs w:val="22"/>
              </w:rPr>
              <w:t xml:space="preserve">, </w:t>
            </w:r>
            <w:r w:rsidRPr="00ED5113">
              <w:rPr>
                <w:rFonts w:asciiTheme="minorHAnsi" w:hAnsiTheme="minorHAnsi" w:cstheme="minorHAnsi"/>
                <w:color w:val="000000"/>
                <w:szCs w:val="22"/>
              </w:rPr>
              <w:t>go to</w:t>
            </w:r>
            <w:r w:rsidRPr="00ED5113">
              <w:rPr>
                <w:rFonts w:asciiTheme="minorHAnsi" w:hAnsiTheme="minorHAnsi" w:cstheme="minorHAnsi"/>
                <w:b/>
                <w:color w:val="000000"/>
                <w:szCs w:val="22"/>
              </w:rPr>
              <w:t xml:space="preserve"> step 3</w:t>
            </w:r>
          </w:p>
          <w:p w14:paraId="3DB6C26B" w14:textId="77777777" w:rsidR="00EA3D2F" w:rsidRPr="00ED5113" w:rsidRDefault="00EA3D2F" w:rsidP="007C4A81">
            <w:pPr>
              <w:pStyle w:val="NoSpacing"/>
              <w:widowControl w:val="0"/>
              <w:rPr>
                <w:rFonts w:asciiTheme="minorHAnsi" w:hAnsiTheme="minorHAnsi" w:cstheme="minorHAnsi"/>
                <w:color w:val="000000"/>
                <w:szCs w:val="22"/>
              </w:rPr>
            </w:pPr>
          </w:p>
          <w:p w14:paraId="274D6029" w14:textId="77777777" w:rsidR="00EA3D2F" w:rsidRPr="00ED5113" w:rsidRDefault="00EA3D2F" w:rsidP="007C4A81">
            <w:pPr>
              <w:pStyle w:val="NoSpacing"/>
              <w:widowControl w:val="0"/>
              <w:rPr>
                <w:rFonts w:asciiTheme="minorHAnsi" w:hAnsiTheme="minorHAnsi" w:cstheme="minorHAnsi"/>
                <w:szCs w:val="22"/>
              </w:rPr>
            </w:pPr>
            <w:r w:rsidRPr="00ED5113">
              <w:rPr>
                <w:rFonts w:asciiTheme="minorHAnsi" w:hAnsiTheme="minorHAnsi" w:cstheme="minorHAnsi"/>
                <w:color w:val="000000"/>
                <w:szCs w:val="22"/>
              </w:rPr>
              <w:t xml:space="preserve">If the Potential Provider does not give the undertaking, </w:t>
            </w:r>
            <w:r w:rsidRPr="00ED5113">
              <w:rPr>
                <w:rFonts w:asciiTheme="minorHAnsi" w:hAnsiTheme="minorHAnsi" w:cstheme="minorHAnsi"/>
                <w:b/>
                <w:color w:val="000000"/>
                <w:szCs w:val="22"/>
              </w:rPr>
              <w:t>FAIL</w:t>
            </w:r>
          </w:p>
          <w:p w14:paraId="5E6EBDD7" w14:textId="77777777" w:rsidR="00EA3D2F" w:rsidRPr="00ED5113" w:rsidRDefault="00EA3D2F" w:rsidP="007C4A81">
            <w:pPr>
              <w:pStyle w:val="NoSpacing"/>
              <w:widowControl w:val="0"/>
              <w:rPr>
                <w:rFonts w:asciiTheme="minorHAnsi" w:hAnsiTheme="minorHAnsi" w:cstheme="minorHAnsi"/>
                <w:szCs w:val="22"/>
              </w:rPr>
            </w:pPr>
          </w:p>
        </w:tc>
      </w:tr>
      <w:tr w:rsidR="00EA3D2F" w:rsidRPr="00ED5113" w14:paraId="11E2ED97" w14:textId="77777777" w:rsidTr="00ED5113">
        <w:trPr>
          <w:trHeight w:val="915"/>
        </w:trPr>
        <w:tc>
          <w:tcPr>
            <w:tcW w:w="299" w:type="pct"/>
            <w:vMerge w:val="restart"/>
            <w:tcBorders>
              <w:top w:val="single" w:sz="4" w:space="0" w:color="auto"/>
              <w:left w:val="single" w:sz="4" w:space="0" w:color="auto"/>
              <w:right w:val="single" w:sz="4" w:space="0" w:color="auto"/>
            </w:tcBorders>
            <w:vAlign w:val="center"/>
          </w:tcPr>
          <w:p w14:paraId="14D6A47C" w14:textId="77777777" w:rsidR="00EA3D2F" w:rsidRPr="00ED5113" w:rsidRDefault="00EA3D2F" w:rsidP="007C4A81">
            <w:pPr>
              <w:widowControl w:val="0"/>
              <w:spacing w:before="100" w:beforeAutospacing="1" w:after="120"/>
              <w:jc w:val="center"/>
              <w:rPr>
                <w:rFonts w:cstheme="minorHAnsi"/>
                <w:b/>
                <w:bCs/>
                <w:color w:val="000000"/>
              </w:rPr>
            </w:pPr>
            <w:r w:rsidRPr="00ED5113">
              <w:rPr>
                <w:rFonts w:cstheme="minorHAnsi"/>
                <w:b/>
                <w:bCs/>
                <w:color w:val="000000"/>
              </w:rPr>
              <w:lastRenderedPageBreak/>
              <w:t>3</w:t>
            </w:r>
          </w:p>
        </w:tc>
        <w:tc>
          <w:tcPr>
            <w:tcW w:w="2203" w:type="pct"/>
            <w:gridSpan w:val="2"/>
            <w:vMerge w:val="restart"/>
            <w:tcBorders>
              <w:top w:val="single" w:sz="4" w:space="0" w:color="auto"/>
              <w:left w:val="single" w:sz="4" w:space="0" w:color="auto"/>
              <w:right w:val="single" w:sz="4" w:space="0" w:color="auto"/>
            </w:tcBorders>
            <w:vAlign w:val="center"/>
          </w:tcPr>
          <w:p w14:paraId="0970EC43" w14:textId="77777777" w:rsidR="00EA3D2F" w:rsidRPr="00ED5113" w:rsidRDefault="00EA3D2F" w:rsidP="007C4A81">
            <w:pPr>
              <w:widowControl w:val="0"/>
              <w:spacing w:before="100" w:beforeAutospacing="1" w:after="120"/>
              <w:rPr>
                <w:rFonts w:cstheme="minorHAnsi"/>
                <w:color w:val="000000"/>
              </w:rPr>
            </w:pPr>
            <w:r w:rsidRPr="00ED5113">
              <w:rPr>
                <w:rFonts w:cstheme="minorHAnsi"/>
                <w:b/>
                <w:color w:val="000000"/>
              </w:rPr>
              <w:t>Annual Accounts</w:t>
            </w:r>
            <w:r w:rsidRPr="00ED5113">
              <w:rPr>
                <w:rFonts w:cstheme="minorHAnsi"/>
                <w:color w:val="000000"/>
              </w:rPr>
              <w:t xml:space="preserve"> - Are at least 2 years of annual audited accounts available for the Potential Provider?</w:t>
            </w:r>
          </w:p>
          <w:p w14:paraId="4C247731" w14:textId="77777777" w:rsidR="00EA3D2F" w:rsidRPr="00ED5113" w:rsidRDefault="00EA3D2F" w:rsidP="007C4A81">
            <w:pPr>
              <w:widowControl w:val="0"/>
              <w:spacing w:before="100" w:beforeAutospacing="1" w:after="120"/>
              <w:rPr>
                <w:rFonts w:cstheme="minorHAnsi"/>
                <w:color w:val="000000"/>
              </w:rPr>
            </w:pPr>
            <w:r w:rsidRPr="00ED5113">
              <w:rPr>
                <w:rFonts w:cstheme="minorHAnsi"/>
                <w:color w:val="000000"/>
              </w:rPr>
              <w:t xml:space="preserve">Where the Potential Provider has been incorporated for less than 3 years, and for this reason 2 years of accounts are not available, only 1 year of annual audited accounts shall be required. </w:t>
            </w:r>
          </w:p>
        </w:tc>
        <w:tc>
          <w:tcPr>
            <w:tcW w:w="539" w:type="pct"/>
            <w:vMerge w:val="restart"/>
            <w:tcBorders>
              <w:top w:val="single" w:sz="4" w:space="0" w:color="auto"/>
              <w:left w:val="single" w:sz="4" w:space="0" w:color="auto"/>
              <w:right w:val="single" w:sz="4" w:space="0" w:color="auto"/>
            </w:tcBorders>
            <w:shd w:val="clear" w:color="auto" w:fill="auto"/>
            <w:vAlign w:val="center"/>
          </w:tcPr>
          <w:p w14:paraId="2DFD7D20" w14:textId="77777777" w:rsidR="00EA3D2F" w:rsidRPr="00ED5113" w:rsidRDefault="00EA3D2F" w:rsidP="007C4A81">
            <w:pPr>
              <w:widowControl w:val="0"/>
              <w:spacing w:before="100" w:beforeAutospacing="1" w:after="120"/>
              <w:rPr>
                <w:rFonts w:cstheme="minorHAnsi"/>
                <w:color w:val="000000"/>
              </w:rPr>
            </w:pPr>
            <w:r w:rsidRPr="00ED5113">
              <w:rPr>
                <w:rFonts w:cstheme="minorHAnsi"/>
                <w:color w:val="000000"/>
              </w:rPr>
              <w:t>Yes / No</w:t>
            </w:r>
          </w:p>
        </w:tc>
        <w:tc>
          <w:tcPr>
            <w:tcW w:w="1960" w:type="pct"/>
            <w:gridSpan w:val="2"/>
            <w:vMerge w:val="restart"/>
            <w:tcBorders>
              <w:top w:val="single" w:sz="4" w:space="0" w:color="auto"/>
              <w:left w:val="single" w:sz="4" w:space="0" w:color="auto"/>
              <w:right w:val="single" w:sz="4" w:space="0" w:color="auto"/>
            </w:tcBorders>
            <w:shd w:val="clear" w:color="auto" w:fill="auto"/>
            <w:vAlign w:val="center"/>
          </w:tcPr>
          <w:p w14:paraId="70B604CC" w14:textId="77777777" w:rsidR="00EA3D2F" w:rsidRPr="00ED5113" w:rsidRDefault="00EA3D2F" w:rsidP="007C4A81">
            <w:pPr>
              <w:widowControl w:val="0"/>
              <w:spacing w:before="100" w:beforeAutospacing="1" w:after="120"/>
              <w:rPr>
                <w:rFonts w:cstheme="minorHAnsi"/>
                <w:color w:val="000000"/>
              </w:rPr>
            </w:pPr>
            <w:r w:rsidRPr="00ED5113">
              <w:rPr>
                <w:rFonts w:cstheme="minorHAnsi"/>
                <w:color w:val="000000"/>
              </w:rPr>
              <w:t xml:space="preserve">If yes, go to </w:t>
            </w:r>
            <w:r w:rsidRPr="00ED5113">
              <w:rPr>
                <w:rFonts w:cstheme="minorHAnsi"/>
                <w:b/>
                <w:color w:val="000000"/>
              </w:rPr>
              <w:t>step 4</w:t>
            </w:r>
            <w:r w:rsidRPr="00ED5113">
              <w:rPr>
                <w:rFonts w:cstheme="minorHAnsi"/>
                <w:color w:val="000000"/>
              </w:rPr>
              <w:br/>
            </w:r>
            <w:r w:rsidRPr="00ED5113">
              <w:rPr>
                <w:rFonts w:cstheme="minorHAnsi"/>
                <w:color w:val="000000"/>
              </w:rPr>
              <w:br/>
              <w:t>If no,</w:t>
            </w:r>
            <w:r w:rsidRPr="00ED5113">
              <w:rPr>
                <w:rFonts w:cstheme="minorHAnsi"/>
                <w:b/>
                <w:color w:val="000000"/>
              </w:rPr>
              <w:t xml:space="preserve"> </w:t>
            </w:r>
            <w:r w:rsidRPr="00ED5113">
              <w:rPr>
                <w:rFonts w:cstheme="minorHAnsi"/>
                <w:b/>
              </w:rPr>
              <w:t>FAIL</w:t>
            </w:r>
            <w:r w:rsidRPr="00ED5113">
              <w:rPr>
                <w:rFonts w:cstheme="minorHAnsi"/>
                <w:color w:val="FF0000"/>
              </w:rPr>
              <w:t>,</w:t>
            </w:r>
            <w:r w:rsidRPr="00ED5113">
              <w:rPr>
                <w:rFonts w:cstheme="minorHAnsi"/>
                <w:b/>
                <w:color w:val="FF0000"/>
              </w:rPr>
              <w:t xml:space="preserve"> </w:t>
            </w:r>
            <w:r w:rsidRPr="00ED5113">
              <w:rPr>
                <w:rFonts w:cstheme="minorHAnsi"/>
                <w:color w:val="000000"/>
              </w:rPr>
              <w:t>go to</w:t>
            </w:r>
            <w:r w:rsidRPr="00ED5113">
              <w:rPr>
                <w:rFonts w:cstheme="minorHAnsi"/>
                <w:b/>
                <w:color w:val="000000"/>
              </w:rPr>
              <w:t xml:space="preserve"> step 9</w:t>
            </w:r>
          </w:p>
        </w:tc>
      </w:tr>
      <w:tr w:rsidR="00EA3D2F" w:rsidRPr="00ED5113" w14:paraId="725A254F" w14:textId="77777777" w:rsidTr="00ED5113">
        <w:trPr>
          <w:trHeight w:val="900"/>
        </w:trPr>
        <w:tc>
          <w:tcPr>
            <w:tcW w:w="299" w:type="pct"/>
            <w:vMerge/>
            <w:tcBorders>
              <w:left w:val="single" w:sz="4" w:space="0" w:color="auto"/>
              <w:bottom w:val="single" w:sz="4" w:space="0" w:color="auto"/>
              <w:right w:val="single" w:sz="4" w:space="0" w:color="auto"/>
            </w:tcBorders>
            <w:vAlign w:val="center"/>
          </w:tcPr>
          <w:p w14:paraId="49C1677D" w14:textId="77777777" w:rsidR="00EA3D2F" w:rsidRPr="00ED5113" w:rsidRDefault="00EA3D2F" w:rsidP="007C4A81">
            <w:pPr>
              <w:widowControl w:val="0"/>
              <w:spacing w:before="100" w:beforeAutospacing="1" w:after="120"/>
              <w:rPr>
                <w:rFonts w:cstheme="minorHAnsi"/>
                <w:b/>
                <w:bCs/>
                <w:color w:val="000000"/>
              </w:rPr>
            </w:pPr>
          </w:p>
        </w:tc>
        <w:tc>
          <w:tcPr>
            <w:tcW w:w="2203" w:type="pct"/>
            <w:gridSpan w:val="2"/>
            <w:vMerge/>
            <w:tcBorders>
              <w:left w:val="single" w:sz="4" w:space="0" w:color="auto"/>
              <w:bottom w:val="single" w:sz="4" w:space="0" w:color="auto"/>
              <w:right w:val="single" w:sz="4" w:space="0" w:color="auto"/>
            </w:tcBorders>
            <w:vAlign w:val="center"/>
          </w:tcPr>
          <w:p w14:paraId="1BABF1A4" w14:textId="77777777" w:rsidR="00EA3D2F" w:rsidRPr="00ED5113" w:rsidRDefault="00EA3D2F" w:rsidP="007C4A81">
            <w:pPr>
              <w:widowControl w:val="0"/>
              <w:spacing w:before="100" w:beforeAutospacing="1" w:after="120"/>
              <w:rPr>
                <w:rFonts w:cstheme="minorHAnsi"/>
                <w:color w:val="000000"/>
              </w:rPr>
            </w:pPr>
          </w:p>
        </w:tc>
        <w:tc>
          <w:tcPr>
            <w:tcW w:w="539" w:type="pct"/>
            <w:vMerge/>
            <w:tcBorders>
              <w:left w:val="single" w:sz="4" w:space="0" w:color="auto"/>
              <w:bottom w:val="single" w:sz="4" w:space="0" w:color="auto"/>
              <w:right w:val="single" w:sz="4" w:space="0" w:color="auto"/>
            </w:tcBorders>
            <w:shd w:val="clear" w:color="auto" w:fill="auto"/>
            <w:vAlign w:val="center"/>
          </w:tcPr>
          <w:p w14:paraId="2E61E224" w14:textId="77777777" w:rsidR="00EA3D2F" w:rsidRPr="00ED5113" w:rsidRDefault="00EA3D2F" w:rsidP="007C4A81">
            <w:pPr>
              <w:widowControl w:val="0"/>
              <w:spacing w:before="100" w:beforeAutospacing="1" w:after="120"/>
              <w:rPr>
                <w:rFonts w:cstheme="minorHAnsi"/>
                <w:color w:val="000000"/>
              </w:rPr>
            </w:pPr>
          </w:p>
        </w:tc>
        <w:tc>
          <w:tcPr>
            <w:tcW w:w="1960" w:type="pct"/>
            <w:gridSpan w:val="2"/>
            <w:vMerge/>
            <w:tcBorders>
              <w:left w:val="single" w:sz="4" w:space="0" w:color="auto"/>
              <w:bottom w:val="single" w:sz="4" w:space="0" w:color="auto"/>
              <w:right w:val="single" w:sz="4" w:space="0" w:color="auto"/>
            </w:tcBorders>
            <w:shd w:val="clear" w:color="auto" w:fill="auto"/>
            <w:vAlign w:val="center"/>
          </w:tcPr>
          <w:p w14:paraId="7C2D5671" w14:textId="77777777" w:rsidR="00EA3D2F" w:rsidRPr="00ED5113" w:rsidRDefault="00EA3D2F" w:rsidP="007C4A81">
            <w:pPr>
              <w:widowControl w:val="0"/>
              <w:spacing w:before="100" w:beforeAutospacing="1" w:after="120"/>
              <w:rPr>
                <w:rFonts w:cstheme="minorHAnsi"/>
                <w:color w:val="000000"/>
              </w:rPr>
            </w:pPr>
          </w:p>
        </w:tc>
      </w:tr>
      <w:tr w:rsidR="00EA3D2F" w:rsidRPr="00ED5113" w14:paraId="495D661E" w14:textId="77777777" w:rsidTr="00ED5113">
        <w:trPr>
          <w:trHeight w:val="1360"/>
        </w:trPr>
        <w:tc>
          <w:tcPr>
            <w:tcW w:w="299" w:type="pct"/>
            <w:tcBorders>
              <w:top w:val="single" w:sz="4" w:space="0" w:color="auto"/>
              <w:left w:val="single" w:sz="4" w:space="0" w:color="auto"/>
              <w:bottom w:val="single" w:sz="4" w:space="0" w:color="auto"/>
              <w:right w:val="single" w:sz="4" w:space="0" w:color="auto"/>
            </w:tcBorders>
            <w:vAlign w:val="center"/>
          </w:tcPr>
          <w:p w14:paraId="07563613" w14:textId="77777777" w:rsidR="00EA3D2F" w:rsidRPr="00ED5113" w:rsidRDefault="00EA3D2F" w:rsidP="007C4A81">
            <w:pPr>
              <w:widowControl w:val="0"/>
              <w:spacing w:before="100" w:beforeAutospacing="1" w:after="120"/>
              <w:jc w:val="center"/>
              <w:rPr>
                <w:rFonts w:cstheme="minorHAnsi"/>
                <w:b/>
                <w:bCs/>
                <w:color w:val="000000"/>
              </w:rPr>
            </w:pPr>
            <w:r w:rsidRPr="00ED5113">
              <w:rPr>
                <w:rFonts w:cstheme="minorHAnsi"/>
                <w:b/>
                <w:bCs/>
                <w:color w:val="000000"/>
              </w:rPr>
              <w:t>4</w:t>
            </w:r>
          </w:p>
        </w:tc>
        <w:tc>
          <w:tcPr>
            <w:tcW w:w="2203" w:type="pct"/>
            <w:gridSpan w:val="2"/>
            <w:tcBorders>
              <w:top w:val="single" w:sz="4" w:space="0" w:color="auto"/>
              <w:left w:val="single" w:sz="4" w:space="0" w:color="auto"/>
              <w:bottom w:val="single" w:sz="4" w:space="0" w:color="auto"/>
              <w:right w:val="single" w:sz="4" w:space="0" w:color="auto"/>
            </w:tcBorders>
            <w:vAlign w:val="center"/>
          </w:tcPr>
          <w:p w14:paraId="11651973" w14:textId="77777777" w:rsidR="00EA3D2F" w:rsidRPr="00ED5113" w:rsidRDefault="00EA3D2F" w:rsidP="007C4A81">
            <w:pPr>
              <w:widowControl w:val="0"/>
              <w:spacing w:before="100" w:beforeAutospacing="1" w:after="120"/>
              <w:rPr>
                <w:rFonts w:cstheme="minorHAnsi"/>
                <w:color w:val="000000"/>
              </w:rPr>
            </w:pPr>
            <w:r w:rsidRPr="00ED5113">
              <w:rPr>
                <w:rFonts w:cstheme="minorHAnsi"/>
                <w:b/>
                <w:color w:val="000000"/>
              </w:rPr>
              <w:t>Working Capital</w:t>
            </w:r>
            <w:r w:rsidRPr="00ED5113">
              <w:rPr>
                <w:rFonts w:cstheme="minorHAnsi"/>
                <w:color w:val="000000"/>
              </w:rPr>
              <w:t xml:space="preserve"> - calculate Debtor Days for the most recent full year, and for current YTD</w:t>
            </w:r>
          </w:p>
          <w:p w14:paraId="6E8DFA23" w14:textId="77777777" w:rsidR="00EA3D2F" w:rsidRPr="00ED5113" w:rsidRDefault="00EA3D2F" w:rsidP="007C4A81">
            <w:pPr>
              <w:widowControl w:val="0"/>
              <w:spacing w:before="100" w:beforeAutospacing="1" w:after="120"/>
              <w:rPr>
                <w:rFonts w:cstheme="minorHAnsi"/>
                <w:color w:val="000000"/>
              </w:rPr>
            </w:pPr>
            <w:r w:rsidRPr="00ED5113">
              <w:rPr>
                <w:rFonts w:cstheme="minorHAnsi"/>
                <w:color w:val="000000"/>
              </w:rPr>
              <w:t>Debtor Days: This ratio measures the effectiveness of the debt collection routine and sets out the relationship between debtors and sales that have been made on credit.  It also gives an indication as to how quickly customers are paying their invoices.</w:t>
            </w:r>
          </w:p>
          <w:p w14:paraId="57C1F4BE" w14:textId="77777777" w:rsidR="00EA3D2F" w:rsidRPr="00ED5113" w:rsidRDefault="00EA3D2F" w:rsidP="007C4A81">
            <w:pPr>
              <w:widowControl w:val="0"/>
              <w:spacing w:before="100" w:beforeAutospacing="1" w:after="120"/>
              <w:rPr>
                <w:rFonts w:cstheme="minorHAnsi"/>
                <w:i/>
                <w:color w:val="000000"/>
              </w:rPr>
            </w:pPr>
            <w:r w:rsidRPr="00ED5113">
              <w:rPr>
                <w:rFonts w:cstheme="minorHAnsi"/>
                <w:i/>
                <w:color w:val="000000"/>
              </w:rPr>
              <w:t>Debtor Days = Trade debtors ÷ Turnover × 365</w:t>
            </w:r>
          </w:p>
          <w:p w14:paraId="46D709BF" w14:textId="77777777" w:rsidR="00EA3D2F" w:rsidRPr="00ED5113" w:rsidRDefault="00EA3D2F" w:rsidP="007C4A81">
            <w:pPr>
              <w:widowControl w:val="0"/>
              <w:spacing w:before="100" w:beforeAutospacing="1" w:after="120"/>
              <w:rPr>
                <w:rFonts w:cstheme="minorHAnsi"/>
                <w:color w:val="00000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9DAD5E" w14:textId="77777777" w:rsidR="00EA3D2F" w:rsidRPr="00ED5113" w:rsidRDefault="00EA3D2F" w:rsidP="007C4A81">
            <w:pPr>
              <w:widowControl w:val="0"/>
              <w:spacing w:before="100" w:beforeAutospacing="1" w:after="120"/>
              <w:rPr>
                <w:rFonts w:cstheme="minorHAnsi"/>
              </w:rPr>
            </w:pPr>
            <w:r w:rsidRPr="00ED5113">
              <w:rPr>
                <w:rFonts w:cstheme="minorHAnsi"/>
              </w:rPr>
              <w:t>Number of days</w:t>
            </w:r>
          </w:p>
        </w:tc>
        <w:tc>
          <w:tcPr>
            <w:tcW w:w="19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10C5D7" w14:textId="77777777" w:rsidR="00EA3D2F" w:rsidRPr="00ED5113" w:rsidRDefault="00EA3D2F" w:rsidP="007C4A81">
            <w:pPr>
              <w:widowControl w:val="0"/>
              <w:spacing w:before="100" w:beforeAutospacing="1" w:after="120"/>
              <w:rPr>
                <w:rFonts w:cstheme="minorHAnsi"/>
              </w:rPr>
            </w:pPr>
            <w:r w:rsidRPr="00ED5113">
              <w:rPr>
                <w:rFonts w:cstheme="minorHAnsi"/>
              </w:rPr>
              <w:t xml:space="preserve">If number of days for both the latest full year  &lt; 100, go to </w:t>
            </w:r>
            <w:r w:rsidRPr="00ED5113">
              <w:rPr>
                <w:rFonts w:cstheme="minorHAnsi"/>
                <w:b/>
              </w:rPr>
              <w:t>step 6</w:t>
            </w:r>
          </w:p>
          <w:p w14:paraId="3C82A904" w14:textId="77777777" w:rsidR="00EA3D2F" w:rsidRPr="00ED5113" w:rsidRDefault="00EA3D2F" w:rsidP="007C4A81">
            <w:pPr>
              <w:widowControl w:val="0"/>
              <w:spacing w:before="100" w:beforeAutospacing="1" w:after="120"/>
              <w:rPr>
                <w:rFonts w:cstheme="minorHAnsi"/>
              </w:rPr>
            </w:pPr>
            <w:r w:rsidRPr="00ED5113">
              <w:rPr>
                <w:rFonts w:cstheme="minorHAnsi"/>
              </w:rPr>
              <w:t xml:space="preserve">If number of days for the latest full year &gt;= 100, </w:t>
            </w:r>
            <w:r w:rsidRPr="00ED5113">
              <w:rPr>
                <w:rFonts w:cstheme="minorHAnsi"/>
                <w:b/>
              </w:rPr>
              <w:t xml:space="preserve"> FAIL</w:t>
            </w:r>
            <w:r w:rsidRPr="00ED5113">
              <w:rPr>
                <w:rFonts w:cstheme="minorHAnsi"/>
              </w:rPr>
              <w:t xml:space="preserve">, go to </w:t>
            </w:r>
            <w:r w:rsidRPr="00ED5113">
              <w:rPr>
                <w:rFonts w:cstheme="minorHAnsi"/>
                <w:b/>
                <w:color w:val="000000"/>
              </w:rPr>
              <w:t xml:space="preserve"> step 9</w:t>
            </w:r>
          </w:p>
          <w:p w14:paraId="7B9AC51B" w14:textId="77777777" w:rsidR="00EA3D2F" w:rsidRPr="00ED5113" w:rsidRDefault="00EA3D2F" w:rsidP="007C4A81">
            <w:pPr>
              <w:widowControl w:val="0"/>
              <w:spacing w:before="100" w:beforeAutospacing="1" w:after="120"/>
              <w:rPr>
                <w:rFonts w:cstheme="minorHAnsi"/>
              </w:rPr>
            </w:pPr>
          </w:p>
          <w:p w14:paraId="7B88A806" w14:textId="77777777" w:rsidR="00EA3D2F" w:rsidRPr="00ED5113" w:rsidRDefault="00EA3D2F" w:rsidP="007C4A81">
            <w:pPr>
              <w:widowControl w:val="0"/>
              <w:spacing w:before="100" w:beforeAutospacing="1" w:after="120"/>
              <w:rPr>
                <w:rFonts w:cstheme="minorHAnsi"/>
              </w:rPr>
            </w:pPr>
            <w:r w:rsidRPr="00ED5113">
              <w:rPr>
                <w:rFonts w:cstheme="minorHAnsi"/>
              </w:rPr>
              <w:t>If No D&amp;B score is available for the Potential Provider:</w:t>
            </w:r>
          </w:p>
          <w:p w14:paraId="44A2DAE7" w14:textId="77777777" w:rsidR="00EA3D2F" w:rsidRPr="00ED5113" w:rsidRDefault="00EA3D2F" w:rsidP="007C4A81">
            <w:pPr>
              <w:widowControl w:val="0"/>
              <w:spacing w:before="100" w:beforeAutospacing="1" w:after="120"/>
              <w:rPr>
                <w:rFonts w:cstheme="minorHAnsi"/>
              </w:rPr>
            </w:pPr>
            <w:r w:rsidRPr="00ED5113">
              <w:rPr>
                <w:rFonts w:cstheme="minorHAnsi"/>
              </w:rPr>
              <w:t xml:space="preserve">If number of days for the latest full year  &lt; 75, go to </w:t>
            </w:r>
            <w:r w:rsidRPr="00ED5113">
              <w:rPr>
                <w:rFonts w:cstheme="minorHAnsi"/>
                <w:b/>
              </w:rPr>
              <w:t>step 5</w:t>
            </w:r>
          </w:p>
          <w:p w14:paraId="36B498F9" w14:textId="77777777" w:rsidR="00EA3D2F" w:rsidRPr="00ED5113" w:rsidRDefault="00EA3D2F" w:rsidP="007C4A81">
            <w:pPr>
              <w:widowControl w:val="0"/>
              <w:spacing w:before="100" w:beforeAutospacing="1" w:after="120"/>
              <w:rPr>
                <w:rFonts w:cstheme="minorHAnsi"/>
              </w:rPr>
            </w:pPr>
            <w:r w:rsidRPr="00ED5113">
              <w:rPr>
                <w:rFonts w:cstheme="minorHAnsi"/>
              </w:rPr>
              <w:t xml:space="preserve">If number of days for the latest full year &gt;= 75,  </w:t>
            </w:r>
            <w:r w:rsidRPr="00ED5113">
              <w:rPr>
                <w:rFonts w:cstheme="minorHAnsi"/>
                <w:b/>
                <w:color w:val="000000"/>
              </w:rPr>
              <w:t xml:space="preserve"> </w:t>
            </w:r>
            <w:r w:rsidRPr="00ED5113">
              <w:rPr>
                <w:rFonts w:cstheme="minorHAnsi"/>
                <w:color w:val="FF0000"/>
              </w:rPr>
              <w:t xml:space="preserve"> </w:t>
            </w:r>
            <w:r w:rsidRPr="00ED5113">
              <w:rPr>
                <w:rFonts w:cstheme="minorHAnsi"/>
                <w:b/>
              </w:rPr>
              <w:t>FAIL</w:t>
            </w:r>
            <w:r w:rsidRPr="00ED5113">
              <w:rPr>
                <w:rFonts w:cstheme="minorHAnsi"/>
                <w:color w:val="FF0000"/>
              </w:rPr>
              <w:t>,</w:t>
            </w:r>
            <w:r w:rsidRPr="00ED5113">
              <w:rPr>
                <w:rFonts w:cstheme="minorHAnsi"/>
                <w:b/>
                <w:color w:val="FF0000"/>
              </w:rPr>
              <w:t xml:space="preserve"> </w:t>
            </w:r>
            <w:r w:rsidRPr="00ED5113">
              <w:rPr>
                <w:rFonts w:cstheme="minorHAnsi"/>
              </w:rPr>
              <w:t xml:space="preserve"> go to </w:t>
            </w:r>
            <w:r w:rsidRPr="00ED5113">
              <w:rPr>
                <w:rFonts w:cstheme="minorHAnsi"/>
                <w:b/>
                <w:color w:val="000000"/>
              </w:rPr>
              <w:t xml:space="preserve"> step 9</w:t>
            </w:r>
          </w:p>
        </w:tc>
      </w:tr>
      <w:tr w:rsidR="00EA3D2F" w:rsidRPr="00ED5113" w14:paraId="3006D881" w14:textId="77777777" w:rsidTr="00ED5113">
        <w:trPr>
          <w:trHeight w:val="558"/>
        </w:trPr>
        <w:tc>
          <w:tcPr>
            <w:tcW w:w="299" w:type="pct"/>
            <w:tcBorders>
              <w:top w:val="single" w:sz="4" w:space="0" w:color="auto"/>
              <w:left w:val="single" w:sz="4" w:space="0" w:color="auto"/>
              <w:bottom w:val="single" w:sz="4" w:space="0" w:color="auto"/>
              <w:right w:val="single" w:sz="4" w:space="0" w:color="auto"/>
            </w:tcBorders>
            <w:vAlign w:val="center"/>
          </w:tcPr>
          <w:p w14:paraId="1F2368B0" w14:textId="77777777" w:rsidR="00EA3D2F" w:rsidRPr="00ED5113" w:rsidRDefault="00EA3D2F" w:rsidP="007C4A81">
            <w:pPr>
              <w:widowControl w:val="0"/>
              <w:spacing w:before="100" w:beforeAutospacing="1" w:after="120"/>
              <w:jc w:val="center"/>
              <w:rPr>
                <w:rFonts w:cstheme="minorHAnsi"/>
                <w:b/>
                <w:bCs/>
                <w:color w:val="000000"/>
              </w:rPr>
            </w:pPr>
            <w:r w:rsidRPr="00ED5113">
              <w:rPr>
                <w:rFonts w:cstheme="minorHAnsi"/>
                <w:b/>
                <w:bCs/>
                <w:color w:val="000000"/>
              </w:rPr>
              <w:t>5</w:t>
            </w:r>
          </w:p>
        </w:tc>
        <w:tc>
          <w:tcPr>
            <w:tcW w:w="2203" w:type="pct"/>
            <w:gridSpan w:val="2"/>
            <w:tcBorders>
              <w:top w:val="single" w:sz="4" w:space="0" w:color="auto"/>
              <w:left w:val="single" w:sz="4" w:space="0" w:color="auto"/>
              <w:bottom w:val="single" w:sz="4" w:space="0" w:color="auto"/>
              <w:right w:val="single" w:sz="4" w:space="0" w:color="auto"/>
            </w:tcBorders>
            <w:vAlign w:val="center"/>
          </w:tcPr>
          <w:p w14:paraId="2C73EEF9" w14:textId="77777777" w:rsidR="00EA3D2F" w:rsidRPr="00ED5113" w:rsidRDefault="00EA3D2F" w:rsidP="007C4A81">
            <w:pPr>
              <w:widowControl w:val="0"/>
              <w:spacing w:before="100" w:beforeAutospacing="1" w:after="120"/>
              <w:rPr>
                <w:rFonts w:cstheme="minorHAnsi"/>
                <w:color w:val="FF0000"/>
              </w:rPr>
            </w:pPr>
            <w:r w:rsidRPr="00ED5113">
              <w:rPr>
                <w:rFonts w:cstheme="minorHAnsi"/>
                <w:b/>
                <w:color w:val="000000"/>
              </w:rPr>
              <w:t xml:space="preserve">Liquidity </w:t>
            </w:r>
            <w:r w:rsidRPr="00ED5113">
              <w:rPr>
                <w:rFonts w:cstheme="minorHAnsi"/>
                <w:color w:val="000000"/>
              </w:rPr>
              <w:t>- If the D&amp;B score for the Potential Provider is less than 10, calculate the Liquidity Ratio.</w:t>
            </w:r>
            <w:r w:rsidRPr="00ED5113">
              <w:rPr>
                <w:rFonts w:cstheme="minorHAnsi"/>
                <w:color w:val="FF0000"/>
              </w:rPr>
              <w:t xml:space="preserve"> </w:t>
            </w:r>
          </w:p>
          <w:p w14:paraId="76A3816C" w14:textId="77777777" w:rsidR="00EA3D2F" w:rsidRPr="00ED5113" w:rsidRDefault="00EA3D2F" w:rsidP="007C4A81">
            <w:pPr>
              <w:widowControl w:val="0"/>
              <w:spacing w:before="100" w:beforeAutospacing="1" w:after="120"/>
              <w:rPr>
                <w:rFonts w:cstheme="minorHAnsi"/>
                <w:color w:val="000000"/>
              </w:rPr>
            </w:pPr>
            <w:r w:rsidRPr="00ED5113">
              <w:rPr>
                <w:rFonts w:cstheme="minorHAnsi"/>
                <w:color w:val="000000"/>
              </w:rPr>
              <w:t xml:space="preserve">Liquidity Ratio: This ratio looks at the ability of the business to pay off its current liabilities by </w:t>
            </w:r>
            <w:r w:rsidRPr="00ED5113">
              <w:rPr>
                <w:rFonts w:cstheme="minorHAnsi"/>
                <w:color w:val="000000"/>
              </w:rPr>
              <w:lastRenderedPageBreak/>
              <w:t>using its liquid assets.</w:t>
            </w:r>
          </w:p>
          <w:p w14:paraId="79A90A8F" w14:textId="77777777" w:rsidR="00EA3D2F" w:rsidRPr="00ED5113" w:rsidRDefault="00EA3D2F" w:rsidP="007C4A81">
            <w:pPr>
              <w:widowControl w:val="0"/>
              <w:spacing w:before="100" w:beforeAutospacing="1" w:after="120"/>
              <w:rPr>
                <w:rFonts w:cstheme="minorHAnsi"/>
                <w:i/>
                <w:color w:val="000000"/>
              </w:rPr>
            </w:pPr>
            <w:r w:rsidRPr="00ED5113">
              <w:rPr>
                <w:rFonts w:cstheme="minorHAnsi"/>
                <w:i/>
                <w:color w:val="000000"/>
              </w:rPr>
              <w:t>Liquidity Ratio = (Current Assets - Stock ) ÷ Current Liabilities</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50719BE" w14:textId="77777777" w:rsidR="00EA3D2F" w:rsidRPr="00ED5113" w:rsidRDefault="00EA3D2F" w:rsidP="007C4A81">
            <w:pPr>
              <w:widowControl w:val="0"/>
              <w:spacing w:before="100" w:beforeAutospacing="1" w:after="120"/>
              <w:rPr>
                <w:rFonts w:cstheme="minorHAnsi"/>
                <w:color w:val="000000"/>
              </w:rPr>
            </w:pPr>
            <w:r w:rsidRPr="00ED5113">
              <w:rPr>
                <w:rFonts w:cstheme="minorHAnsi"/>
                <w:color w:val="000000"/>
              </w:rPr>
              <w:lastRenderedPageBreak/>
              <w:t>Numeric</w:t>
            </w:r>
          </w:p>
        </w:tc>
        <w:tc>
          <w:tcPr>
            <w:tcW w:w="19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73695C" w14:textId="77777777" w:rsidR="00EA3D2F" w:rsidRPr="00ED5113" w:rsidRDefault="00EA3D2F" w:rsidP="007C4A81">
            <w:pPr>
              <w:widowControl w:val="0"/>
              <w:spacing w:before="100" w:beforeAutospacing="1" w:after="120"/>
              <w:rPr>
                <w:rFonts w:cstheme="minorHAnsi"/>
              </w:rPr>
            </w:pPr>
          </w:p>
          <w:p w14:paraId="529DD85F" w14:textId="77777777" w:rsidR="00EA3D2F" w:rsidRPr="00ED5113" w:rsidRDefault="00EA3D2F" w:rsidP="007C4A81">
            <w:pPr>
              <w:widowControl w:val="0"/>
              <w:spacing w:before="100" w:beforeAutospacing="1" w:after="120"/>
              <w:rPr>
                <w:rFonts w:cstheme="minorHAnsi"/>
              </w:rPr>
            </w:pPr>
            <w:r w:rsidRPr="00ED5113">
              <w:rPr>
                <w:rFonts w:cstheme="minorHAnsi"/>
              </w:rPr>
              <w:t xml:space="preserve">If the Liquidity Ratio &gt;=1, go to </w:t>
            </w:r>
            <w:r w:rsidRPr="00ED5113">
              <w:rPr>
                <w:rFonts w:cstheme="minorHAnsi"/>
                <w:b/>
              </w:rPr>
              <w:t>step 6</w:t>
            </w:r>
          </w:p>
          <w:p w14:paraId="0C828836" w14:textId="77777777" w:rsidR="00EA3D2F" w:rsidRPr="00ED5113" w:rsidRDefault="00EA3D2F" w:rsidP="007C4A81">
            <w:pPr>
              <w:widowControl w:val="0"/>
              <w:spacing w:before="100" w:beforeAutospacing="1" w:after="120"/>
              <w:rPr>
                <w:rFonts w:cstheme="minorHAnsi"/>
              </w:rPr>
            </w:pPr>
            <w:r w:rsidRPr="00ED5113">
              <w:rPr>
                <w:rFonts w:cstheme="minorHAnsi"/>
              </w:rPr>
              <w:t xml:space="preserve">If the Liquidity Ratio &lt;= 1, </w:t>
            </w:r>
            <w:r w:rsidRPr="00ED5113">
              <w:rPr>
                <w:rFonts w:cstheme="minorHAnsi"/>
                <w:color w:val="FF0000"/>
              </w:rPr>
              <w:t xml:space="preserve"> </w:t>
            </w:r>
            <w:r w:rsidRPr="00ED5113">
              <w:rPr>
                <w:rFonts w:cstheme="minorHAnsi"/>
                <w:b/>
              </w:rPr>
              <w:t xml:space="preserve"> FAIL</w:t>
            </w:r>
            <w:r w:rsidRPr="00ED5113">
              <w:rPr>
                <w:rFonts w:cstheme="minorHAnsi"/>
              </w:rPr>
              <w:t xml:space="preserve">, go to </w:t>
            </w:r>
            <w:r w:rsidRPr="00ED5113">
              <w:rPr>
                <w:rFonts w:cstheme="minorHAnsi"/>
                <w:b/>
                <w:color w:val="000000"/>
              </w:rPr>
              <w:t xml:space="preserve"> step 9</w:t>
            </w:r>
          </w:p>
          <w:p w14:paraId="06B02EFA" w14:textId="77777777" w:rsidR="00EA3D2F" w:rsidRPr="00ED5113" w:rsidRDefault="00EA3D2F" w:rsidP="007C4A81">
            <w:pPr>
              <w:widowControl w:val="0"/>
              <w:spacing w:before="100" w:beforeAutospacing="1" w:after="120"/>
              <w:rPr>
                <w:rFonts w:cstheme="minorHAnsi"/>
                <w:color w:val="000000"/>
              </w:rPr>
            </w:pPr>
          </w:p>
        </w:tc>
      </w:tr>
      <w:tr w:rsidR="00EA3D2F" w:rsidRPr="00ED5113" w14:paraId="384C993F" w14:textId="77777777" w:rsidTr="00ED5113">
        <w:trPr>
          <w:trHeight w:val="558"/>
        </w:trPr>
        <w:tc>
          <w:tcPr>
            <w:tcW w:w="299" w:type="pct"/>
            <w:tcBorders>
              <w:top w:val="single" w:sz="4" w:space="0" w:color="auto"/>
              <w:left w:val="single" w:sz="4" w:space="0" w:color="auto"/>
              <w:bottom w:val="single" w:sz="4" w:space="0" w:color="auto"/>
              <w:right w:val="single" w:sz="4" w:space="0" w:color="auto"/>
            </w:tcBorders>
            <w:vAlign w:val="center"/>
          </w:tcPr>
          <w:p w14:paraId="11ACA2BC" w14:textId="77777777" w:rsidR="00EA3D2F" w:rsidRPr="00ED5113" w:rsidRDefault="00EA3D2F" w:rsidP="007C4A81">
            <w:pPr>
              <w:widowControl w:val="0"/>
              <w:spacing w:before="100" w:beforeAutospacing="1" w:after="120"/>
              <w:jc w:val="center"/>
              <w:rPr>
                <w:rFonts w:cstheme="minorHAnsi"/>
                <w:b/>
                <w:bCs/>
                <w:color w:val="000000"/>
                <w:highlight w:val="yellow"/>
              </w:rPr>
            </w:pPr>
            <w:r w:rsidRPr="00ED5113">
              <w:rPr>
                <w:rFonts w:cstheme="minorHAnsi"/>
                <w:b/>
                <w:bCs/>
                <w:color w:val="000000"/>
              </w:rPr>
              <w:lastRenderedPageBreak/>
              <w:t>6</w:t>
            </w:r>
          </w:p>
        </w:tc>
        <w:tc>
          <w:tcPr>
            <w:tcW w:w="2203" w:type="pct"/>
            <w:gridSpan w:val="2"/>
            <w:tcBorders>
              <w:top w:val="single" w:sz="4" w:space="0" w:color="auto"/>
              <w:left w:val="single" w:sz="4" w:space="0" w:color="auto"/>
              <w:bottom w:val="single" w:sz="4" w:space="0" w:color="auto"/>
              <w:right w:val="single" w:sz="4" w:space="0" w:color="auto"/>
            </w:tcBorders>
            <w:vAlign w:val="center"/>
          </w:tcPr>
          <w:p w14:paraId="26EBBFEB" w14:textId="77777777" w:rsidR="00EA3D2F" w:rsidRPr="00ED5113" w:rsidRDefault="00EA3D2F" w:rsidP="007C4A81">
            <w:pPr>
              <w:widowControl w:val="0"/>
              <w:spacing w:before="100" w:beforeAutospacing="1" w:after="120"/>
              <w:rPr>
                <w:rFonts w:cstheme="minorHAnsi"/>
                <w:color w:val="000000"/>
              </w:rPr>
            </w:pPr>
            <w:r w:rsidRPr="00ED5113">
              <w:rPr>
                <w:rFonts w:cstheme="minorHAnsi"/>
                <w:b/>
                <w:color w:val="000000"/>
              </w:rPr>
              <w:t>Profitability</w:t>
            </w:r>
            <w:r w:rsidRPr="00ED5113">
              <w:rPr>
                <w:rFonts w:cstheme="minorHAnsi"/>
                <w:color w:val="000000"/>
              </w:rPr>
              <w:t xml:space="preserve"> - assess pre-tax profitability in the provided accounts. </w:t>
            </w:r>
          </w:p>
          <w:p w14:paraId="3D2E67FF" w14:textId="77777777" w:rsidR="00EA3D2F" w:rsidRPr="00ED5113" w:rsidRDefault="00EA3D2F" w:rsidP="007C4A81">
            <w:pPr>
              <w:widowControl w:val="0"/>
              <w:spacing w:before="100" w:beforeAutospacing="1" w:after="120"/>
              <w:rPr>
                <w:rFonts w:cstheme="minorHAnsi"/>
                <w:color w:val="000000"/>
              </w:rPr>
            </w:pPr>
            <w:r w:rsidRPr="00ED5113">
              <w:rPr>
                <w:rFonts w:cstheme="minorHAnsi"/>
                <w:color w:val="000000"/>
              </w:rPr>
              <w:t>If only 1 year of annual audited accounts is available, these must show profit.</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858825F" w14:textId="77777777" w:rsidR="00EA3D2F" w:rsidRPr="00ED5113" w:rsidRDefault="00EA3D2F" w:rsidP="007C4A81">
            <w:pPr>
              <w:widowControl w:val="0"/>
              <w:spacing w:before="100" w:beforeAutospacing="1" w:after="120"/>
              <w:rPr>
                <w:rFonts w:cstheme="minorHAnsi"/>
                <w:color w:val="000000"/>
                <w:highlight w:val="yellow"/>
              </w:rPr>
            </w:pPr>
            <w:r w:rsidRPr="00ED5113">
              <w:rPr>
                <w:rFonts w:cstheme="minorHAnsi"/>
                <w:color w:val="000000"/>
              </w:rPr>
              <w:t>Numeric, £</w:t>
            </w:r>
          </w:p>
        </w:tc>
        <w:tc>
          <w:tcPr>
            <w:tcW w:w="19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8E3D18" w14:textId="77777777" w:rsidR="00EA3D2F" w:rsidRPr="00ED5113" w:rsidRDefault="00EA3D2F" w:rsidP="007C4A81">
            <w:pPr>
              <w:widowControl w:val="0"/>
              <w:spacing w:before="100" w:beforeAutospacing="1" w:after="120"/>
              <w:rPr>
                <w:rFonts w:cstheme="minorHAnsi"/>
                <w:b/>
                <w:color w:val="000000"/>
              </w:rPr>
            </w:pPr>
            <w:r w:rsidRPr="00ED5113">
              <w:rPr>
                <w:rFonts w:cstheme="minorHAnsi"/>
                <w:color w:val="000000"/>
              </w:rPr>
              <w:t xml:space="preserve">If the Potential Provider shows a profit for both years, or for one of the years, go to </w:t>
            </w:r>
            <w:r w:rsidRPr="00ED5113">
              <w:rPr>
                <w:rFonts w:cstheme="minorHAnsi"/>
                <w:b/>
                <w:color w:val="000000"/>
              </w:rPr>
              <w:t xml:space="preserve">step 7. </w:t>
            </w:r>
            <w:r w:rsidRPr="00ED5113">
              <w:rPr>
                <w:rFonts w:cstheme="minorHAnsi"/>
                <w:color w:val="000000"/>
              </w:rPr>
              <w:t>If not,</w:t>
            </w:r>
            <w:r w:rsidRPr="00ED5113">
              <w:rPr>
                <w:rFonts w:cstheme="minorHAnsi"/>
                <w:b/>
              </w:rPr>
              <w:t xml:space="preserve"> FAIL</w:t>
            </w:r>
            <w:r w:rsidRPr="00ED5113">
              <w:rPr>
                <w:rFonts w:cstheme="minorHAnsi"/>
                <w:color w:val="000000"/>
              </w:rPr>
              <w:t xml:space="preserve">, go to </w:t>
            </w:r>
            <w:r w:rsidRPr="00ED5113">
              <w:rPr>
                <w:rFonts w:cstheme="minorHAnsi"/>
                <w:b/>
                <w:color w:val="000000"/>
              </w:rPr>
              <w:t>step 9</w:t>
            </w:r>
          </w:p>
          <w:p w14:paraId="09CA9F9C" w14:textId="77777777" w:rsidR="00EA3D2F" w:rsidRPr="00ED5113" w:rsidRDefault="00EA3D2F" w:rsidP="007C4A81">
            <w:pPr>
              <w:widowControl w:val="0"/>
              <w:spacing w:before="100" w:beforeAutospacing="1" w:after="120"/>
              <w:rPr>
                <w:rFonts w:cstheme="minorHAnsi"/>
                <w:b/>
                <w:color w:val="000000"/>
              </w:rPr>
            </w:pPr>
            <w:r w:rsidRPr="00ED5113">
              <w:rPr>
                <w:rFonts w:cstheme="minorHAnsi"/>
                <w:color w:val="000000"/>
              </w:rPr>
              <w:t>If, where</w:t>
            </w:r>
            <w:r w:rsidRPr="00ED5113">
              <w:rPr>
                <w:rFonts w:cstheme="minorHAnsi"/>
              </w:rPr>
              <w:t xml:space="preserve"> only 1 year of annual accounts is available, these accounts show a profit, </w:t>
            </w:r>
            <w:r w:rsidRPr="00ED5113">
              <w:rPr>
                <w:rFonts w:cstheme="minorHAnsi"/>
                <w:color w:val="000000"/>
              </w:rPr>
              <w:t xml:space="preserve">go to </w:t>
            </w:r>
            <w:r w:rsidRPr="00ED5113">
              <w:rPr>
                <w:rFonts w:cstheme="minorHAnsi"/>
                <w:b/>
                <w:color w:val="000000"/>
              </w:rPr>
              <w:t xml:space="preserve">step 7. </w:t>
            </w:r>
            <w:r w:rsidRPr="00ED5113">
              <w:rPr>
                <w:rFonts w:cstheme="minorHAnsi"/>
                <w:color w:val="000000"/>
              </w:rPr>
              <w:t xml:space="preserve">If not, </w:t>
            </w:r>
            <w:r w:rsidRPr="00ED5113">
              <w:rPr>
                <w:rFonts w:cstheme="minorHAnsi"/>
                <w:b/>
              </w:rPr>
              <w:t>FAIL</w:t>
            </w:r>
            <w:r w:rsidRPr="00ED5113">
              <w:rPr>
                <w:rFonts w:cstheme="minorHAnsi"/>
                <w:color w:val="000000"/>
              </w:rPr>
              <w:t xml:space="preserve"> go to </w:t>
            </w:r>
            <w:r w:rsidRPr="00ED5113">
              <w:rPr>
                <w:rFonts w:cstheme="minorHAnsi"/>
                <w:b/>
                <w:color w:val="000000"/>
              </w:rPr>
              <w:t xml:space="preserve">step 9. </w:t>
            </w:r>
          </w:p>
          <w:p w14:paraId="3D59C7A3" w14:textId="77777777" w:rsidR="00EA3D2F" w:rsidRPr="00ED5113" w:rsidRDefault="00EA3D2F" w:rsidP="007C4A81">
            <w:pPr>
              <w:widowControl w:val="0"/>
              <w:spacing w:before="100" w:beforeAutospacing="1" w:after="120"/>
              <w:rPr>
                <w:rFonts w:cstheme="minorHAnsi"/>
                <w:color w:val="000000"/>
                <w:highlight w:val="yellow"/>
              </w:rPr>
            </w:pPr>
          </w:p>
        </w:tc>
      </w:tr>
      <w:tr w:rsidR="00EA3D2F" w:rsidRPr="00ED5113" w14:paraId="0221B383" w14:textId="77777777" w:rsidTr="00ED5113">
        <w:trPr>
          <w:trHeight w:val="900"/>
        </w:trPr>
        <w:tc>
          <w:tcPr>
            <w:tcW w:w="299" w:type="pct"/>
            <w:tcBorders>
              <w:top w:val="single" w:sz="4" w:space="0" w:color="auto"/>
              <w:left w:val="single" w:sz="4" w:space="0" w:color="auto"/>
              <w:bottom w:val="single" w:sz="4" w:space="0" w:color="auto"/>
              <w:right w:val="single" w:sz="4" w:space="0" w:color="auto"/>
            </w:tcBorders>
            <w:vAlign w:val="center"/>
          </w:tcPr>
          <w:p w14:paraId="6D9FE857" w14:textId="77777777" w:rsidR="00EA3D2F" w:rsidRPr="00ED5113" w:rsidRDefault="00EA3D2F" w:rsidP="007C4A81">
            <w:pPr>
              <w:widowControl w:val="0"/>
              <w:spacing w:before="100" w:beforeAutospacing="1" w:after="120"/>
              <w:jc w:val="center"/>
              <w:rPr>
                <w:rFonts w:cstheme="minorHAnsi"/>
                <w:b/>
                <w:bCs/>
                <w:color w:val="000000"/>
              </w:rPr>
            </w:pPr>
            <w:r w:rsidRPr="00ED5113">
              <w:rPr>
                <w:rFonts w:cstheme="minorHAnsi"/>
                <w:b/>
                <w:bCs/>
                <w:color w:val="000000"/>
              </w:rPr>
              <w:t>7</w:t>
            </w:r>
          </w:p>
        </w:tc>
        <w:tc>
          <w:tcPr>
            <w:tcW w:w="2203" w:type="pct"/>
            <w:gridSpan w:val="2"/>
            <w:tcBorders>
              <w:top w:val="single" w:sz="4" w:space="0" w:color="auto"/>
              <w:left w:val="single" w:sz="4" w:space="0" w:color="auto"/>
              <w:bottom w:val="single" w:sz="4" w:space="0" w:color="auto"/>
              <w:right w:val="single" w:sz="4" w:space="0" w:color="auto"/>
            </w:tcBorders>
            <w:vAlign w:val="center"/>
          </w:tcPr>
          <w:p w14:paraId="2AA1455F" w14:textId="77777777" w:rsidR="00EA3D2F" w:rsidRPr="00ED5113" w:rsidRDefault="00EA3D2F" w:rsidP="007C4A81">
            <w:pPr>
              <w:widowControl w:val="0"/>
              <w:spacing w:before="100" w:beforeAutospacing="1" w:after="120"/>
              <w:rPr>
                <w:rFonts w:cstheme="minorHAnsi"/>
                <w:color w:val="000000"/>
              </w:rPr>
            </w:pPr>
            <w:r w:rsidRPr="00ED5113">
              <w:rPr>
                <w:rFonts w:cstheme="minorHAnsi"/>
                <w:b/>
                <w:color w:val="000000"/>
              </w:rPr>
              <w:t>Current Ratio</w:t>
            </w:r>
            <w:r w:rsidRPr="00ED5113">
              <w:rPr>
                <w:rFonts w:cstheme="minorHAnsi"/>
                <w:color w:val="000000"/>
              </w:rPr>
              <w:t xml:space="preserve"> - calculate the Current Ratio for the most recent year’s accounts available</w:t>
            </w:r>
          </w:p>
          <w:p w14:paraId="07EF196B" w14:textId="77777777" w:rsidR="00EA3D2F" w:rsidRPr="00ED5113" w:rsidRDefault="00EA3D2F" w:rsidP="007C4A81">
            <w:pPr>
              <w:contextualSpacing/>
              <w:rPr>
                <w:rFonts w:cstheme="minorHAnsi"/>
              </w:rPr>
            </w:pPr>
            <w:r w:rsidRPr="00ED5113">
              <w:rPr>
                <w:rFonts w:cstheme="minorHAnsi"/>
              </w:rPr>
              <w:t>Current Ratio: This ratio assesses the solvency of the business and looks at the relationship between current assets and current liabilities.</w:t>
            </w:r>
          </w:p>
          <w:p w14:paraId="7AAED16B" w14:textId="77777777" w:rsidR="00EA3D2F" w:rsidRPr="00ED5113" w:rsidRDefault="00EA3D2F" w:rsidP="007C4A81">
            <w:pPr>
              <w:contextualSpacing/>
              <w:rPr>
                <w:rFonts w:cstheme="minorHAnsi"/>
              </w:rPr>
            </w:pPr>
          </w:p>
          <w:p w14:paraId="1FA4F4E0" w14:textId="77777777" w:rsidR="00EA3D2F" w:rsidRPr="00ED5113" w:rsidRDefault="00EA3D2F" w:rsidP="007C4A81">
            <w:pPr>
              <w:contextualSpacing/>
              <w:rPr>
                <w:rFonts w:cstheme="minorHAnsi"/>
                <w:i/>
              </w:rPr>
            </w:pPr>
            <w:r w:rsidRPr="00ED5113">
              <w:rPr>
                <w:rFonts w:cstheme="minorHAnsi"/>
                <w:i/>
              </w:rPr>
              <w:t>Current Ratio = Current assets ÷ Current liabilities</w:t>
            </w:r>
          </w:p>
          <w:p w14:paraId="16530AB9" w14:textId="77777777" w:rsidR="00EA3D2F" w:rsidRPr="00ED5113" w:rsidRDefault="00EA3D2F" w:rsidP="007C4A81">
            <w:pPr>
              <w:widowControl w:val="0"/>
              <w:spacing w:before="100" w:beforeAutospacing="1" w:after="120"/>
              <w:rPr>
                <w:rFonts w:cstheme="minorHAnsi"/>
                <w:color w:val="00000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ACF0A6A" w14:textId="77777777" w:rsidR="00EA3D2F" w:rsidRPr="00ED5113" w:rsidRDefault="00EA3D2F" w:rsidP="007C4A81">
            <w:pPr>
              <w:widowControl w:val="0"/>
              <w:spacing w:before="100" w:beforeAutospacing="1" w:after="120"/>
              <w:rPr>
                <w:rFonts w:cstheme="minorHAnsi"/>
                <w:color w:val="000000"/>
              </w:rPr>
            </w:pPr>
            <w:r w:rsidRPr="00ED5113">
              <w:rPr>
                <w:rFonts w:cstheme="minorHAnsi"/>
                <w:color w:val="000000"/>
              </w:rPr>
              <w:t>Numeric</w:t>
            </w:r>
          </w:p>
        </w:tc>
        <w:tc>
          <w:tcPr>
            <w:tcW w:w="19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CF489E" w14:textId="77777777" w:rsidR="00EA3D2F" w:rsidRPr="00ED5113" w:rsidRDefault="00EA3D2F" w:rsidP="007C4A81">
            <w:pPr>
              <w:widowControl w:val="0"/>
              <w:spacing w:before="100" w:beforeAutospacing="1" w:after="120"/>
              <w:rPr>
                <w:rFonts w:cstheme="minorHAnsi"/>
                <w:color w:val="000000"/>
              </w:rPr>
            </w:pPr>
            <w:r w:rsidRPr="00ED5113">
              <w:rPr>
                <w:rFonts w:cstheme="minorHAnsi"/>
                <w:color w:val="000000"/>
              </w:rPr>
              <w:t xml:space="preserve">If ratio &gt;= 1, go to </w:t>
            </w:r>
            <w:r w:rsidRPr="00ED5113">
              <w:rPr>
                <w:rFonts w:cstheme="minorHAnsi"/>
                <w:b/>
                <w:color w:val="000000"/>
              </w:rPr>
              <w:t>step 8</w:t>
            </w:r>
            <w:r w:rsidRPr="00ED5113">
              <w:rPr>
                <w:rFonts w:cstheme="minorHAnsi"/>
                <w:color w:val="000000"/>
              </w:rPr>
              <w:br/>
            </w:r>
            <w:r w:rsidRPr="00ED5113">
              <w:rPr>
                <w:rFonts w:cstheme="minorHAnsi"/>
                <w:color w:val="000000"/>
              </w:rPr>
              <w:br/>
              <w:t xml:space="preserve">If ratio &lt;= 1,  </w:t>
            </w:r>
            <w:r w:rsidRPr="00ED5113">
              <w:rPr>
                <w:rFonts w:cstheme="minorHAnsi"/>
                <w:color w:val="FF0000"/>
              </w:rPr>
              <w:t xml:space="preserve"> </w:t>
            </w:r>
            <w:r w:rsidRPr="00ED5113">
              <w:rPr>
                <w:rFonts w:cstheme="minorHAnsi"/>
                <w:b/>
              </w:rPr>
              <w:t>FAIL</w:t>
            </w:r>
            <w:r w:rsidRPr="00ED5113">
              <w:rPr>
                <w:rFonts w:cstheme="minorHAnsi"/>
                <w:color w:val="FF0000"/>
              </w:rPr>
              <w:t>,</w:t>
            </w:r>
            <w:r w:rsidRPr="00ED5113">
              <w:rPr>
                <w:rFonts w:cstheme="minorHAnsi"/>
                <w:b/>
                <w:color w:val="FF0000"/>
              </w:rPr>
              <w:t xml:space="preserve"> </w:t>
            </w:r>
            <w:r w:rsidRPr="00ED5113">
              <w:rPr>
                <w:rFonts w:cstheme="minorHAnsi"/>
                <w:b/>
                <w:color w:val="000000"/>
              </w:rPr>
              <w:t xml:space="preserve"> </w:t>
            </w:r>
            <w:r w:rsidRPr="00ED5113">
              <w:rPr>
                <w:rFonts w:cstheme="minorHAnsi"/>
                <w:color w:val="000000"/>
              </w:rPr>
              <w:t xml:space="preserve">go to </w:t>
            </w:r>
            <w:r w:rsidRPr="00ED5113">
              <w:rPr>
                <w:rFonts w:cstheme="minorHAnsi"/>
                <w:b/>
                <w:color w:val="000000"/>
              </w:rPr>
              <w:t>step 9</w:t>
            </w:r>
          </w:p>
        </w:tc>
      </w:tr>
      <w:tr w:rsidR="00EA3D2F" w:rsidRPr="00ED5113" w14:paraId="3F9BD88B" w14:textId="77777777" w:rsidTr="00ED5113">
        <w:trPr>
          <w:trHeight w:val="900"/>
        </w:trPr>
        <w:tc>
          <w:tcPr>
            <w:tcW w:w="299" w:type="pct"/>
            <w:tcBorders>
              <w:top w:val="single" w:sz="4" w:space="0" w:color="auto"/>
              <w:left w:val="single" w:sz="4" w:space="0" w:color="auto"/>
              <w:bottom w:val="single" w:sz="4" w:space="0" w:color="auto"/>
              <w:right w:val="single" w:sz="4" w:space="0" w:color="auto"/>
            </w:tcBorders>
            <w:vAlign w:val="center"/>
          </w:tcPr>
          <w:p w14:paraId="61F06175" w14:textId="77777777" w:rsidR="00EA3D2F" w:rsidRPr="00ED5113" w:rsidRDefault="00EA3D2F" w:rsidP="007C4A81">
            <w:pPr>
              <w:widowControl w:val="0"/>
              <w:spacing w:before="100" w:beforeAutospacing="1" w:after="120"/>
              <w:jc w:val="center"/>
              <w:rPr>
                <w:rFonts w:cstheme="minorHAnsi"/>
                <w:b/>
                <w:bCs/>
                <w:color w:val="000000"/>
              </w:rPr>
            </w:pPr>
            <w:r w:rsidRPr="00ED5113">
              <w:rPr>
                <w:rFonts w:cstheme="minorHAnsi"/>
                <w:b/>
                <w:bCs/>
                <w:color w:val="000000"/>
              </w:rPr>
              <w:t>8</w:t>
            </w:r>
          </w:p>
        </w:tc>
        <w:tc>
          <w:tcPr>
            <w:tcW w:w="2203" w:type="pct"/>
            <w:gridSpan w:val="2"/>
            <w:tcBorders>
              <w:top w:val="single" w:sz="4" w:space="0" w:color="auto"/>
              <w:left w:val="single" w:sz="4" w:space="0" w:color="auto"/>
              <w:bottom w:val="single" w:sz="4" w:space="0" w:color="auto"/>
              <w:right w:val="single" w:sz="4" w:space="0" w:color="auto"/>
            </w:tcBorders>
            <w:vAlign w:val="center"/>
          </w:tcPr>
          <w:p w14:paraId="5DD7C089" w14:textId="77777777" w:rsidR="00EA3D2F" w:rsidRPr="00ED5113" w:rsidRDefault="00EA3D2F" w:rsidP="007C4A81">
            <w:pPr>
              <w:widowControl w:val="0"/>
              <w:spacing w:before="100" w:beforeAutospacing="1" w:after="120"/>
              <w:rPr>
                <w:rFonts w:cstheme="minorHAnsi"/>
                <w:color w:val="000000"/>
              </w:rPr>
            </w:pPr>
            <w:r w:rsidRPr="00ED5113">
              <w:rPr>
                <w:rFonts w:cstheme="minorHAnsi"/>
                <w:b/>
                <w:color w:val="000000"/>
              </w:rPr>
              <w:t>Gearing</w:t>
            </w:r>
            <w:r w:rsidRPr="00ED5113">
              <w:rPr>
                <w:rFonts w:cstheme="minorHAnsi"/>
                <w:color w:val="000000"/>
              </w:rPr>
              <w:t xml:space="preserve"> - calculate the Gearing Ratio for the most recent year's accounts available</w:t>
            </w:r>
          </w:p>
          <w:p w14:paraId="3902425A" w14:textId="77777777" w:rsidR="00EA3D2F" w:rsidRPr="00ED5113" w:rsidRDefault="00EA3D2F" w:rsidP="007C4A81">
            <w:pPr>
              <w:widowControl w:val="0"/>
              <w:spacing w:before="100" w:beforeAutospacing="1" w:after="120"/>
              <w:rPr>
                <w:rFonts w:cstheme="minorHAnsi"/>
                <w:color w:val="000000"/>
              </w:rPr>
            </w:pPr>
            <w:r w:rsidRPr="00ED5113">
              <w:rPr>
                <w:rFonts w:cstheme="minorHAnsi"/>
                <w:color w:val="000000"/>
              </w:rPr>
              <w:t>Gearing Ratio: This ratio looks at the total borrowings in relation to the net worth of the business.  The relationship between borrowings and equity should at least be in balance.</w:t>
            </w:r>
          </w:p>
          <w:p w14:paraId="26B856D5" w14:textId="77777777" w:rsidR="00EA3D2F" w:rsidRPr="00ED5113" w:rsidRDefault="00EA3D2F" w:rsidP="007C4A81">
            <w:pPr>
              <w:widowControl w:val="0"/>
              <w:spacing w:before="100" w:beforeAutospacing="1" w:after="120"/>
              <w:rPr>
                <w:rFonts w:cstheme="minorHAnsi"/>
                <w:i/>
                <w:color w:val="000000"/>
              </w:rPr>
            </w:pPr>
            <w:r w:rsidRPr="00ED5113">
              <w:rPr>
                <w:rFonts w:cstheme="minorHAnsi"/>
                <w:i/>
                <w:color w:val="000000"/>
              </w:rPr>
              <w:t xml:space="preserve">Gearing Ratio = Total borrowings </w:t>
            </w:r>
            <w:r w:rsidRPr="00ED5113">
              <w:rPr>
                <w:rFonts w:cstheme="minorHAnsi"/>
                <w:i/>
              </w:rPr>
              <w:t>÷ Equity</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8E7DE95" w14:textId="77777777" w:rsidR="00EA3D2F" w:rsidRPr="00ED5113" w:rsidRDefault="00EA3D2F" w:rsidP="007C4A81">
            <w:pPr>
              <w:widowControl w:val="0"/>
              <w:spacing w:before="100" w:beforeAutospacing="1" w:after="120"/>
              <w:rPr>
                <w:rFonts w:cstheme="minorHAnsi"/>
                <w:color w:val="000000"/>
              </w:rPr>
            </w:pPr>
            <w:r w:rsidRPr="00ED5113">
              <w:rPr>
                <w:rFonts w:cstheme="minorHAnsi"/>
                <w:color w:val="000000"/>
              </w:rPr>
              <w:t>Numeric</w:t>
            </w:r>
          </w:p>
        </w:tc>
        <w:tc>
          <w:tcPr>
            <w:tcW w:w="19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52AC42" w14:textId="77777777" w:rsidR="00EA3D2F" w:rsidRPr="00ED5113" w:rsidRDefault="00EA3D2F" w:rsidP="007C4A81">
            <w:pPr>
              <w:widowControl w:val="0"/>
              <w:spacing w:before="100" w:beforeAutospacing="1" w:after="120"/>
              <w:rPr>
                <w:rFonts w:cstheme="minorHAnsi"/>
                <w:color w:val="000000"/>
              </w:rPr>
            </w:pPr>
            <w:r w:rsidRPr="00ED5113">
              <w:rPr>
                <w:rFonts w:cstheme="minorHAnsi"/>
                <w:color w:val="000000"/>
              </w:rPr>
              <w:t>If ratio &gt;= 1,</w:t>
            </w:r>
            <w:r w:rsidRPr="00ED5113">
              <w:rPr>
                <w:rFonts w:cstheme="minorHAnsi"/>
                <w:color w:val="FF0000"/>
              </w:rPr>
              <w:t xml:space="preserve"> </w:t>
            </w:r>
            <w:r w:rsidRPr="00ED5113">
              <w:rPr>
                <w:rFonts w:cstheme="minorHAnsi"/>
                <w:b/>
              </w:rPr>
              <w:t xml:space="preserve"> FAIL</w:t>
            </w:r>
            <w:r w:rsidRPr="00ED5113">
              <w:rPr>
                <w:rFonts w:cstheme="minorHAnsi"/>
                <w:color w:val="000000"/>
              </w:rPr>
              <w:t xml:space="preserve">, go to </w:t>
            </w:r>
            <w:r w:rsidRPr="00ED5113">
              <w:rPr>
                <w:rFonts w:cstheme="minorHAnsi"/>
                <w:b/>
                <w:color w:val="000000"/>
              </w:rPr>
              <w:t>step 9</w:t>
            </w:r>
          </w:p>
          <w:p w14:paraId="78A7274E" w14:textId="77777777" w:rsidR="00EA3D2F" w:rsidRPr="00ED5113" w:rsidRDefault="00EA3D2F" w:rsidP="007C4A81">
            <w:pPr>
              <w:widowControl w:val="0"/>
              <w:spacing w:before="100" w:beforeAutospacing="1" w:after="120"/>
              <w:rPr>
                <w:rFonts w:cstheme="minorHAnsi"/>
                <w:color w:val="000000"/>
              </w:rPr>
            </w:pPr>
            <w:r w:rsidRPr="00ED5113">
              <w:rPr>
                <w:rFonts w:cstheme="minorHAnsi"/>
                <w:color w:val="000000"/>
              </w:rPr>
              <w:br/>
              <w:t xml:space="preserve">If ratio &lt; 1, </w:t>
            </w:r>
            <w:r w:rsidRPr="00ED5113">
              <w:rPr>
                <w:rFonts w:cstheme="minorHAnsi"/>
                <w:b/>
                <w:color w:val="000000"/>
              </w:rPr>
              <w:t xml:space="preserve">PASS to </w:t>
            </w:r>
            <w:r w:rsidRPr="00ED5113">
              <w:rPr>
                <w:rFonts w:cstheme="minorHAnsi"/>
              </w:rPr>
              <w:t>Award Phase</w:t>
            </w:r>
          </w:p>
        </w:tc>
      </w:tr>
      <w:tr w:rsidR="00EA3D2F" w:rsidRPr="00ED5113" w14:paraId="75D20B38" w14:textId="77777777" w:rsidTr="00ED5113">
        <w:trPr>
          <w:trHeight w:val="900"/>
        </w:trPr>
        <w:tc>
          <w:tcPr>
            <w:tcW w:w="299" w:type="pct"/>
            <w:tcBorders>
              <w:top w:val="single" w:sz="4" w:space="0" w:color="auto"/>
              <w:left w:val="single" w:sz="4" w:space="0" w:color="auto"/>
              <w:bottom w:val="single" w:sz="4" w:space="0" w:color="auto"/>
              <w:right w:val="single" w:sz="4" w:space="0" w:color="auto"/>
            </w:tcBorders>
            <w:vAlign w:val="center"/>
          </w:tcPr>
          <w:p w14:paraId="58CF140D" w14:textId="77777777" w:rsidR="00EA3D2F" w:rsidRPr="00ED5113" w:rsidRDefault="00EA3D2F" w:rsidP="007C4A81">
            <w:pPr>
              <w:widowControl w:val="0"/>
              <w:spacing w:before="100" w:beforeAutospacing="1" w:after="120"/>
              <w:jc w:val="center"/>
              <w:rPr>
                <w:rFonts w:cstheme="minorHAnsi"/>
                <w:b/>
                <w:bCs/>
                <w:color w:val="000000"/>
              </w:rPr>
            </w:pPr>
            <w:r w:rsidRPr="00ED5113">
              <w:rPr>
                <w:rFonts w:cstheme="minorHAnsi"/>
                <w:b/>
                <w:bCs/>
                <w:color w:val="000000"/>
              </w:rPr>
              <w:t>9</w:t>
            </w:r>
          </w:p>
        </w:tc>
        <w:tc>
          <w:tcPr>
            <w:tcW w:w="2203" w:type="pct"/>
            <w:gridSpan w:val="2"/>
            <w:tcBorders>
              <w:top w:val="single" w:sz="4" w:space="0" w:color="auto"/>
              <w:left w:val="single" w:sz="4" w:space="0" w:color="auto"/>
              <w:bottom w:val="single" w:sz="4" w:space="0" w:color="auto"/>
              <w:right w:val="single" w:sz="4" w:space="0" w:color="auto"/>
            </w:tcBorders>
            <w:vAlign w:val="center"/>
          </w:tcPr>
          <w:p w14:paraId="1B412279" w14:textId="77777777" w:rsidR="00EA3D2F" w:rsidRPr="00ED5113" w:rsidRDefault="00EA3D2F" w:rsidP="007C4A81">
            <w:pPr>
              <w:widowControl w:val="0"/>
              <w:rPr>
                <w:rFonts w:cstheme="minorHAnsi"/>
              </w:rPr>
            </w:pPr>
            <w:r w:rsidRPr="00ED5113">
              <w:rPr>
                <w:rFonts w:cstheme="minorHAnsi"/>
                <w:b/>
              </w:rPr>
              <w:t xml:space="preserve">Parent company - </w:t>
            </w:r>
            <w:r w:rsidRPr="00ED5113">
              <w:rPr>
                <w:rFonts w:cstheme="minorHAnsi"/>
              </w:rPr>
              <w:t>Where any of the steps above result in an outcome of</w:t>
            </w:r>
            <w:r w:rsidRPr="00ED5113">
              <w:rPr>
                <w:rFonts w:cstheme="minorHAnsi"/>
                <w:i/>
              </w:rPr>
              <w:t xml:space="preserve"> “</w:t>
            </w:r>
            <w:r w:rsidRPr="00ED5113">
              <w:rPr>
                <w:rFonts w:cstheme="minorHAnsi"/>
                <w:b/>
                <w:i/>
              </w:rPr>
              <w:t xml:space="preserve"> FAIL</w:t>
            </w:r>
            <w:r w:rsidRPr="00ED5113">
              <w:rPr>
                <w:rFonts w:cstheme="minorHAnsi"/>
                <w:i/>
                <w:color w:val="FF0000"/>
              </w:rPr>
              <w:t>,</w:t>
            </w:r>
            <w:r w:rsidRPr="00ED5113">
              <w:rPr>
                <w:rFonts w:cstheme="minorHAnsi"/>
                <w:b/>
                <w:i/>
                <w:color w:val="FF0000"/>
              </w:rPr>
              <w:t xml:space="preserve"> </w:t>
            </w:r>
            <w:r w:rsidRPr="00ED5113">
              <w:rPr>
                <w:rFonts w:cstheme="minorHAnsi"/>
                <w:i/>
              </w:rPr>
              <w:t xml:space="preserve">go to </w:t>
            </w:r>
            <w:r w:rsidRPr="00ED5113">
              <w:rPr>
                <w:rFonts w:cstheme="minorHAnsi"/>
                <w:b/>
                <w:i/>
                <w:color w:val="000000"/>
              </w:rPr>
              <w:t>step 9</w:t>
            </w:r>
            <w:r w:rsidRPr="00ED5113">
              <w:rPr>
                <w:rFonts w:cstheme="minorHAnsi"/>
                <w:i/>
              </w:rPr>
              <w:t>”</w:t>
            </w:r>
            <w:r w:rsidRPr="00ED5113">
              <w:rPr>
                <w:rFonts w:cstheme="minorHAnsi"/>
              </w:rPr>
              <w:t>, we will:</w:t>
            </w:r>
          </w:p>
          <w:p w14:paraId="2CD43714" w14:textId="77777777" w:rsidR="00EA3D2F" w:rsidRPr="00ED5113" w:rsidRDefault="00EA3D2F" w:rsidP="007C4A81">
            <w:pPr>
              <w:pStyle w:val="ListParagraph"/>
              <w:widowControl w:val="0"/>
              <w:numPr>
                <w:ilvl w:val="0"/>
                <w:numId w:val="13"/>
              </w:numPr>
              <w:spacing w:after="0" w:line="240" w:lineRule="auto"/>
              <w:contextualSpacing w:val="0"/>
              <w:rPr>
                <w:rFonts w:cstheme="minorHAnsi"/>
              </w:rPr>
            </w:pPr>
            <w:r w:rsidRPr="00ED5113">
              <w:rPr>
                <w:rFonts w:cstheme="minorHAnsi"/>
              </w:rPr>
              <w:t>obtain financial information from the parent company of the Potential Provider and assess in accordance with steps 3-8 of this methodology; and</w:t>
            </w:r>
          </w:p>
          <w:p w14:paraId="6451B9CE" w14:textId="77777777" w:rsidR="00EA3D2F" w:rsidRPr="00ED5113" w:rsidRDefault="00EA3D2F" w:rsidP="007C4A81">
            <w:pPr>
              <w:pStyle w:val="ListParagraph"/>
              <w:widowControl w:val="0"/>
              <w:numPr>
                <w:ilvl w:val="0"/>
                <w:numId w:val="13"/>
              </w:numPr>
              <w:spacing w:after="0" w:line="240" w:lineRule="auto"/>
              <w:contextualSpacing w:val="0"/>
              <w:rPr>
                <w:rFonts w:cstheme="minorHAnsi"/>
              </w:rPr>
            </w:pPr>
            <w:r w:rsidRPr="00ED5113">
              <w:rPr>
                <w:rFonts w:cstheme="minorHAnsi"/>
              </w:rPr>
              <w:t xml:space="preserve">require such parent company to </w:t>
            </w:r>
            <w:r w:rsidRPr="00ED5113">
              <w:rPr>
                <w:rFonts w:cstheme="minorHAnsi"/>
              </w:rPr>
              <w:lastRenderedPageBreak/>
              <w:t xml:space="preserve">provide a letter of intent to provide a guarantee in respect of the supply by the Potential Provider if awarded.  </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E51EEE0" w14:textId="77777777" w:rsidR="00EA3D2F" w:rsidRPr="00ED5113" w:rsidRDefault="00EA3D2F" w:rsidP="007C4A81">
            <w:pPr>
              <w:widowControl w:val="0"/>
              <w:spacing w:before="100" w:beforeAutospacing="1" w:after="120"/>
              <w:rPr>
                <w:rFonts w:cstheme="minorHAnsi"/>
                <w:color w:val="FF0000"/>
              </w:rPr>
            </w:pPr>
            <w:r w:rsidRPr="00ED5113">
              <w:rPr>
                <w:rFonts w:cstheme="minorHAnsi"/>
                <w:color w:val="000000"/>
              </w:rPr>
              <w:lastRenderedPageBreak/>
              <w:t>N/A</w:t>
            </w:r>
          </w:p>
        </w:tc>
        <w:tc>
          <w:tcPr>
            <w:tcW w:w="19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45D574" w14:textId="77777777" w:rsidR="00EA3D2F" w:rsidRPr="00ED5113" w:rsidRDefault="00EA3D2F" w:rsidP="007C4A81">
            <w:pPr>
              <w:widowControl w:val="0"/>
              <w:spacing w:before="100" w:beforeAutospacing="1" w:after="120"/>
              <w:rPr>
                <w:rFonts w:cstheme="minorHAnsi"/>
                <w:color w:val="000000"/>
              </w:rPr>
            </w:pPr>
            <w:r w:rsidRPr="00ED5113">
              <w:rPr>
                <w:rFonts w:cstheme="minorHAnsi"/>
                <w:color w:val="000000"/>
              </w:rPr>
              <w:t>If the parent company passes</w:t>
            </w:r>
            <w:r w:rsidRPr="00ED5113">
              <w:rPr>
                <w:rFonts w:cstheme="minorHAnsi"/>
              </w:rPr>
              <w:t xml:space="preserve"> steps 3-8 of this </w:t>
            </w:r>
            <w:r w:rsidRPr="00ED5113">
              <w:rPr>
                <w:rFonts w:cstheme="minorHAnsi"/>
                <w:color w:val="000000"/>
              </w:rPr>
              <w:t>methodology and provides a letter of intent to provide a guarantee, then</w:t>
            </w:r>
            <w:r w:rsidRPr="00ED5113">
              <w:rPr>
                <w:rFonts w:cstheme="minorHAnsi"/>
                <w:b/>
                <w:color w:val="000000"/>
              </w:rPr>
              <w:t xml:space="preserve"> PASS</w:t>
            </w:r>
            <w:r w:rsidRPr="00ED5113">
              <w:rPr>
                <w:rFonts w:cstheme="minorHAnsi"/>
                <w:color w:val="000000"/>
              </w:rPr>
              <w:t xml:space="preserve"> on the condition that (if the Potential Provider is successful at the Award Phase) we will require the parent company to provide the duly executed parent company guarantee as a condition </w:t>
            </w:r>
            <w:r w:rsidRPr="00ED5113">
              <w:rPr>
                <w:rFonts w:cstheme="minorHAnsi"/>
                <w:color w:val="000000"/>
              </w:rPr>
              <w:lastRenderedPageBreak/>
              <w:t xml:space="preserve">precedent to the awarded contract </w:t>
            </w:r>
          </w:p>
          <w:p w14:paraId="4A1A80F5" w14:textId="77777777" w:rsidR="00EA3D2F" w:rsidRPr="00ED5113" w:rsidRDefault="00EA3D2F" w:rsidP="007C4A81">
            <w:pPr>
              <w:widowControl w:val="0"/>
              <w:spacing w:before="100" w:beforeAutospacing="1" w:after="120"/>
              <w:rPr>
                <w:rFonts w:cstheme="minorHAnsi"/>
                <w:color w:val="000000"/>
              </w:rPr>
            </w:pPr>
            <w:r w:rsidRPr="00ED5113">
              <w:rPr>
                <w:rFonts w:cstheme="minorHAnsi"/>
                <w:color w:val="000000"/>
              </w:rPr>
              <w:t xml:space="preserve">Otherwise </w:t>
            </w:r>
            <w:r w:rsidRPr="00ED5113">
              <w:rPr>
                <w:rFonts w:cstheme="minorHAnsi"/>
                <w:b/>
                <w:color w:val="000000"/>
              </w:rPr>
              <w:t>FAIL</w:t>
            </w:r>
          </w:p>
        </w:tc>
      </w:tr>
    </w:tbl>
    <w:p w14:paraId="160569D8" w14:textId="77777777" w:rsidR="00677304" w:rsidRDefault="00677304" w:rsidP="005F3B46"/>
    <w:sectPr w:rsidR="00677304" w:rsidSect="00D22806">
      <w:headerReference w:type="even" r:id="rId11"/>
      <w:headerReference w:type="default" r:id="rId12"/>
      <w:footerReference w:type="default" r:id="rId13"/>
      <w:headerReference w:type="first" r:id="rId14"/>
      <w:pgSz w:w="11906" w:h="16838"/>
      <w:pgMar w:top="2268" w:right="720" w:bottom="1701" w:left="720" w:header="709" w:footer="34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2FC2E" w14:textId="77777777" w:rsidR="00EB7C1E" w:rsidRDefault="00EB7C1E" w:rsidP="00C14B7F">
      <w:pPr>
        <w:spacing w:after="0" w:line="240" w:lineRule="auto"/>
      </w:pPr>
      <w:r>
        <w:separator/>
      </w:r>
    </w:p>
  </w:endnote>
  <w:endnote w:type="continuationSeparator" w:id="0">
    <w:p w14:paraId="4B7EDC14" w14:textId="77777777" w:rsidR="00EB7C1E" w:rsidRDefault="00EB7C1E" w:rsidP="00C14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7888316"/>
      <w:docPartObj>
        <w:docPartGallery w:val="Page Numbers (Bottom of Page)"/>
        <w:docPartUnique/>
      </w:docPartObj>
    </w:sdtPr>
    <w:sdtEndPr/>
    <w:sdtContent>
      <w:sdt>
        <w:sdtPr>
          <w:id w:val="860082579"/>
          <w:docPartObj>
            <w:docPartGallery w:val="Page Numbers (Top of Page)"/>
            <w:docPartUnique/>
          </w:docPartObj>
        </w:sdtPr>
        <w:sdtEndPr/>
        <w:sdtContent>
          <w:p w14:paraId="0F9D91A0" w14:textId="77777777" w:rsidR="00D22806" w:rsidRDefault="00D2280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A164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A1649">
              <w:rPr>
                <w:b/>
                <w:bCs/>
                <w:noProof/>
              </w:rPr>
              <w:t>18</w:t>
            </w:r>
            <w:r>
              <w:rPr>
                <w:b/>
                <w:bCs/>
                <w:sz w:val="24"/>
                <w:szCs w:val="24"/>
              </w:rPr>
              <w:fldChar w:fldCharType="end"/>
            </w:r>
          </w:p>
        </w:sdtContent>
      </w:sdt>
    </w:sdtContent>
  </w:sdt>
  <w:p w14:paraId="2AE86637" w14:textId="77777777" w:rsidR="0078661C" w:rsidRDefault="007866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6B485" w14:textId="77777777" w:rsidR="00EB7C1E" w:rsidRDefault="00EB7C1E" w:rsidP="00C14B7F">
      <w:pPr>
        <w:spacing w:after="0" w:line="240" w:lineRule="auto"/>
      </w:pPr>
      <w:r>
        <w:separator/>
      </w:r>
    </w:p>
  </w:footnote>
  <w:footnote w:type="continuationSeparator" w:id="0">
    <w:p w14:paraId="35DBBCAF" w14:textId="77777777" w:rsidR="00EB7C1E" w:rsidRDefault="00EB7C1E" w:rsidP="00C14B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2AF16" w14:textId="77777777" w:rsidR="0078661C" w:rsidRDefault="00EB7C1E">
    <w:pPr>
      <w:pStyle w:val="Header"/>
    </w:pPr>
    <w:r>
      <w:rPr>
        <w:noProof/>
        <w:lang w:eastAsia="en-GB"/>
      </w:rPr>
      <w:pict w14:anchorId="3D9A4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878540" o:spid="_x0000_s2062" type="#_x0000_t75" style="position:absolute;margin-left:0;margin-top:0;width:595.2pt;height:841.9pt;z-index:-251657216;mso-position-horizontal:center;mso-position-horizontal-relative:margin;mso-position-vertical:center;mso-position-vertical-relative:margin" o:allowincell="f">
          <v:imagedata r:id="rId1" o:title="Inner Page 2 watermar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69F75" w14:textId="77777777" w:rsidR="0078661C" w:rsidRDefault="00EB7C1E">
    <w:pPr>
      <w:pStyle w:val="Header"/>
    </w:pPr>
    <w:r>
      <w:rPr>
        <w:noProof/>
        <w:lang w:eastAsia="en-GB"/>
      </w:rPr>
      <w:pict w14:anchorId="63F9C3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878541" o:spid="_x0000_s2063" type="#_x0000_t75" style="position:absolute;margin-left:0;margin-top:0;width:595.2pt;height:841.9pt;z-index:-251656192;mso-position-horizontal:center;mso-position-horizontal-relative:page;mso-position-vertical:center;mso-position-vertical-relative:page" o:allowincell="f">
          <v:imagedata r:id="rId1" o:title="Inner Page 2 watermark"/>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F7ED7" w14:textId="77777777" w:rsidR="0078661C" w:rsidRDefault="0078661C">
    <w:pPr>
      <w:pStyle w:val="Header"/>
    </w:pPr>
    <w:r>
      <w:rPr>
        <w:noProof/>
        <w:lang w:eastAsia="en-GB"/>
      </w:rPr>
      <mc:AlternateContent>
        <mc:Choice Requires="wps">
          <w:drawing>
            <wp:anchor distT="0" distB="0" distL="114300" distR="114300" simplePos="0" relativeHeight="251661312" behindDoc="0" locked="0" layoutInCell="1" allowOverlap="1" wp14:anchorId="7FBF2552" wp14:editId="6307A94E">
              <wp:simplePos x="0" y="0"/>
              <wp:positionH relativeFrom="column">
                <wp:posOffset>-143301</wp:posOffset>
              </wp:positionH>
              <wp:positionV relativeFrom="paragraph">
                <wp:posOffset>2115564</wp:posOffset>
              </wp:positionV>
              <wp:extent cx="7009964" cy="441435"/>
              <wp:effectExtent l="0" t="0" r="0" b="0"/>
              <wp:wrapNone/>
              <wp:docPr id="5" name="Text Box 5"/>
              <wp:cNvGraphicFramePr/>
              <a:graphic xmlns:a="http://schemas.openxmlformats.org/drawingml/2006/main">
                <a:graphicData uri="http://schemas.microsoft.com/office/word/2010/wordprocessingShape">
                  <wps:wsp>
                    <wps:cNvSpPr txBox="1"/>
                    <wps:spPr>
                      <a:xfrm>
                        <a:off x="0" y="0"/>
                        <a:ext cx="7009964" cy="4414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B0CC99" w14:textId="77777777" w:rsidR="0078661C" w:rsidRPr="00C15251" w:rsidRDefault="0078661C" w:rsidP="009C4630">
                          <w:pPr>
                            <w:jc w:val="right"/>
                            <w:rPr>
                              <w:b/>
                              <w:color w:val="1B365D"/>
                              <w:sz w:val="40"/>
                            </w:rPr>
                          </w:pPr>
                          <w:r>
                            <w:rPr>
                              <w:b/>
                              <w:color w:val="1B365D"/>
                              <w:sz w:val="40"/>
                            </w:rPr>
                            <w:t>PRE-QUALIFICATION QUESTIONNAIRE – GUIDANCE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FBF2552" id="_x0000_t202" coordsize="21600,21600" o:spt="202" path="m,l,21600r21600,l21600,xe">
              <v:stroke joinstyle="miter"/>
              <v:path gradientshapeok="t" o:connecttype="rect"/>
            </v:shapetype>
            <v:shape id="Text Box 5" o:spid="_x0000_s1026" type="#_x0000_t202" style="position:absolute;margin-left:-11.3pt;margin-top:166.6pt;width:551.95pt;height:34.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iQfwIAAGIFAAAOAAAAZHJzL2Uyb0RvYy54bWysVE1v2zAMvQ/YfxB0X+y0TroEdYqsRYYB&#10;QVusHXpWZKkxJomapMTOfn0p2U6DbpcOu9gU+Ujx8UOXV61WZC+cr8GUdDzKKRGGQ1Wb55L+eFx9&#10;+kyJD8xUTIERJT0IT68WHz9cNnYuzmALqhKOYBDj540t6TYEO88yz7dCMz8CKwwaJTjNAh7dc1Y5&#10;1mB0rbKzPJ9mDbjKOuDCe9TedEa6SPGlFDzcSelFIKqkmFtIX5e+m/jNFpds/uyY3da8T4P9Qxaa&#10;1QYvPYa6YYGRnav/CKVr7sCDDCMOOgMpay4SB2Qzzt+wedgyKxIXLI63xzL5/xeW3+7vHamrkk4o&#10;MUxjix5FG8gXaMkkVqexfo6gB4uw0KIauzzoPSoj6VY6Hf9Ih6Ad63w41jYG46i8yPPZbFpQwtFW&#10;FOPiPIXPXr2t8+GrAE2iUFKHvUslZfu1D5gJQgdIvMzAqlYq9U8Z0pR0ej7Jk8PRgh7KRKxIk9CH&#10;iYy6zJMUDkpEjDLfhcRKJAJRkWZQXCtH9gynh3EuTEjcU1xER5TEJN7j2ONfs3qPc8djuBlMODrr&#10;2oBL7N+kXf0cUpYdHgt5wjuKod20fac3UB2w0Q66RfGWr2rsxpr5cM8cbgb2Frc93OFHKsCqQy9R&#10;sgX3+2/6iMeBRSslDW5aSf2vHXOCEvXN4CjPxkURVzMdisnFGR7cqWVzajE7fQ3YjjG+K5YnMeKD&#10;GkTpQD/ho7CMt6KJGY53lzQM4nXo9h8fFS6WywTCZbQsrM2D5TF07E6ctcf2iTnbD2TAUb6FYSfZ&#10;/M1cdtjoaWC5CyDrNLSxwF1V+8LjIqdZ7h+d+FKcnhPq9WlcvAAAAP//AwBQSwMEFAAGAAgAAAAh&#10;AH7PpjrjAAAADAEAAA8AAABkcnMvZG93bnJldi54bWxMj8FOwzAQRO9I/IO1SNxauw6UKGRTVZEq&#10;JASHll64OfE2iYjtELtt4OtxT+W4mqeZt/lqMj070eg7ZxEWcwGMbO10ZxuE/cdmlgLzQVmtemcJ&#10;4Yc8rIrbm1xl2p3tlk670LBYYn2mENoQhoxzX7dklJ+7gWzMDm40KsRzbLge1TmWm55LIZbcqM7G&#10;hVYNVLZUf+2OBuG13LyrbSVN+tuXL2+H9fC9/3xEvL+b1s/AAk3hCsNFP6pDEZ0qd7Tasx5hJuUy&#10;oghJkkhgF0KkiwRYhfAg5BPwIuf/nyj+AAAA//8DAFBLAQItABQABgAIAAAAIQC2gziS/gAAAOEB&#10;AAATAAAAAAAAAAAAAAAAAAAAAABbQ29udGVudF9UeXBlc10ueG1sUEsBAi0AFAAGAAgAAAAhADj9&#10;If/WAAAAlAEAAAsAAAAAAAAAAAAAAAAALwEAAF9yZWxzLy5yZWxzUEsBAi0AFAAGAAgAAAAhAJ4X&#10;6JB/AgAAYgUAAA4AAAAAAAAAAAAAAAAALgIAAGRycy9lMm9Eb2MueG1sUEsBAi0AFAAGAAgAAAAh&#10;AH7PpjrjAAAADAEAAA8AAAAAAAAAAAAAAAAA2QQAAGRycy9kb3ducmV2LnhtbFBLBQYAAAAABAAE&#10;APMAAADpBQAAAAA=&#10;" filled="f" stroked="f" strokeweight=".5pt">
              <v:textbox>
                <w:txbxContent>
                  <w:p w14:paraId="3AB0CC99" w14:textId="77777777" w:rsidR="0078661C" w:rsidRPr="00C15251" w:rsidRDefault="0078661C" w:rsidP="009C4630">
                    <w:pPr>
                      <w:jc w:val="right"/>
                      <w:rPr>
                        <w:b/>
                        <w:color w:val="1B365D"/>
                        <w:sz w:val="40"/>
                      </w:rPr>
                    </w:pPr>
                    <w:r>
                      <w:rPr>
                        <w:b/>
                        <w:color w:val="1B365D"/>
                        <w:sz w:val="40"/>
                      </w:rPr>
                      <w:t>PRE-QUALIFICATION QUESTIONNAIRE – GUIDANCE DOCUMENT</w:t>
                    </w:r>
                  </w:p>
                </w:txbxContent>
              </v:textbox>
            </v:shape>
          </w:pict>
        </mc:Fallback>
      </mc:AlternateContent>
    </w:r>
    <w:r>
      <w:rPr>
        <w:noProof/>
        <w:lang w:eastAsia="en-GB"/>
      </w:rPr>
      <w:drawing>
        <wp:anchor distT="0" distB="0" distL="114300" distR="114300" simplePos="0" relativeHeight="251658239" behindDoc="0" locked="0" layoutInCell="1" allowOverlap="1" wp14:anchorId="37F7128B" wp14:editId="1C8F25FB">
          <wp:simplePos x="0" y="0"/>
          <wp:positionH relativeFrom="margin">
            <wp:posOffset>-518795</wp:posOffset>
          </wp:positionH>
          <wp:positionV relativeFrom="margin">
            <wp:posOffset>-1425575</wp:posOffset>
          </wp:positionV>
          <wp:extent cx="7645400" cy="10814685"/>
          <wp:effectExtent l="0" t="0" r="0" b="571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mar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45400" cy="10814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multilevel"/>
    <w:tmpl w:val="03D68FBC"/>
    <w:lvl w:ilvl="0">
      <w:start w:val="1"/>
      <w:numFmt w:val="decimal"/>
      <w:lvlText w:val="%1."/>
      <w:lvlJc w:val="left"/>
      <w:pPr>
        <w:tabs>
          <w:tab w:val="num" w:pos="397"/>
        </w:tabs>
        <w:ind w:left="397" w:hanging="397"/>
      </w:pPr>
      <w:rPr>
        <w:rFonts w:cs="Times New Roman"/>
      </w:rPr>
    </w:lvl>
    <w:lvl w:ilv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26C2085"/>
    <w:multiLevelType w:val="hybridMultilevel"/>
    <w:tmpl w:val="9FE0C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07CDD"/>
    <w:multiLevelType w:val="hybridMultilevel"/>
    <w:tmpl w:val="F9106C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4857F84"/>
    <w:multiLevelType w:val="hybridMultilevel"/>
    <w:tmpl w:val="847E570E"/>
    <w:lvl w:ilvl="0" w:tplc="C0421F92">
      <w:numFmt w:val="bullet"/>
      <w:lvlText w:val="-"/>
      <w:lvlJc w:val="left"/>
      <w:pPr>
        <w:ind w:left="2160" w:hanging="360"/>
      </w:pPr>
      <w:rPr>
        <w:rFonts w:ascii="Calibri" w:eastAsia="Arial" w:hAnsi="Calibri" w:cs="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8A5429E"/>
    <w:multiLevelType w:val="hybridMultilevel"/>
    <w:tmpl w:val="C3A29ABE"/>
    <w:lvl w:ilvl="0" w:tplc="E96A1D2A">
      <w:start w:val="1"/>
      <w:numFmt w:val="lowerLetter"/>
      <w:lvlText w:val="(%1)"/>
      <w:lvlJc w:val="left"/>
      <w:pPr>
        <w:ind w:left="720" w:hanging="360"/>
      </w:pPr>
      <w:rPr>
        <w:rFonts w:hint="default"/>
      </w:rPr>
    </w:lvl>
    <w:lvl w:ilvl="1" w:tplc="D138CD6E">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2B4A5E"/>
    <w:multiLevelType w:val="hybridMultilevel"/>
    <w:tmpl w:val="17986DB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C0421F92">
      <w:numFmt w:val="bullet"/>
      <w:lvlText w:val="-"/>
      <w:lvlJc w:val="left"/>
      <w:pPr>
        <w:ind w:left="2520" w:hanging="180"/>
      </w:pPr>
      <w:rPr>
        <w:rFonts w:ascii="Calibri" w:eastAsia="Arial" w:hAnsi="Calibri" w:cs="Calibri"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37165BF"/>
    <w:multiLevelType w:val="hybridMultilevel"/>
    <w:tmpl w:val="F2FC4D4A"/>
    <w:lvl w:ilvl="0" w:tplc="A24A90B2">
      <w:start w:val="1"/>
      <w:numFmt w:val="decimal"/>
      <w:lvlText w:val="%1."/>
      <w:lvlJc w:val="left"/>
      <w:pPr>
        <w:ind w:left="720" w:hanging="360"/>
      </w:pPr>
      <w:rPr>
        <w:color w:val="1F497D" w:themeColor="text2"/>
        <w:sz w:val="28"/>
        <w:szCs w:val="28"/>
      </w:rPr>
    </w:lvl>
    <w:lvl w:ilvl="1" w:tplc="03CE614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8C5B20"/>
    <w:multiLevelType w:val="hybridMultilevel"/>
    <w:tmpl w:val="27F41A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8C3648"/>
    <w:multiLevelType w:val="hybridMultilevel"/>
    <w:tmpl w:val="8326EF0E"/>
    <w:lvl w:ilvl="0" w:tplc="C0421F92">
      <w:numFmt w:val="bullet"/>
      <w:lvlText w:val="-"/>
      <w:lvlJc w:val="left"/>
      <w:pPr>
        <w:ind w:left="1440" w:hanging="360"/>
      </w:pPr>
      <w:rPr>
        <w:rFonts w:ascii="Calibri" w:eastAsia="Arial"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BD4249D"/>
    <w:multiLevelType w:val="hybridMultilevel"/>
    <w:tmpl w:val="B07AE60A"/>
    <w:lvl w:ilvl="0" w:tplc="E96A1D2A">
      <w:start w:val="1"/>
      <w:numFmt w:val="lowerLetter"/>
      <w:lvlText w:val="(%1)"/>
      <w:lvlJc w:val="left"/>
      <w:pPr>
        <w:ind w:left="2160" w:hanging="360"/>
      </w:pPr>
      <w:rPr>
        <w:rFonts w:hint="default"/>
      </w:rPr>
    </w:lvl>
    <w:lvl w:ilvl="1" w:tplc="E96A1D2A">
      <w:start w:val="1"/>
      <w:numFmt w:val="lowerLetter"/>
      <w:lvlText w:val="(%2)"/>
      <w:lvlJc w:val="left"/>
      <w:pPr>
        <w:ind w:left="2880" w:hanging="36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335C03E1"/>
    <w:multiLevelType w:val="multilevel"/>
    <w:tmpl w:val="D7603AE4"/>
    <w:lvl w:ilvl="0">
      <w:start w:val="1"/>
      <w:numFmt w:val="lowerLetter"/>
      <w:lvlText w:val="(%1)"/>
      <w:lvlJc w:val="left"/>
      <w:pPr>
        <w:tabs>
          <w:tab w:val="num" w:pos="397"/>
        </w:tabs>
        <w:ind w:left="397" w:hanging="397"/>
      </w:pPr>
      <w:rPr>
        <w:rFonts w:hint="default"/>
      </w:rPr>
    </w:lvl>
    <w:lvl w:ilv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46846CD"/>
    <w:multiLevelType w:val="hybridMultilevel"/>
    <w:tmpl w:val="D32A8884"/>
    <w:lvl w:ilvl="0" w:tplc="A8A06D28">
      <w:start w:val="1"/>
      <w:numFmt w:val="decimal"/>
      <w:lvlText w:val="%1."/>
      <w:lvlJc w:val="left"/>
      <w:pPr>
        <w:tabs>
          <w:tab w:val="num" w:pos="1080"/>
        </w:tabs>
        <w:ind w:left="1080" w:hanging="360"/>
      </w:pPr>
    </w:lvl>
    <w:lvl w:ilvl="1" w:tplc="F162C46C" w:tentative="1">
      <w:start w:val="1"/>
      <w:numFmt w:val="decimal"/>
      <w:lvlText w:val="%2."/>
      <w:lvlJc w:val="left"/>
      <w:pPr>
        <w:tabs>
          <w:tab w:val="num" w:pos="1800"/>
        </w:tabs>
        <w:ind w:left="1800" w:hanging="360"/>
      </w:pPr>
    </w:lvl>
    <w:lvl w:ilvl="2" w:tplc="159C6092" w:tentative="1">
      <w:start w:val="1"/>
      <w:numFmt w:val="decimal"/>
      <w:lvlText w:val="%3."/>
      <w:lvlJc w:val="left"/>
      <w:pPr>
        <w:tabs>
          <w:tab w:val="num" w:pos="2520"/>
        </w:tabs>
        <w:ind w:left="2520" w:hanging="360"/>
      </w:pPr>
    </w:lvl>
    <w:lvl w:ilvl="3" w:tplc="33906324" w:tentative="1">
      <w:start w:val="1"/>
      <w:numFmt w:val="decimal"/>
      <w:lvlText w:val="%4."/>
      <w:lvlJc w:val="left"/>
      <w:pPr>
        <w:tabs>
          <w:tab w:val="num" w:pos="3240"/>
        </w:tabs>
        <w:ind w:left="3240" w:hanging="360"/>
      </w:pPr>
    </w:lvl>
    <w:lvl w:ilvl="4" w:tplc="C1740CC6" w:tentative="1">
      <w:start w:val="1"/>
      <w:numFmt w:val="decimal"/>
      <w:lvlText w:val="%5."/>
      <w:lvlJc w:val="left"/>
      <w:pPr>
        <w:tabs>
          <w:tab w:val="num" w:pos="3960"/>
        </w:tabs>
        <w:ind w:left="3960" w:hanging="360"/>
      </w:pPr>
    </w:lvl>
    <w:lvl w:ilvl="5" w:tplc="6F98A282" w:tentative="1">
      <w:start w:val="1"/>
      <w:numFmt w:val="decimal"/>
      <w:lvlText w:val="%6."/>
      <w:lvlJc w:val="left"/>
      <w:pPr>
        <w:tabs>
          <w:tab w:val="num" w:pos="4680"/>
        </w:tabs>
        <w:ind w:left="4680" w:hanging="360"/>
      </w:pPr>
    </w:lvl>
    <w:lvl w:ilvl="6" w:tplc="C8ACFBD0" w:tentative="1">
      <w:start w:val="1"/>
      <w:numFmt w:val="decimal"/>
      <w:lvlText w:val="%7."/>
      <w:lvlJc w:val="left"/>
      <w:pPr>
        <w:tabs>
          <w:tab w:val="num" w:pos="5400"/>
        </w:tabs>
        <w:ind w:left="5400" w:hanging="360"/>
      </w:pPr>
    </w:lvl>
    <w:lvl w:ilvl="7" w:tplc="0E20255E" w:tentative="1">
      <w:start w:val="1"/>
      <w:numFmt w:val="decimal"/>
      <w:lvlText w:val="%8."/>
      <w:lvlJc w:val="left"/>
      <w:pPr>
        <w:tabs>
          <w:tab w:val="num" w:pos="6120"/>
        </w:tabs>
        <w:ind w:left="6120" w:hanging="360"/>
      </w:pPr>
    </w:lvl>
    <w:lvl w:ilvl="8" w:tplc="FA6CA2A6" w:tentative="1">
      <w:start w:val="1"/>
      <w:numFmt w:val="decimal"/>
      <w:lvlText w:val="%9."/>
      <w:lvlJc w:val="left"/>
      <w:pPr>
        <w:tabs>
          <w:tab w:val="num" w:pos="6840"/>
        </w:tabs>
        <w:ind w:left="6840" w:hanging="360"/>
      </w:pPr>
    </w:lvl>
  </w:abstractNum>
  <w:abstractNum w:abstractNumId="12" w15:restartNumberingAfterBreak="0">
    <w:nsid w:val="3BA45355"/>
    <w:multiLevelType w:val="hybridMultilevel"/>
    <w:tmpl w:val="27F41A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604D4B"/>
    <w:multiLevelType w:val="multilevel"/>
    <w:tmpl w:val="E17C0D3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CD1329A"/>
    <w:multiLevelType w:val="hybridMultilevel"/>
    <w:tmpl w:val="0DD2A7E8"/>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DC84858"/>
    <w:multiLevelType w:val="hybridMultilevel"/>
    <w:tmpl w:val="2C32CE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50632270"/>
    <w:multiLevelType w:val="hybridMultilevel"/>
    <w:tmpl w:val="6436D29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14B0073"/>
    <w:multiLevelType w:val="hybridMultilevel"/>
    <w:tmpl w:val="F0A0D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790C42"/>
    <w:multiLevelType w:val="hybridMultilevel"/>
    <w:tmpl w:val="968AA3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4E7A3D"/>
    <w:multiLevelType w:val="hybridMultilevel"/>
    <w:tmpl w:val="90AECE2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9">
      <w:start w:val="1"/>
      <w:numFmt w:val="lowerLetter"/>
      <w:lvlText w:val="%3."/>
      <w:lvlJc w:val="left"/>
      <w:pPr>
        <w:ind w:left="2340" w:hanging="360"/>
      </w:pPr>
      <w:rPr>
        <w:rFonts w:hint="default"/>
        <w:sz w:val="2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3C22CE"/>
    <w:multiLevelType w:val="hybridMultilevel"/>
    <w:tmpl w:val="E40887B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D926A61"/>
    <w:multiLevelType w:val="hybridMultilevel"/>
    <w:tmpl w:val="27F41A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C054EE"/>
    <w:multiLevelType w:val="hybridMultilevel"/>
    <w:tmpl w:val="F17846C8"/>
    <w:lvl w:ilvl="0" w:tplc="E96A1D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C26D40"/>
    <w:multiLevelType w:val="hybridMultilevel"/>
    <w:tmpl w:val="B23C2D46"/>
    <w:lvl w:ilvl="0" w:tplc="E96A1D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377BE5"/>
    <w:multiLevelType w:val="hybridMultilevel"/>
    <w:tmpl w:val="98E032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97573D1"/>
    <w:multiLevelType w:val="hybridMultilevel"/>
    <w:tmpl w:val="E6421B0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E9F2429"/>
    <w:multiLevelType w:val="hybridMultilevel"/>
    <w:tmpl w:val="FD762BBA"/>
    <w:lvl w:ilvl="0" w:tplc="C24081E6">
      <w:start w:val="1"/>
      <w:numFmt w:val="bullet"/>
      <w:lvlText w:val="•"/>
      <w:lvlJc w:val="left"/>
      <w:pPr>
        <w:tabs>
          <w:tab w:val="num" w:pos="720"/>
        </w:tabs>
        <w:ind w:left="720" w:hanging="360"/>
      </w:pPr>
      <w:rPr>
        <w:rFonts w:ascii="Arial" w:hAnsi="Arial" w:hint="default"/>
      </w:rPr>
    </w:lvl>
    <w:lvl w:ilvl="1" w:tplc="B23C1690">
      <w:start w:val="1"/>
      <w:numFmt w:val="decimal"/>
      <w:lvlText w:val="%2."/>
      <w:lvlJc w:val="left"/>
      <w:pPr>
        <w:tabs>
          <w:tab w:val="num" w:pos="1440"/>
        </w:tabs>
        <w:ind w:left="1440" w:hanging="360"/>
      </w:pPr>
    </w:lvl>
    <w:lvl w:ilvl="2" w:tplc="D77066F2" w:tentative="1">
      <w:start w:val="1"/>
      <w:numFmt w:val="bullet"/>
      <w:lvlText w:val="•"/>
      <w:lvlJc w:val="left"/>
      <w:pPr>
        <w:tabs>
          <w:tab w:val="num" w:pos="2160"/>
        </w:tabs>
        <w:ind w:left="2160" w:hanging="360"/>
      </w:pPr>
      <w:rPr>
        <w:rFonts w:ascii="Arial" w:hAnsi="Arial" w:hint="default"/>
      </w:rPr>
    </w:lvl>
    <w:lvl w:ilvl="3" w:tplc="EAD476C6" w:tentative="1">
      <w:start w:val="1"/>
      <w:numFmt w:val="bullet"/>
      <w:lvlText w:val="•"/>
      <w:lvlJc w:val="left"/>
      <w:pPr>
        <w:tabs>
          <w:tab w:val="num" w:pos="2880"/>
        </w:tabs>
        <w:ind w:left="2880" w:hanging="360"/>
      </w:pPr>
      <w:rPr>
        <w:rFonts w:ascii="Arial" w:hAnsi="Arial" w:hint="default"/>
      </w:rPr>
    </w:lvl>
    <w:lvl w:ilvl="4" w:tplc="E56AA58A" w:tentative="1">
      <w:start w:val="1"/>
      <w:numFmt w:val="bullet"/>
      <w:lvlText w:val="•"/>
      <w:lvlJc w:val="left"/>
      <w:pPr>
        <w:tabs>
          <w:tab w:val="num" w:pos="3600"/>
        </w:tabs>
        <w:ind w:left="3600" w:hanging="360"/>
      </w:pPr>
      <w:rPr>
        <w:rFonts w:ascii="Arial" w:hAnsi="Arial" w:hint="default"/>
      </w:rPr>
    </w:lvl>
    <w:lvl w:ilvl="5" w:tplc="2E02820C" w:tentative="1">
      <w:start w:val="1"/>
      <w:numFmt w:val="bullet"/>
      <w:lvlText w:val="•"/>
      <w:lvlJc w:val="left"/>
      <w:pPr>
        <w:tabs>
          <w:tab w:val="num" w:pos="4320"/>
        </w:tabs>
        <w:ind w:left="4320" w:hanging="360"/>
      </w:pPr>
      <w:rPr>
        <w:rFonts w:ascii="Arial" w:hAnsi="Arial" w:hint="default"/>
      </w:rPr>
    </w:lvl>
    <w:lvl w:ilvl="6" w:tplc="AE1050D0" w:tentative="1">
      <w:start w:val="1"/>
      <w:numFmt w:val="bullet"/>
      <w:lvlText w:val="•"/>
      <w:lvlJc w:val="left"/>
      <w:pPr>
        <w:tabs>
          <w:tab w:val="num" w:pos="5040"/>
        </w:tabs>
        <w:ind w:left="5040" w:hanging="360"/>
      </w:pPr>
      <w:rPr>
        <w:rFonts w:ascii="Arial" w:hAnsi="Arial" w:hint="default"/>
      </w:rPr>
    </w:lvl>
    <w:lvl w:ilvl="7" w:tplc="AFD2A11A" w:tentative="1">
      <w:start w:val="1"/>
      <w:numFmt w:val="bullet"/>
      <w:lvlText w:val="•"/>
      <w:lvlJc w:val="left"/>
      <w:pPr>
        <w:tabs>
          <w:tab w:val="num" w:pos="5760"/>
        </w:tabs>
        <w:ind w:left="5760" w:hanging="360"/>
      </w:pPr>
      <w:rPr>
        <w:rFonts w:ascii="Arial" w:hAnsi="Arial" w:hint="default"/>
      </w:rPr>
    </w:lvl>
    <w:lvl w:ilvl="8" w:tplc="E0BC0AE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1756E65"/>
    <w:multiLevelType w:val="multilevel"/>
    <w:tmpl w:val="E076BAB0"/>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8" w15:restartNumberingAfterBreak="0">
    <w:nsid w:val="7D5E4F09"/>
    <w:multiLevelType w:val="hybridMultilevel"/>
    <w:tmpl w:val="83BA1B96"/>
    <w:lvl w:ilvl="0" w:tplc="CABC3E86">
      <w:start w:val="1"/>
      <w:numFmt w:val="bullet"/>
      <w:lvlText w:val="•"/>
      <w:lvlJc w:val="left"/>
      <w:pPr>
        <w:tabs>
          <w:tab w:val="num" w:pos="720"/>
        </w:tabs>
        <w:ind w:left="720" w:hanging="360"/>
      </w:pPr>
      <w:rPr>
        <w:rFonts w:ascii="Arial" w:hAnsi="Arial" w:hint="default"/>
      </w:rPr>
    </w:lvl>
    <w:lvl w:ilvl="1" w:tplc="1CEE3426" w:tentative="1">
      <w:start w:val="1"/>
      <w:numFmt w:val="bullet"/>
      <w:lvlText w:val="•"/>
      <w:lvlJc w:val="left"/>
      <w:pPr>
        <w:tabs>
          <w:tab w:val="num" w:pos="1440"/>
        </w:tabs>
        <w:ind w:left="1440" w:hanging="360"/>
      </w:pPr>
      <w:rPr>
        <w:rFonts w:ascii="Arial" w:hAnsi="Arial" w:hint="default"/>
      </w:rPr>
    </w:lvl>
    <w:lvl w:ilvl="2" w:tplc="147AE7C8" w:tentative="1">
      <w:start w:val="1"/>
      <w:numFmt w:val="bullet"/>
      <w:lvlText w:val="•"/>
      <w:lvlJc w:val="left"/>
      <w:pPr>
        <w:tabs>
          <w:tab w:val="num" w:pos="2160"/>
        </w:tabs>
        <w:ind w:left="2160" w:hanging="360"/>
      </w:pPr>
      <w:rPr>
        <w:rFonts w:ascii="Arial" w:hAnsi="Arial" w:hint="default"/>
      </w:rPr>
    </w:lvl>
    <w:lvl w:ilvl="3" w:tplc="79CCEC98" w:tentative="1">
      <w:start w:val="1"/>
      <w:numFmt w:val="bullet"/>
      <w:lvlText w:val="•"/>
      <w:lvlJc w:val="left"/>
      <w:pPr>
        <w:tabs>
          <w:tab w:val="num" w:pos="2880"/>
        </w:tabs>
        <w:ind w:left="2880" w:hanging="360"/>
      </w:pPr>
      <w:rPr>
        <w:rFonts w:ascii="Arial" w:hAnsi="Arial" w:hint="default"/>
      </w:rPr>
    </w:lvl>
    <w:lvl w:ilvl="4" w:tplc="4A10B33E" w:tentative="1">
      <w:start w:val="1"/>
      <w:numFmt w:val="bullet"/>
      <w:lvlText w:val="•"/>
      <w:lvlJc w:val="left"/>
      <w:pPr>
        <w:tabs>
          <w:tab w:val="num" w:pos="3600"/>
        </w:tabs>
        <w:ind w:left="3600" w:hanging="360"/>
      </w:pPr>
      <w:rPr>
        <w:rFonts w:ascii="Arial" w:hAnsi="Arial" w:hint="default"/>
      </w:rPr>
    </w:lvl>
    <w:lvl w:ilvl="5" w:tplc="D624B56E" w:tentative="1">
      <w:start w:val="1"/>
      <w:numFmt w:val="bullet"/>
      <w:lvlText w:val="•"/>
      <w:lvlJc w:val="left"/>
      <w:pPr>
        <w:tabs>
          <w:tab w:val="num" w:pos="4320"/>
        </w:tabs>
        <w:ind w:left="4320" w:hanging="360"/>
      </w:pPr>
      <w:rPr>
        <w:rFonts w:ascii="Arial" w:hAnsi="Arial" w:hint="default"/>
      </w:rPr>
    </w:lvl>
    <w:lvl w:ilvl="6" w:tplc="B8D8CBBE" w:tentative="1">
      <w:start w:val="1"/>
      <w:numFmt w:val="bullet"/>
      <w:lvlText w:val="•"/>
      <w:lvlJc w:val="left"/>
      <w:pPr>
        <w:tabs>
          <w:tab w:val="num" w:pos="5040"/>
        </w:tabs>
        <w:ind w:left="5040" w:hanging="360"/>
      </w:pPr>
      <w:rPr>
        <w:rFonts w:ascii="Arial" w:hAnsi="Arial" w:hint="default"/>
      </w:rPr>
    </w:lvl>
    <w:lvl w:ilvl="7" w:tplc="C4F0D14A" w:tentative="1">
      <w:start w:val="1"/>
      <w:numFmt w:val="bullet"/>
      <w:lvlText w:val="•"/>
      <w:lvlJc w:val="left"/>
      <w:pPr>
        <w:tabs>
          <w:tab w:val="num" w:pos="5760"/>
        </w:tabs>
        <w:ind w:left="5760" w:hanging="360"/>
      </w:pPr>
      <w:rPr>
        <w:rFonts w:ascii="Arial" w:hAnsi="Arial" w:hint="default"/>
      </w:rPr>
    </w:lvl>
    <w:lvl w:ilvl="8" w:tplc="79EA838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FBF0EBB"/>
    <w:multiLevelType w:val="multilevel"/>
    <w:tmpl w:val="94CE4E4C"/>
    <w:lvl w:ilvl="0">
      <w:start w:val="1"/>
      <w:numFmt w:val="decimal"/>
      <w:pStyle w:val="ListNumber"/>
      <w:lvlText w:val="%1"/>
      <w:lvlJc w:val="left"/>
      <w:pPr>
        <w:tabs>
          <w:tab w:val="num" w:pos="720"/>
        </w:tabs>
        <w:ind w:left="720" w:hanging="720"/>
      </w:pPr>
      <w:rPr>
        <w:rFonts w:cs="Times New Roman"/>
      </w:rPr>
    </w:lvl>
    <w:lvl w:ilvl="1">
      <w:start w:val="9"/>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520"/>
        </w:tabs>
        <w:ind w:left="2520" w:hanging="2520"/>
      </w:pPr>
      <w:rPr>
        <w:rFonts w:cs="Times New Roman"/>
      </w:rPr>
    </w:lvl>
  </w:abstractNum>
  <w:num w:numId="1">
    <w:abstractNumId w:val="21"/>
  </w:num>
  <w:num w:numId="2">
    <w:abstractNumId w:val="13"/>
  </w:num>
  <w:num w:numId="3">
    <w:abstractNumId w:val="29"/>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num>
  <w:num w:numId="5">
    <w:abstractNumId w:val="4"/>
  </w:num>
  <w:num w:numId="6">
    <w:abstractNumId w:val="23"/>
  </w:num>
  <w:num w:numId="7">
    <w:abstractNumId w:val="10"/>
  </w:num>
  <w:num w:numId="8">
    <w:abstractNumId w:val="9"/>
  </w:num>
  <w:num w:numId="9">
    <w:abstractNumId w:val="18"/>
  </w:num>
  <w:num w:numId="10">
    <w:abstractNumId w:val="12"/>
  </w:num>
  <w:num w:numId="11">
    <w:abstractNumId w:val="7"/>
  </w:num>
  <w:num w:numId="12">
    <w:abstractNumId w:val="17"/>
  </w:num>
  <w:num w:numId="13">
    <w:abstractNumId w:val="22"/>
  </w:num>
  <w:num w:numId="14">
    <w:abstractNumId w:val="27"/>
  </w:num>
  <w:num w:numId="15">
    <w:abstractNumId w:val="1"/>
  </w:num>
  <w:num w:numId="16">
    <w:abstractNumId w:val="8"/>
  </w:num>
  <w:num w:numId="17">
    <w:abstractNumId w:val="6"/>
  </w:num>
  <w:num w:numId="18">
    <w:abstractNumId w:val="28"/>
  </w:num>
  <w:num w:numId="19">
    <w:abstractNumId w:val="11"/>
  </w:num>
  <w:num w:numId="20">
    <w:abstractNumId w:val="5"/>
  </w:num>
  <w:num w:numId="21">
    <w:abstractNumId w:val="25"/>
  </w:num>
  <w:num w:numId="22">
    <w:abstractNumId w:val="26"/>
  </w:num>
  <w:num w:numId="23">
    <w:abstractNumId w:val="3"/>
  </w:num>
  <w:num w:numId="24">
    <w:abstractNumId w:val="14"/>
  </w:num>
  <w:num w:numId="25">
    <w:abstractNumId w:val="19"/>
  </w:num>
  <w:num w:numId="26">
    <w:abstractNumId w:val="24"/>
  </w:num>
  <w:num w:numId="27">
    <w:abstractNumId w:val="2"/>
  </w:num>
  <w:num w:numId="28">
    <w:abstractNumId w:val="20"/>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7F"/>
    <w:rsid w:val="0000715C"/>
    <w:rsid w:val="00025D14"/>
    <w:rsid w:val="00030E5F"/>
    <w:rsid w:val="000460E0"/>
    <w:rsid w:val="00067B1F"/>
    <w:rsid w:val="000846AE"/>
    <w:rsid w:val="000C6AD4"/>
    <w:rsid w:val="000D24D3"/>
    <w:rsid w:val="000D4CA6"/>
    <w:rsid w:val="000E704B"/>
    <w:rsid w:val="00100315"/>
    <w:rsid w:val="00112F51"/>
    <w:rsid w:val="00113503"/>
    <w:rsid w:val="0011406E"/>
    <w:rsid w:val="0011780A"/>
    <w:rsid w:val="00117EA5"/>
    <w:rsid w:val="00137A2A"/>
    <w:rsid w:val="00161B1E"/>
    <w:rsid w:val="001A212B"/>
    <w:rsid w:val="001F22DC"/>
    <w:rsid w:val="001F5AA2"/>
    <w:rsid w:val="002021E7"/>
    <w:rsid w:val="0020408F"/>
    <w:rsid w:val="00220D93"/>
    <w:rsid w:val="00231E0B"/>
    <w:rsid w:val="002424A9"/>
    <w:rsid w:val="00244568"/>
    <w:rsid w:val="002741D9"/>
    <w:rsid w:val="00275143"/>
    <w:rsid w:val="00292F98"/>
    <w:rsid w:val="00293FDE"/>
    <w:rsid w:val="002A4BAD"/>
    <w:rsid w:val="002C0C85"/>
    <w:rsid w:val="002E484D"/>
    <w:rsid w:val="002F7CAA"/>
    <w:rsid w:val="00331CD7"/>
    <w:rsid w:val="003437F3"/>
    <w:rsid w:val="003475AD"/>
    <w:rsid w:val="00353663"/>
    <w:rsid w:val="00397688"/>
    <w:rsid w:val="003A6787"/>
    <w:rsid w:val="003E0744"/>
    <w:rsid w:val="003E7897"/>
    <w:rsid w:val="00424ACC"/>
    <w:rsid w:val="00437F8A"/>
    <w:rsid w:val="00447685"/>
    <w:rsid w:val="0045229D"/>
    <w:rsid w:val="00496E42"/>
    <w:rsid w:val="004F3E22"/>
    <w:rsid w:val="004F3EB7"/>
    <w:rsid w:val="00512CC9"/>
    <w:rsid w:val="00544E00"/>
    <w:rsid w:val="00567318"/>
    <w:rsid w:val="00567A0F"/>
    <w:rsid w:val="0059428C"/>
    <w:rsid w:val="005A0B76"/>
    <w:rsid w:val="005D570D"/>
    <w:rsid w:val="005E0E14"/>
    <w:rsid w:val="005F3878"/>
    <w:rsid w:val="005F3B46"/>
    <w:rsid w:val="0060246E"/>
    <w:rsid w:val="00647356"/>
    <w:rsid w:val="00653B4B"/>
    <w:rsid w:val="00667DB3"/>
    <w:rsid w:val="0067520A"/>
    <w:rsid w:val="00677304"/>
    <w:rsid w:val="006805AF"/>
    <w:rsid w:val="006D56F8"/>
    <w:rsid w:val="00707051"/>
    <w:rsid w:val="00710D75"/>
    <w:rsid w:val="00740E27"/>
    <w:rsid w:val="00767E15"/>
    <w:rsid w:val="0078661C"/>
    <w:rsid w:val="007B7EE1"/>
    <w:rsid w:val="007C4A81"/>
    <w:rsid w:val="007D536D"/>
    <w:rsid w:val="007E5D50"/>
    <w:rsid w:val="00807965"/>
    <w:rsid w:val="008A2814"/>
    <w:rsid w:val="008A4D3F"/>
    <w:rsid w:val="008D2B50"/>
    <w:rsid w:val="008E787C"/>
    <w:rsid w:val="008F1C53"/>
    <w:rsid w:val="008F4184"/>
    <w:rsid w:val="00914DE6"/>
    <w:rsid w:val="00934EBC"/>
    <w:rsid w:val="00955F2B"/>
    <w:rsid w:val="00986D1D"/>
    <w:rsid w:val="00996F2C"/>
    <w:rsid w:val="009A7590"/>
    <w:rsid w:val="009C0BA8"/>
    <w:rsid w:val="009C4630"/>
    <w:rsid w:val="009E1076"/>
    <w:rsid w:val="00A11794"/>
    <w:rsid w:val="00A24D4B"/>
    <w:rsid w:val="00A34F4F"/>
    <w:rsid w:val="00AC0C36"/>
    <w:rsid w:val="00AD4DDB"/>
    <w:rsid w:val="00B4293D"/>
    <w:rsid w:val="00B55707"/>
    <w:rsid w:val="00B643CB"/>
    <w:rsid w:val="00B75BDA"/>
    <w:rsid w:val="00BB1BE7"/>
    <w:rsid w:val="00BC6C5B"/>
    <w:rsid w:val="00C14B7F"/>
    <w:rsid w:val="00C15251"/>
    <w:rsid w:val="00C4531D"/>
    <w:rsid w:val="00C60883"/>
    <w:rsid w:val="00CA6C9A"/>
    <w:rsid w:val="00CD64C0"/>
    <w:rsid w:val="00CE54EC"/>
    <w:rsid w:val="00CF47D2"/>
    <w:rsid w:val="00D20DFC"/>
    <w:rsid w:val="00D22806"/>
    <w:rsid w:val="00D70094"/>
    <w:rsid w:val="00D75B1D"/>
    <w:rsid w:val="00D80F1B"/>
    <w:rsid w:val="00DA1649"/>
    <w:rsid w:val="00DB13D2"/>
    <w:rsid w:val="00DC6667"/>
    <w:rsid w:val="00DD5D3B"/>
    <w:rsid w:val="00E11C0F"/>
    <w:rsid w:val="00E13374"/>
    <w:rsid w:val="00E306BE"/>
    <w:rsid w:val="00E57885"/>
    <w:rsid w:val="00E67CB6"/>
    <w:rsid w:val="00E704EA"/>
    <w:rsid w:val="00E70EBC"/>
    <w:rsid w:val="00EA3D2F"/>
    <w:rsid w:val="00EB0D3E"/>
    <w:rsid w:val="00EB7C1E"/>
    <w:rsid w:val="00EC50B2"/>
    <w:rsid w:val="00ED2311"/>
    <w:rsid w:val="00ED5113"/>
    <w:rsid w:val="00EE1AFE"/>
    <w:rsid w:val="00F0178C"/>
    <w:rsid w:val="00F27C69"/>
    <w:rsid w:val="00F34C41"/>
    <w:rsid w:val="00F82AC7"/>
    <w:rsid w:val="00FA5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51E83C8B"/>
  <w15:docId w15:val="{5830C6EF-D370-4EEB-9F17-83B428045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93FDE"/>
    <w:pPr>
      <w:keepNext/>
      <w:spacing w:after="0" w:line="240" w:lineRule="auto"/>
      <w:outlineLvl w:val="0"/>
    </w:pPr>
    <w:rPr>
      <w:rFonts w:ascii="Arial" w:eastAsia="Times New Roman" w:hAnsi="Arial" w:cs="Times New Roman"/>
      <w:b/>
      <w:szCs w:val="20"/>
    </w:rPr>
  </w:style>
  <w:style w:type="paragraph" w:styleId="Heading2">
    <w:name w:val="heading 2"/>
    <w:basedOn w:val="Heading1"/>
    <w:next w:val="Normal"/>
    <w:link w:val="Heading2Char"/>
    <w:qFormat/>
    <w:rsid w:val="00293FDE"/>
    <w:pPr>
      <w:ind w:left="72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4B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B7F"/>
  </w:style>
  <w:style w:type="paragraph" w:styleId="Footer">
    <w:name w:val="footer"/>
    <w:basedOn w:val="Normal"/>
    <w:link w:val="FooterChar"/>
    <w:uiPriority w:val="99"/>
    <w:unhideWhenUsed/>
    <w:rsid w:val="00C14B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B7F"/>
  </w:style>
  <w:style w:type="paragraph" w:styleId="BalloonText">
    <w:name w:val="Balloon Text"/>
    <w:basedOn w:val="Normal"/>
    <w:link w:val="BalloonTextChar"/>
    <w:uiPriority w:val="99"/>
    <w:semiHidden/>
    <w:unhideWhenUsed/>
    <w:rsid w:val="00C14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B7F"/>
    <w:rPr>
      <w:rFonts w:ascii="Tahoma" w:hAnsi="Tahoma" w:cs="Tahoma"/>
      <w:sz w:val="16"/>
      <w:szCs w:val="16"/>
    </w:rPr>
  </w:style>
  <w:style w:type="paragraph" w:styleId="ListParagraph">
    <w:name w:val="List Paragraph"/>
    <w:basedOn w:val="Normal"/>
    <w:uiPriority w:val="34"/>
    <w:qFormat/>
    <w:rsid w:val="00293FDE"/>
    <w:pPr>
      <w:ind w:left="720"/>
      <w:contextualSpacing/>
    </w:pPr>
  </w:style>
  <w:style w:type="character" w:customStyle="1" w:styleId="Heading1Char">
    <w:name w:val="Heading 1 Char"/>
    <w:basedOn w:val="DefaultParagraphFont"/>
    <w:link w:val="Heading1"/>
    <w:rsid w:val="00293FDE"/>
    <w:rPr>
      <w:rFonts w:ascii="Arial" w:eastAsia="Times New Roman" w:hAnsi="Arial" w:cs="Times New Roman"/>
      <w:b/>
      <w:szCs w:val="20"/>
    </w:rPr>
  </w:style>
  <w:style w:type="character" w:customStyle="1" w:styleId="Heading2Char">
    <w:name w:val="Heading 2 Char"/>
    <w:basedOn w:val="DefaultParagraphFont"/>
    <w:link w:val="Heading2"/>
    <w:rsid w:val="00293FDE"/>
    <w:rPr>
      <w:rFonts w:ascii="Arial" w:eastAsia="Times New Roman" w:hAnsi="Arial" w:cs="Times New Roman"/>
      <w:b/>
      <w:szCs w:val="20"/>
    </w:rPr>
  </w:style>
  <w:style w:type="paragraph" w:styleId="BlockText">
    <w:name w:val="Block Text"/>
    <w:basedOn w:val="Normal"/>
    <w:semiHidden/>
    <w:rsid w:val="00293FDE"/>
    <w:pPr>
      <w:spacing w:after="120" w:line="240" w:lineRule="atLeast"/>
      <w:ind w:left="1440" w:right="1440"/>
    </w:pPr>
    <w:rPr>
      <w:rFonts w:ascii="Arial" w:eastAsia="Times New Roman" w:hAnsi="Arial" w:cs="Times New Roman"/>
      <w:sz w:val="20"/>
      <w:szCs w:val="24"/>
    </w:rPr>
  </w:style>
  <w:style w:type="character" w:styleId="Hyperlink">
    <w:name w:val="Hyperlink"/>
    <w:uiPriority w:val="99"/>
    <w:rsid w:val="003E7897"/>
    <w:rPr>
      <w:rFonts w:ascii="Times New Roman" w:hAnsi="Times New Roman" w:cs="Times New Roman" w:hint="default"/>
      <w:color w:val="0000FF"/>
      <w:u w:val="single"/>
    </w:rPr>
  </w:style>
  <w:style w:type="paragraph" w:styleId="ListNumber">
    <w:name w:val="List Number"/>
    <w:basedOn w:val="Normal"/>
    <w:rsid w:val="003E7897"/>
    <w:pPr>
      <w:numPr>
        <w:numId w:val="3"/>
      </w:numPr>
      <w:tabs>
        <w:tab w:val="num" w:pos="397"/>
      </w:tabs>
      <w:spacing w:after="120" w:line="240" w:lineRule="atLeast"/>
      <w:ind w:left="397" w:hanging="397"/>
    </w:pPr>
    <w:rPr>
      <w:rFonts w:ascii="Arial" w:eastAsia="Times New Roman" w:hAnsi="Arial" w:cs="Times New Roman"/>
      <w:sz w:val="20"/>
      <w:szCs w:val="24"/>
    </w:rPr>
  </w:style>
  <w:style w:type="paragraph" w:customStyle="1" w:styleId="loose">
    <w:name w:val="loose"/>
    <w:basedOn w:val="Normal"/>
    <w:rsid w:val="003E7897"/>
    <w:pPr>
      <w:spacing w:before="210" w:after="0"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3E7897"/>
    <w:pPr>
      <w:spacing w:before="100" w:beforeAutospacing="1" w:after="100" w:afterAutospacing="1" w:line="240" w:lineRule="auto"/>
    </w:pPr>
    <w:rPr>
      <w:rFonts w:ascii="Times New Roman" w:hAnsi="Times New Roman" w:cs="Times New Roman"/>
      <w:sz w:val="24"/>
      <w:szCs w:val="24"/>
      <w:lang w:eastAsia="en-GB"/>
    </w:rPr>
  </w:style>
  <w:style w:type="paragraph" w:styleId="NoSpacing">
    <w:name w:val="No Spacing"/>
    <w:qFormat/>
    <w:rsid w:val="00EA3D2F"/>
    <w:pPr>
      <w:spacing w:after="0" w:line="240" w:lineRule="auto"/>
    </w:pPr>
    <w:rPr>
      <w:rFonts w:ascii="Arial" w:eastAsia="Times New Roman" w:hAnsi="Arial" w:cs="Times New Roman"/>
      <w:szCs w:val="20"/>
    </w:rPr>
  </w:style>
  <w:style w:type="character" w:styleId="CommentReference">
    <w:name w:val="annotation reference"/>
    <w:basedOn w:val="DefaultParagraphFont"/>
    <w:uiPriority w:val="99"/>
    <w:semiHidden/>
    <w:unhideWhenUsed/>
    <w:rsid w:val="00647356"/>
    <w:rPr>
      <w:sz w:val="16"/>
      <w:szCs w:val="16"/>
    </w:rPr>
  </w:style>
  <w:style w:type="paragraph" w:styleId="CommentText">
    <w:name w:val="annotation text"/>
    <w:basedOn w:val="Normal"/>
    <w:link w:val="CommentTextChar"/>
    <w:uiPriority w:val="99"/>
    <w:semiHidden/>
    <w:unhideWhenUsed/>
    <w:rsid w:val="00647356"/>
    <w:pPr>
      <w:spacing w:line="240" w:lineRule="auto"/>
    </w:pPr>
    <w:rPr>
      <w:sz w:val="20"/>
      <w:szCs w:val="20"/>
    </w:rPr>
  </w:style>
  <w:style w:type="character" w:customStyle="1" w:styleId="CommentTextChar">
    <w:name w:val="Comment Text Char"/>
    <w:basedOn w:val="DefaultParagraphFont"/>
    <w:link w:val="CommentText"/>
    <w:uiPriority w:val="99"/>
    <w:semiHidden/>
    <w:rsid w:val="00647356"/>
    <w:rPr>
      <w:sz w:val="20"/>
      <w:szCs w:val="20"/>
    </w:rPr>
  </w:style>
  <w:style w:type="paragraph" w:styleId="CommentSubject">
    <w:name w:val="annotation subject"/>
    <w:basedOn w:val="CommentText"/>
    <w:next w:val="CommentText"/>
    <w:link w:val="CommentSubjectChar"/>
    <w:uiPriority w:val="99"/>
    <w:semiHidden/>
    <w:unhideWhenUsed/>
    <w:rsid w:val="00647356"/>
    <w:rPr>
      <w:b/>
      <w:bCs/>
    </w:rPr>
  </w:style>
  <w:style w:type="character" w:customStyle="1" w:styleId="CommentSubjectChar">
    <w:name w:val="Comment Subject Char"/>
    <w:basedOn w:val="CommentTextChar"/>
    <w:link w:val="CommentSubject"/>
    <w:uiPriority w:val="99"/>
    <w:semiHidden/>
    <w:rsid w:val="006473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21088">
      <w:bodyDiv w:val="1"/>
      <w:marLeft w:val="0"/>
      <w:marRight w:val="0"/>
      <w:marTop w:val="0"/>
      <w:marBottom w:val="0"/>
      <w:divBdr>
        <w:top w:val="none" w:sz="0" w:space="0" w:color="auto"/>
        <w:left w:val="none" w:sz="0" w:space="0" w:color="auto"/>
        <w:bottom w:val="none" w:sz="0" w:space="0" w:color="auto"/>
        <w:right w:val="none" w:sz="0" w:space="0" w:color="auto"/>
      </w:divBdr>
    </w:div>
    <w:div w:id="393964581">
      <w:bodyDiv w:val="1"/>
      <w:marLeft w:val="0"/>
      <w:marRight w:val="0"/>
      <w:marTop w:val="0"/>
      <w:marBottom w:val="0"/>
      <w:divBdr>
        <w:top w:val="none" w:sz="0" w:space="0" w:color="auto"/>
        <w:left w:val="none" w:sz="0" w:space="0" w:color="auto"/>
        <w:bottom w:val="none" w:sz="0" w:space="0" w:color="auto"/>
        <w:right w:val="none" w:sz="0" w:space="0" w:color="auto"/>
      </w:divBdr>
      <w:divsChild>
        <w:div w:id="1407335069">
          <w:marLeft w:val="374"/>
          <w:marRight w:val="0"/>
          <w:marTop w:val="115"/>
          <w:marBottom w:val="0"/>
          <w:divBdr>
            <w:top w:val="none" w:sz="0" w:space="0" w:color="auto"/>
            <w:left w:val="none" w:sz="0" w:space="0" w:color="auto"/>
            <w:bottom w:val="none" w:sz="0" w:space="0" w:color="auto"/>
            <w:right w:val="none" w:sz="0" w:space="0" w:color="auto"/>
          </w:divBdr>
        </w:div>
        <w:div w:id="213008758">
          <w:marLeft w:val="374"/>
          <w:marRight w:val="0"/>
          <w:marTop w:val="115"/>
          <w:marBottom w:val="0"/>
          <w:divBdr>
            <w:top w:val="none" w:sz="0" w:space="0" w:color="auto"/>
            <w:left w:val="none" w:sz="0" w:space="0" w:color="auto"/>
            <w:bottom w:val="none" w:sz="0" w:space="0" w:color="auto"/>
            <w:right w:val="none" w:sz="0" w:space="0" w:color="auto"/>
          </w:divBdr>
        </w:div>
        <w:div w:id="1981033906">
          <w:marLeft w:val="1253"/>
          <w:marRight w:val="0"/>
          <w:marTop w:val="96"/>
          <w:marBottom w:val="0"/>
          <w:divBdr>
            <w:top w:val="none" w:sz="0" w:space="0" w:color="auto"/>
            <w:left w:val="none" w:sz="0" w:space="0" w:color="auto"/>
            <w:bottom w:val="none" w:sz="0" w:space="0" w:color="auto"/>
            <w:right w:val="none" w:sz="0" w:space="0" w:color="auto"/>
          </w:divBdr>
        </w:div>
        <w:div w:id="2092696647">
          <w:marLeft w:val="1253"/>
          <w:marRight w:val="0"/>
          <w:marTop w:val="96"/>
          <w:marBottom w:val="0"/>
          <w:divBdr>
            <w:top w:val="none" w:sz="0" w:space="0" w:color="auto"/>
            <w:left w:val="none" w:sz="0" w:space="0" w:color="auto"/>
            <w:bottom w:val="none" w:sz="0" w:space="0" w:color="auto"/>
            <w:right w:val="none" w:sz="0" w:space="0" w:color="auto"/>
          </w:divBdr>
        </w:div>
        <w:div w:id="1582834722">
          <w:marLeft w:val="1253"/>
          <w:marRight w:val="0"/>
          <w:marTop w:val="96"/>
          <w:marBottom w:val="0"/>
          <w:divBdr>
            <w:top w:val="none" w:sz="0" w:space="0" w:color="auto"/>
            <w:left w:val="none" w:sz="0" w:space="0" w:color="auto"/>
            <w:bottom w:val="none" w:sz="0" w:space="0" w:color="auto"/>
            <w:right w:val="none" w:sz="0" w:space="0" w:color="auto"/>
          </w:divBdr>
        </w:div>
        <w:div w:id="522062886">
          <w:marLeft w:val="1253"/>
          <w:marRight w:val="0"/>
          <w:marTop w:val="96"/>
          <w:marBottom w:val="0"/>
          <w:divBdr>
            <w:top w:val="none" w:sz="0" w:space="0" w:color="auto"/>
            <w:left w:val="none" w:sz="0" w:space="0" w:color="auto"/>
            <w:bottom w:val="none" w:sz="0" w:space="0" w:color="auto"/>
            <w:right w:val="none" w:sz="0" w:space="0" w:color="auto"/>
          </w:divBdr>
        </w:div>
      </w:divsChild>
    </w:div>
    <w:div w:id="712000575">
      <w:bodyDiv w:val="1"/>
      <w:marLeft w:val="0"/>
      <w:marRight w:val="0"/>
      <w:marTop w:val="0"/>
      <w:marBottom w:val="0"/>
      <w:divBdr>
        <w:top w:val="none" w:sz="0" w:space="0" w:color="auto"/>
        <w:left w:val="none" w:sz="0" w:space="0" w:color="auto"/>
        <w:bottom w:val="none" w:sz="0" w:space="0" w:color="auto"/>
        <w:right w:val="none" w:sz="0" w:space="0" w:color="auto"/>
      </w:divBdr>
      <w:divsChild>
        <w:div w:id="1673335820">
          <w:marLeft w:val="374"/>
          <w:marRight w:val="0"/>
          <w:marTop w:val="96"/>
          <w:marBottom w:val="0"/>
          <w:divBdr>
            <w:top w:val="none" w:sz="0" w:space="0" w:color="auto"/>
            <w:left w:val="none" w:sz="0" w:space="0" w:color="auto"/>
            <w:bottom w:val="none" w:sz="0" w:space="0" w:color="auto"/>
            <w:right w:val="none" w:sz="0" w:space="0" w:color="auto"/>
          </w:divBdr>
        </w:div>
      </w:divsChild>
    </w:div>
    <w:div w:id="813303418">
      <w:bodyDiv w:val="1"/>
      <w:marLeft w:val="0"/>
      <w:marRight w:val="0"/>
      <w:marTop w:val="0"/>
      <w:marBottom w:val="0"/>
      <w:divBdr>
        <w:top w:val="none" w:sz="0" w:space="0" w:color="auto"/>
        <w:left w:val="none" w:sz="0" w:space="0" w:color="auto"/>
        <w:bottom w:val="none" w:sz="0" w:space="0" w:color="auto"/>
        <w:right w:val="none" w:sz="0" w:space="0" w:color="auto"/>
      </w:divBdr>
    </w:div>
    <w:div w:id="1386025486">
      <w:bodyDiv w:val="1"/>
      <w:marLeft w:val="0"/>
      <w:marRight w:val="0"/>
      <w:marTop w:val="0"/>
      <w:marBottom w:val="0"/>
      <w:divBdr>
        <w:top w:val="none" w:sz="0" w:space="0" w:color="auto"/>
        <w:left w:val="none" w:sz="0" w:space="0" w:color="auto"/>
        <w:bottom w:val="none" w:sz="0" w:space="0" w:color="auto"/>
        <w:right w:val="none" w:sz="0" w:space="0" w:color="auto"/>
      </w:divBdr>
      <w:divsChild>
        <w:div w:id="233441766">
          <w:marLeft w:val="720"/>
          <w:marRight w:val="0"/>
          <w:marTop w:val="115"/>
          <w:marBottom w:val="0"/>
          <w:divBdr>
            <w:top w:val="none" w:sz="0" w:space="0" w:color="auto"/>
            <w:left w:val="none" w:sz="0" w:space="0" w:color="auto"/>
            <w:bottom w:val="none" w:sz="0" w:space="0" w:color="auto"/>
            <w:right w:val="none" w:sz="0" w:space="0" w:color="auto"/>
          </w:divBdr>
        </w:div>
        <w:div w:id="627853507">
          <w:marLeft w:val="720"/>
          <w:marRight w:val="0"/>
          <w:marTop w:val="115"/>
          <w:marBottom w:val="0"/>
          <w:divBdr>
            <w:top w:val="none" w:sz="0" w:space="0" w:color="auto"/>
            <w:left w:val="none" w:sz="0" w:space="0" w:color="auto"/>
            <w:bottom w:val="none" w:sz="0" w:space="0" w:color="auto"/>
            <w:right w:val="none" w:sz="0" w:space="0" w:color="auto"/>
          </w:divBdr>
        </w:div>
        <w:div w:id="2107653274">
          <w:marLeft w:val="720"/>
          <w:marRight w:val="0"/>
          <w:marTop w:val="115"/>
          <w:marBottom w:val="0"/>
          <w:divBdr>
            <w:top w:val="none" w:sz="0" w:space="0" w:color="auto"/>
            <w:left w:val="none" w:sz="0" w:space="0" w:color="auto"/>
            <w:bottom w:val="none" w:sz="0" w:space="0" w:color="auto"/>
            <w:right w:val="none" w:sz="0" w:space="0" w:color="auto"/>
          </w:divBdr>
        </w:div>
        <w:div w:id="306974687">
          <w:marLeft w:val="720"/>
          <w:marRight w:val="0"/>
          <w:marTop w:val="115"/>
          <w:marBottom w:val="0"/>
          <w:divBdr>
            <w:top w:val="none" w:sz="0" w:space="0" w:color="auto"/>
            <w:left w:val="none" w:sz="0" w:space="0" w:color="auto"/>
            <w:bottom w:val="none" w:sz="0" w:space="0" w:color="auto"/>
            <w:right w:val="none" w:sz="0" w:space="0" w:color="auto"/>
          </w:divBdr>
        </w:div>
        <w:div w:id="1887985689">
          <w:marLeft w:val="720"/>
          <w:marRight w:val="0"/>
          <w:marTop w:val="115"/>
          <w:marBottom w:val="0"/>
          <w:divBdr>
            <w:top w:val="none" w:sz="0" w:space="0" w:color="auto"/>
            <w:left w:val="none" w:sz="0" w:space="0" w:color="auto"/>
            <w:bottom w:val="none" w:sz="0" w:space="0" w:color="auto"/>
            <w:right w:val="none" w:sz="0" w:space="0" w:color="auto"/>
          </w:divBdr>
        </w:div>
        <w:div w:id="995954801">
          <w:marLeft w:val="720"/>
          <w:marRight w:val="0"/>
          <w:marTop w:val="115"/>
          <w:marBottom w:val="0"/>
          <w:divBdr>
            <w:top w:val="none" w:sz="0" w:space="0" w:color="auto"/>
            <w:left w:val="none" w:sz="0" w:space="0" w:color="auto"/>
            <w:bottom w:val="none" w:sz="0" w:space="0" w:color="auto"/>
            <w:right w:val="none" w:sz="0" w:space="0" w:color="auto"/>
          </w:divBdr>
        </w:div>
      </w:divsChild>
    </w:div>
    <w:div w:id="151507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trusteurope.bravosolution.co.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id4gov@gps.gsi.gov.uk" TargetMode="External"/><Relationship Id="rId4" Type="http://schemas.openxmlformats.org/officeDocument/2006/relationships/settings" Target="settings.xml"/><Relationship Id="rId9" Type="http://schemas.openxmlformats.org/officeDocument/2006/relationships/hyperlink" Target="https://sid4gov.cabinetoffice.gov.uk/organisation/registe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97ECD-CFCD-4A57-AEEC-5D94C96CF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4300</Words>
  <Characters>24513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HealthTrust Europe</Company>
  <LinksUpToDate>false</LinksUpToDate>
  <CharactersWithSpaces>28756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Gibson</dc:creator>
  <cp:lastModifiedBy>Lauren Coombes</cp:lastModifiedBy>
  <cp:revision>3</cp:revision>
  <cp:lastPrinted>2015-04-29T12:58:00Z</cp:lastPrinted>
  <dcterms:created xsi:type="dcterms:W3CDTF">2015-12-22T11:10:00Z</dcterms:created>
  <dcterms:modified xsi:type="dcterms:W3CDTF">2015-12-22T11:10:00Z</dcterms:modified>
</cp:coreProperties>
</file>