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numPr>
          <w:ilvl w:val="1"/>
          <w:numId w:val="4"/>
        </w:numPr>
        <w:tabs>
          <w:tab w:val="left" w:leader="none" w:pos="0"/>
        </w:tabs>
        <w:spacing w:after="240" w:before="240" w:lineRule="auto"/>
        <w:ind w:left="0" w:firstLine="0"/>
        <w:rPr/>
      </w:pPr>
      <w:bookmarkStart w:colFirst="0" w:colLast="0" w:name="_gjdgxs" w:id="0"/>
      <w:bookmarkEnd w:id="0"/>
      <w:r w:rsidDel="00000000" w:rsidR="00000000" w:rsidRPr="00000000">
        <w:rPr>
          <w:rtl w:val="0"/>
        </w:rPr>
        <w:t xml:space="preserve">Call-Off Schedule 10 (Exit Management)</w:t>
      </w:r>
    </w:p>
    <w:p w:rsidR="00000000" w:rsidDel="00000000" w:rsidP="00000000" w:rsidRDefault="00000000" w:rsidRPr="00000000" w14:paraId="00000002">
      <w:pPr>
        <w:pStyle w:val="Heading3"/>
        <w:numPr>
          <w:ilvl w:val="0"/>
          <w:numId w:val="5"/>
        </w:numPr>
        <w:ind w:left="432" w:hanging="432"/>
        <w:rPr/>
      </w:pPr>
      <w:r w:rsidDel="00000000" w:rsidR="00000000" w:rsidRPr="00000000">
        <w:rPr>
          <w:rtl w:val="0"/>
        </w:rPr>
        <w:t xml:space="preserve">Definitions</w:t>
      </w:r>
    </w:p>
    <w:p w:rsidR="00000000" w:rsidDel="00000000" w:rsidP="00000000" w:rsidRDefault="00000000" w:rsidRPr="00000000" w14:paraId="0000000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Schedule, the following words shall have the following meanings and they shall supplement Joint Schedule 1 (Definitions):</w:t>
      </w:r>
    </w:p>
    <w:tbl>
      <w:tblPr>
        <w:tblStyle w:val="Table1"/>
        <w:tblW w:w="8656.0" w:type="dxa"/>
        <w:jc w:val="left"/>
        <w:tblInd w:w="2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96"/>
        <w:gridCol w:w="5760"/>
        <w:tblGridChange w:id="0">
          <w:tblGrid>
            <w:gridCol w:w="2896"/>
            <w:gridCol w:w="576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Exclusive Assets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 Assets used exclusively by the Supplier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or a Key Subcontractor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the provision of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Exit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Paragraph 3.1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Exit Manager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person appointed by each Party to manage their respective obligations under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Exit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Net Book Value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Non- Exclusive Assets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those Supplier Assets used by the Supplier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or a Key Subcontractor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or Key Subcontractor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other purposes;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Registers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register and configuration database referred to in Paragraph 2.2 of this Schedule;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Replacement Goods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Replacement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Termination Assistance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Termination Assistance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Paragraph 5.1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Termination Assistance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Transferable Assets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Exclusive Assets which are capable of legal transfer to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Transferable Contracts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 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Transferring Assets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Paragraph 8.2.1 of this Schedule;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Transferring Contracts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pStyle w:val="Heading3"/>
        <w:numPr>
          <w:ilvl w:val="0"/>
          <w:numId w:val="6"/>
        </w:numPr>
        <w:ind w:left="432" w:hanging="432"/>
        <w:rPr/>
      </w:pPr>
      <w:r w:rsidDel="00000000" w:rsidR="00000000" w:rsidRPr="00000000">
        <w:rPr>
          <w:rtl w:val="0"/>
        </w:rPr>
        <w:t xml:space="preserve">Supplier must always be prepared for Contract exit and SOW exit</w:t>
      </w:r>
    </w:p>
    <w:p w:rsidR="00000000" w:rsidDel="00000000" w:rsidP="00000000" w:rsidRDefault="00000000" w:rsidRPr="00000000" w14:paraId="0000002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within 30 days from the Call-Off Contract Start Date provide to the Buyer a copy of its depreciation policy to be used for the purposes of calculating Net Book Value.</w:t>
      </w:r>
    </w:p>
    <w:p w:rsidR="00000000" w:rsidDel="00000000" w:rsidP="00000000" w:rsidRDefault="00000000" w:rsidRPr="00000000" w14:paraId="0000002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During the Contract Period, the Supplier shall promptly:</w:t>
      </w:r>
    </w:p>
    <w:p w:rsidR="00000000" w:rsidDel="00000000" w:rsidP="00000000" w:rsidRDefault="00000000" w:rsidRPr="00000000" w14:paraId="0000002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and maintain a configuration database detailing the technical infrastructure and operating procedures through which the Supplier provides the Deliverables which will be stored in the Deliverables IPR asset management system which includes all Document and Source Code repositories.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2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rsidR="00000000" w:rsidDel="00000000" w:rsidP="00000000" w:rsidRDefault="00000000" w:rsidRPr="00000000" w14:paraId="0000003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Party shall appoint an Exit Manager within three (3) Months of the Call-Off Contract Start Date. The Parties' Exit Managers will liaise with one another in relation to all issues relevant to the expiry or termination of each SOW and this Contract.</w:t>
      </w:r>
    </w:p>
    <w:p w:rsidR="00000000" w:rsidDel="00000000" w:rsidP="00000000" w:rsidRDefault="00000000" w:rsidRPr="00000000" w14:paraId="00000031">
      <w:pPr>
        <w:pStyle w:val="Heading3"/>
        <w:numPr>
          <w:ilvl w:val="0"/>
          <w:numId w:val="6"/>
        </w:numPr>
        <w:ind w:left="432" w:hanging="432"/>
        <w:rPr/>
      </w:pPr>
      <w:r w:rsidDel="00000000" w:rsidR="00000000" w:rsidRPr="00000000">
        <w:rPr>
          <w:rtl w:val="0"/>
        </w:rPr>
        <w:t xml:space="preserve">Assisting re-competition for Deliverables</w:t>
      </w:r>
    </w:p>
    <w:p w:rsidR="00000000" w:rsidDel="00000000" w:rsidP="00000000" w:rsidRDefault="00000000" w:rsidRPr="00000000" w14:paraId="0000003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whether this is in relation to one or more SOWs or the Call-Off Contract.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6">
      <w:pPr>
        <w:pStyle w:val="Heading3"/>
        <w:numPr>
          <w:ilvl w:val="0"/>
          <w:numId w:val="6"/>
        </w:numPr>
        <w:ind w:left="432" w:hanging="432"/>
        <w:rPr/>
      </w:pPr>
      <w:r w:rsidDel="00000000" w:rsidR="00000000" w:rsidRPr="00000000">
        <w:rPr>
          <w:rtl w:val="0"/>
        </w:rPr>
        <w:t xml:space="preserve">Exit Plan</w:t>
      </w:r>
    </w:p>
    <w:p w:rsidR="00000000" w:rsidDel="00000000" w:rsidP="00000000" w:rsidRDefault="00000000" w:rsidRPr="00000000" w14:paraId="0000003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within three (3) Months after the Start Date, deliver to the Buyer a Call-Off Contract and SOW Exit Plan which complies with the requirements set out in Paragraph 4.3 of this Schedule and is otherwise reasonably satisfactory to the Buyer.</w:t>
      </w:r>
    </w:p>
    <w:p w:rsidR="00000000" w:rsidDel="00000000" w:rsidP="00000000" w:rsidRDefault="00000000" w:rsidRPr="00000000" w14:paraId="0000003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rsidR="00000000" w:rsidDel="00000000" w:rsidP="00000000" w:rsidRDefault="00000000" w:rsidRPr="00000000" w14:paraId="0000003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Exit Plan shall set out, as a minimum:</w:t>
      </w:r>
    </w:p>
    <w:p w:rsidR="00000000" w:rsidDel="00000000" w:rsidP="00000000" w:rsidRDefault="00000000" w:rsidRPr="00000000" w14:paraId="0000003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detailed description of both the transfer and cessation processes, including a timetable (this may require modification to take into account the need to facilitate individual SOW Exit Plan provisions which shall be updated and incorporated as part of the SOW;</w:t>
      </w:r>
    </w:p>
    <w:p w:rsidR="00000000" w:rsidDel="00000000" w:rsidP="00000000" w:rsidRDefault="00000000" w:rsidRPr="00000000" w14:paraId="0000003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proposals for providing the Buyer or a Replacement Supplier copies of all documentation relating to the use and operation of the Deliverables and required for their continued use;</w:t>
      </w:r>
    </w:p>
    <w:p w:rsidR="00000000" w:rsidDel="00000000" w:rsidP="00000000" w:rsidRDefault="00000000" w:rsidRPr="00000000" w14:paraId="0000003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4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4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45">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maintain and update the Exit Plan (and risk management plan) no less frequently than:</w:t>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prior to each SOW and no less than every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six (6) Months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throughout the Contract Period; and</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later than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twenty (20) Working Days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after a request from the Buyer for an up-to-date copy of the Exit Plan;</w:t>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ten (10) Working Days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after the date of the Termination Assistance Notice;</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twenty (20) Working Days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following, any material change to the Deliverables (including all changes under the Variation Procedure); and</w:t>
      </w:r>
    </w:p>
    <w:p w:rsidR="00000000" w:rsidDel="00000000" w:rsidP="00000000" w:rsidRDefault="00000000" w:rsidRPr="00000000" w14:paraId="0000004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w:t>
      </w:r>
    </w:p>
    <w:p w:rsidR="00000000" w:rsidDel="00000000" w:rsidP="00000000" w:rsidRDefault="00000000" w:rsidRPr="00000000" w14:paraId="0000004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D">
      <w:pPr>
        <w:pStyle w:val="Heading3"/>
        <w:numPr>
          <w:ilvl w:val="0"/>
          <w:numId w:val="6"/>
        </w:numPr>
        <w:ind w:left="432" w:hanging="432"/>
        <w:rPr/>
      </w:pPr>
      <w:r w:rsidDel="00000000" w:rsidR="00000000" w:rsidRPr="00000000">
        <w:rPr>
          <w:rtl w:val="0"/>
        </w:rPr>
        <w:t xml:space="preserve">Termination Assistance</w:t>
      </w:r>
    </w:p>
    <w:p w:rsidR="00000000" w:rsidDel="00000000" w:rsidP="00000000" w:rsidRDefault="00000000" w:rsidRPr="00000000" w14:paraId="0000004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at least four (4) Months prior to the Expiry Date or, as soon as reasonably practicable, in the case of the Call-Off Contract and each SOW (but in any event, not later than one (1) Month) following the service by either Party of a Termination Notice. The Termination Assistance Notice shall specify:</w:t>
      </w:r>
    </w:p>
    <w:p w:rsidR="00000000" w:rsidDel="00000000" w:rsidP="00000000" w:rsidRDefault="00000000" w:rsidRPr="00000000" w14:paraId="0000004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nature of the Termination Assistance required; and</w:t>
      </w:r>
    </w:p>
    <w:p w:rsidR="00000000" w:rsidDel="00000000" w:rsidP="00000000" w:rsidRDefault="00000000" w:rsidRPr="00000000" w14:paraId="0000005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5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such extension shall extend the Termination Assistance Period beyond the date twelve (12) Months after the End Date; and</w:t>
      </w:r>
    </w:p>
    <w:p w:rsidR="00000000" w:rsidDel="00000000" w:rsidP="00000000" w:rsidRDefault="00000000" w:rsidRPr="00000000" w14:paraId="0000005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notify the Supplier of any such extension no later than twenty (20) Working Days prior to the date on which the Termination Assistance Period is otherwise due to expire.</w:t>
      </w:r>
    </w:p>
    <w:p w:rsidR="00000000" w:rsidDel="00000000" w:rsidP="00000000" w:rsidRDefault="00000000" w:rsidRPr="00000000" w14:paraId="0000005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6">
      <w:pPr>
        <w:pStyle w:val="Heading3"/>
        <w:numPr>
          <w:ilvl w:val="0"/>
          <w:numId w:val="6"/>
        </w:numPr>
        <w:ind w:left="432" w:hanging="432"/>
        <w:rPr/>
      </w:pPr>
      <w:r w:rsidDel="00000000" w:rsidR="00000000" w:rsidRPr="00000000">
        <w:rPr>
          <w:rtl w:val="0"/>
        </w:rPr>
        <w:t xml:space="preserve">Termination Assistance Period</w:t>
      </w:r>
    </w:p>
    <w:p w:rsidR="00000000" w:rsidDel="00000000" w:rsidP="00000000" w:rsidRDefault="00000000" w:rsidRPr="00000000" w14:paraId="0000005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Throughout the Termination Assistance Period the Supplier shall:</w:t>
      </w:r>
    </w:p>
    <w:p w:rsidR="00000000" w:rsidDel="00000000" w:rsidP="00000000" w:rsidRDefault="00000000" w:rsidRPr="00000000" w14:paraId="0000005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6.3, provide the Deliverables and the Termination Assistance at no detriment to the Performance Indicators (PI’s) or Service Levels or KPIs, the provision of the Management Information or any other reports or to any other of the Supplier's obligations under this Contract;</w:t>
      </w:r>
    </w:p>
    <w:p w:rsidR="00000000" w:rsidDel="00000000" w:rsidP="00000000" w:rsidRDefault="00000000" w:rsidRPr="00000000" w14:paraId="0000005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or KPIs, the Parties shall vary the relevant KPIs, Service Levels and/or the applicable Service Credits accordingly.</w:t>
      </w:r>
    </w:p>
    <w:p w:rsidR="00000000" w:rsidDel="00000000" w:rsidP="00000000" w:rsidRDefault="00000000" w:rsidRPr="00000000" w14:paraId="00000060">
      <w:pPr>
        <w:pStyle w:val="Heading3"/>
        <w:numPr>
          <w:ilvl w:val="0"/>
          <w:numId w:val="6"/>
        </w:numPr>
        <w:ind w:left="432" w:hanging="432"/>
        <w:rPr/>
      </w:pPr>
      <w:r w:rsidDel="00000000" w:rsidR="00000000" w:rsidRPr="00000000">
        <w:rPr>
          <w:rtl w:val="0"/>
        </w:rPr>
        <w:t xml:space="preserve">Obligations when the contract is terminated</w:t>
      </w:r>
    </w:p>
    <w:p w:rsidR="00000000" w:rsidDel="00000000" w:rsidP="00000000" w:rsidRDefault="00000000" w:rsidRPr="00000000" w14:paraId="0000006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vacate any Buyer Premises;</w:t>
      </w:r>
    </w:p>
    <w:p w:rsidR="00000000" w:rsidDel="00000000" w:rsidP="00000000" w:rsidRDefault="00000000" w:rsidRPr="00000000" w14:paraId="00000064">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rsidR="00000000" w:rsidDel="00000000" w:rsidP="00000000" w:rsidRDefault="00000000" w:rsidRPr="00000000" w14:paraId="00000065">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9">
      <w:pPr>
        <w:pStyle w:val="Heading3"/>
        <w:numPr>
          <w:ilvl w:val="0"/>
          <w:numId w:val="6"/>
        </w:numPr>
        <w:ind w:left="432" w:hanging="432"/>
        <w:rPr/>
      </w:pPr>
      <w:r w:rsidDel="00000000" w:rsidR="00000000" w:rsidRPr="00000000">
        <w:rPr>
          <w:rtl w:val="0"/>
        </w:rPr>
        <w:t xml:space="preserve">Assets, Sub-contracts and Software</w:t>
      </w:r>
    </w:p>
    <w:p w:rsidR="00000000" w:rsidDel="00000000" w:rsidP="00000000" w:rsidRDefault="00000000" w:rsidRPr="00000000" w14:paraId="0000006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bookmarkStart w:colFirst="0" w:colLast="0" w:name="30j0zll" w:id="1"/>
    <w:bookmarkEnd w:id="1"/>
    <w:p w:rsidR="00000000" w:rsidDel="00000000" w:rsidP="00000000" w:rsidRDefault="00000000" w:rsidRPr="00000000" w14:paraId="0000006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which, if any, of:</w:t>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Exclusive Assets that are not Transferable Assets; and</w:t>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Non-Exclusive Assets,</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w:t>
      </w:r>
    </w:p>
    <w:p w:rsidR="00000000" w:rsidDel="00000000" w:rsidP="00000000" w:rsidRDefault="00000000" w:rsidRPr="00000000" w14:paraId="0000007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w:t>
      </w:r>
    </w:p>
    <w:p w:rsidR="00000000" w:rsidDel="00000000" w:rsidP="00000000" w:rsidRDefault="00000000" w:rsidRPr="00000000" w14:paraId="0000007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80">
      <w:pPr>
        <w:pStyle w:val="Heading3"/>
        <w:numPr>
          <w:ilvl w:val="0"/>
          <w:numId w:val="6"/>
        </w:numPr>
        <w:ind w:left="432" w:hanging="432"/>
        <w:rPr/>
      </w:pPr>
      <w:r w:rsidDel="00000000" w:rsidR="00000000" w:rsidRPr="00000000">
        <w:rPr>
          <w:rtl w:val="0"/>
        </w:rPr>
        <w:t xml:space="preserve">No charges</w:t>
      </w:r>
    </w:p>
    <w:p w:rsidR="00000000" w:rsidDel="00000000" w:rsidP="00000000" w:rsidRDefault="00000000" w:rsidRPr="00000000" w14:paraId="0000008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2">
      <w:pPr>
        <w:pStyle w:val="Heading3"/>
        <w:numPr>
          <w:ilvl w:val="0"/>
          <w:numId w:val="6"/>
        </w:numPr>
        <w:ind w:left="432" w:hanging="432"/>
        <w:rPr/>
      </w:pPr>
      <w:r w:rsidDel="00000000" w:rsidR="00000000" w:rsidRPr="00000000">
        <w:rPr>
          <w:rtl w:val="0"/>
        </w:rPr>
        <w:t xml:space="preserve">Dividing the bills</w:t>
      </w:r>
    </w:p>
    <w:p w:rsidR="00000000" w:rsidDel="00000000" w:rsidP="00000000" w:rsidRDefault="00000000" w:rsidRPr="00000000" w14:paraId="0000008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4">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5">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be responsible for or entitled to (as the case may be) the rest of the invoice.</w:t>
      </w:r>
    </w:p>
    <w:sectPr>
      <w:headerReference r:id="rId6" w:type="default"/>
      <w:footerReference r:id="rId7"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tabs>
        <w:tab w:val="center" w:leader="none" w:pos="4513"/>
        <w:tab w:val="right" w:leader="none" w:pos="9026"/>
      </w:tabs>
      <w:spacing w:after="0" w:before="0" w:lineRule="auto"/>
      <w:ind w:left="0" w:right="360" w:firstLine="0"/>
      <w:rPr/>
    </w:pPr>
    <w:r w:rsidDel="00000000" w:rsidR="00000000" w:rsidRPr="00000000">
      <w:rPr>
        <w:rtl w:val="0"/>
      </w:rPr>
      <w:t xml:space="preserve">Framework Ref: RM1043.8 Digital Outcomes 6</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
              <a:graphic>
                <a:graphicData uri="http://schemas.microsoft.com/office/word/2010/wordprocessingShape">
                  <wps:wsp>
                    <wps:cNvSpPr/>
                    <wps:cNvPr id="2" name="Shape 2"/>
                    <wps:spPr>
                      <a:xfrm>
                        <a:off x="5306948" y="3699673"/>
                        <a:ext cx="78105" cy="1606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7</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7630" cy="170180"/>
                      </a:xfrm>
                      <a:prstGeom prst="rect"/>
                      <a:ln/>
                    </pic:spPr>
                  </pic:pic>
                </a:graphicData>
              </a:graphic>
            </wp:anchor>
          </w:drawing>
        </mc:Fallback>
      </mc:AlternateContent>
    </w:r>
  </w:p>
  <w:p w:rsidR="00000000" w:rsidDel="00000000" w:rsidP="00000000" w:rsidRDefault="00000000" w:rsidRPr="00000000" w14:paraId="0000008B">
    <w:pPr>
      <w:tabs>
        <w:tab w:val="center" w:leader="none" w:pos="4513"/>
        <w:tab w:val="right" w:leader="none" w:pos="9026"/>
      </w:tabs>
      <w:spacing w:after="0" w:before="0" w:lineRule="auto"/>
      <w:ind w:left="0" w:firstLine="0"/>
      <w:rPr/>
    </w:pPr>
    <w:r w:rsidDel="00000000" w:rsidR="00000000" w:rsidRPr="00000000">
      <w:rPr>
        <w:rtl w:val="0"/>
      </w:rPr>
      <w:t xml:space="preserve">Project Version: v1.0</w:t>
    </w:r>
  </w:p>
  <w:p w:rsidR="00000000" w:rsidDel="00000000" w:rsidP="00000000" w:rsidRDefault="00000000" w:rsidRPr="00000000" w14:paraId="0000008C">
    <w:pPr>
      <w:tabs>
        <w:tab w:val="center" w:leader="none" w:pos="4513"/>
        <w:tab w:val="right" w:leader="none" w:pos="9026"/>
      </w:tabs>
      <w:spacing w:after="0" w:before="0" w:lineRule="auto"/>
      <w:ind w:left="0" w:firstLine="0"/>
      <w:rPr/>
    </w:pPr>
    <w:r w:rsidDel="00000000" w:rsidR="00000000" w:rsidRPr="00000000">
      <w:rPr>
        <w:rtl w:val="0"/>
      </w:rPr>
      <w:t xml:space="preserve">Model Version: v3.2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pStyle w:val="Heading2"/>
      <w:numPr>
        <w:ilvl w:val="1"/>
        <w:numId w:val="4"/>
      </w:numPr>
      <w:tabs>
        <w:tab w:val="left" w:leader="none" w:pos="0"/>
      </w:tabs>
      <w:spacing w:after="0" w:before="0" w:line="240" w:lineRule="auto"/>
      <w:ind w:left="0" w:firstLine="0"/>
      <w:rPr>
        <w:sz w:val="22"/>
        <w:szCs w:val="22"/>
      </w:rPr>
    </w:pPr>
    <w:r w:rsidDel="00000000" w:rsidR="00000000" w:rsidRPr="00000000">
      <w:rPr>
        <w:sz w:val="22"/>
        <w:szCs w:val="22"/>
        <w:rtl w:val="0"/>
      </w:rPr>
      <w:t xml:space="preserve">Call-Off Schedule 10 (Exit Management)</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Ref: RM1043.8</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5">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6">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spacing w:after="120" w:before="120" w:lineRule="auto"/>
        <w:ind w:left="357" w:firstLine="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