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3"/>
        </w:numPr>
        <w:tabs>
          <w:tab w:val="left" w:leader="none" w:pos="0"/>
        </w:tabs>
        <w:spacing w:after="240" w:before="240" w:lineRule="auto"/>
        <w:ind w:left="0" w:firstLine="0"/>
        <w:rPr/>
      </w:pPr>
      <w:bookmarkStart w:colFirst="0" w:colLast="0" w:name="_heading=h.gjdgxs" w:id="0"/>
      <w:bookmarkEnd w:id="0"/>
      <w:r w:rsidDel="00000000" w:rsidR="00000000" w:rsidRPr="00000000">
        <w:rPr>
          <w:rtl w:val="0"/>
        </w:rPr>
        <w:t xml:space="preserve">Call-Off Schedule 1 (Transparency Reports)</w:t>
      </w:r>
    </w:p>
    <w:p w:rsidR="00000000" w:rsidDel="00000000" w:rsidP="00000000" w:rsidRDefault="00000000" w:rsidRPr="00000000" w14:paraId="00000002">
      <w:pPr>
        <w:pStyle w:val="Heading3"/>
        <w:numPr>
          <w:ilvl w:val="0"/>
          <w:numId w:val="1"/>
        </w:numPr>
        <w:ind w:left="432" w:hanging="432"/>
        <w:rPr/>
      </w:pPr>
      <w:r w:rsidDel="00000000" w:rsidR="00000000" w:rsidRPr="00000000">
        <w:rPr>
          <w:rtl w:val="0"/>
        </w:rPr>
        <w:t xml:space="preserve">Transparency Reports</w:t>
      </w:r>
    </w:p>
    <w:p w:rsidR="00000000" w:rsidDel="00000000" w:rsidP="00000000" w:rsidRDefault="00000000" w:rsidRPr="00000000" w14:paraId="0000000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recognises that the Buyer is subject to PPN 01/17 (Updates to transparency principles v1.1 (</w:t>
      </w:r>
      <w:hyperlink r:id="rId7">
        <w:r w:rsidDel="00000000" w:rsidR="00000000" w:rsidRPr="00000000">
          <w:rPr>
            <w:rFonts w:ascii="Arial" w:cs="Arial" w:eastAsia="Arial" w:hAnsi="Arial"/>
            <w:b w:val="0"/>
            <w:i w:val="0"/>
            <w:smallCaps w:val="0"/>
            <w:strike w:val="0"/>
            <w:color w:val="0563c1"/>
            <w:sz w:val="22"/>
            <w:szCs w:val="22"/>
            <w:u w:val="single"/>
            <w:shd w:fill="auto" w:val="clear"/>
            <w:vertAlign w:val="baseline"/>
            <w:rtl w:val="0"/>
          </w:rPr>
          <w:t xml:space="preserve">https://www.gov.uk/government/publications/procurement-policy-note-0117-update-to-transparency-principles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0" w:line="240" w:lineRule="auto"/>
        <w:ind w:left="576" w:right="0" w:hanging="576"/>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08">
      <w:pPr>
        <w:pStyle w:val="Heading3"/>
        <w:numPr>
          <w:ilvl w:val="2"/>
          <w:numId w:val="3"/>
        </w:numPr>
        <w:tabs>
          <w:tab w:val="left" w:leader="none" w:pos="0"/>
        </w:tabs>
        <w:ind w:left="0" w:firstLine="0"/>
        <w:rPr/>
      </w:pPr>
      <w:r w:rsidDel="00000000" w:rsidR="00000000" w:rsidRPr="00000000">
        <w:rPr>
          <w:rtl w:val="0"/>
        </w:rPr>
        <w:t xml:space="preserve">Annex A: List of Transparency Reports</w:t>
      </w:r>
      <w:r w:rsidDel="00000000" w:rsidR="00000000" w:rsidRPr="00000000">
        <w:rPr>
          <w:rtl w:val="0"/>
        </w:rPr>
      </w:r>
    </w:p>
    <w:tbl>
      <w:tblPr>
        <w:tblStyle w:val="Table1"/>
        <w:tblW w:w="8992.0" w:type="dxa"/>
        <w:jc w:val="left"/>
        <w:tblInd w:w="-1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Title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Content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Format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Frequency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metrics]</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[Key Subcontractors and supply chain governance]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[Technical]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8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[Performance and underperformance management]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rPr>
          <w:cantSplit w:val="0"/>
          <w:trHeight w:val="395"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[Resource plans]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bl>
    <w:bookmarkStart w:colFirst="0" w:colLast="0" w:name="bookmark=id.1fob9te" w:id="2"/>
    <w:bookmarkEnd w:id="2"/>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Guidance note:</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 PPN 01/17 the following types of information are to be included in the Transparency Reports:</w:t>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contract prices and any incentivisation mechanisms in the contract</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performance metrics</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plans for management of underperformance</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governance arrangements, including those for supply chains where significant contract value rests with subcontractors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resource plans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service improvement plans</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frequency of information release.]</w:t>
      </w:r>
    </w:p>
    <w:sectPr>
      <w:headerReference r:id="rId8" w:type="default"/>
      <w:footerReference r:id="rId9"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97155" cy="179705"/>
                      </a:xfrm>
                      <a:prstGeom prst="rect"/>
                      <a:ln/>
                    </pic:spPr>
                  </pic:pic>
                </a:graphicData>
              </a:graphic>
            </wp:anchor>
          </w:drawing>
        </mc:Fallback>
      </mc:AlternateContent>
    </w:r>
  </w:p>
  <w:p w:rsidR="00000000" w:rsidDel="00000000" w:rsidP="00000000" w:rsidRDefault="00000000" w:rsidRPr="00000000" w14:paraId="00000042">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43">
    <w:pPr>
      <w:tabs>
        <w:tab w:val="center" w:leader="none" w:pos="4513"/>
        <w:tab w:val="right" w:leader="none" w:pos="9026"/>
      </w:tabs>
      <w:spacing w:after="0" w:before="0" w:lineRule="auto"/>
      <w:ind w:left="0" w:firstLine="0"/>
      <w:rPr/>
    </w:pPr>
    <w:r w:rsidDel="00000000" w:rsidR="00000000" w:rsidRPr="00000000">
      <w:rPr>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Call-Off Ref: RM1043.8</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4">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firstLine="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240" w:before="240" w:line="360"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36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JADjzG7KUlQjDnQr8+uqKSu0sA==">CgMxLjAyCGguZ2pkZ3hzMgloLjMwajB6bGwyCmlkLjFmb2I5dGU4AHIhMUFwa0ExZURyX2U5cks0aW83R2syemFzYVVXU2F0UU9i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