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CA0" w:rsidRPr="00EC35BB" w:rsidRDefault="003D7CA0" w:rsidP="003D7CA0">
      <w:pPr>
        <w:spacing w:before="100" w:beforeAutospacing="1" w:after="100" w:afterAutospacing="1" w:line="240" w:lineRule="auto"/>
        <w:rPr>
          <w:rFonts w:eastAsia="Times New Roman" w:cstheme="minorHAnsi"/>
          <w:b/>
          <w:sz w:val="24"/>
          <w:szCs w:val="24"/>
          <w:lang w:eastAsia="en-GB"/>
        </w:rPr>
      </w:pPr>
      <w:r w:rsidRPr="00EC35BB">
        <w:rPr>
          <w:rFonts w:eastAsia="Times New Roman" w:cstheme="minorHAnsi"/>
          <w:b/>
          <w:sz w:val="24"/>
          <w:szCs w:val="24"/>
          <w:lang w:eastAsia="en-GB"/>
        </w:rPr>
        <w:t>Introduction</w:t>
      </w:r>
    </w:p>
    <w:p w:rsidR="00EC35BB" w:rsidRPr="00EC35BB" w:rsidRDefault="00EC35BB" w:rsidP="00EC35BB">
      <w:pPr>
        <w:rPr>
          <w:rFonts w:cstheme="minorHAnsi"/>
          <w:color w:val="181818"/>
          <w:sz w:val="24"/>
          <w:szCs w:val="24"/>
        </w:rPr>
      </w:pPr>
      <w:r w:rsidRPr="00EC35BB">
        <w:rPr>
          <w:rFonts w:cstheme="minorHAnsi"/>
          <w:color w:val="181818"/>
          <w:sz w:val="24"/>
          <w:szCs w:val="24"/>
          <w:shd w:val="clear" w:color="auto" w:fill="FFFFFF"/>
        </w:rPr>
        <w:t>NHS London Procurement Partnership (NHS LPP) is a member-led organisation that provides pan-London procurement services to the NHS and the Public Sector which includes estates, facilities and consultancy services to our members.</w:t>
      </w:r>
      <w:r w:rsidRPr="00EC35BB">
        <w:rPr>
          <w:rFonts w:cstheme="minorHAnsi"/>
          <w:color w:val="181818"/>
          <w:sz w:val="24"/>
          <w:szCs w:val="24"/>
        </w:rPr>
        <w:br/>
      </w:r>
      <w:r w:rsidRPr="00EC35BB">
        <w:rPr>
          <w:rFonts w:cstheme="minorHAnsi"/>
          <w:color w:val="181818"/>
          <w:sz w:val="24"/>
          <w:szCs w:val="24"/>
          <w:shd w:val="clear" w:color="auto" w:fill="FFFFFF"/>
        </w:rPr>
        <w:t xml:space="preserve">NHS LPP also offers the same services nationwide as part of the NHS Procurement in Partnership (NHS PiP) collaboration. Our NHS PiP partners are NHS North of England Commercial Procurement Collaborative (NHS </w:t>
      </w:r>
      <w:proofErr w:type="spellStart"/>
      <w:r w:rsidRPr="00EC35BB">
        <w:rPr>
          <w:rFonts w:cstheme="minorHAnsi"/>
          <w:color w:val="181818"/>
          <w:sz w:val="24"/>
          <w:szCs w:val="24"/>
          <w:shd w:val="clear" w:color="auto" w:fill="FFFFFF"/>
        </w:rPr>
        <w:t>NoE</w:t>
      </w:r>
      <w:proofErr w:type="spellEnd"/>
      <w:r w:rsidRPr="00EC35BB">
        <w:rPr>
          <w:rFonts w:cstheme="minorHAnsi"/>
          <w:color w:val="181818"/>
          <w:sz w:val="24"/>
          <w:szCs w:val="24"/>
          <w:shd w:val="clear" w:color="auto" w:fill="FFFFFF"/>
        </w:rPr>
        <w:t xml:space="preserve"> CPC), NHS Commercial Solutions (NHS CS) and NHS East of England Collaborative Procurement Hub (NHS </w:t>
      </w:r>
      <w:proofErr w:type="spellStart"/>
      <w:r w:rsidRPr="00EC35BB">
        <w:rPr>
          <w:rFonts w:cstheme="minorHAnsi"/>
          <w:color w:val="181818"/>
          <w:sz w:val="24"/>
          <w:szCs w:val="24"/>
          <w:shd w:val="clear" w:color="auto" w:fill="FFFFFF"/>
        </w:rPr>
        <w:t>EoE</w:t>
      </w:r>
      <w:proofErr w:type="spellEnd"/>
      <w:r w:rsidRPr="00EC35BB">
        <w:rPr>
          <w:rFonts w:cstheme="minorHAnsi"/>
          <w:color w:val="181818"/>
          <w:sz w:val="24"/>
          <w:szCs w:val="24"/>
          <w:shd w:val="clear" w:color="auto" w:fill="FFFFFF"/>
        </w:rPr>
        <w:t xml:space="preserve"> CPH)</w:t>
      </w:r>
      <w:r w:rsidRPr="00EC35BB">
        <w:rPr>
          <w:rFonts w:cstheme="minorHAnsi"/>
          <w:color w:val="181818"/>
          <w:sz w:val="24"/>
          <w:szCs w:val="24"/>
        </w:rPr>
        <w:br/>
      </w:r>
      <w:r w:rsidRPr="00EC35BB">
        <w:rPr>
          <w:rFonts w:cstheme="minorHAnsi"/>
          <w:color w:val="181818"/>
          <w:sz w:val="24"/>
          <w:szCs w:val="24"/>
        </w:rPr>
        <w:br/>
      </w:r>
      <w:r w:rsidRPr="00EC35BB">
        <w:rPr>
          <w:rFonts w:cstheme="minorHAnsi"/>
          <w:b/>
          <w:color w:val="181818"/>
          <w:sz w:val="24"/>
          <w:szCs w:val="24"/>
          <w:shd w:val="clear" w:color="auto" w:fill="FFFFFF"/>
        </w:rPr>
        <w:t>The Opportunity</w:t>
      </w:r>
    </w:p>
    <w:p w:rsidR="00EC35BB" w:rsidRPr="00EC35BB" w:rsidRDefault="00EC35BB" w:rsidP="00EC35BB">
      <w:pPr>
        <w:rPr>
          <w:rFonts w:cstheme="minorHAnsi"/>
          <w:color w:val="181818"/>
          <w:sz w:val="24"/>
          <w:szCs w:val="24"/>
          <w:shd w:val="clear" w:color="auto" w:fill="FFFFFF"/>
        </w:rPr>
      </w:pPr>
      <w:r w:rsidRPr="00EC35BB">
        <w:rPr>
          <w:rFonts w:cstheme="minorHAnsi"/>
          <w:color w:val="181818"/>
          <w:sz w:val="24"/>
          <w:szCs w:val="24"/>
        </w:rPr>
        <w:br/>
      </w:r>
      <w:r w:rsidRPr="00EC35BB">
        <w:rPr>
          <w:rFonts w:cstheme="minorHAnsi"/>
          <w:color w:val="181818"/>
          <w:sz w:val="24"/>
          <w:szCs w:val="24"/>
          <w:shd w:val="clear" w:color="auto" w:fill="FFFFFF"/>
        </w:rPr>
        <w:t>On behalf of our members, as a current pan-London initiative, we are looking to engage with service providers to undertake energy efficiency activity using building management systems (BMS), in order to maximise the reduction of energy consumption and cost through asset upgrade and/or additions including utility usage management.  The three main activities are as follows:</w:t>
      </w:r>
      <w:r w:rsidRPr="00EC35BB">
        <w:rPr>
          <w:rFonts w:cstheme="minorHAnsi"/>
          <w:color w:val="181818"/>
          <w:sz w:val="24"/>
          <w:szCs w:val="24"/>
        </w:rPr>
        <w:br/>
      </w:r>
      <w:r w:rsidRPr="00EC35BB">
        <w:rPr>
          <w:rFonts w:cstheme="minorHAnsi"/>
          <w:color w:val="181818"/>
          <w:sz w:val="24"/>
          <w:szCs w:val="24"/>
        </w:rPr>
        <w:br/>
      </w:r>
      <w:r w:rsidRPr="00EC35BB">
        <w:rPr>
          <w:rFonts w:cstheme="minorHAnsi"/>
          <w:color w:val="181818"/>
          <w:sz w:val="24"/>
          <w:szCs w:val="24"/>
          <w:shd w:val="clear" w:color="auto" w:fill="FFFFFF"/>
        </w:rPr>
        <w:t>1. Energy analysis of current building management systems (BMS):</w:t>
      </w:r>
      <w:r w:rsidRPr="00EC35BB">
        <w:rPr>
          <w:rFonts w:cstheme="minorHAnsi"/>
          <w:color w:val="181818"/>
          <w:sz w:val="24"/>
          <w:szCs w:val="24"/>
        </w:rPr>
        <w:br/>
      </w:r>
      <w:r w:rsidRPr="00EC35BB">
        <w:rPr>
          <w:rFonts w:cstheme="minorHAnsi"/>
          <w:color w:val="181818"/>
          <w:sz w:val="24"/>
          <w:szCs w:val="24"/>
          <w:shd w:val="clear" w:color="auto" w:fill="FFFFFF"/>
        </w:rPr>
        <w:t>Conduct detailed surveys of NHS trust BMS with a view to provide a comprehensive report of appropriate work packages, ranked in order of expected payback period within 3 years, where value added energy over-use mitigation activity can be made across the NHS trust’s estate, with costs and timescales clearly defined.  This survey and report would facilitate activities 2 and 3 below.</w:t>
      </w:r>
      <w:r w:rsidRPr="00EC35BB">
        <w:rPr>
          <w:rFonts w:cstheme="minorHAnsi"/>
          <w:color w:val="181818"/>
          <w:sz w:val="24"/>
          <w:szCs w:val="24"/>
        </w:rPr>
        <w:br/>
      </w:r>
      <w:r w:rsidRPr="00EC35BB">
        <w:rPr>
          <w:rFonts w:cstheme="minorHAnsi"/>
          <w:color w:val="181818"/>
          <w:sz w:val="24"/>
          <w:szCs w:val="24"/>
        </w:rPr>
        <w:br/>
      </w:r>
      <w:r w:rsidRPr="00EC35BB">
        <w:rPr>
          <w:rFonts w:cstheme="minorHAnsi"/>
          <w:color w:val="181818"/>
          <w:sz w:val="24"/>
          <w:szCs w:val="24"/>
          <w:shd w:val="clear" w:color="auto" w:fill="FFFFFF"/>
        </w:rPr>
        <w:t xml:space="preserve">2. Building optimisation: </w:t>
      </w:r>
      <w:r w:rsidRPr="00EC35BB">
        <w:rPr>
          <w:rFonts w:cstheme="minorHAnsi"/>
          <w:color w:val="181818"/>
          <w:sz w:val="24"/>
          <w:szCs w:val="24"/>
          <w:shd w:val="clear" w:color="auto" w:fill="FFFFFF"/>
        </w:rPr>
        <w:br/>
        <w:t>Undertake mechanical and electrical (M&amp;E) engineering services, delivering the recommended works from the energy analysis, as and when ordered by the trust.  Although not an exhaustive list, examples of this work could include:</w:t>
      </w:r>
      <w:r w:rsidRPr="00EC35BB">
        <w:rPr>
          <w:rFonts w:cstheme="minorHAnsi"/>
          <w:color w:val="181818"/>
          <w:sz w:val="24"/>
          <w:szCs w:val="24"/>
        </w:rPr>
        <w:br/>
      </w:r>
      <w:r w:rsidRPr="00EC35BB">
        <w:rPr>
          <w:rFonts w:cstheme="minorHAnsi"/>
          <w:color w:val="181818"/>
          <w:sz w:val="24"/>
          <w:szCs w:val="24"/>
          <w:shd w:val="clear" w:color="auto" w:fill="FFFFFF"/>
        </w:rPr>
        <w:t>a. Ait handling unit (AHU) optimisation</w:t>
      </w:r>
      <w:r w:rsidRPr="00EC35BB">
        <w:rPr>
          <w:rFonts w:cstheme="minorHAnsi"/>
          <w:color w:val="181818"/>
          <w:sz w:val="24"/>
          <w:szCs w:val="24"/>
        </w:rPr>
        <w:br/>
      </w:r>
      <w:r w:rsidRPr="00EC35BB">
        <w:rPr>
          <w:rFonts w:cstheme="minorHAnsi"/>
          <w:color w:val="181818"/>
          <w:sz w:val="24"/>
          <w:szCs w:val="24"/>
          <w:shd w:val="clear" w:color="auto" w:fill="FFFFFF"/>
        </w:rPr>
        <w:t>b. Water systems (LTHW, CHW and HWS) optimisation</w:t>
      </w:r>
      <w:r w:rsidRPr="00EC35BB">
        <w:rPr>
          <w:rFonts w:cstheme="minorHAnsi"/>
          <w:color w:val="181818"/>
          <w:sz w:val="24"/>
          <w:szCs w:val="24"/>
        </w:rPr>
        <w:br/>
      </w:r>
      <w:r w:rsidRPr="00EC35BB">
        <w:rPr>
          <w:rFonts w:cstheme="minorHAnsi"/>
          <w:color w:val="181818"/>
          <w:sz w:val="24"/>
          <w:szCs w:val="24"/>
          <w:shd w:val="clear" w:color="auto" w:fill="FFFFFF"/>
        </w:rPr>
        <w:t>c. Air Conditioning integration and optimisation</w:t>
      </w:r>
      <w:r w:rsidRPr="00EC35BB">
        <w:rPr>
          <w:rFonts w:cstheme="minorHAnsi"/>
          <w:color w:val="181818"/>
          <w:sz w:val="24"/>
          <w:szCs w:val="24"/>
        </w:rPr>
        <w:br/>
      </w:r>
      <w:r w:rsidRPr="00EC35BB">
        <w:rPr>
          <w:rFonts w:cstheme="minorHAnsi"/>
          <w:color w:val="181818"/>
          <w:sz w:val="24"/>
          <w:szCs w:val="24"/>
        </w:rPr>
        <w:br/>
      </w:r>
      <w:r w:rsidRPr="00EC35BB">
        <w:rPr>
          <w:rFonts w:cstheme="minorHAnsi"/>
          <w:color w:val="181818"/>
          <w:sz w:val="24"/>
          <w:szCs w:val="24"/>
          <w:shd w:val="clear" w:color="auto" w:fill="FFFFFF"/>
        </w:rPr>
        <w:t xml:space="preserve">3. Utility management: </w:t>
      </w:r>
      <w:r w:rsidRPr="00EC35BB">
        <w:rPr>
          <w:rFonts w:cstheme="minorHAnsi"/>
          <w:color w:val="181818"/>
          <w:sz w:val="24"/>
          <w:szCs w:val="24"/>
          <w:shd w:val="clear" w:color="auto" w:fill="FFFFFF"/>
        </w:rPr>
        <w:br/>
        <w:t>Ongoing monitoring and review, preferably utilising analytics, smart systems and the internet of things for the upgrades, in order to offer a data-led approach to ongoing management of BMS and associated assets. This is to maintain a reduction or improvement of energy consumption and provide further feedback to the client site on a live basis.</w:t>
      </w:r>
      <w:r w:rsidRPr="00EC35BB">
        <w:rPr>
          <w:rFonts w:cstheme="minorHAnsi"/>
          <w:color w:val="181818"/>
          <w:sz w:val="24"/>
          <w:szCs w:val="24"/>
        </w:rPr>
        <w:br/>
      </w:r>
      <w:r w:rsidRPr="00EC35BB">
        <w:rPr>
          <w:rFonts w:cstheme="minorHAnsi"/>
          <w:color w:val="181818"/>
          <w:sz w:val="24"/>
          <w:szCs w:val="24"/>
          <w:shd w:val="clear" w:color="auto" w:fill="FFFFFF"/>
        </w:rPr>
        <w:t> </w:t>
      </w:r>
      <w:r w:rsidRPr="00EC35BB">
        <w:rPr>
          <w:rFonts w:cstheme="minorHAnsi"/>
          <w:color w:val="181818"/>
          <w:sz w:val="24"/>
          <w:szCs w:val="24"/>
        </w:rPr>
        <w:br/>
      </w:r>
      <w:r w:rsidRPr="00EC35BB">
        <w:rPr>
          <w:rFonts w:cstheme="minorHAnsi"/>
          <w:b/>
          <w:color w:val="181818"/>
          <w:sz w:val="24"/>
          <w:szCs w:val="24"/>
          <w:shd w:val="clear" w:color="auto" w:fill="FFFFFF"/>
        </w:rPr>
        <w:t>Scope</w:t>
      </w:r>
    </w:p>
    <w:p w:rsidR="00EC35BB" w:rsidRPr="00EC35BB" w:rsidRDefault="00EC35BB" w:rsidP="00EC35BB">
      <w:pPr>
        <w:rPr>
          <w:rFonts w:cstheme="minorHAnsi"/>
          <w:color w:val="181818"/>
          <w:sz w:val="24"/>
          <w:szCs w:val="24"/>
          <w:shd w:val="clear" w:color="auto" w:fill="FFFFFF"/>
        </w:rPr>
      </w:pPr>
      <w:r w:rsidRPr="00EC35BB">
        <w:rPr>
          <w:rFonts w:cstheme="minorHAnsi"/>
          <w:color w:val="181818"/>
          <w:sz w:val="24"/>
          <w:szCs w:val="24"/>
        </w:rPr>
        <w:br/>
      </w:r>
      <w:r w:rsidRPr="00EC35BB">
        <w:rPr>
          <w:rFonts w:cstheme="minorHAnsi"/>
          <w:color w:val="181818"/>
          <w:sz w:val="24"/>
          <w:szCs w:val="24"/>
          <w:shd w:val="clear" w:color="auto" w:fill="FFFFFF"/>
        </w:rPr>
        <w:t xml:space="preserve">The total value of the opportunity is not anticipated to exceed £5m over the full term.  However, the likely value in the first year could be up to £500k, where pilot work is </w:t>
      </w:r>
      <w:r w:rsidRPr="00EC35BB">
        <w:rPr>
          <w:rFonts w:cstheme="minorHAnsi"/>
          <w:color w:val="181818"/>
          <w:sz w:val="24"/>
          <w:szCs w:val="24"/>
          <w:shd w:val="clear" w:color="auto" w:fill="FFFFFF"/>
        </w:rPr>
        <w:lastRenderedPageBreak/>
        <w:t>undertaken to build NHS case studies and illustrate the benefits and payback across an NHS estate in London.</w:t>
      </w:r>
      <w:r w:rsidRPr="00EC35BB">
        <w:rPr>
          <w:rFonts w:cstheme="minorHAnsi"/>
          <w:color w:val="181818"/>
          <w:sz w:val="24"/>
          <w:szCs w:val="24"/>
        </w:rPr>
        <w:br/>
      </w:r>
      <w:r w:rsidRPr="00EC35BB">
        <w:rPr>
          <w:rFonts w:cstheme="minorHAnsi"/>
          <w:color w:val="181818"/>
          <w:sz w:val="24"/>
          <w:szCs w:val="24"/>
          <w:shd w:val="clear" w:color="auto" w:fill="FFFFFF"/>
        </w:rPr>
        <w:t>The expected contract duration could be up to 10 years, depending on the preference of each NHS trust.</w:t>
      </w:r>
      <w:r w:rsidRPr="00EC35BB">
        <w:rPr>
          <w:rFonts w:cstheme="minorHAnsi"/>
          <w:color w:val="181818"/>
          <w:sz w:val="24"/>
          <w:szCs w:val="24"/>
        </w:rPr>
        <w:br/>
      </w:r>
      <w:r w:rsidRPr="00EC35BB">
        <w:rPr>
          <w:rFonts w:cstheme="minorHAnsi"/>
          <w:color w:val="181818"/>
          <w:sz w:val="24"/>
          <w:szCs w:val="24"/>
          <w:shd w:val="clear" w:color="auto" w:fill="FFFFFF"/>
        </w:rPr>
        <w:t>The core sites are expected to be within Greater London in the first year as part of the pan-London initiative being undertaken.  However, after Year 1, in order to allow all trusts to benefit from any savings realised, we may publicise findings which may lead to the inclusion of any NHS LPP and/or NHS PiP members nationally, as and where required. We would not exclude any NHS PiP member should they request this service, to meet the purpose of mitigating rising energy costs.</w:t>
      </w:r>
    </w:p>
    <w:p w:rsidR="00EC35BB" w:rsidRPr="00EC35BB" w:rsidRDefault="00EC35BB" w:rsidP="00EC35BB">
      <w:pPr>
        <w:rPr>
          <w:rFonts w:cstheme="minorHAnsi"/>
          <w:color w:val="181818"/>
          <w:sz w:val="24"/>
          <w:szCs w:val="24"/>
          <w:shd w:val="clear" w:color="auto" w:fill="FFFFFF"/>
        </w:rPr>
      </w:pPr>
      <w:r w:rsidRPr="00EC35BB">
        <w:rPr>
          <w:rFonts w:cstheme="minorHAnsi"/>
          <w:color w:val="181818"/>
          <w:sz w:val="24"/>
          <w:szCs w:val="24"/>
        </w:rPr>
        <w:br/>
      </w:r>
      <w:r w:rsidRPr="00EC35BB">
        <w:rPr>
          <w:rFonts w:cstheme="minorHAnsi"/>
          <w:color w:val="181818"/>
          <w:sz w:val="24"/>
          <w:szCs w:val="24"/>
          <w:shd w:val="clear" w:color="auto" w:fill="FFFFFF"/>
        </w:rPr>
        <w:t>The following list is an example of some of the main building management system providers currently in use within the NHS. This is not exhaustive and so the provider would have to be able to work with any system or assets from any that may be in use and should not be limited to a current partnership arrangement:</w:t>
      </w:r>
    </w:p>
    <w:p w:rsidR="00EC35BB" w:rsidRPr="00EC35BB" w:rsidRDefault="00EC35BB" w:rsidP="00EC35BB">
      <w:pPr>
        <w:rPr>
          <w:rFonts w:cstheme="minorHAnsi"/>
          <w:color w:val="181818"/>
          <w:sz w:val="24"/>
          <w:szCs w:val="24"/>
          <w:shd w:val="clear" w:color="auto" w:fill="FFFFFF"/>
        </w:rPr>
      </w:pPr>
      <w:r w:rsidRPr="00EC35BB">
        <w:rPr>
          <w:rFonts w:cstheme="minorHAnsi"/>
          <w:color w:val="181818"/>
          <w:sz w:val="24"/>
          <w:szCs w:val="24"/>
        </w:rPr>
        <w:br/>
      </w:r>
      <w:r w:rsidRPr="00EC35BB">
        <w:rPr>
          <w:rFonts w:cstheme="minorHAnsi"/>
          <w:color w:val="181818"/>
          <w:sz w:val="24"/>
          <w:szCs w:val="24"/>
          <w:shd w:val="clear" w:color="auto" w:fill="FFFFFF"/>
        </w:rPr>
        <w:t>ABB</w:t>
      </w:r>
      <w:r w:rsidRPr="00EC35BB">
        <w:rPr>
          <w:rFonts w:cstheme="minorHAnsi"/>
          <w:color w:val="181818"/>
          <w:sz w:val="24"/>
          <w:szCs w:val="24"/>
        </w:rPr>
        <w:br/>
      </w:r>
      <w:r w:rsidRPr="00EC35BB">
        <w:rPr>
          <w:rFonts w:cstheme="minorHAnsi"/>
          <w:color w:val="181818"/>
          <w:sz w:val="24"/>
          <w:szCs w:val="24"/>
          <w:shd w:val="clear" w:color="auto" w:fill="FFFFFF"/>
        </w:rPr>
        <w:t>Boss Controls</w:t>
      </w:r>
      <w:r w:rsidRPr="00EC35BB">
        <w:rPr>
          <w:rFonts w:cstheme="minorHAnsi"/>
          <w:color w:val="181818"/>
          <w:sz w:val="24"/>
          <w:szCs w:val="24"/>
        </w:rPr>
        <w:br/>
      </w:r>
      <w:r w:rsidRPr="00EC35BB">
        <w:rPr>
          <w:rFonts w:cstheme="minorHAnsi"/>
          <w:color w:val="181818"/>
          <w:sz w:val="24"/>
          <w:szCs w:val="24"/>
          <w:shd w:val="clear" w:color="auto" w:fill="FFFFFF"/>
        </w:rPr>
        <w:t>Eaton</w:t>
      </w:r>
      <w:r w:rsidRPr="00EC35BB">
        <w:rPr>
          <w:rFonts w:cstheme="minorHAnsi"/>
          <w:color w:val="181818"/>
          <w:sz w:val="24"/>
          <w:szCs w:val="24"/>
        </w:rPr>
        <w:br/>
      </w:r>
      <w:r w:rsidRPr="00EC35BB">
        <w:rPr>
          <w:rFonts w:cstheme="minorHAnsi"/>
          <w:color w:val="181818"/>
          <w:sz w:val="24"/>
          <w:szCs w:val="24"/>
          <w:shd w:val="clear" w:color="auto" w:fill="FFFFFF"/>
        </w:rPr>
        <w:t>Honeywell</w:t>
      </w:r>
      <w:r w:rsidRPr="00EC35BB">
        <w:rPr>
          <w:rFonts w:cstheme="minorHAnsi"/>
          <w:color w:val="181818"/>
          <w:sz w:val="24"/>
          <w:szCs w:val="24"/>
        </w:rPr>
        <w:br/>
      </w:r>
      <w:r w:rsidRPr="00EC35BB">
        <w:rPr>
          <w:rFonts w:cstheme="minorHAnsi"/>
          <w:color w:val="181818"/>
          <w:sz w:val="24"/>
          <w:szCs w:val="24"/>
          <w:shd w:val="clear" w:color="auto" w:fill="FFFFFF"/>
        </w:rPr>
        <w:t>Johnson Controls</w:t>
      </w:r>
      <w:r w:rsidRPr="00EC35BB">
        <w:rPr>
          <w:rFonts w:cstheme="minorHAnsi"/>
          <w:color w:val="181818"/>
          <w:sz w:val="24"/>
          <w:szCs w:val="24"/>
        </w:rPr>
        <w:br/>
      </w:r>
      <w:r w:rsidRPr="00EC35BB">
        <w:rPr>
          <w:rFonts w:cstheme="minorHAnsi"/>
          <w:color w:val="181818"/>
          <w:sz w:val="24"/>
          <w:szCs w:val="24"/>
          <w:shd w:val="clear" w:color="auto" w:fill="FFFFFF"/>
        </w:rPr>
        <w:t>Paxton</w:t>
      </w:r>
      <w:r w:rsidRPr="00EC35BB">
        <w:rPr>
          <w:rFonts w:cstheme="minorHAnsi"/>
          <w:color w:val="181818"/>
          <w:sz w:val="24"/>
          <w:szCs w:val="24"/>
        </w:rPr>
        <w:br/>
      </w:r>
      <w:proofErr w:type="spellStart"/>
      <w:r w:rsidRPr="00EC35BB">
        <w:rPr>
          <w:rFonts w:cstheme="minorHAnsi"/>
          <w:color w:val="181818"/>
          <w:sz w:val="24"/>
          <w:szCs w:val="24"/>
          <w:shd w:val="clear" w:color="auto" w:fill="FFFFFF"/>
        </w:rPr>
        <w:t>Priva</w:t>
      </w:r>
      <w:proofErr w:type="spellEnd"/>
      <w:r w:rsidRPr="00EC35BB">
        <w:rPr>
          <w:rFonts w:cstheme="minorHAnsi"/>
          <w:color w:val="181818"/>
          <w:sz w:val="24"/>
          <w:szCs w:val="24"/>
        </w:rPr>
        <w:br/>
      </w:r>
      <w:r w:rsidRPr="00EC35BB">
        <w:rPr>
          <w:rFonts w:cstheme="minorHAnsi"/>
          <w:color w:val="181818"/>
          <w:sz w:val="24"/>
          <w:szCs w:val="24"/>
          <w:shd w:val="clear" w:color="auto" w:fill="FFFFFF"/>
        </w:rPr>
        <w:t>Schneider</w:t>
      </w:r>
      <w:r w:rsidRPr="00EC35BB">
        <w:rPr>
          <w:rFonts w:cstheme="minorHAnsi"/>
          <w:color w:val="181818"/>
          <w:sz w:val="24"/>
          <w:szCs w:val="24"/>
        </w:rPr>
        <w:br/>
      </w:r>
      <w:r w:rsidRPr="00EC35BB">
        <w:rPr>
          <w:rFonts w:cstheme="minorHAnsi"/>
          <w:color w:val="181818"/>
          <w:sz w:val="24"/>
          <w:szCs w:val="24"/>
          <w:shd w:val="clear" w:color="auto" w:fill="FFFFFF"/>
        </w:rPr>
        <w:t>Tensor</w:t>
      </w:r>
      <w:r w:rsidRPr="00EC35BB">
        <w:rPr>
          <w:rFonts w:cstheme="minorHAnsi"/>
          <w:color w:val="181818"/>
          <w:sz w:val="24"/>
          <w:szCs w:val="24"/>
        </w:rPr>
        <w:br/>
      </w:r>
      <w:r w:rsidRPr="00EC35BB">
        <w:rPr>
          <w:rFonts w:cstheme="minorHAnsi"/>
          <w:color w:val="181818"/>
          <w:sz w:val="24"/>
          <w:szCs w:val="24"/>
          <w:shd w:val="clear" w:color="auto" w:fill="FFFFFF"/>
        </w:rPr>
        <w:t>Trend</w:t>
      </w:r>
    </w:p>
    <w:p w:rsidR="003D7CA0" w:rsidRPr="00EC35BB" w:rsidRDefault="003D7CA0" w:rsidP="00EC35BB">
      <w:pPr>
        <w:spacing w:before="48" w:after="72" w:line="240" w:lineRule="auto"/>
        <w:rPr>
          <w:rFonts w:eastAsia="Times New Roman" w:cstheme="minorHAnsi"/>
          <w:b/>
          <w:sz w:val="24"/>
          <w:szCs w:val="24"/>
          <w:lang w:eastAsia="en-GB"/>
        </w:rPr>
      </w:pPr>
    </w:p>
    <w:p w:rsidR="008D125F" w:rsidRPr="00EC35BB" w:rsidRDefault="008D125F" w:rsidP="008D125F">
      <w:pPr>
        <w:spacing w:before="48" w:after="72" w:line="240" w:lineRule="auto"/>
        <w:ind w:left="1080"/>
        <w:rPr>
          <w:rFonts w:eastAsia="Times New Roman" w:cstheme="minorHAnsi"/>
          <w:sz w:val="24"/>
          <w:szCs w:val="24"/>
          <w:lang w:eastAsia="en-GB"/>
        </w:rPr>
      </w:pPr>
    </w:p>
    <w:p w:rsidR="008D125F" w:rsidRPr="00EC35BB" w:rsidRDefault="008D125F" w:rsidP="008D125F">
      <w:pPr>
        <w:spacing w:before="48" w:after="72" w:line="240" w:lineRule="auto"/>
        <w:rPr>
          <w:rFonts w:eastAsia="Times New Roman" w:cstheme="minorHAnsi"/>
          <w:color w:val="FF0000"/>
          <w:sz w:val="24"/>
          <w:szCs w:val="24"/>
          <w:lang w:eastAsia="en-GB"/>
        </w:rPr>
      </w:pPr>
      <w:r w:rsidRPr="00EC35BB">
        <w:rPr>
          <w:rFonts w:eastAsia="Times New Roman" w:cstheme="minorHAnsi"/>
          <w:color w:val="FF0000"/>
          <w:sz w:val="24"/>
          <w:szCs w:val="24"/>
          <w:lang w:eastAsia="en-GB"/>
        </w:rPr>
        <w:t xml:space="preserve">Please provide your contact details and any initial questions </w:t>
      </w:r>
      <w:r w:rsidR="00D660E6" w:rsidRPr="00EC35BB">
        <w:rPr>
          <w:rFonts w:eastAsia="Times New Roman" w:cstheme="minorHAnsi"/>
          <w:color w:val="FF0000"/>
          <w:sz w:val="24"/>
          <w:szCs w:val="24"/>
          <w:lang w:eastAsia="en-GB"/>
        </w:rPr>
        <w:t>relating to this initia</w:t>
      </w:r>
      <w:r w:rsidR="00D660E6" w:rsidRPr="00EC35BB">
        <w:rPr>
          <w:rFonts w:cstheme="minorHAnsi"/>
          <w:color w:val="FF0000"/>
          <w:sz w:val="24"/>
          <w:szCs w:val="24"/>
        </w:rPr>
        <w:t xml:space="preserve">tive </w:t>
      </w:r>
      <w:r w:rsidR="00EC35BB">
        <w:rPr>
          <w:rFonts w:cstheme="minorHAnsi"/>
          <w:color w:val="FF0000"/>
          <w:sz w:val="24"/>
          <w:szCs w:val="24"/>
        </w:rPr>
        <w:t xml:space="preserve">that </w:t>
      </w:r>
      <w:bookmarkStart w:id="0" w:name="_GoBack"/>
      <w:bookmarkEnd w:id="0"/>
      <w:r w:rsidR="00D660E6" w:rsidRPr="00EC35BB">
        <w:rPr>
          <w:rFonts w:cstheme="minorHAnsi"/>
          <w:color w:val="FF0000"/>
          <w:sz w:val="24"/>
          <w:szCs w:val="24"/>
        </w:rPr>
        <w:t>you ha</w:t>
      </w:r>
      <w:r w:rsidR="00D660E6" w:rsidRPr="00EC35BB">
        <w:rPr>
          <w:rFonts w:eastAsia="Times New Roman" w:cstheme="minorHAnsi"/>
          <w:color w:val="FF0000"/>
          <w:sz w:val="24"/>
          <w:szCs w:val="24"/>
          <w:lang w:eastAsia="en-GB"/>
        </w:rPr>
        <w:t>ve and the project team will be in touch to arrange an exploratory meeting.</w:t>
      </w:r>
    </w:p>
    <w:sectPr w:rsidR="008D125F" w:rsidRPr="00EC35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CA0" w:rsidRDefault="003D7CA0" w:rsidP="003D7CA0">
      <w:pPr>
        <w:spacing w:after="0" w:line="240" w:lineRule="auto"/>
      </w:pPr>
      <w:r>
        <w:separator/>
      </w:r>
    </w:p>
  </w:endnote>
  <w:endnote w:type="continuationSeparator" w:id="0">
    <w:p w:rsidR="003D7CA0" w:rsidRDefault="003D7CA0" w:rsidP="003D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CA0" w:rsidRDefault="003D7CA0" w:rsidP="003D7CA0">
      <w:pPr>
        <w:spacing w:after="0" w:line="240" w:lineRule="auto"/>
      </w:pPr>
      <w:r>
        <w:separator/>
      </w:r>
    </w:p>
  </w:footnote>
  <w:footnote w:type="continuationSeparator" w:id="0">
    <w:p w:rsidR="003D7CA0" w:rsidRDefault="003D7CA0" w:rsidP="003D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CA0" w:rsidRPr="003D7CA0" w:rsidRDefault="00390153">
    <w:pPr>
      <w:pStyle w:val="Header"/>
      <w:rPr>
        <w:b/>
        <w:sz w:val="28"/>
      </w:rPr>
    </w:pPr>
    <w:r>
      <w:rPr>
        <w:b/>
        <w:sz w:val="28"/>
      </w:rPr>
      <w:t xml:space="preserve">Energy Efficiency services </w:t>
    </w:r>
    <w:r w:rsidR="00AD4724">
      <w:rPr>
        <w:b/>
        <w:sz w:val="28"/>
      </w:rPr>
      <w:t>for</w:t>
    </w:r>
    <w:r>
      <w:rPr>
        <w:b/>
        <w:sz w:val="28"/>
      </w:rPr>
      <w:t xml:space="preserve"> </w:t>
    </w:r>
    <w:r w:rsidR="00AD4724">
      <w:rPr>
        <w:b/>
        <w:sz w:val="28"/>
      </w:rPr>
      <w:t>BMS (</w:t>
    </w:r>
    <w:r>
      <w:rPr>
        <w:b/>
        <w:sz w:val="28"/>
      </w:rPr>
      <w:t>Building Management Systems</w:t>
    </w:r>
    <w:r w:rsidR="00AD4724">
      <w:rPr>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71739"/>
    <w:multiLevelType w:val="multilevel"/>
    <w:tmpl w:val="267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F5B82"/>
    <w:multiLevelType w:val="multilevel"/>
    <w:tmpl w:val="918E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8096F"/>
    <w:multiLevelType w:val="hybridMultilevel"/>
    <w:tmpl w:val="5CA8FCFE"/>
    <w:lvl w:ilvl="0" w:tplc="77A0CC5C">
      <w:start w:val="1"/>
      <w:numFmt w:val="decimal"/>
      <w:lvlText w:val="%1."/>
      <w:lvlJc w:val="left"/>
      <w:pPr>
        <w:ind w:left="720" w:hanging="360"/>
      </w:pPr>
      <w:rPr>
        <w:b/>
      </w:rPr>
    </w:lvl>
    <w:lvl w:ilvl="1" w:tplc="38A6CBF6">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A901EF"/>
    <w:multiLevelType w:val="multilevel"/>
    <w:tmpl w:val="A35C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A0"/>
    <w:rsid w:val="00015A61"/>
    <w:rsid w:val="00335D44"/>
    <w:rsid w:val="0037313A"/>
    <w:rsid w:val="00390153"/>
    <w:rsid w:val="003D7CA0"/>
    <w:rsid w:val="004169C7"/>
    <w:rsid w:val="00455A6F"/>
    <w:rsid w:val="006E099B"/>
    <w:rsid w:val="007416DF"/>
    <w:rsid w:val="007645CE"/>
    <w:rsid w:val="00793D5B"/>
    <w:rsid w:val="008D125F"/>
    <w:rsid w:val="009C3F7A"/>
    <w:rsid w:val="00A5793D"/>
    <w:rsid w:val="00AA23B1"/>
    <w:rsid w:val="00AD4724"/>
    <w:rsid w:val="00C67088"/>
    <w:rsid w:val="00D17967"/>
    <w:rsid w:val="00D31D39"/>
    <w:rsid w:val="00D660E6"/>
    <w:rsid w:val="00E90A33"/>
    <w:rsid w:val="00EC3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2595"/>
  <w15:chartTrackingRefBased/>
  <w15:docId w15:val="{00D94C04-438F-4B43-A183-C1CD8D10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41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3D7CA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7CA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D7C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pv-code">
    <w:name w:val="cpv-code"/>
    <w:basedOn w:val="DefaultParagraphFont"/>
    <w:rsid w:val="003D7CA0"/>
  </w:style>
  <w:style w:type="character" w:customStyle="1" w:styleId="cpv-description">
    <w:name w:val="cpv-description"/>
    <w:basedOn w:val="DefaultParagraphFont"/>
    <w:rsid w:val="003D7CA0"/>
  </w:style>
  <w:style w:type="character" w:styleId="Hyperlink">
    <w:name w:val="Hyperlink"/>
    <w:basedOn w:val="DefaultParagraphFont"/>
    <w:uiPriority w:val="99"/>
    <w:semiHidden/>
    <w:unhideWhenUsed/>
    <w:rsid w:val="003D7CA0"/>
    <w:rPr>
      <w:color w:val="0000FF"/>
      <w:u w:val="single"/>
    </w:rPr>
  </w:style>
  <w:style w:type="paragraph" w:styleId="Header">
    <w:name w:val="header"/>
    <w:basedOn w:val="Normal"/>
    <w:link w:val="HeaderChar"/>
    <w:uiPriority w:val="99"/>
    <w:unhideWhenUsed/>
    <w:rsid w:val="003D7C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CA0"/>
  </w:style>
  <w:style w:type="paragraph" w:styleId="Footer">
    <w:name w:val="footer"/>
    <w:basedOn w:val="Normal"/>
    <w:link w:val="FooterChar"/>
    <w:uiPriority w:val="99"/>
    <w:unhideWhenUsed/>
    <w:rsid w:val="003D7C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CA0"/>
  </w:style>
  <w:style w:type="paragraph" w:styleId="ListParagraph">
    <w:name w:val="List Paragraph"/>
    <w:basedOn w:val="Normal"/>
    <w:uiPriority w:val="34"/>
    <w:qFormat/>
    <w:rsid w:val="003D7CA0"/>
    <w:pPr>
      <w:ind w:left="720"/>
      <w:contextualSpacing/>
    </w:pPr>
  </w:style>
  <w:style w:type="character" w:customStyle="1" w:styleId="Heading2Char">
    <w:name w:val="Heading 2 Char"/>
    <w:basedOn w:val="DefaultParagraphFont"/>
    <w:link w:val="Heading2"/>
    <w:uiPriority w:val="9"/>
    <w:semiHidden/>
    <w:rsid w:val="007416D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A2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482586">
      <w:bodyDiv w:val="1"/>
      <w:marLeft w:val="0"/>
      <w:marRight w:val="0"/>
      <w:marTop w:val="0"/>
      <w:marBottom w:val="0"/>
      <w:divBdr>
        <w:top w:val="none" w:sz="0" w:space="0" w:color="auto"/>
        <w:left w:val="none" w:sz="0" w:space="0" w:color="auto"/>
        <w:bottom w:val="none" w:sz="0" w:space="0" w:color="auto"/>
        <w:right w:val="none" w:sz="0" w:space="0" w:color="auto"/>
      </w:divBdr>
    </w:div>
    <w:div w:id="15313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Woodmore Adrian</dc:creator>
  <cp:keywords/>
  <dc:description/>
  <cp:lastModifiedBy>Atack Nicola</cp:lastModifiedBy>
  <cp:revision>4</cp:revision>
  <dcterms:created xsi:type="dcterms:W3CDTF">2023-10-18T08:55:00Z</dcterms:created>
  <dcterms:modified xsi:type="dcterms:W3CDTF">2023-10-18T15:16:00Z</dcterms:modified>
</cp:coreProperties>
</file>