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DF2D" w14:textId="67304934" w:rsidR="00CC4EF9" w:rsidRDefault="00F47C1F">
      <w:pPr>
        <w:spacing w:after="0" w:line="259" w:lineRule="auto"/>
        <w:ind w:left="-5"/>
      </w:pPr>
      <w:r>
        <w:rPr>
          <w:b/>
          <w:sz w:val="36"/>
        </w:rPr>
        <w:t xml:space="preserve">Framework Schedule 6 (Order Form </w:t>
      </w:r>
      <w:r w:rsidR="00205C08">
        <w:rPr>
          <w:b/>
          <w:sz w:val="36"/>
        </w:rPr>
        <w:t>and</w:t>
      </w:r>
      <w:r>
        <w:rPr>
          <w:b/>
          <w:sz w:val="36"/>
        </w:rPr>
        <w:t xml:space="preserve"> Call-Off Schedules) </w:t>
      </w:r>
    </w:p>
    <w:p w14:paraId="2F3E743A" w14:textId="77777777" w:rsidR="00CC4EF9" w:rsidRDefault="00F47C1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09FD955D" w14:textId="77777777" w:rsidR="00CC4EF9" w:rsidRDefault="00F47C1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6057BE6A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30DA1A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219" w:type="dxa"/>
        <w:tblInd w:w="0" w:type="dxa"/>
        <w:tblLook w:val="04A0" w:firstRow="1" w:lastRow="0" w:firstColumn="1" w:lastColumn="0" w:noHBand="0" w:noVBand="1"/>
      </w:tblPr>
      <w:tblGrid>
        <w:gridCol w:w="3601"/>
        <w:gridCol w:w="4618"/>
      </w:tblGrid>
      <w:tr w:rsidR="00CC4EF9" w14:paraId="5C1F7854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A2BD901" w14:textId="77777777" w:rsidR="00CC4EF9" w:rsidRPr="00DE32BB" w:rsidRDefault="00F47C1F">
            <w:pPr>
              <w:spacing w:after="0" w:line="259" w:lineRule="auto"/>
              <w:ind w:left="0" w:firstLine="0"/>
            </w:pPr>
            <w:r w:rsidRPr="00DE32BB">
              <w:t xml:space="preserve">CALL-OFF REFERENCE:  </w:t>
            </w:r>
          </w:p>
          <w:p w14:paraId="2F30F918" w14:textId="77777777" w:rsidR="00CC4EF9" w:rsidRPr="00DE32BB" w:rsidRDefault="00F47C1F">
            <w:pPr>
              <w:spacing w:after="0" w:line="259" w:lineRule="auto"/>
              <w:ind w:left="0" w:firstLine="0"/>
            </w:pPr>
            <w:r w:rsidRPr="00DE32BB">
              <w:t xml:space="preserve"> 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04D0DF9F" w14:textId="3E80C1E3" w:rsidR="00CC4EF9" w:rsidRPr="00DE32BB" w:rsidRDefault="00F47C1F" w:rsidP="00B239A4">
            <w:pPr>
              <w:spacing w:after="0" w:line="259" w:lineRule="auto"/>
              <w:ind w:left="0" w:firstLine="0"/>
              <w:jc w:val="both"/>
            </w:pPr>
            <w:r w:rsidRPr="00DE32BB">
              <w:t xml:space="preserve"> </w:t>
            </w:r>
          </w:p>
        </w:tc>
      </w:tr>
      <w:tr w:rsidR="00CC4EF9" w14:paraId="74A9A44E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E5816BE" w14:textId="34BF0207" w:rsidR="00B34CBD" w:rsidRPr="00DE32BB" w:rsidRDefault="00F47C1F" w:rsidP="00B34CBD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 w:rsidRPr="00DE32BB">
              <w:t xml:space="preserve">THE BUYER: </w:t>
            </w:r>
          </w:p>
          <w:p w14:paraId="546D43E6" w14:textId="14F15795" w:rsidR="00CC4EF9" w:rsidRPr="00DE32BB" w:rsidRDefault="00CC4EF9">
            <w:pPr>
              <w:spacing w:after="0" w:line="259" w:lineRule="auto"/>
              <w:ind w:left="0" w:firstLine="0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7ED2B654" w14:textId="7B866FDE" w:rsidR="00CC4EF9" w:rsidRPr="00DE32BB" w:rsidRDefault="00B34CBD" w:rsidP="00205C08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>Crown Commercial Service (CCS)</w:t>
            </w:r>
            <w:r w:rsidRPr="00DE32BB">
              <w:tab/>
              <w:t xml:space="preserve"> </w:t>
            </w:r>
            <w:r w:rsidRPr="00DE32BB">
              <w:tab/>
              <w:t xml:space="preserve"> </w:t>
            </w:r>
          </w:p>
        </w:tc>
      </w:tr>
      <w:tr w:rsidR="00CC4EF9" w14:paraId="2010771E" w14:textId="77777777" w:rsidTr="006828A4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1144D7" w14:textId="77777777" w:rsidR="00CC4EF9" w:rsidRPr="00DE32BB" w:rsidRDefault="00F47C1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 w:rsidRPr="00DE32BB">
              <w:t xml:space="preserve">BUYER ADDRESS  </w:t>
            </w:r>
            <w:r w:rsidRPr="00DE32BB">
              <w:tab/>
              <w:t xml:space="preserve"> </w:t>
            </w:r>
          </w:p>
          <w:p w14:paraId="508AB35D" w14:textId="5396B2EA" w:rsidR="00CC4EF9" w:rsidRPr="00DE32BB" w:rsidRDefault="00CC4EF9">
            <w:pPr>
              <w:spacing w:after="0" w:line="259" w:lineRule="auto"/>
              <w:ind w:left="0" w:firstLine="0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450D00" w14:textId="1CF879AA" w:rsidR="00B34CBD" w:rsidRPr="00DE32BB" w:rsidRDefault="00205C08" w:rsidP="00B34CBD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CC4EF9" w14:paraId="402126C7" w14:textId="77777777" w:rsidTr="006828A4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B683A1" w14:textId="33E4D4D2" w:rsidR="00CC4EF9" w:rsidRPr="00DE32BB" w:rsidRDefault="00F47C1F" w:rsidP="00B34CBD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 w:rsidRPr="00DE32BB">
              <w:t xml:space="preserve">THE SUPPLIER:  </w:t>
            </w:r>
            <w:r w:rsidRPr="00DE32BB">
              <w:tab/>
              <w:t xml:space="preserve"> </w:t>
            </w:r>
            <w:r w:rsidR="00B34CBD">
              <w:t xml:space="preserve">                  </w:t>
            </w:r>
            <w:r w:rsidRPr="00DE32BB">
              <w:tab/>
              <w:t xml:space="preserve"> 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E48724" w14:textId="6CC55454" w:rsidR="00CC4EF9" w:rsidRPr="00DE32BB" w:rsidRDefault="00B34CBD">
            <w:pPr>
              <w:spacing w:after="0" w:line="259" w:lineRule="auto"/>
              <w:ind w:left="0" w:firstLine="0"/>
            </w:pPr>
            <w:r>
              <w:t>NQC Limited</w:t>
            </w:r>
          </w:p>
        </w:tc>
      </w:tr>
      <w:tr w:rsidR="00CC4EF9" w14:paraId="7674A491" w14:textId="77777777" w:rsidTr="006828A4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96AB2" w14:textId="77777777" w:rsidR="00CC4EF9" w:rsidRPr="00DE32BB" w:rsidRDefault="00F47C1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 w:rsidRPr="00DE32BB">
              <w:t>SUPPLIER ADDRESS:</w:t>
            </w:r>
            <w:r w:rsidRPr="00DE32BB">
              <w:rPr>
                <w:b/>
              </w:rPr>
              <w:t xml:space="preserve">  </w:t>
            </w:r>
            <w:r w:rsidRPr="00DE32BB">
              <w:rPr>
                <w:b/>
              </w:rPr>
              <w:tab/>
              <w:t xml:space="preserve"> 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F8209A" w14:textId="77777777" w:rsidR="00CC4EF9" w:rsidRDefault="00205C08">
            <w:pPr>
              <w:spacing w:after="0" w:line="259" w:lineRule="auto"/>
              <w:ind w:left="0" w:firstLine="0"/>
              <w:jc w:val="both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  <w:p w14:paraId="7E755617" w14:textId="017C8B49" w:rsidR="00205C08" w:rsidRPr="00DE32BB" w:rsidRDefault="00205C08">
            <w:pPr>
              <w:spacing w:after="0" w:line="259" w:lineRule="auto"/>
              <w:ind w:left="0" w:firstLine="0"/>
              <w:jc w:val="both"/>
            </w:pPr>
          </w:p>
        </w:tc>
      </w:tr>
      <w:tr w:rsidR="00CC4EF9" w14:paraId="68D88FC9" w14:textId="77777777" w:rsidTr="006828A4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DA4463" w14:textId="04E50246" w:rsidR="00CC4EF9" w:rsidRPr="00B34CBD" w:rsidRDefault="00F47C1F" w:rsidP="00B34CBD">
            <w:pPr>
              <w:spacing w:after="0" w:line="259" w:lineRule="auto"/>
              <w:ind w:left="0" w:firstLine="0"/>
            </w:pPr>
            <w:r w:rsidRPr="00B34CBD">
              <w:t xml:space="preserve">REGISTRATION NUMBER:  </w:t>
            </w:r>
            <w:r w:rsidR="00DC0EE8" w:rsidRPr="00B34CBD">
              <w:t xml:space="preserve"> </w:t>
            </w:r>
            <w:r w:rsidR="00B34CBD" w:rsidRPr="00B34CBD">
              <w:t xml:space="preserve">   </w:t>
            </w:r>
            <w:r w:rsidR="00DC0EE8" w:rsidRPr="00B34CBD">
              <w:t xml:space="preserve">     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21918" w14:textId="77777777" w:rsidR="00CC4EF9" w:rsidRDefault="00205C08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34CBD" w:rsidRPr="00B34CBD">
              <w:t xml:space="preserve">   </w:t>
            </w:r>
          </w:p>
          <w:p w14:paraId="177E7198" w14:textId="47076673" w:rsidR="00205C08" w:rsidRPr="00B34CBD" w:rsidRDefault="00205C08">
            <w:pPr>
              <w:spacing w:after="0" w:line="259" w:lineRule="auto"/>
              <w:ind w:left="0" w:firstLine="0"/>
              <w:jc w:val="both"/>
            </w:pPr>
          </w:p>
        </w:tc>
      </w:tr>
      <w:tr w:rsidR="00CC4EF9" w14:paraId="2052C7FA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FB5E" w14:textId="77777777" w:rsidR="00CC4EF9" w:rsidRPr="00DE32BB" w:rsidRDefault="00F47C1F">
            <w:pPr>
              <w:tabs>
                <w:tab w:val="center" w:pos="2881"/>
              </w:tabs>
              <w:spacing w:after="0" w:line="259" w:lineRule="auto"/>
              <w:ind w:left="0" w:firstLine="0"/>
              <w:rPr>
                <w:color w:val="000000" w:themeColor="text1"/>
                <w:szCs w:val="24"/>
              </w:rPr>
            </w:pPr>
            <w:r w:rsidRPr="00DE32BB">
              <w:rPr>
                <w:color w:val="000000" w:themeColor="text1"/>
                <w:szCs w:val="24"/>
              </w:rPr>
              <w:t xml:space="preserve">DUNS NUMBER:        </w:t>
            </w:r>
            <w:r w:rsidRPr="00DE32BB">
              <w:rPr>
                <w:color w:val="000000" w:themeColor="text1"/>
                <w:szCs w:val="24"/>
              </w:rPr>
              <w:tab/>
              <w:t xml:space="preserve"> 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2DD3" w14:textId="7CD7E517" w:rsidR="00CC4EF9" w:rsidRPr="00205C08" w:rsidRDefault="00205C08">
            <w:pPr>
              <w:spacing w:after="0" w:line="259" w:lineRule="auto"/>
              <w:ind w:left="0" w:firstLine="0"/>
              <w:rPr>
                <w:b/>
                <w:color w:val="000000" w:themeColor="text1"/>
                <w:szCs w:val="24"/>
              </w:rPr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DC0EE8" w14:paraId="1B73F950" w14:textId="77777777">
        <w:trPr>
          <w:trHeight w:val="37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E90DF" w14:textId="77777777" w:rsidR="00DC0EE8" w:rsidRDefault="00DC0EE8">
            <w:pPr>
              <w:tabs>
                <w:tab w:val="center" w:pos="2881"/>
              </w:tabs>
              <w:spacing w:after="0" w:line="259" w:lineRule="auto"/>
              <w:ind w:left="0" w:firstLine="0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886B0" w14:textId="77777777" w:rsidR="00DC0EE8" w:rsidRDefault="00DC0EE8">
            <w:pPr>
              <w:spacing w:after="0" w:line="259" w:lineRule="auto"/>
              <w:ind w:left="0" w:firstLine="0"/>
            </w:pPr>
          </w:p>
        </w:tc>
      </w:tr>
    </w:tbl>
    <w:p w14:paraId="12C93D8A" w14:textId="77777777" w:rsidR="00CC4EF9" w:rsidRDefault="00F47C1F" w:rsidP="00155243">
      <w:pPr>
        <w:ind w:left="0" w:firstLine="0"/>
      </w:pPr>
      <w:r w:rsidRPr="00696D73">
        <w:t>This</w:t>
      </w:r>
      <w:r>
        <w:t xml:space="preserve"> Order Form, when completed and executed by both Parties, forms a Call-Off Contract. A Call-Off Contract can be completed and executed using an equivalent document or electronic purchase order system.  </w:t>
      </w:r>
    </w:p>
    <w:p w14:paraId="4D4A89EF" w14:textId="77777777" w:rsidR="00CC4EF9" w:rsidRDefault="00F47C1F">
      <w:pPr>
        <w:spacing w:after="0" w:line="259" w:lineRule="auto"/>
        <w:ind w:left="0" w:firstLine="0"/>
      </w:pPr>
      <w:r>
        <w:t xml:space="preserve"> </w:t>
      </w:r>
    </w:p>
    <w:p w14:paraId="3F9A7582" w14:textId="77777777" w:rsidR="00CC4EF9" w:rsidRDefault="00F47C1F">
      <w:pPr>
        <w:ind w:left="-5"/>
      </w:pPr>
      <w:r>
        <w:t xml:space="preserve">It is essential that if you, as the Buyer, add to or amend any aspect of any Call-Off </w:t>
      </w:r>
    </w:p>
    <w:p w14:paraId="239AD458" w14:textId="77777777" w:rsidR="00CC4EF9" w:rsidRDefault="00F47C1F">
      <w:pPr>
        <w:ind w:left="-5"/>
      </w:pPr>
      <w:r>
        <w:t xml:space="preserve">Schedule, then </w:t>
      </w:r>
      <w:r>
        <w:rPr>
          <w:b/>
        </w:rPr>
        <w:t>you must send the updated Schedule</w:t>
      </w:r>
      <w:r>
        <w:t xml:space="preserve"> with </w:t>
      </w:r>
      <w:r w:rsidR="00696D73">
        <w:t>the Order Form to the Supplier.</w:t>
      </w:r>
    </w:p>
    <w:p w14:paraId="05D0FED3" w14:textId="77777777" w:rsidR="00CC4EF9" w:rsidRDefault="00F47C1F">
      <w:pPr>
        <w:spacing w:after="0" w:line="259" w:lineRule="auto"/>
        <w:ind w:left="0" w:firstLine="0"/>
      </w:pPr>
      <w:r>
        <w:t xml:space="preserve"> </w:t>
      </w:r>
    </w:p>
    <w:p w14:paraId="3DCCA9BD" w14:textId="77777777" w:rsidR="00CC4EF9" w:rsidRDefault="00F47C1F">
      <w:pPr>
        <w:ind w:left="-5"/>
      </w:pPr>
      <w:r>
        <w:t xml:space="preserve">APPLICABLE FRAMEWORK CONTRACT </w:t>
      </w:r>
    </w:p>
    <w:p w14:paraId="6F987D44" w14:textId="77777777" w:rsidR="00CC4EF9" w:rsidRDefault="00F47C1F">
      <w:pPr>
        <w:spacing w:after="0" w:line="259" w:lineRule="auto"/>
        <w:ind w:left="0" w:firstLine="0"/>
      </w:pPr>
      <w:r>
        <w:t xml:space="preserve"> </w:t>
      </w:r>
    </w:p>
    <w:p w14:paraId="480A9017" w14:textId="632627C3" w:rsidR="00CC4EF9" w:rsidRDefault="00F47C1F">
      <w:pPr>
        <w:ind w:left="-5"/>
      </w:pPr>
      <w:r>
        <w:t>This Order Form is for the provision of the</w:t>
      </w:r>
      <w:r w:rsidR="00DC0EE8">
        <w:t xml:space="preserve"> Cal</w:t>
      </w:r>
      <w:r w:rsidR="00B239A4">
        <w:t>l-Off Deliverables and dated 5th</w:t>
      </w:r>
      <w:r w:rsidR="00DC0EE8">
        <w:t xml:space="preserve"> February 2020. </w:t>
      </w:r>
    </w:p>
    <w:p w14:paraId="58469BE5" w14:textId="77777777" w:rsidR="00696D73" w:rsidRDefault="00696D73">
      <w:pPr>
        <w:ind w:left="-5"/>
      </w:pPr>
    </w:p>
    <w:p w14:paraId="27D77C5B" w14:textId="77777777" w:rsidR="00CC4EF9" w:rsidRDefault="00F47C1F">
      <w:pPr>
        <w:spacing w:line="250" w:lineRule="auto"/>
        <w:ind w:left="-5" w:right="-15"/>
        <w:jc w:val="both"/>
      </w:pPr>
      <w:r>
        <w:t>It’s issued under the Framework Cont</w:t>
      </w:r>
      <w:r w:rsidR="00696D73">
        <w:t xml:space="preserve">ract with the reference number RM6101 </w:t>
      </w:r>
      <w:r>
        <w:t xml:space="preserve">for the provision </w:t>
      </w:r>
      <w:r w:rsidRPr="00696D73">
        <w:t>of</w:t>
      </w:r>
      <w:r w:rsidR="00DC0EE8">
        <w:t xml:space="preserve"> Dynamic Purchasing Systems (DPS) and associated services</w:t>
      </w:r>
      <w:r>
        <w:t xml:space="preserve"> </w:t>
      </w:r>
    </w:p>
    <w:p w14:paraId="10CA7292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9A17C4" w14:textId="77777777" w:rsidR="00CC4EF9" w:rsidRDefault="00F47C1F">
      <w:pPr>
        <w:ind w:left="-5"/>
      </w:pPr>
      <w:r>
        <w:t xml:space="preserve">CALL-OFF LOT(S): </w:t>
      </w:r>
    </w:p>
    <w:p w14:paraId="4F8E940B" w14:textId="77777777" w:rsidR="00DC0EE8" w:rsidRDefault="00DC0EE8">
      <w:pPr>
        <w:ind w:left="-5"/>
      </w:pPr>
      <w:r>
        <w:t xml:space="preserve">Lot 3 </w:t>
      </w:r>
    </w:p>
    <w:p w14:paraId="2BD23BAB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ab/>
        <w:t xml:space="preserve"> </w:t>
      </w:r>
    </w:p>
    <w:p w14:paraId="3B47E883" w14:textId="77777777" w:rsidR="00696D73" w:rsidRDefault="00696D73">
      <w:pPr>
        <w:ind w:left="-5"/>
      </w:pPr>
    </w:p>
    <w:p w14:paraId="50AFB7D0" w14:textId="77777777" w:rsidR="00696D73" w:rsidRDefault="00696D73">
      <w:pPr>
        <w:ind w:left="-5"/>
      </w:pPr>
    </w:p>
    <w:p w14:paraId="002B98AF" w14:textId="77777777" w:rsidR="00696D73" w:rsidRDefault="00696D73">
      <w:pPr>
        <w:ind w:left="-5"/>
      </w:pPr>
    </w:p>
    <w:p w14:paraId="238D1731" w14:textId="77777777" w:rsidR="00CC4EF9" w:rsidRDefault="00F47C1F">
      <w:pPr>
        <w:ind w:left="-5"/>
      </w:pPr>
      <w:r>
        <w:lastRenderedPageBreak/>
        <w:t xml:space="preserve">CALL-OFF INCORPORATED TERMS </w:t>
      </w:r>
    </w:p>
    <w:p w14:paraId="76BF6D51" w14:textId="77777777" w:rsidR="00CC4EF9" w:rsidRDefault="00F47C1F">
      <w:pPr>
        <w:spacing w:after="204"/>
        <w:ind w:left="-5"/>
      </w:pPr>
      <w:r>
        <w:t xml:space="preserve">The following documents are incorporated into this Call-Off Contract. Where numbers are missing we are not using those schedules. If the documents conflict, the following order of precedence applies: </w:t>
      </w:r>
    </w:p>
    <w:p w14:paraId="28D1C5B2" w14:textId="77777777" w:rsidR="00CC4EF9" w:rsidRDefault="00F47C1F">
      <w:pPr>
        <w:numPr>
          <w:ilvl w:val="0"/>
          <w:numId w:val="1"/>
        </w:numPr>
        <w:ind w:hanging="360"/>
      </w:pPr>
      <w:r>
        <w:t xml:space="preserve">This Order Form including the Call-Off Special Terms and Call-Off Special Schedules. </w:t>
      </w:r>
    </w:p>
    <w:p w14:paraId="129A0E84" w14:textId="77777777" w:rsidR="00CC4EF9" w:rsidRDefault="00F47C1F">
      <w:pPr>
        <w:numPr>
          <w:ilvl w:val="0"/>
          <w:numId w:val="1"/>
        </w:numPr>
        <w:ind w:hanging="360"/>
      </w:pPr>
      <w:r>
        <w:t>Joint Schedule 1</w:t>
      </w:r>
      <w:r w:rsidR="00B00C14">
        <w:t>(Definitions and Interpretation) RM6101</w:t>
      </w:r>
      <w:r w:rsidR="00696D73">
        <w:rPr>
          <w:b/>
          <w:shd w:val="clear" w:color="auto" w:fill="FFFF00"/>
        </w:rPr>
        <w:t xml:space="preserve"> </w:t>
      </w:r>
      <w:r>
        <w:t xml:space="preserve"> </w:t>
      </w:r>
    </w:p>
    <w:p w14:paraId="11689B48" w14:textId="215200C9" w:rsidR="00CC4EF9" w:rsidRDefault="00F47C1F" w:rsidP="00155243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7519E0C9" w14:textId="77777777" w:rsidR="00CC4EF9" w:rsidRDefault="00CC4EF9" w:rsidP="00696D73">
      <w:pPr>
        <w:spacing w:after="15" w:line="259" w:lineRule="auto"/>
        <w:ind w:left="0" w:firstLine="0"/>
      </w:pPr>
    </w:p>
    <w:p w14:paraId="7CD171BB" w14:textId="77777777" w:rsidR="00696D73" w:rsidRDefault="00B00C14" w:rsidP="006828A4">
      <w:pPr>
        <w:ind w:right="1681"/>
        <w:rPr>
          <w:b/>
          <w:shd w:val="clear" w:color="auto" w:fill="FFFF00"/>
        </w:rPr>
      </w:pPr>
      <w:r>
        <w:t xml:space="preserve">Joint Schedules for RM6101: </w:t>
      </w:r>
    </w:p>
    <w:p w14:paraId="0A0516BC" w14:textId="77777777" w:rsidR="006828A4" w:rsidRPr="00696D73" w:rsidRDefault="006828A4" w:rsidP="006828A4">
      <w:pPr>
        <w:ind w:right="1681"/>
      </w:pPr>
    </w:p>
    <w:p w14:paraId="0045F142" w14:textId="77777777" w:rsidR="00696D73" w:rsidRDefault="00F47C1F">
      <w:pPr>
        <w:numPr>
          <w:ilvl w:val="1"/>
          <w:numId w:val="1"/>
        </w:numPr>
        <w:ind w:right="1681" w:hanging="360"/>
      </w:pPr>
      <w:r>
        <w:t xml:space="preserve">Joint Schedule 2 (Variation Form)  </w:t>
      </w:r>
    </w:p>
    <w:p w14:paraId="164524FB" w14:textId="77777777" w:rsidR="00696D73" w:rsidRDefault="00F47C1F">
      <w:pPr>
        <w:numPr>
          <w:ilvl w:val="1"/>
          <w:numId w:val="1"/>
        </w:numPr>
        <w:ind w:right="1681" w:hanging="360"/>
      </w:pPr>
      <w:r>
        <w:t xml:space="preserve">Joint Schedule 3 (Insurance Requirements) </w:t>
      </w:r>
    </w:p>
    <w:p w14:paraId="75A866E8" w14:textId="6F5C9394" w:rsidR="00696D73" w:rsidRDefault="00F47C1F" w:rsidP="00696D73">
      <w:pPr>
        <w:numPr>
          <w:ilvl w:val="1"/>
          <w:numId w:val="1"/>
        </w:numPr>
        <w:ind w:right="1681" w:hanging="360"/>
      </w:pPr>
      <w:r>
        <w:t>Joint Schedule 4 (Comm</w:t>
      </w:r>
      <w:r w:rsidR="00696D73">
        <w:t>ercially Sensitive Information)</w:t>
      </w:r>
    </w:p>
    <w:p w14:paraId="4D9683A9" w14:textId="15708A9E" w:rsidR="00B779D0" w:rsidRDefault="00B779D0" w:rsidP="00696D73">
      <w:pPr>
        <w:numPr>
          <w:ilvl w:val="1"/>
          <w:numId w:val="1"/>
        </w:numPr>
        <w:ind w:right="1681" w:hanging="360"/>
      </w:pPr>
      <w:r>
        <w:t>Joint Schedule 6 (Key Sub-Contractors) – NOT USED</w:t>
      </w:r>
    </w:p>
    <w:p w14:paraId="3DA84A56" w14:textId="57CF9F03" w:rsidR="00B34CBD" w:rsidRDefault="00B34CBD" w:rsidP="00696D73">
      <w:pPr>
        <w:numPr>
          <w:ilvl w:val="1"/>
          <w:numId w:val="1"/>
        </w:numPr>
        <w:ind w:right="1681" w:hanging="360"/>
      </w:pPr>
      <w:r>
        <w:t>Joint Schedule 7 (Financial Difficulties)</w:t>
      </w:r>
    </w:p>
    <w:p w14:paraId="53142BBA" w14:textId="4D2FA0AD" w:rsidR="00B34CBD" w:rsidRDefault="00B34CBD" w:rsidP="00696D73">
      <w:pPr>
        <w:numPr>
          <w:ilvl w:val="1"/>
          <w:numId w:val="1"/>
        </w:numPr>
        <w:ind w:right="1681" w:hanging="360"/>
      </w:pPr>
      <w:r>
        <w:t>Joint Schedule 8 (Guarantee)</w:t>
      </w:r>
    </w:p>
    <w:p w14:paraId="3733F7B2" w14:textId="0755C29B" w:rsidR="00B779D0" w:rsidRDefault="00B779D0" w:rsidP="00696D73">
      <w:pPr>
        <w:numPr>
          <w:ilvl w:val="1"/>
          <w:numId w:val="1"/>
        </w:numPr>
        <w:ind w:right="1681" w:hanging="360"/>
      </w:pPr>
      <w:r>
        <w:t>Joint Schedule 9 (Minimum Standards of Reliability) – NOT USED</w:t>
      </w:r>
    </w:p>
    <w:p w14:paraId="00177055" w14:textId="187717B1" w:rsidR="00B779D0" w:rsidRDefault="00B779D0" w:rsidP="00696D73">
      <w:pPr>
        <w:numPr>
          <w:ilvl w:val="1"/>
          <w:numId w:val="1"/>
        </w:numPr>
        <w:ind w:right="1681" w:hanging="360"/>
      </w:pPr>
      <w:r>
        <w:t>Joint Schedule 10 (Rectification Plan) – NOT USED</w:t>
      </w:r>
    </w:p>
    <w:p w14:paraId="5A08CFFC" w14:textId="77777777" w:rsidR="00696D73" w:rsidRDefault="00F47C1F" w:rsidP="00696D73">
      <w:pPr>
        <w:numPr>
          <w:ilvl w:val="1"/>
          <w:numId w:val="1"/>
        </w:numPr>
        <w:ind w:right="1681" w:hanging="360"/>
      </w:pPr>
      <w:r>
        <w:t xml:space="preserve">Joint Schedule 11 (Processing Data)  </w:t>
      </w:r>
    </w:p>
    <w:p w14:paraId="1F1FCDEA" w14:textId="77777777" w:rsidR="006828A4" w:rsidRDefault="006828A4" w:rsidP="006828A4">
      <w:pPr>
        <w:ind w:left="1080" w:right="1681" w:firstLine="0"/>
      </w:pPr>
    </w:p>
    <w:p w14:paraId="222B5BE8" w14:textId="6A5DE1EB" w:rsidR="006828A4" w:rsidRDefault="00155243" w:rsidP="006828A4">
      <w:pPr>
        <w:ind w:right="1681"/>
      </w:pPr>
      <w:r>
        <w:t>Call-Off Schedules:</w:t>
      </w:r>
    </w:p>
    <w:p w14:paraId="74719B36" w14:textId="77777777" w:rsidR="006828A4" w:rsidRDefault="006828A4" w:rsidP="006828A4">
      <w:pPr>
        <w:pStyle w:val="ListParagraph"/>
      </w:pPr>
    </w:p>
    <w:p w14:paraId="455C4ED8" w14:textId="04BD88C6" w:rsidR="006828A4" w:rsidRDefault="00F47C1F" w:rsidP="006828A4">
      <w:pPr>
        <w:numPr>
          <w:ilvl w:val="1"/>
          <w:numId w:val="1"/>
        </w:numPr>
        <w:ind w:right="1681" w:hanging="360"/>
      </w:pPr>
      <w:r w:rsidRPr="00DE32BB">
        <w:t>Call-Off Sc</w:t>
      </w:r>
      <w:r w:rsidR="006828A4" w:rsidRPr="00DE32BB">
        <w:t>hedule 1 (Transparency Reports)</w:t>
      </w:r>
    </w:p>
    <w:p w14:paraId="7634B5A5" w14:textId="7B9B3E11" w:rsidR="00B779D0" w:rsidRPr="00DE32BB" w:rsidRDefault="00B779D0" w:rsidP="006828A4">
      <w:pPr>
        <w:numPr>
          <w:ilvl w:val="1"/>
          <w:numId w:val="1"/>
        </w:numPr>
        <w:ind w:right="1681" w:hanging="360"/>
      </w:pPr>
      <w:r>
        <w:t>Call-Off Schedule 2 (Staff Transfer) – NOT USED</w:t>
      </w:r>
    </w:p>
    <w:p w14:paraId="0149816D" w14:textId="5D76773F" w:rsidR="006828A4" w:rsidRDefault="00F47C1F" w:rsidP="006828A4">
      <w:pPr>
        <w:numPr>
          <w:ilvl w:val="1"/>
          <w:numId w:val="1"/>
        </w:numPr>
        <w:ind w:right="1681" w:hanging="360"/>
      </w:pPr>
      <w:r w:rsidRPr="00DE32BB">
        <w:t>Call-Off Schedule 3 (Continuous Improvement</w:t>
      </w:r>
      <w:r w:rsidR="00B779D0">
        <w:t>)</w:t>
      </w:r>
    </w:p>
    <w:p w14:paraId="7249BD02" w14:textId="7A6D5A9D" w:rsidR="00B779D0" w:rsidRDefault="00B779D0" w:rsidP="006828A4">
      <w:pPr>
        <w:numPr>
          <w:ilvl w:val="1"/>
          <w:numId w:val="1"/>
        </w:numPr>
        <w:ind w:right="1681" w:hanging="360"/>
      </w:pPr>
      <w:r>
        <w:t>Call-Off Schedule 4 (Call-Off Tender) - NOT USED</w:t>
      </w:r>
    </w:p>
    <w:p w14:paraId="112DEB4A" w14:textId="65C2059C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5 (Pricing Details)</w:t>
      </w:r>
    </w:p>
    <w:p w14:paraId="5F5E2150" w14:textId="52E8ED68" w:rsidR="00B34CBD" w:rsidRPr="00DE32BB" w:rsidRDefault="00B34CBD" w:rsidP="006828A4">
      <w:pPr>
        <w:numPr>
          <w:ilvl w:val="1"/>
          <w:numId w:val="1"/>
        </w:numPr>
        <w:ind w:right="1681" w:hanging="360"/>
      </w:pPr>
      <w:r>
        <w:t>Call-Off Schedule 6 (ICT Services)</w:t>
      </w:r>
    </w:p>
    <w:p w14:paraId="5FDA949A" w14:textId="1C07C5C7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7 (Key Supplier Staff)</w:t>
      </w:r>
    </w:p>
    <w:p w14:paraId="713B2E12" w14:textId="5C78178B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8 (Business Continuity and Disaster)</w:t>
      </w:r>
    </w:p>
    <w:p w14:paraId="062C14BA" w14:textId="6D412C8C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9 (Security)</w:t>
      </w:r>
    </w:p>
    <w:p w14:paraId="7856D5F1" w14:textId="0818563A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10 (Exit Management)</w:t>
      </w:r>
    </w:p>
    <w:p w14:paraId="28B0A83E" w14:textId="7F197AE6" w:rsidR="00B779D0" w:rsidRDefault="00B779D0" w:rsidP="006828A4">
      <w:pPr>
        <w:numPr>
          <w:ilvl w:val="1"/>
          <w:numId w:val="1"/>
        </w:numPr>
        <w:ind w:right="1681" w:hanging="360"/>
      </w:pPr>
      <w:r>
        <w:t>Call-Off Schedule 11 (</w:t>
      </w:r>
      <w:r w:rsidR="00155243">
        <w:t>Installation Works</w:t>
      </w:r>
      <w:r>
        <w:t>) – NOT USED</w:t>
      </w:r>
    </w:p>
    <w:p w14:paraId="01ED3141" w14:textId="00612C35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12 (Clustering)</w:t>
      </w:r>
    </w:p>
    <w:p w14:paraId="2AE9AF58" w14:textId="70A41C69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13 (Implementation Plan and Testing)</w:t>
      </w:r>
      <w:r w:rsidR="008917D6">
        <w:t xml:space="preserve"> – NOT USED</w:t>
      </w:r>
    </w:p>
    <w:p w14:paraId="0751F948" w14:textId="1277AEE8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14 (Service Levels)</w:t>
      </w:r>
    </w:p>
    <w:p w14:paraId="147DAC7C" w14:textId="1F712A34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15 (Call-Off Contract Management)</w:t>
      </w:r>
    </w:p>
    <w:p w14:paraId="536CCE01" w14:textId="3E317A27" w:rsidR="00B779D0" w:rsidRDefault="00B779D0" w:rsidP="006828A4">
      <w:pPr>
        <w:numPr>
          <w:ilvl w:val="1"/>
          <w:numId w:val="1"/>
        </w:numPr>
        <w:ind w:right="1681" w:hanging="360"/>
      </w:pPr>
      <w:r>
        <w:t>Call-Off S</w:t>
      </w:r>
      <w:r w:rsidR="00155243">
        <w:t>chedule 16 (Benchmarking</w:t>
      </w:r>
      <w:r>
        <w:t>) – NOT USED</w:t>
      </w:r>
    </w:p>
    <w:p w14:paraId="7ECB6F23" w14:textId="7F12A17D" w:rsidR="00B779D0" w:rsidRDefault="00B779D0" w:rsidP="006828A4">
      <w:pPr>
        <w:numPr>
          <w:ilvl w:val="1"/>
          <w:numId w:val="1"/>
        </w:numPr>
        <w:ind w:right="1681" w:hanging="360"/>
      </w:pPr>
      <w:r>
        <w:t>Call-Off Schedule 17 (</w:t>
      </w:r>
      <w:r w:rsidR="00155243">
        <w:t>MOD Terms</w:t>
      </w:r>
      <w:r>
        <w:t xml:space="preserve">) – NOT USED </w:t>
      </w:r>
    </w:p>
    <w:p w14:paraId="6EBAE8D8" w14:textId="118BBBAF" w:rsidR="00B779D0" w:rsidRDefault="00B779D0" w:rsidP="006828A4">
      <w:pPr>
        <w:numPr>
          <w:ilvl w:val="1"/>
          <w:numId w:val="1"/>
        </w:numPr>
        <w:ind w:right="1681" w:hanging="360"/>
      </w:pPr>
      <w:r>
        <w:t>Call-Off Sc</w:t>
      </w:r>
      <w:r w:rsidR="00155243">
        <w:t>hedule 18 (Background Checks</w:t>
      </w:r>
      <w:r>
        <w:t>) – NOT USED</w:t>
      </w:r>
    </w:p>
    <w:p w14:paraId="44371575" w14:textId="1B028F4B" w:rsidR="00B779D0" w:rsidRDefault="00B779D0" w:rsidP="006828A4">
      <w:pPr>
        <w:numPr>
          <w:ilvl w:val="1"/>
          <w:numId w:val="1"/>
        </w:numPr>
        <w:ind w:right="1681" w:hanging="360"/>
      </w:pPr>
      <w:r>
        <w:lastRenderedPageBreak/>
        <w:t xml:space="preserve">Call-Off Schedule 19 </w:t>
      </w:r>
      <w:r w:rsidR="00155243">
        <w:t>(Scottish Law</w:t>
      </w:r>
      <w:r>
        <w:t xml:space="preserve">) – NOT USED </w:t>
      </w:r>
    </w:p>
    <w:p w14:paraId="5D27924D" w14:textId="79A4C98B" w:rsidR="00B34CBD" w:rsidRDefault="00B34CBD" w:rsidP="006828A4">
      <w:pPr>
        <w:numPr>
          <w:ilvl w:val="1"/>
          <w:numId w:val="1"/>
        </w:numPr>
        <w:ind w:right="1681" w:hanging="360"/>
      </w:pPr>
      <w:r>
        <w:t>Call-Off Schedule 20 (Call-Off Specification)</w:t>
      </w:r>
    </w:p>
    <w:p w14:paraId="5416D1DC" w14:textId="77777777" w:rsidR="00CC4EF9" w:rsidRDefault="00F47C1F">
      <w:pPr>
        <w:numPr>
          <w:ilvl w:val="0"/>
          <w:numId w:val="1"/>
        </w:numPr>
        <w:ind w:hanging="360"/>
      </w:pPr>
      <w:r>
        <w:t xml:space="preserve">CCS Core Terms </w:t>
      </w:r>
    </w:p>
    <w:p w14:paraId="0A7DD7DE" w14:textId="77777777" w:rsidR="00CC4EF9" w:rsidRDefault="00F47C1F">
      <w:pPr>
        <w:numPr>
          <w:ilvl w:val="0"/>
          <w:numId w:val="1"/>
        </w:numPr>
        <w:ind w:hanging="360"/>
      </w:pPr>
      <w:r>
        <w:t>Joint Schedule 5 (C</w:t>
      </w:r>
      <w:r w:rsidR="006828A4">
        <w:t>orporate Social Responsibility) RM6101</w:t>
      </w:r>
    </w:p>
    <w:p w14:paraId="18CF0531" w14:textId="77777777" w:rsidR="00CC4EF9" w:rsidRDefault="00CC4EF9">
      <w:pPr>
        <w:spacing w:after="0" w:line="259" w:lineRule="auto"/>
        <w:ind w:left="720" w:firstLine="0"/>
      </w:pPr>
    </w:p>
    <w:p w14:paraId="5906DC5A" w14:textId="77777777" w:rsidR="00CC4EF9" w:rsidRDefault="00F47C1F">
      <w:pPr>
        <w:ind w:left="-5"/>
      </w:pPr>
      <w:r>
        <w:t xml:space="preserve">No other Supplier terms are part of the Call-Off Contract. That includes any terms written on the back of, added to this Order Form, or presented at the time of delivery.  </w:t>
      </w:r>
    </w:p>
    <w:p w14:paraId="77404155" w14:textId="77777777" w:rsidR="00CC4EF9" w:rsidRDefault="00F47C1F" w:rsidP="00DC0EE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123" w:type="dxa"/>
        <w:tblInd w:w="0" w:type="dxa"/>
        <w:tblLook w:val="04A0" w:firstRow="1" w:lastRow="0" w:firstColumn="1" w:lastColumn="0" w:noHBand="0" w:noVBand="1"/>
      </w:tblPr>
      <w:tblGrid>
        <w:gridCol w:w="3601"/>
        <w:gridCol w:w="720"/>
        <w:gridCol w:w="2880"/>
        <w:gridCol w:w="721"/>
        <w:gridCol w:w="201"/>
      </w:tblGrid>
      <w:tr w:rsidR="00CC4EF9" w14:paraId="6F3D4BD6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7175582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CALL-OFF START DATE:  </w:t>
            </w:r>
          </w:p>
          <w:p w14:paraId="55385157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954CD8" w14:textId="77777777" w:rsidR="00CC4EF9" w:rsidRPr="00967634" w:rsidRDefault="00F47C1F">
            <w:pPr>
              <w:spacing w:after="0" w:line="259" w:lineRule="auto"/>
              <w:ind w:left="0" w:firstLine="0"/>
            </w:pPr>
            <w:r w:rsidRPr="00967634"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B1FD4B" w14:textId="7616B6B4" w:rsidR="00CC4EF9" w:rsidRPr="00967634" w:rsidRDefault="00B779D0" w:rsidP="00967634">
            <w:pPr>
              <w:spacing w:after="0" w:line="259" w:lineRule="auto"/>
              <w:ind w:left="0" w:firstLine="0"/>
            </w:pPr>
            <w:r>
              <w:t>01/04</w:t>
            </w:r>
            <w:r w:rsidR="00967634">
              <w:t>/2020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54F05C7" w14:textId="77777777" w:rsidR="00CC4EF9" w:rsidRDefault="00CC4EF9">
            <w:pPr>
              <w:spacing w:after="160" w:line="259" w:lineRule="auto"/>
              <w:ind w:left="0" w:firstLine="0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239D93D6" w14:textId="77777777" w:rsidR="00CC4EF9" w:rsidRDefault="00CC4EF9">
            <w:pPr>
              <w:spacing w:after="160" w:line="259" w:lineRule="auto"/>
              <w:ind w:left="0" w:firstLine="0"/>
            </w:pPr>
          </w:p>
        </w:tc>
      </w:tr>
      <w:tr w:rsidR="00CC4EF9" w14:paraId="6FF3F54C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D933B71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CALL-OFF EXPIRY DATE:  </w:t>
            </w:r>
            <w:r w:rsidR="00967634">
              <w:t xml:space="preserve"> </w:t>
            </w:r>
          </w:p>
          <w:p w14:paraId="345C2AB4" w14:textId="77777777" w:rsidR="00967634" w:rsidRDefault="00967634">
            <w:pPr>
              <w:spacing w:after="0" w:line="259" w:lineRule="auto"/>
              <w:ind w:left="0" w:firstLine="0"/>
            </w:pPr>
          </w:p>
          <w:p w14:paraId="4EDF0E43" w14:textId="77777777" w:rsidR="00967634" w:rsidRDefault="00967634">
            <w:pPr>
              <w:spacing w:after="0" w:line="259" w:lineRule="auto"/>
              <w:ind w:left="0" w:firstLine="0"/>
            </w:pPr>
            <w:r>
              <w:t xml:space="preserve">CALL-OFF EXTENSION PERIOD: </w:t>
            </w:r>
          </w:p>
          <w:p w14:paraId="5E32F622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194F5D" w14:textId="77777777" w:rsidR="00CC4EF9" w:rsidRPr="00967634" w:rsidRDefault="00F47C1F">
            <w:pPr>
              <w:spacing w:after="0" w:line="259" w:lineRule="auto"/>
              <w:ind w:left="0" w:firstLine="0"/>
            </w:pPr>
            <w:r w:rsidRPr="00967634"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69AE5" w14:textId="77777777" w:rsidR="00967634" w:rsidRDefault="00967634" w:rsidP="00967634">
            <w:pPr>
              <w:spacing w:after="0" w:line="259" w:lineRule="auto"/>
              <w:ind w:left="0" w:firstLine="0"/>
            </w:pPr>
            <w:r>
              <w:t>31/03/2024</w:t>
            </w:r>
          </w:p>
          <w:p w14:paraId="2A71238D" w14:textId="77777777" w:rsidR="00967634" w:rsidRDefault="00967634" w:rsidP="00967634">
            <w:pPr>
              <w:spacing w:after="0" w:line="259" w:lineRule="auto"/>
              <w:ind w:left="0" w:firstLine="0"/>
            </w:pPr>
          </w:p>
          <w:p w14:paraId="516DA253" w14:textId="77777777" w:rsidR="00967634" w:rsidRDefault="00967634" w:rsidP="00967634">
            <w:pPr>
              <w:spacing w:after="0" w:line="259" w:lineRule="auto"/>
              <w:ind w:left="0" w:firstLine="0"/>
            </w:pPr>
            <w:r>
              <w:t xml:space="preserve">4 years with the option to extend for a further two </w:t>
            </w:r>
            <w:proofErr w:type="gramStart"/>
            <w:r>
              <w:t>12 month</w:t>
            </w:r>
            <w:proofErr w:type="gramEnd"/>
            <w:r>
              <w:t xml:space="preserve"> periods</w:t>
            </w:r>
          </w:p>
          <w:p w14:paraId="75F93CA4" w14:textId="77777777" w:rsidR="00CC4EF9" w:rsidRDefault="00CC4EF9">
            <w:pPr>
              <w:spacing w:after="0" w:line="259" w:lineRule="auto"/>
              <w:ind w:left="0" w:firstLine="0"/>
              <w:rPr>
                <w:b/>
                <w:shd w:val="clear" w:color="auto" w:fill="FFFF00"/>
              </w:rPr>
            </w:pPr>
          </w:p>
          <w:p w14:paraId="75984E65" w14:textId="77777777" w:rsidR="00967634" w:rsidRPr="00967634" w:rsidRDefault="00967634" w:rsidP="00967634">
            <w:pPr>
              <w:spacing w:after="0" w:line="259" w:lineRule="auto"/>
              <w:ind w:lef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F046B67" w14:textId="77777777" w:rsidR="00CC4EF9" w:rsidRDefault="00CC4EF9">
            <w:pPr>
              <w:spacing w:after="160" w:line="259" w:lineRule="auto"/>
              <w:ind w:left="0" w:firstLine="0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17995238" w14:textId="77777777" w:rsidR="00CC4EF9" w:rsidRDefault="00CC4EF9">
            <w:pPr>
              <w:spacing w:after="160" w:line="259" w:lineRule="auto"/>
              <w:ind w:left="0" w:firstLine="0"/>
            </w:pPr>
          </w:p>
        </w:tc>
      </w:tr>
    </w:tbl>
    <w:p w14:paraId="5F3A707A" w14:textId="77777777" w:rsidR="00CC4EF9" w:rsidRDefault="00F47C1F">
      <w:pPr>
        <w:ind w:left="-5"/>
      </w:pPr>
      <w:r>
        <w:t xml:space="preserve">CALL-OFF DELIVERABLES  </w:t>
      </w:r>
    </w:p>
    <w:p w14:paraId="5FF9E93C" w14:textId="77777777" w:rsidR="00CC4EF9" w:rsidRDefault="00F47C1F">
      <w:pPr>
        <w:ind w:left="-5"/>
      </w:pPr>
      <w:r>
        <w:t>See details in Call-Off Schedule 20 (Call-Off Specification)]</w:t>
      </w:r>
      <w:r>
        <w:rPr>
          <w:b/>
        </w:rPr>
        <w:t xml:space="preserve"> </w:t>
      </w:r>
    </w:p>
    <w:p w14:paraId="117598BD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713A63" w14:textId="77777777" w:rsidR="00CC4EF9" w:rsidRDefault="00F47C1F">
      <w:pPr>
        <w:ind w:left="-5"/>
      </w:pPr>
      <w:r>
        <w:t xml:space="preserve">MAXIMUM LIABILITY  </w:t>
      </w:r>
    </w:p>
    <w:p w14:paraId="7DD9DCD9" w14:textId="77777777" w:rsidR="00CC4EF9" w:rsidRDefault="00F47C1F">
      <w:pPr>
        <w:ind w:left="-5"/>
      </w:pPr>
      <w:r>
        <w:t xml:space="preserve">The limitation of liability for this Call-Off Contract is stated in Clause 11.2 of the Core Terms. </w:t>
      </w:r>
    </w:p>
    <w:p w14:paraId="29FA7ED3" w14:textId="77777777" w:rsidR="00CC4EF9" w:rsidRDefault="00CC4EF9">
      <w:pPr>
        <w:spacing w:after="0" w:line="259" w:lineRule="auto"/>
        <w:ind w:left="0" w:firstLine="0"/>
      </w:pPr>
    </w:p>
    <w:p w14:paraId="09E02039" w14:textId="77777777" w:rsidR="00CC4EF9" w:rsidRDefault="00F47C1F">
      <w:pPr>
        <w:ind w:left="-5"/>
      </w:pPr>
      <w:r>
        <w:t xml:space="preserve">CALL-OFF CHARGES </w:t>
      </w:r>
    </w:p>
    <w:p w14:paraId="7640EDB1" w14:textId="77777777" w:rsidR="00CC4EF9" w:rsidRDefault="00F47C1F">
      <w:pPr>
        <w:ind w:left="-5"/>
      </w:pPr>
      <w:r>
        <w:t xml:space="preserve">See details in Call-Off Schedule 5 (Pricing Details)] </w:t>
      </w:r>
    </w:p>
    <w:p w14:paraId="33EB87FA" w14:textId="77777777" w:rsidR="00CC4EF9" w:rsidRDefault="00F47C1F">
      <w:pPr>
        <w:ind w:left="-5"/>
      </w:pPr>
      <w:r>
        <w:t xml:space="preserve">All changes to the Charges must use procedures that are equivalent to those in Paragraphs 4, 5 and 6 (if used) in Framework Schedule 3 </w:t>
      </w:r>
    </w:p>
    <w:p w14:paraId="6DCC5237" w14:textId="77777777" w:rsidR="00CC4EF9" w:rsidRDefault="00F47C1F">
      <w:pPr>
        <w:ind w:left="-5"/>
      </w:pPr>
      <w:r>
        <w:t xml:space="preserve">(Framework Prices)] </w:t>
      </w:r>
    </w:p>
    <w:p w14:paraId="527B045C" w14:textId="77777777" w:rsidR="00CC4EF9" w:rsidRDefault="00CC4EF9">
      <w:pPr>
        <w:spacing w:after="0" w:line="259" w:lineRule="auto"/>
        <w:ind w:left="0" w:firstLine="0"/>
      </w:pPr>
    </w:p>
    <w:p w14:paraId="54632B57" w14:textId="77777777" w:rsidR="00CC4EF9" w:rsidRDefault="00F47C1F">
      <w:pPr>
        <w:ind w:left="-5"/>
      </w:pPr>
      <w:r>
        <w:t xml:space="preserve">REIMBURSABLE EXPENSES </w:t>
      </w:r>
    </w:p>
    <w:p w14:paraId="7B829459" w14:textId="77777777" w:rsidR="00DC0EE8" w:rsidRDefault="00DC0EE8">
      <w:pPr>
        <w:ind w:left="-5"/>
      </w:pPr>
      <w:r>
        <w:t xml:space="preserve">Recoverable as stated in the Framework Contract. </w:t>
      </w:r>
    </w:p>
    <w:p w14:paraId="5B82222D" w14:textId="77777777" w:rsidR="00CC4EF9" w:rsidRDefault="00CC4EF9">
      <w:pPr>
        <w:spacing w:after="0" w:line="259" w:lineRule="auto"/>
        <w:ind w:left="0" w:firstLine="0"/>
      </w:pPr>
    </w:p>
    <w:p w14:paraId="2A65FE54" w14:textId="77777777" w:rsidR="00CC4EF9" w:rsidRDefault="00F47C1F">
      <w:pPr>
        <w:ind w:left="-5"/>
      </w:pPr>
      <w:r>
        <w:t xml:space="preserve">PAYMENT METHOD </w:t>
      </w:r>
    </w:p>
    <w:p w14:paraId="25DA9829" w14:textId="77777777" w:rsidR="00DC0EE8" w:rsidRDefault="00DC0EE8">
      <w:pPr>
        <w:ind w:left="-5"/>
      </w:pPr>
      <w:r>
        <w:t>Invoice and Purchase Order</w:t>
      </w:r>
    </w:p>
    <w:p w14:paraId="4E0C26D9" w14:textId="77777777" w:rsidR="00CC4EF9" w:rsidRDefault="00CC4EF9">
      <w:pPr>
        <w:spacing w:after="2" w:line="259" w:lineRule="auto"/>
        <w:ind w:left="0" w:firstLine="0"/>
      </w:pPr>
    </w:p>
    <w:p w14:paraId="433B3763" w14:textId="77777777" w:rsidR="00CC4EF9" w:rsidRDefault="00F47C1F">
      <w:pPr>
        <w:ind w:left="-5"/>
      </w:pPr>
      <w:r>
        <w:t xml:space="preserve">BUYER’S INVOICE ADDRESS:  </w:t>
      </w:r>
    </w:p>
    <w:p w14:paraId="51C8A1A9" w14:textId="77777777" w:rsidR="00DC0EE8" w:rsidRDefault="00DC0EE8">
      <w:pPr>
        <w:ind w:left="-5"/>
      </w:pPr>
      <w:r>
        <w:t>NQC Ltd</w:t>
      </w:r>
    </w:p>
    <w:p w14:paraId="18EEC24A" w14:textId="527C6EEF" w:rsidR="00CC4EF9" w:rsidRDefault="00205C08" w:rsidP="00DC0EE8">
      <w:pPr>
        <w:ind w:left="-5"/>
      </w:pPr>
      <w:r>
        <w:rPr>
          <w:b/>
          <w:bCs/>
          <w:color w:val="FF0000"/>
          <w:sz w:val="22"/>
        </w:rPr>
        <w:t>REDACTED TEXT under FOIA Section 40, Personal Information</w:t>
      </w:r>
    </w:p>
    <w:p w14:paraId="1AA047F5" w14:textId="77777777" w:rsidR="00CC4EF9" w:rsidRDefault="00F47C1F">
      <w:pPr>
        <w:spacing w:after="1" w:line="259" w:lineRule="auto"/>
        <w:ind w:left="0" w:firstLine="0"/>
      </w:pPr>
      <w:r>
        <w:t xml:space="preserve"> </w:t>
      </w:r>
    </w:p>
    <w:p w14:paraId="11F548E4" w14:textId="77777777" w:rsidR="00CC4EF9" w:rsidRDefault="00F47C1F">
      <w:pPr>
        <w:ind w:left="-5"/>
      </w:pPr>
      <w:r>
        <w:t xml:space="preserve">BUYER’S AUTHORISED REPRESENTATIVE </w:t>
      </w:r>
    </w:p>
    <w:p w14:paraId="64B47CCB" w14:textId="761D3B47" w:rsidR="00CC4EF9" w:rsidRDefault="00205C08">
      <w:pPr>
        <w:spacing w:line="259" w:lineRule="auto"/>
        <w:ind w:left="0" w:firstLine="0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14:paraId="5A77F77F" w14:textId="77777777" w:rsidR="00205C08" w:rsidRDefault="00205C08">
      <w:pPr>
        <w:spacing w:line="259" w:lineRule="auto"/>
        <w:ind w:left="0" w:firstLine="0"/>
      </w:pPr>
    </w:p>
    <w:p w14:paraId="7B245900" w14:textId="77777777" w:rsidR="00907897" w:rsidRDefault="00F47C1F" w:rsidP="00907897">
      <w:pPr>
        <w:ind w:left="-5"/>
      </w:pPr>
      <w:r>
        <w:t xml:space="preserve">SUPPLIER’S AUTHORISED REPRESENTATIVE </w:t>
      </w:r>
    </w:p>
    <w:p w14:paraId="2AC7E77A" w14:textId="28B93BC5" w:rsidR="00907897" w:rsidRDefault="00205C08" w:rsidP="00205C08">
      <w:pPr>
        <w:ind w:left="-5"/>
      </w:pPr>
      <w:r>
        <w:rPr>
          <w:b/>
          <w:bCs/>
          <w:color w:val="FF0000"/>
          <w:sz w:val="22"/>
        </w:rPr>
        <w:t>REDACTED TEXT under FOIA Section 40, Personal Information</w:t>
      </w:r>
      <w:r>
        <w:t xml:space="preserve"> </w:t>
      </w:r>
    </w:p>
    <w:p w14:paraId="16B1D4D1" w14:textId="60518354" w:rsidR="00CC4EF9" w:rsidRDefault="00CC4EF9">
      <w:pPr>
        <w:spacing w:after="41" w:line="259" w:lineRule="auto"/>
        <w:ind w:left="0" w:firstLine="0"/>
      </w:pPr>
    </w:p>
    <w:p w14:paraId="3F3E068E" w14:textId="77777777" w:rsidR="00CC4EF9" w:rsidRDefault="00F47C1F">
      <w:pPr>
        <w:ind w:left="-5"/>
      </w:pPr>
      <w:r>
        <w:t xml:space="preserve">SUPPLIER’S CONTRACT MANAGER </w:t>
      </w:r>
    </w:p>
    <w:p w14:paraId="323AB069" w14:textId="77777777" w:rsidR="00205C08" w:rsidRDefault="00205C08" w:rsidP="00FB6601">
      <w:pPr>
        <w:spacing w:after="2" w:line="259" w:lineRule="auto"/>
        <w:ind w:left="0" w:firstLine="0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14:paraId="444274EA" w14:textId="2DB274E1" w:rsidR="00CC4EF9" w:rsidRDefault="00F47C1F" w:rsidP="00FB6601">
      <w:pPr>
        <w:spacing w:after="2" w:line="259" w:lineRule="auto"/>
        <w:ind w:left="0" w:firstLine="0"/>
      </w:pPr>
      <w:r>
        <w:t xml:space="preserve"> </w:t>
      </w:r>
    </w:p>
    <w:p w14:paraId="448C1EA8" w14:textId="77777777" w:rsidR="00CC4EF9" w:rsidRDefault="00F47C1F">
      <w:pPr>
        <w:ind w:left="-5"/>
      </w:pPr>
      <w:r>
        <w:t xml:space="preserve">PROGRESS MEETING FREQUENCY </w:t>
      </w:r>
    </w:p>
    <w:p w14:paraId="43B2B12F" w14:textId="1F52C811" w:rsidR="00CC4EF9" w:rsidRDefault="00D13361">
      <w:pPr>
        <w:spacing w:after="0" w:line="259" w:lineRule="auto"/>
        <w:ind w:left="0" w:firstLine="0"/>
      </w:pPr>
      <w:r>
        <w:t>Appended at Call-Off Schedule 15</w:t>
      </w:r>
    </w:p>
    <w:p w14:paraId="3394388C" w14:textId="77777777" w:rsidR="00D13361" w:rsidRDefault="00D13361">
      <w:pPr>
        <w:spacing w:after="0" w:line="259" w:lineRule="auto"/>
        <w:ind w:left="0" w:firstLine="0"/>
      </w:pPr>
    </w:p>
    <w:p w14:paraId="3944289F" w14:textId="77777777" w:rsidR="00CC4EF9" w:rsidRDefault="00F47C1F" w:rsidP="00907897">
      <w:pPr>
        <w:ind w:left="-5"/>
      </w:pPr>
      <w:r>
        <w:t xml:space="preserve">COMMERCIALLY SENSITIVE INFORMATION </w:t>
      </w:r>
    </w:p>
    <w:p w14:paraId="0AB43529" w14:textId="2E0DF120" w:rsidR="00CC4EF9" w:rsidRDefault="00907897" w:rsidP="00D13361">
      <w:pPr>
        <w:ind w:left="-5"/>
      </w:pPr>
      <w:r>
        <w:t>Appended at Joint Schedule 4</w:t>
      </w:r>
    </w:p>
    <w:p w14:paraId="3E682C07" w14:textId="77777777" w:rsidR="00CC4EF9" w:rsidRDefault="00F47C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6DE2FB" w14:textId="77777777" w:rsidR="00CC4EF9" w:rsidRDefault="00F47C1F">
      <w:pPr>
        <w:ind w:left="-5"/>
      </w:pPr>
      <w:r>
        <w:t xml:space="preserve">SERVICE CREDITS </w:t>
      </w:r>
    </w:p>
    <w:p w14:paraId="3BA99A3D" w14:textId="77777777" w:rsidR="00CC4EF9" w:rsidRDefault="00F47C1F">
      <w:pPr>
        <w:ind w:left="-5"/>
      </w:pPr>
      <w:r>
        <w:t xml:space="preserve">Service Credits will accrue in accordance with Call-Off Schedule 14 (Service Levels).  </w:t>
      </w:r>
    </w:p>
    <w:p w14:paraId="748EF4F1" w14:textId="77777777" w:rsidR="00CC4EF9" w:rsidRDefault="00CC4EF9">
      <w:pPr>
        <w:spacing w:after="0" w:line="259" w:lineRule="auto"/>
        <w:ind w:left="0" w:firstLine="0"/>
      </w:pPr>
    </w:p>
    <w:p w14:paraId="2B57B923" w14:textId="77777777" w:rsidR="00CC4EF9" w:rsidRDefault="00F47C1F">
      <w:pPr>
        <w:ind w:left="-5"/>
      </w:pPr>
      <w:r>
        <w:t xml:space="preserve">ADDITIONAL INSURANCES </w:t>
      </w:r>
    </w:p>
    <w:p w14:paraId="5F6649A8" w14:textId="7322D7FB" w:rsidR="00CC4EF9" w:rsidRDefault="00F47C1F">
      <w:pPr>
        <w:ind w:left="-5"/>
      </w:pPr>
      <w:r>
        <w:t>Additional Insurances required in accordance with Joint Schedu</w:t>
      </w:r>
      <w:r w:rsidR="00B779D0">
        <w:t>le 3 (Insurance Requirements).</w:t>
      </w:r>
    </w:p>
    <w:p w14:paraId="722498FB" w14:textId="77777777" w:rsidR="00CC4EF9" w:rsidRDefault="00F47C1F">
      <w:pPr>
        <w:spacing w:after="0" w:line="259" w:lineRule="auto"/>
        <w:ind w:left="0" w:firstLine="0"/>
      </w:pPr>
      <w:r>
        <w:t xml:space="preserve"> </w:t>
      </w:r>
    </w:p>
    <w:p w14:paraId="010DC50E" w14:textId="77777777" w:rsidR="00CC4EF9" w:rsidRDefault="00F47C1F">
      <w:pPr>
        <w:ind w:left="-5"/>
      </w:pPr>
      <w:r>
        <w:t xml:space="preserve">SOCIAL VALUE COMMITMENT </w:t>
      </w:r>
    </w:p>
    <w:p w14:paraId="084D64E9" w14:textId="3E47B1AE" w:rsidR="00CC4EF9" w:rsidRDefault="00907897">
      <w:pPr>
        <w:spacing w:line="250" w:lineRule="auto"/>
        <w:ind w:left="-5" w:right="-15"/>
        <w:jc w:val="both"/>
      </w:pPr>
      <w:r>
        <w:t>The S</w:t>
      </w:r>
      <w:r w:rsidR="00F47C1F">
        <w:t>upplier agrees, in providing the Deliverables and performing its obligatio</w:t>
      </w:r>
      <w:r w:rsidR="00B779D0">
        <w:t>ns under the Call-Off Contract.</w:t>
      </w:r>
    </w:p>
    <w:p w14:paraId="1C24E250" w14:textId="77777777" w:rsidR="00CC4EF9" w:rsidRDefault="00F47C1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5" w:type="dxa"/>
          <w:left w:w="108" w:type="dxa"/>
          <w:bottom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981"/>
        <w:gridCol w:w="1556"/>
        <w:gridCol w:w="3109"/>
      </w:tblGrid>
      <w:tr w:rsidR="00CC4EF9" w14:paraId="2AED919A" w14:textId="77777777" w:rsidTr="00155243">
        <w:trPr>
          <w:trHeight w:val="640"/>
        </w:trPr>
        <w:tc>
          <w:tcPr>
            <w:tcW w:w="4507" w:type="dxa"/>
            <w:gridSpan w:val="2"/>
            <w:shd w:val="clear" w:color="auto" w:fill="DBE5F1"/>
            <w:vAlign w:val="bottom"/>
          </w:tcPr>
          <w:p w14:paraId="4E0AE7B9" w14:textId="77777777" w:rsidR="00CC4EF9" w:rsidRDefault="00F47C1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5" w:type="dxa"/>
            <w:gridSpan w:val="2"/>
            <w:shd w:val="clear" w:color="auto" w:fill="DBE5F1"/>
            <w:vAlign w:val="bottom"/>
          </w:tcPr>
          <w:p w14:paraId="13687F6F" w14:textId="77777777" w:rsidR="00CC4EF9" w:rsidRDefault="00F47C1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CC4EF9" w14:paraId="4479D8D2" w14:textId="77777777" w:rsidTr="00155243">
        <w:trPr>
          <w:trHeight w:val="641"/>
        </w:trPr>
        <w:tc>
          <w:tcPr>
            <w:tcW w:w="1526" w:type="dxa"/>
            <w:shd w:val="clear" w:color="auto" w:fill="DBE5F1"/>
            <w:vAlign w:val="bottom"/>
          </w:tcPr>
          <w:p w14:paraId="76F79756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2981" w:type="dxa"/>
            <w:vAlign w:val="bottom"/>
          </w:tcPr>
          <w:p w14:paraId="1375A8A5" w14:textId="14E0B816" w:rsidR="00CC4EF9" w:rsidRDefault="00605F9E">
            <w:pPr>
              <w:spacing w:after="0" w:line="259" w:lineRule="auto"/>
              <w:ind w:left="142" w:firstLine="0"/>
            </w:pPr>
            <w:bookmarkStart w:id="0" w:name="_GoBack"/>
            <w:bookmarkEnd w:id="0"/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  <w:tc>
          <w:tcPr>
            <w:tcW w:w="1556" w:type="dxa"/>
            <w:shd w:val="clear" w:color="auto" w:fill="DBE5F1"/>
            <w:vAlign w:val="bottom"/>
          </w:tcPr>
          <w:p w14:paraId="23D372B9" w14:textId="77777777" w:rsidR="00CC4EF9" w:rsidRDefault="00F47C1F">
            <w:pPr>
              <w:spacing w:after="0" w:line="259" w:lineRule="auto"/>
              <w:ind w:left="47" w:firstLine="0"/>
              <w:jc w:val="center"/>
            </w:pPr>
            <w:r>
              <w:t xml:space="preserve">Signature: </w:t>
            </w:r>
          </w:p>
        </w:tc>
        <w:tc>
          <w:tcPr>
            <w:tcW w:w="3108" w:type="dxa"/>
            <w:vAlign w:val="bottom"/>
          </w:tcPr>
          <w:p w14:paraId="01E4E034" w14:textId="33E98AF9" w:rsidR="00CC4EF9" w:rsidRDefault="00605F9E">
            <w:pPr>
              <w:spacing w:after="0" w:line="259" w:lineRule="auto"/>
              <w:ind w:left="142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CC4EF9" w14:paraId="4A579112" w14:textId="77777777" w:rsidTr="00155243">
        <w:trPr>
          <w:trHeight w:val="641"/>
        </w:trPr>
        <w:tc>
          <w:tcPr>
            <w:tcW w:w="1526" w:type="dxa"/>
            <w:shd w:val="clear" w:color="auto" w:fill="DBE5F1"/>
            <w:vAlign w:val="bottom"/>
          </w:tcPr>
          <w:p w14:paraId="117FD765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2981" w:type="dxa"/>
            <w:shd w:val="clear" w:color="auto" w:fill="DBE5F1"/>
            <w:vAlign w:val="bottom"/>
          </w:tcPr>
          <w:p w14:paraId="707705C5" w14:textId="1314828B" w:rsidR="00CC4EF9" w:rsidRDefault="00605F9E">
            <w:pPr>
              <w:spacing w:after="0" w:line="259" w:lineRule="auto"/>
              <w:ind w:left="142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  <w:tc>
          <w:tcPr>
            <w:tcW w:w="1556" w:type="dxa"/>
            <w:shd w:val="clear" w:color="auto" w:fill="DBE5F1"/>
            <w:vAlign w:val="bottom"/>
          </w:tcPr>
          <w:p w14:paraId="21254CBB" w14:textId="77777777" w:rsidR="00CC4EF9" w:rsidRDefault="00F47C1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08" w:type="dxa"/>
            <w:shd w:val="clear" w:color="auto" w:fill="DBE5F1"/>
            <w:vAlign w:val="bottom"/>
          </w:tcPr>
          <w:p w14:paraId="2EFD66A5" w14:textId="268ABFB7" w:rsidR="00CC4EF9" w:rsidRDefault="00605F9E">
            <w:pPr>
              <w:spacing w:after="0" w:line="259" w:lineRule="auto"/>
              <w:ind w:left="142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CC4EF9" w14:paraId="382A32E5" w14:textId="77777777" w:rsidTr="00155243">
        <w:trPr>
          <w:trHeight w:val="641"/>
        </w:trPr>
        <w:tc>
          <w:tcPr>
            <w:tcW w:w="1526" w:type="dxa"/>
            <w:shd w:val="clear" w:color="auto" w:fill="DBE5F1"/>
            <w:vAlign w:val="bottom"/>
          </w:tcPr>
          <w:p w14:paraId="1C65442C" w14:textId="77777777" w:rsidR="00CC4EF9" w:rsidRDefault="00F47C1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2981" w:type="dxa"/>
            <w:vAlign w:val="bottom"/>
          </w:tcPr>
          <w:p w14:paraId="73F4FD49" w14:textId="218554D7" w:rsidR="00CC4EF9" w:rsidRDefault="00605F9E">
            <w:pPr>
              <w:spacing w:after="0" w:line="259" w:lineRule="auto"/>
              <w:ind w:left="142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  <w:tc>
          <w:tcPr>
            <w:tcW w:w="1556" w:type="dxa"/>
            <w:shd w:val="clear" w:color="auto" w:fill="DBE5F1"/>
            <w:vAlign w:val="bottom"/>
          </w:tcPr>
          <w:p w14:paraId="18A5C74B" w14:textId="77777777" w:rsidR="00CC4EF9" w:rsidRDefault="00F47C1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08" w:type="dxa"/>
            <w:vAlign w:val="bottom"/>
          </w:tcPr>
          <w:p w14:paraId="2ADB3FC5" w14:textId="3050CB0F" w:rsidR="00CC4EF9" w:rsidRDefault="00605F9E">
            <w:pPr>
              <w:spacing w:after="0" w:line="259" w:lineRule="auto"/>
              <w:ind w:left="142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</w:tbl>
    <w:p w14:paraId="747A46DC" w14:textId="7C410CC0" w:rsidR="00CC4EF9" w:rsidRDefault="00CC4EF9" w:rsidP="00155243">
      <w:pPr>
        <w:spacing w:after="0" w:line="259" w:lineRule="auto"/>
        <w:ind w:left="0" w:firstLine="0"/>
        <w:jc w:val="both"/>
      </w:pPr>
    </w:p>
    <w:sectPr w:rsidR="00CC4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4" w:right="1435" w:bottom="1491" w:left="1440" w:header="71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0B0D4" w14:textId="77777777" w:rsidR="00640F0A" w:rsidRDefault="00640F0A">
      <w:pPr>
        <w:spacing w:after="0" w:line="240" w:lineRule="auto"/>
      </w:pPr>
      <w:r>
        <w:separator/>
      </w:r>
    </w:p>
  </w:endnote>
  <w:endnote w:type="continuationSeparator" w:id="0">
    <w:p w14:paraId="5AA99260" w14:textId="77777777" w:rsidR="00640F0A" w:rsidRDefault="0064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459F" w14:textId="77777777" w:rsidR="00CC4EF9" w:rsidRDefault="00F47C1F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 </w:t>
    </w:r>
    <w:r>
      <w:rPr>
        <w:sz w:val="20"/>
      </w:rPr>
      <w:tab/>
      <w:t xml:space="preserve">                                            </w:t>
    </w:r>
  </w:p>
  <w:p w14:paraId="23CA8F06" w14:textId="77777777" w:rsidR="00CC4EF9" w:rsidRDefault="00F47C1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CDD9DBE" w14:textId="77777777" w:rsidR="00CC4EF9" w:rsidRDefault="00F47C1F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v3.3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53DB" w14:textId="77777777" w:rsidR="00CC4EF9" w:rsidRPr="008B572A" w:rsidRDefault="006828A4">
    <w:pPr>
      <w:tabs>
        <w:tab w:val="center" w:pos="4513"/>
      </w:tabs>
      <w:spacing w:after="0" w:line="259" w:lineRule="auto"/>
      <w:ind w:left="0" w:firstLine="0"/>
      <w:rPr>
        <w:sz w:val="20"/>
      </w:rPr>
    </w:pPr>
    <w:r>
      <w:rPr>
        <w:sz w:val="20"/>
      </w:rPr>
      <w:t>Framework Ref: RM6101</w:t>
    </w:r>
    <w:r w:rsidR="00F47C1F">
      <w:rPr>
        <w:sz w:val="20"/>
      </w:rPr>
      <w:tab/>
      <w:t xml:space="preserve">                                            </w:t>
    </w:r>
  </w:p>
  <w:p w14:paraId="0AD3A91E" w14:textId="237ADD3C" w:rsidR="00CC4EF9" w:rsidRDefault="00F47C1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B1B86" w:rsidRPr="000B1B86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50B8BFB" w14:textId="77777777" w:rsidR="00CC4EF9" w:rsidRDefault="00F47C1F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77C4" w14:textId="77777777" w:rsidR="00CC4EF9" w:rsidRDefault="00F47C1F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 </w:t>
    </w:r>
    <w:r>
      <w:rPr>
        <w:sz w:val="20"/>
      </w:rPr>
      <w:tab/>
      <w:t xml:space="preserve">                                            </w:t>
    </w:r>
  </w:p>
  <w:p w14:paraId="09627F96" w14:textId="77777777" w:rsidR="00CC4EF9" w:rsidRDefault="00F47C1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2C547C1" w14:textId="77777777" w:rsidR="00CC4EF9" w:rsidRDefault="00F47C1F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v3.3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6C40F" w14:textId="77777777" w:rsidR="00640F0A" w:rsidRDefault="00640F0A">
      <w:pPr>
        <w:spacing w:after="0" w:line="240" w:lineRule="auto"/>
      </w:pPr>
      <w:r>
        <w:separator/>
      </w:r>
    </w:p>
  </w:footnote>
  <w:footnote w:type="continuationSeparator" w:id="0">
    <w:p w14:paraId="056CDE66" w14:textId="77777777" w:rsidR="00640F0A" w:rsidRDefault="0064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4D0" w14:textId="77777777" w:rsidR="00CC4EF9" w:rsidRDefault="00F47C1F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2895" w14:textId="77777777" w:rsidR="00CC4EF9" w:rsidRDefault="00F47C1F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 w:rsidR="008B572A">
      <w:rPr>
        <w:sz w:val="20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16805" w14:textId="77777777" w:rsidR="00CC4EF9" w:rsidRDefault="00F47C1F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0014E"/>
    <w:multiLevelType w:val="hybridMultilevel"/>
    <w:tmpl w:val="8FBEDA46"/>
    <w:lvl w:ilvl="0" w:tplc="682262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C5D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85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839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0A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E9A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092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A8D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2A6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14262"/>
    <w:multiLevelType w:val="hybridMultilevel"/>
    <w:tmpl w:val="F286AAF8"/>
    <w:lvl w:ilvl="0" w:tplc="6ED8F67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4D23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46356">
      <w:start w:val="1"/>
      <w:numFmt w:val="bullet"/>
      <w:lvlText w:val="o"/>
      <w:lvlJc w:val="left"/>
      <w:pPr>
        <w:ind w:left="17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7954069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0C80E7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8CD8CDF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15EA0B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BB6A459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751C36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F9"/>
    <w:rsid w:val="000B1B86"/>
    <w:rsid w:val="0013518D"/>
    <w:rsid w:val="00155243"/>
    <w:rsid w:val="002018E7"/>
    <w:rsid w:val="00205C08"/>
    <w:rsid w:val="00456B16"/>
    <w:rsid w:val="004A07B6"/>
    <w:rsid w:val="004B1568"/>
    <w:rsid w:val="00531451"/>
    <w:rsid w:val="00605F9E"/>
    <w:rsid w:val="00640F0A"/>
    <w:rsid w:val="006828A4"/>
    <w:rsid w:val="00696D73"/>
    <w:rsid w:val="00786CB9"/>
    <w:rsid w:val="008917D6"/>
    <w:rsid w:val="008B572A"/>
    <w:rsid w:val="00907897"/>
    <w:rsid w:val="00967634"/>
    <w:rsid w:val="00995F46"/>
    <w:rsid w:val="009D7357"/>
    <w:rsid w:val="009F4AEC"/>
    <w:rsid w:val="00B00C14"/>
    <w:rsid w:val="00B239A4"/>
    <w:rsid w:val="00B253E2"/>
    <w:rsid w:val="00B34CBD"/>
    <w:rsid w:val="00B779D0"/>
    <w:rsid w:val="00CC4EF9"/>
    <w:rsid w:val="00D13361"/>
    <w:rsid w:val="00D61B56"/>
    <w:rsid w:val="00DC0EE8"/>
    <w:rsid w:val="00DE32BB"/>
    <w:rsid w:val="00F47C1F"/>
    <w:rsid w:val="00FA4920"/>
    <w:rsid w:val="00FB6601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B6C8"/>
  <w15:docId w15:val="{25DB5078-B9B8-495D-8B61-658765A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7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28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8E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8E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E7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7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cp:lastModifiedBy>Megan Lancaster</cp:lastModifiedBy>
  <cp:revision>2</cp:revision>
  <dcterms:created xsi:type="dcterms:W3CDTF">2024-06-21T14:26:00Z</dcterms:created>
  <dcterms:modified xsi:type="dcterms:W3CDTF">2024-06-21T14:26:00Z</dcterms:modified>
</cp:coreProperties>
</file>