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9A4" w:rsidRDefault="006249A4" w:rsidP="00AA6BDF"/>
    <w:p w:rsidR="00E2027A" w:rsidRDefault="00C47F33" w:rsidP="00AA6BDF">
      <w:pPr>
        <w:pStyle w:val="Heading1"/>
      </w:pPr>
      <w:r w:rsidRPr="00C47F33">
        <w:t>Gender Balance in Computing Pilot Programme</w:t>
      </w:r>
      <w:r w:rsidR="008224A9" w:rsidRPr="00C47F33">
        <w:t xml:space="preserve">  </w:t>
      </w:r>
    </w:p>
    <w:p w:rsidR="008224A9" w:rsidRPr="00C47F33" w:rsidRDefault="00E2027A" w:rsidP="00AA6BDF">
      <w:pPr>
        <w:pStyle w:val="Heading1"/>
      </w:pPr>
      <w:r>
        <w:t xml:space="preserve">Standard </w:t>
      </w:r>
      <w:r w:rsidR="00BA5C9E">
        <w:t>Selection</w:t>
      </w:r>
      <w:r>
        <w:t xml:space="preserve"> Questionnaire (SSQ</w:t>
      </w:r>
      <w:r w:rsidR="009F04FF">
        <w:t>)</w:t>
      </w:r>
      <w:r>
        <w:t xml:space="preserve"> and </w:t>
      </w:r>
      <w:r w:rsidR="008224A9" w:rsidRPr="00C47F33">
        <w:t xml:space="preserve">Expression of Interest </w:t>
      </w:r>
      <w:r>
        <w:t xml:space="preserve">(EOI) </w:t>
      </w:r>
      <w:r w:rsidR="008224A9" w:rsidRPr="00C47F33">
        <w:t>Guidance</w:t>
      </w:r>
      <w:r>
        <w:t xml:space="preserve"> </w:t>
      </w:r>
    </w:p>
    <w:p w:rsidR="00FC431D" w:rsidRPr="000E16B6" w:rsidRDefault="00FC431D" w:rsidP="00FC431D">
      <w:pPr>
        <w:pStyle w:val="Heading2"/>
      </w:pPr>
      <w:r w:rsidRPr="000E16B6">
        <w:t xml:space="preserve">Programme Objectives and Procurement Strategy </w:t>
      </w:r>
    </w:p>
    <w:p w:rsidR="00FC431D" w:rsidRPr="000E16B6" w:rsidRDefault="00FC431D" w:rsidP="00FC431D">
      <w:r w:rsidRPr="000E16B6">
        <w:t>The Department for Education (‘DfE’) is planning to procure for an organisation (‘the Supplier’) to deliver a Gender Balance in Computing Pilot Programme (the ‘Programme’).</w:t>
      </w:r>
    </w:p>
    <w:p w:rsidR="00FC431D" w:rsidRPr="004852C8" w:rsidRDefault="00FC431D" w:rsidP="00FC431D">
      <w:pPr>
        <w:rPr>
          <w:color w:val="auto"/>
        </w:rPr>
      </w:pPr>
      <w:r w:rsidRPr="004852C8">
        <w:rPr>
          <w:color w:val="auto"/>
        </w:rPr>
        <w:t xml:space="preserve">The government’s </w:t>
      </w:r>
      <w:r w:rsidR="0008655F">
        <w:rPr>
          <w:color w:val="auto"/>
        </w:rPr>
        <w:t>D</w:t>
      </w:r>
      <w:r w:rsidRPr="004852C8">
        <w:rPr>
          <w:color w:val="auto"/>
        </w:rPr>
        <w:t xml:space="preserve">igital </w:t>
      </w:r>
      <w:r w:rsidR="0008655F">
        <w:rPr>
          <w:color w:val="auto"/>
        </w:rPr>
        <w:t>S</w:t>
      </w:r>
      <w:r w:rsidRPr="004852C8">
        <w:rPr>
          <w:color w:val="auto"/>
        </w:rPr>
        <w:t>trategy</w:t>
      </w:r>
      <w:r w:rsidR="0008655F">
        <w:rPr>
          <w:rStyle w:val="FootnoteReference"/>
          <w:color w:val="auto"/>
        </w:rPr>
        <w:footnoteReference w:id="2"/>
      </w:r>
      <w:r w:rsidRPr="004852C8">
        <w:rPr>
          <w:color w:val="auto"/>
        </w:rPr>
        <w:t xml:space="preserve"> identifies that 90% of future jobs will require digital skills and that digital literacy is a critical skillset that pupils </w:t>
      </w:r>
      <w:r>
        <w:rPr>
          <w:color w:val="auto"/>
        </w:rPr>
        <w:t>require</w:t>
      </w:r>
      <w:r w:rsidRPr="004852C8">
        <w:rPr>
          <w:color w:val="auto"/>
        </w:rPr>
        <w:t xml:space="preserve">, alongside literacy and numeracy.  However, girls currently </w:t>
      </w:r>
      <w:r>
        <w:rPr>
          <w:color w:val="auto"/>
        </w:rPr>
        <w:t xml:space="preserve">only </w:t>
      </w:r>
      <w:r w:rsidRPr="004852C8">
        <w:rPr>
          <w:color w:val="auto"/>
        </w:rPr>
        <w:t xml:space="preserve">represent around one fifth of entries to </w:t>
      </w:r>
      <w:r>
        <w:rPr>
          <w:color w:val="auto"/>
        </w:rPr>
        <w:t>c</w:t>
      </w:r>
      <w:r w:rsidRPr="004852C8">
        <w:rPr>
          <w:color w:val="auto"/>
        </w:rPr>
        <w:t xml:space="preserve">omputer </w:t>
      </w:r>
      <w:r>
        <w:rPr>
          <w:color w:val="auto"/>
        </w:rPr>
        <w:t>s</w:t>
      </w:r>
      <w:r w:rsidRPr="004852C8">
        <w:rPr>
          <w:color w:val="auto"/>
        </w:rPr>
        <w:t xml:space="preserve">cience GCSE and just one tenth of entries to A Level </w:t>
      </w:r>
      <w:r>
        <w:rPr>
          <w:color w:val="auto"/>
        </w:rPr>
        <w:t>c</w:t>
      </w:r>
      <w:r w:rsidRPr="004852C8">
        <w:rPr>
          <w:color w:val="auto"/>
        </w:rPr>
        <w:t xml:space="preserve">omputer </w:t>
      </w:r>
      <w:r>
        <w:rPr>
          <w:color w:val="auto"/>
        </w:rPr>
        <w:t>s</w:t>
      </w:r>
      <w:r w:rsidRPr="004852C8">
        <w:rPr>
          <w:color w:val="auto"/>
        </w:rPr>
        <w:t>cience.</w:t>
      </w:r>
      <w:r w:rsidR="008A6419">
        <w:rPr>
          <w:color w:val="auto"/>
        </w:rPr>
        <w:t xml:space="preserve"> This will impact </w:t>
      </w:r>
      <w:r w:rsidR="00055FFC">
        <w:rPr>
          <w:color w:val="auto"/>
        </w:rPr>
        <w:t>their</w:t>
      </w:r>
      <w:r w:rsidR="008A6419">
        <w:rPr>
          <w:color w:val="auto"/>
        </w:rPr>
        <w:t xml:space="preserve"> opportunity </w:t>
      </w:r>
      <w:r w:rsidR="00055FFC">
        <w:rPr>
          <w:color w:val="auto"/>
        </w:rPr>
        <w:t>to</w:t>
      </w:r>
      <w:r w:rsidR="008A6419">
        <w:rPr>
          <w:color w:val="auto"/>
        </w:rPr>
        <w:t xml:space="preserve"> acces</w:t>
      </w:r>
      <w:r w:rsidR="00055FFC">
        <w:rPr>
          <w:color w:val="auto"/>
        </w:rPr>
        <w:t>s</w:t>
      </w:r>
      <w:r w:rsidR="008A6419">
        <w:rPr>
          <w:color w:val="auto"/>
        </w:rPr>
        <w:t xml:space="preserve"> </w:t>
      </w:r>
      <w:r w:rsidR="00055FFC">
        <w:rPr>
          <w:color w:val="auto"/>
        </w:rPr>
        <w:t xml:space="preserve">roles in computer science </w:t>
      </w:r>
      <w:r w:rsidR="008A6419">
        <w:rPr>
          <w:color w:val="auto"/>
        </w:rPr>
        <w:t>which in turn will affect their future lif</w:t>
      </w:r>
      <w:r w:rsidR="00055FFC">
        <w:rPr>
          <w:color w:val="auto"/>
        </w:rPr>
        <w:t>e chances and ear</w:t>
      </w:r>
      <w:r w:rsidR="008A6419">
        <w:rPr>
          <w:color w:val="auto"/>
        </w:rPr>
        <w:t>n</w:t>
      </w:r>
      <w:r w:rsidR="00055FFC">
        <w:rPr>
          <w:color w:val="auto"/>
        </w:rPr>
        <w:t>i</w:t>
      </w:r>
      <w:r w:rsidR="008A6419">
        <w:rPr>
          <w:color w:val="auto"/>
        </w:rPr>
        <w:t>ng potential.</w:t>
      </w:r>
      <w:r w:rsidRPr="004852C8">
        <w:rPr>
          <w:color w:val="auto"/>
        </w:rPr>
        <w:t xml:space="preserve"> </w:t>
      </w:r>
    </w:p>
    <w:p w:rsidR="00FC431D" w:rsidRPr="004852C8" w:rsidRDefault="00FC431D" w:rsidP="00FC431D">
      <w:pPr>
        <w:rPr>
          <w:color w:val="auto"/>
        </w:rPr>
      </w:pPr>
      <w:r w:rsidRPr="004852C8">
        <w:rPr>
          <w:color w:val="auto"/>
        </w:rPr>
        <w:t xml:space="preserve">Ensuring that </w:t>
      </w:r>
      <w:r>
        <w:rPr>
          <w:color w:val="auto"/>
        </w:rPr>
        <w:t xml:space="preserve">all </w:t>
      </w:r>
      <w:r w:rsidRPr="004852C8">
        <w:rPr>
          <w:color w:val="auto"/>
        </w:rPr>
        <w:t xml:space="preserve">children have the digital and computing skills needed for the future is a key priority of this government. We want to find practical </w:t>
      </w:r>
      <w:r w:rsidR="005F21CB">
        <w:rPr>
          <w:color w:val="auto"/>
        </w:rPr>
        <w:t>measures</w:t>
      </w:r>
      <w:r w:rsidRPr="004852C8">
        <w:rPr>
          <w:color w:val="auto"/>
        </w:rPr>
        <w:t xml:space="preserve"> that schools can</w:t>
      </w:r>
      <w:r w:rsidR="005F21CB">
        <w:rPr>
          <w:color w:val="auto"/>
        </w:rPr>
        <w:t xml:space="preserve"> take to</w:t>
      </w:r>
      <w:r w:rsidRPr="004852C8">
        <w:rPr>
          <w:color w:val="auto"/>
        </w:rPr>
        <w:t xml:space="preserve"> ensure girls see themselves as active creators of digital technology, not just passive consumers</w:t>
      </w:r>
      <w:r>
        <w:rPr>
          <w:color w:val="auto"/>
        </w:rPr>
        <w:t xml:space="preserve"> </w:t>
      </w:r>
      <w:r w:rsidRPr="004852C8">
        <w:rPr>
          <w:color w:val="auto"/>
        </w:rPr>
        <w:t>– and fully understand their own potential</w:t>
      </w:r>
      <w:r>
        <w:rPr>
          <w:color w:val="auto"/>
        </w:rPr>
        <w:t xml:space="preserve"> in this field</w:t>
      </w:r>
      <w:r w:rsidR="005F21CB">
        <w:rPr>
          <w:color w:val="auto"/>
        </w:rPr>
        <w:t xml:space="preserve">. </w:t>
      </w:r>
      <w:r w:rsidRPr="004852C8">
        <w:rPr>
          <w:color w:val="auto"/>
        </w:rPr>
        <w:t xml:space="preserve">We need more girls to identify computing </w:t>
      </w:r>
      <w:r>
        <w:rPr>
          <w:color w:val="auto"/>
        </w:rPr>
        <w:t>and computer science as areas in which they can excel</w:t>
      </w:r>
      <w:r w:rsidR="00AF7F07">
        <w:rPr>
          <w:color w:val="auto"/>
        </w:rPr>
        <w:t>, so that they have the choice to access the growing range of careers in this field</w:t>
      </w:r>
      <w:r w:rsidRPr="004852C8">
        <w:rPr>
          <w:color w:val="auto"/>
        </w:rPr>
        <w:t xml:space="preserve">. </w:t>
      </w:r>
    </w:p>
    <w:p w:rsidR="00FC431D" w:rsidRPr="000E16B6" w:rsidRDefault="00FC431D" w:rsidP="00FC431D">
      <w:r w:rsidRPr="000E16B6">
        <w:t>The objective of the Programme is to identify effective approaches to improving gender balance in computing (at all stages of school, excluding post-16) and increase the number of girls who take up computer science at GCSE,</w:t>
      </w:r>
      <w:r w:rsidR="00480308">
        <w:t xml:space="preserve"> and subsequently</w:t>
      </w:r>
      <w:r w:rsidRPr="000E16B6">
        <w:t xml:space="preserve"> AS and A level. The Programme will deliver multiple, innovative interventions in a </w:t>
      </w:r>
      <w:r w:rsidR="00A82AA1">
        <w:t xml:space="preserve">range </w:t>
      </w:r>
      <w:r w:rsidRPr="000E16B6">
        <w:t xml:space="preserve">of state-funded schools in England, during the academic years 2018/19 to 2021/22, and evaluate their effectiveness. </w:t>
      </w:r>
    </w:p>
    <w:p w:rsidR="00FC431D" w:rsidRPr="000E16B6" w:rsidRDefault="00FC431D" w:rsidP="00FC431D">
      <w:r w:rsidRPr="000E16B6">
        <w:t>These interventions will be designed and delivered so that they can be robustly tested and are able to be taken to scale at a later date if sufficiently supported by positive evidence of impact. The Supplier will have the capacity and expertise to deliver these interventions at the scale and within the timeframe required. They should have the capacity</w:t>
      </w:r>
      <w:r w:rsidR="00145C59">
        <w:t xml:space="preserve"> and expertise</w:t>
      </w:r>
      <w:r w:rsidRPr="000E16B6">
        <w:t xml:space="preserve"> to deliver a suitable evaluation strategy to measure the impact of these interventions, either using in-house expertise or through sub-contract with an appropriate third party.</w:t>
      </w:r>
    </w:p>
    <w:p w:rsidR="002F2E14" w:rsidRDefault="00FC431D" w:rsidP="00FC431D">
      <w:r w:rsidRPr="000E16B6">
        <w:t>DfE will run the procurement for this Programme under PCR2015 Reg.14 (‘Research and Design’). The procurement will be carried out as a two-stage process.</w:t>
      </w:r>
    </w:p>
    <w:p w:rsidR="002F2E14" w:rsidRDefault="00FC431D" w:rsidP="00C8795D">
      <w:pPr>
        <w:pStyle w:val="ListParagraph"/>
        <w:numPr>
          <w:ilvl w:val="0"/>
          <w:numId w:val="29"/>
        </w:numPr>
      </w:pPr>
      <w:r w:rsidRPr="000E16B6">
        <w:t xml:space="preserve">The </w:t>
      </w:r>
      <w:r w:rsidRPr="00F131C4">
        <w:rPr>
          <w:b/>
        </w:rPr>
        <w:t>first stage</w:t>
      </w:r>
      <w:r w:rsidRPr="000E16B6">
        <w:t xml:space="preserve"> will be carried out through submission of a completed Standard Selection Questionnaire (SSQ) and Expression of Interest (EOI) Response Form (the ‘Response’). Submitted Responses will be subject to an assessment process to identify suitable potential suppliers.</w:t>
      </w:r>
    </w:p>
    <w:p w:rsidR="00FC431D" w:rsidRPr="000E16B6" w:rsidRDefault="00FC431D" w:rsidP="00C8795D">
      <w:pPr>
        <w:pStyle w:val="ListParagraph"/>
        <w:numPr>
          <w:ilvl w:val="0"/>
          <w:numId w:val="29"/>
        </w:numPr>
      </w:pPr>
      <w:r w:rsidRPr="000E16B6">
        <w:t xml:space="preserve">Selected organisations will be invited to participate in the </w:t>
      </w:r>
      <w:r w:rsidRPr="00F131C4">
        <w:rPr>
          <w:b/>
        </w:rPr>
        <w:t>second stage</w:t>
      </w:r>
      <w:r w:rsidRPr="000E16B6">
        <w:t>, through an Invitation to Tender (ITT). Responses to the ITT will be assessed and scored; the highest scoring tender will be awarded the contract to deliver this Programme.</w:t>
      </w:r>
    </w:p>
    <w:p w:rsidR="00FC431D" w:rsidRPr="000E16B6" w:rsidRDefault="00FC431D" w:rsidP="00FC431D">
      <w:r w:rsidRPr="000E16B6">
        <w:t xml:space="preserve">The maximum funding available for this Programme in the period October 2018 to July 2022 is £2.4m, </w:t>
      </w:r>
      <w:r w:rsidR="00AB5327">
        <w:t>split approximately evenly across</w:t>
      </w:r>
      <w:r w:rsidRPr="000E16B6">
        <w:t xml:space="preserve"> each academic year from 2018/19 to 2021/22</w:t>
      </w:r>
      <w:r w:rsidR="00AB5327">
        <w:t xml:space="preserve"> (further detail will be set out in the ITT)</w:t>
      </w:r>
      <w:r w:rsidRPr="000E16B6">
        <w:t>.</w:t>
      </w:r>
    </w:p>
    <w:p w:rsidR="00FC431D" w:rsidRPr="000E16B6" w:rsidRDefault="00FC431D" w:rsidP="00FC431D">
      <w:r w:rsidRPr="000E16B6">
        <w:t>Any subsequent roll out of those interventions shown to be effective would take place after July 2022, subject to future ministerial decisions. There should be no expectation t</w:t>
      </w:r>
      <w:r>
        <w:t>hat the Supplier for the pilot P</w:t>
      </w:r>
      <w:r w:rsidRPr="000E16B6">
        <w:t>rogramme would be involved in the delivery of any subsequent programmes</w:t>
      </w:r>
      <w:r>
        <w:t xml:space="preserve"> in this area</w:t>
      </w:r>
      <w:r w:rsidRPr="000E16B6">
        <w:t>.</w:t>
      </w:r>
    </w:p>
    <w:p w:rsidR="00FC431D" w:rsidRPr="000E16B6" w:rsidRDefault="00FC431D" w:rsidP="00FC431D">
      <w:pPr>
        <w:pStyle w:val="Heading2"/>
      </w:pPr>
      <w:r w:rsidRPr="000E16B6">
        <w:t>Indicative Procurement Timeline</w:t>
      </w:r>
    </w:p>
    <w:tbl>
      <w:tblPr>
        <w:tblStyle w:val="TableGrid"/>
        <w:tblW w:w="0" w:type="auto"/>
        <w:tblLook w:val="04A0" w:firstRow="1" w:lastRow="0" w:firstColumn="1" w:lastColumn="0" w:noHBand="0" w:noVBand="1"/>
      </w:tblPr>
      <w:tblGrid>
        <w:gridCol w:w="4743"/>
        <w:gridCol w:w="4743"/>
      </w:tblGrid>
      <w:tr w:rsidR="00FC431D" w:rsidRPr="000E16B6" w:rsidTr="00D77DF0">
        <w:tc>
          <w:tcPr>
            <w:tcW w:w="4743" w:type="dxa"/>
          </w:tcPr>
          <w:p w:rsidR="00FC431D" w:rsidRPr="000E16B6" w:rsidRDefault="00FC431D" w:rsidP="00D77DF0">
            <w:r w:rsidRPr="000E16B6">
              <w:t>Call for Expressions of Interest issued</w:t>
            </w:r>
          </w:p>
        </w:tc>
        <w:tc>
          <w:tcPr>
            <w:tcW w:w="4743" w:type="dxa"/>
          </w:tcPr>
          <w:p w:rsidR="00FC431D" w:rsidRPr="005F21CB" w:rsidRDefault="00FC431D" w:rsidP="00D77DF0">
            <w:pPr>
              <w:rPr>
                <w:color w:val="auto"/>
              </w:rPr>
            </w:pPr>
            <w:r w:rsidRPr="005F21CB">
              <w:rPr>
                <w:color w:val="auto"/>
              </w:rPr>
              <w:t>11 June 2018</w:t>
            </w:r>
          </w:p>
        </w:tc>
      </w:tr>
      <w:tr w:rsidR="00FC431D" w:rsidRPr="000E16B6" w:rsidTr="00D77DF0">
        <w:tc>
          <w:tcPr>
            <w:tcW w:w="4743" w:type="dxa"/>
          </w:tcPr>
          <w:p w:rsidR="00FC431D" w:rsidRPr="000E16B6" w:rsidRDefault="00FC431D" w:rsidP="00D77DF0">
            <w:r w:rsidRPr="000E16B6">
              <w:t>Deadline for EOI Applications</w:t>
            </w:r>
          </w:p>
        </w:tc>
        <w:tc>
          <w:tcPr>
            <w:tcW w:w="4743" w:type="dxa"/>
          </w:tcPr>
          <w:p w:rsidR="00FC431D" w:rsidRPr="005F21CB" w:rsidRDefault="00FC431D" w:rsidP="00D77DF0">
            <w:pPr>
              <w:rPr>
                <w:color w:val="auto"/>
              </w:rPr>
            </w:pPr>
            <w:r w:rsidRPr="005F21CB">
              <w:rPr>
                <w:color w:val="auto"/>
              </w:rPr>
              <w:t>12.00, 2</w:t>
            </w:r>
            <w:r w:rsidR="003763E0" w:rsidRPr="005F21CB">
              <w:rPr>
                <w:color w:val="auto"/>
              </w:rPr>
              <w:t>6</w:t>
            </w:r>
            <w:r w:rsidRPr="005F21CB">
              <w:rPr>
                <w:color w:val="auto"/>
              </w:rPr>
              <w:t xml:space="preserve"> June 2018</w:t>
            </w:r>
          </w:p>
        </w:tc>
      </w:tr>
      <w:tr w:rsidR="00FC431D" w:rsidRPr="000E16B6" w:rsidTr="00D77DF0">
        <w:tc>
          <w:tcPr>
            <w:tcW w:w="4743" w:type="dxa"/>
          </w:tcPr>
          <w:p w:rsidR="00FC431D" w:rsidRPr="000E16B6" w:rsidRDefault="00FC431D" w:rsidP="00D77DF0">
            <w:r w:rsidRPr="000E16B6">
              <w:t>Invitations to Tender (ITT) issued</w:t>
            </w:r>
          </w:p>
        </w:tc>
        <w:tc>
          <w:tcPr>
            <w:tcW w:w="4743" w:type="dxa"/>
          </w:tcPr>
          <w:p w:rsidR="00FC431D" w:rsidRPr="005F21CB" w:rsidRDefault="00FC431D" w:rsidP="00D77DF0">
            <w:pPr>
              <w:rPr>
                <w:color w:val="auto"/>
              </w:rPr>
            </w:pPr>
            <w:r w:rsidRPr="005F21CB">
              <w:rPr>
                <w:color w:val="auto"/>
              </w:rPr>
              <w:t>23 July 2018</w:t>
            </w:r>
          </w:p>
        </w:tc>
      </w:tr>
      <w:tr w:rsidR="00FC431D" w:rsidRPr="000E16B6" w:rsidTr="00D77DF0">
        <w:tc>
          <w:tcPr>
            <w:tcW w:w="4743" w:type="dxa"/>
          </w:tcPr>
          <w:p w:rsidR="00FC431D" w:rsidRPr="000E16B6" w:rsidRDefault="00FC431D" w:rsidP="00D77DF0">
            <w:r w:rsidRPr="000E16B6">
              <w:t>Deadline for receipt of Tenders</w:t>
            </w:r>
          </w:p>
        </w:tc>
        <w:tc>
          <w:tcPr>
            <w:tcW w:w="4743" w:type="dxa"/>
          </w:tcPr>
          <w:p w:rsidR="00FC431D" w:rsidRPr="005F21CB" w:rsidRDefault="00FC431D" w:rsidP="00D77DF0">
            <w:pPr>
              <w:rPr>
                <w:color w:val="auto"/>
              </w:rPr>
            </w:pPr>
            <w:r w:rsidRPr="005F21CB">
              <w:rPr>
                <w:color w:val="auto"/>
              </w:rPr>
              <w:t>12.00, 20 August 2018</w:t>
            </w:r>
          </w:p>
        </w:tc>
      </w:tr>
      <w:tr w:rsidR="00FC431D" w:rsidRPr="000E16B6" w:rsidTr="00D77DF0">
        <w:tc>
          <w:tcPr>
            <w:tcW w:w="4743" w:type="dxa"/>
          </w:tcPr>
          <w:p w:rsidR="00FC431D" w:rsidRPr="000E16B6" w:rsidRDefault="00FC431D" w:rsidP="00D77DF0">
            <w:r w:rsidRPr="000E16B6">
              <w:t>Clarification interviews (if required)</w:t>
            </w:r>
          </w:p>
        </w:tc>
        <w:tc>
          <w:tcPr>
            <w:tcW w:w="4743" w:type="dxa"/>
          </w:tcPr>
          <w:p w:rsidR="00FC431D" w:rsidRPr="005F21CB" w:rsidRDefault="00FC431D" w:rsidP="00D77DF0">
            <w:pPr>
              <w:rPr>
                <w:color w:val="auto"/>
              </w:rPr>
            </w:pPr>
            <w:r w:rsidRPr="005F21CB">
              <w:rPr>
                <w:color w:val="auto"/>
              </w:rPr>
              <w:t>27 August – 3 September 2018</w:t>
            </w:r>
          </w:p>
        </w:tc>
      </w:tr>
      <w:tr w:rsidR="00FC431D" w:rsidRPr="000E16B6" w:rsidTr="00D77DF0">
        <w:tc>
          <w:tcPr>
            <w:tcW w:w="4743" w:type="dxa"/>
          </w:tcPr>
          <w:p w:rsidR="00FC431D" w:rsidRPr="000E16B6" w:rsidRDefault="00FC431D" w:rsidP="00D77DF0">
            <w:r w:rsidRPr="000E16B6">
              <w:t>Preferred bidder notified</w:t>
            </w:r>
          </w:p>
        </w:tc>
        <w:tc>
          <w:tcPr>
            <w:tcW w:w="4743" w:type="dxa"/>
          </w:tcPr>
          <w:p w:rsidR="00FC431D" w:rsidRPr="005F21CB" w:rsidRDefault="00FC431D" w:rsidP="00D77DF0">
            <w:pPr>
              <w:rPr>
                <w:color w:val="auto"/>
              </w:rPr>
            </w:pPr>
            <w:r w:rsidRPr="005F21CB">
              <w:rPr>
                <w:color w:val="auto"/>
              </w:rPr>
              <w:t>September 2018</w:t>
            </w:r>
          </w:p>
        </w:tc>
      </w:tr>
      <w:tr w:rsidR="00FC431D" w:rsidRPr="000E16B6" w:rsidTr="00D77DF0">
        <w:tc>
          <w:tcPr>
            <w:tcW w:w="4743" w:type="dxa"/>
          </w:tcPr>
          <w:p w:rsidR="00FC431D" w:rsidRPr="000E16B6" w:rsidRDefault="00FC431D" w:rsidP="00D77DF0">
            <w:r w:rsidRPr="000E16B6">
              <w:t>Contract award</w:t>
            </w:r>
          </w:p>
        </w:tc>
        <w:tc>
          <w:tcPr>
            <w:tcW w:w="4743" w:type="dxa"/>
          </w:tcPr>
          <w:p w:rsidR="00FC431D" w:rsidRPr="005F21CB" w:rsidRDefault="00FC431D" w:rsidP="00D77DF0">
            <w:pPr>
              <w:rPr>
                <w:color w:val="auto"/>
              </w:rPr>
            </w:pPr>
            <w:r w:rsidRPr="005F21CB">
              <w:rPr>
                <w:color w:val="auto"/>
              </w:rPr>
              <w:t>October 2018</w:t>
            </w:r>
          </w:p>
        </w:tc>
      </w:tr>
    </w:tbl>
    <w:p w:rsidR="006A3BE7" w:rsidRPr="000E16B6" w:rsidRDefault="001C6C61" w:rsidP="006A3BE7">
      <w:pPr>
        <w:pStyle w:val="Heading2"/>
      </w:pPr>
      <w:r>
        <w:br w:type="page"/>
      </w:r>
    </w:p>
    <w:p w:rsidR="006A3BE7" w:rsidRPr="000E16B6" w:rsidRDefault="006A3BE7" w:rsidP="006A3BE7">
      <w:pPr>
        <w:pStyle w:val="Heading2"/>
      </w:pPr>
      <w:r w:rsidRPr="000E16B6">
        <w:t>Provisional Programme Requirements (the ‘Requirements’)</w:t>
      </w:r>
    </w:p>
    <w:p w:rsidR="006A3BE7" w:rsidRPr="000E16B6" w:rsidRDefault="006A3BE7" w:rsidP="006A3BE7">
      <w:pPr>
        <w:rPr>
          <w:b/>
        </w:rPr>
      </w:pPr>
      <w:r w:rsidRPr="000E16B6">
        <w:rPr>
          <w:b/>
        </w:rPr>
        <w:t>Please note these Requirements are subject to change and will be confirmed in the second stage ITT documents.</w:t>
      </w:r>
    </w:p>
    <w:p w:rsidR="006A3BE7" w:rsidRPr="000E16B6" w:rsidRDefault="006A3BE7" w:rsidP="006A3BE7">
      <w:pPr>
        <w:pStyle w:val="Heading3"/>
        <w:rPr>
          <w:rFonts w:ascii="Arial" w:hAnsi="Arial" w:cs="Arial"/>
          <w:color w:val="auto"/>
        </w:rPr>
      </w:pPr>
      <w:bookmarkStart w:id="0" w:name="_Toc507750517"/>
      <w:r w:rsidRPr="000E16B6">
        <w:rPr>
          <w:rFonts w:ascii="Arial" w:hAnsi="Arial" w:cs="Arial"/>
          <w:color w:val="auto"/>
        </w:rPr>
        <w:t>Aim</w:t>
      </w:r>
      <w:bookmarkEnd w:id="0"/>
    </w:p>
    <w:p w:rsidR="006A3BE7" w:rsidRDefault="005F21CB" w:rsidP="006A3BE7">
      <w:pPr>
        <w:widowControl w:val="0"/>
        <w:numPr>
          <w:ilvl w:val="1"/>
          <w:numId w:val="28"/>
        </w:numPr>
        <w:overflowPunct w:val="0"/>
        <w:spacing w:after="240"/>
        <w:textAlignment w:val="baseline"/>
      </w:pPr>
      <w:bookmarkStart w:id="1" w:name="_Ref510776716"/>
      <w:r>
        <w:t>The p</w:t>
      </w:r>
      <w:r w:rsidR="006A3BE7" w:rsidRPr="000E16B6">
        <w:t>urpose of this Programme is to identify, trial and evaluate approaches to improving girls’ perceptions of computing, and their take up of computer science at GCSE, AS and A level; with a view to potential upscaling</w:t>
      </w:r>
      <w:r w:rsidR="002F2E14">
        <w:t xml:space="preserve"> the appr</w:t>
      </w:r>
      <w:r w:rsidR="007D64F1">
        <w:t>o</w:t>
      </w:r>
      <w:r w:rsidR="002F2E14">
        <w:t>aches</w:t>
      </w:r>
      <w:r w:rsidR="006A3BE7" w:rsidRPr="000E16B6">
        <w:t xml:space="preserve"> in the longer term if sufficiently supported by evidence of </w:t>
      </w:r>
      <w:r w:rsidR="004A74BC">
        <w:t xml:space="preserve">positive </w:t>
      </w:r>
      <w:r w:rsidR="006A3BE7" w:rsidRPr="000E16B6">
        <w:t xml:space="preserve">impact. </w:t>
      </w:r>
    </w:p>
    <w:p w:rsidR="006D4BBF" w:rsidRPr="000E16B6" w:rsidRDefault="006D4BBF" w:rsidP="00225D92">
      <w:pPr>
        <w:widowControl w:val="0"/>
        <w:numPr>
          <w:ilvl w:val="2"/>
          <w:numId w:val="28"/>
        </w:numPr>
        <w:overflowPunct w:val="0"/>
        <w:spacing w:after="240"/>
        <w:textAlignment w:val="baseline"/>
      </w:pPr>
      <w:r>
        <w:t xml:space="preserve">The DfE is seeking a Supplier with recent successful experience </w:t>
      </w:r>
      <w:r w:rsidR="006D117A">
        <w:t>of delivering high quality research, pilot and/or trial programmes in the schools sector, ideally with a focus on gender issues and/or computing. The Supplier will also have experience of managing the analysis and/or evaluation of these programmes, either directly or through a contracted third party organisation.</w:t>
      </w:r>
    </w:p>
    <w:p w:rsidR="006A3BE7" w:rsidRPr="000E16B6" w:rsidRDefault="006A3BE7" w:rsidP="006A3BE7">
      <w:pPr>
        <w:pStyle w:val="Heading3"/>
        <w:rPr>
          <w:rFonts w:ascii="Arial" w:hAnsi="Arial" w:cs="Arial"/>
          <w:color w:val="auto"/>
        </w:rPr>
      </w:pPr>
      <w:bookmarkStart w:id="2" w:name="_Toc507750518"/>
      <w:bookmarkEnd w:id="1"/>
      <w:r w:rsidRPr="000E16B6">
        <w:rPr>
          <w:rFonts w:ascii="Arial" w:hAnsi="Arial" w:cs="Arial"/>
          <w:color w:val="auto"/>
        </w:rPr>
        <w:t>Structure and content</w:t>
      </w:r>
      <w:bookmarkEnd w:id="2"/>
    </w:p>
    <w:p w:rsidR="006A3BE7" w:rsidRPr="000E16B6" w:rsidRDefault="006A3BE7" w:rsidP="006A3BE7">
      <w:pPr>
        <w:widowControl w:val="0"/>
        <w:numPr>
          <w:ilvl w:val="1"/>
          <w:numId w:val="28"/>
        </w:numPr>
        <w:overflowPunct w:val="0"/>
        <w:spacing w:after="240"/>
        <w:textAlignment w:val="baseline"/>
      </w:pPr>
      <w:r w:rsidRPr="000E16B6">
        <w:t xml:space="preserve">The Supplier will deliver a Programme in England that will test and refine a range of interventions designed to improve girls’ experiences of, and attitudes towards, computing from an early age and throughout all stages of school (excluding post-16), in order to encourage their take up of computer science qualifications. The trials are intended to produce insights from participating schools into what could be applicable and impactful to schools across the country. </w:t>
      </w:r>
    </w:p>
    <w:p w:rsidR="006A3BE7" w:rsidRPr="000E16B6" w:rsidRDefault="006A3BE7" w:rsidP="006A3BE7">
      <w:pPr>
        <w:widowControl w:val="0"/>
        <w:numPr>
          <w:ilvl w:val="1"/>
          <w:numId w:val="28"/>
        </w:numPr>
        <w:overflowPunct w:val="0"/>
        <w:spacing w:after="240"/>
        <w:textAlignment w:val="baseline"/>
      </w:pPr>
      <w:r w:rsidRPr="000E16B6">
        <w:t xml:space="preserve">Proposed interventions will draw upon the best available evidence, which should include: </w:t>
      </w:r>
    </w:p>
    <w:p w:rsidR="006A3BE7" w:rsidRPr="000E16B6" w:rsidRDefault="006A3BE7" w:rsidP="006A3BE7">
      <w:pPr>
        <w:pStyle w:val="ListSubParagraph"/>
        <w:numPr>
          <w:ilvl w:val="2"/>
          <w:numId w:val="28"/>
        </w:numPr>
        <w:rPr>
          <w:rFonts w:cs="Arial"/>
          <w:sz w:val="24"/>
          <w:szCs w:val="24"/>
        </w:rPr>
      </w:pPr>
      <w:r w:rsidRPr="000E16B6">
        <w:rPr>
          <w:sz w:val="24"/>
          <w:szCs w:val="24"/>
        </w:rPr>
        <w:t xml:space="preserve">research (including international) into the barriers to girls’ participation in computer science, or other science subjects where parallels may be drawn, including into factors </w:t>
      </w:r>
      <w:r w:rsidRPr="000E16B6">
        <w:rPr>
          <w:rFonts w:cs="Arial"/>
          <w:sz w:val="24"/>
          <w:szCs w:val="24"/>
        </w:rPr>
        <w:t xml:space="preserve">which influence attitudes of the subject, for example, classroom teaching, the wider school environment, parental leverage or in the local community; </w:t>
      </w:r>
    </w:p>
    <w:p w:rsidR="006A3BE7" w:rsidRPr="000E16B6" w:rsidRDefault="006A3BE7" w:rsidP="006A3BE7">
      <w:pPr>
        <w:pStyle w:val="ListSubParagraph"/>
        <w:numPr>
          <w:ilvl w:val="2"/>
          <w:numId w:val="28"/>
        </w:numPr>
        <w:rPr>
          <w:sz w:val="24"/>
          <w:szCs w:val="24"/>
        </w:rPr>
      </w:pPr>
      <w:r w:rsidRPr="000E16B6">
        <w:rPr>
          <w:sz w:val="24"/>
          <w:szCs w:val="24"/>
        </w:rPr>
        <w:t xml:space="preserve">evaluations of </w:t>
      </w:r>
      <w:r w:rsidR="00336F10">
        <w:rPr>
          <w:sz w:val="24"/>
          <w:szCs w:val="24"/>
        </w:rPr>
        <w:t xml:space="preserve">school-based </w:t>
      </w:r>
      <w:r w:rsidRPr="000E16B6">
        <w:rPr>
          <w:sz w:val="24"/>
          <w:szCs w:val="24"/>
        </w:rPr>
        <w:t xml:space="preserve">interventions </w:t>
      </w:r>
      <w:r w:rsidR="005F73F9">
        <w:rPr>
          <w:sz w:val="24"/>
          <w:szCs w:val="24"/>
        </w:rPr>
        <w:t xml:space="preserve">with similar objectives </w:t>
      </w:r>
      <w:r w:rsidRPr="000E16B6">
        <w:rPr>
          <w:sz w:val="24"/>
          <w:szCs w:val="24"/>
        </w:rPr>
        <w:t xml:space="preserve">already undertaken by </w:t>
      </w:r>
      <w:r w:rsidR="00336F10">
        <w:rPr>
          <w:sz w:val="24"/>
          <w:szCs w:val="24"/>
        </w:rPr>
        <w:t xml:space="preserve">the Supplier or </w:t>
      </w:r>
      <w:r w:rsidRPr="000E16B6">
        <w:rPr>
          <w:sz w:val="24"/>
          <w:szCs w:val="24"/>
        </w:rPr>
        <w:t>other organisations;</w:t>
      </w:r>
    </w:p>
    <w:p w:rsidR="006A3BE7" w:rsidRPr="000E16B6" w:rsidRDefault="006A3BE7" w:rsidP="006A3BE7">
      <w:pPr>
        <w:pStyle w:val="ListSubParagraph"/>
        <w:numPr>
          <w:ilvl w:val="2"/>
          <w:numId w:val="28"/>
        </w:numPr>
        <w:rPr>
          <w:sz w:val="24"/>
          <w:szCs w:val="24"/>
        </w:rPr>
      </w:pPr>
      <w:r w:rsidRPr="000E16B6">
        <w:rPr>
          <w:sz w:val="24"/>
          <w:szCs w:val="24"/>
        </w:rPr>
        <w:t>any evidence of the impact of industry-led girl-targeted computing/digital activities and resources currently offered, where published.</w:t>
      </w:r>
    </w:p>
    <w:p w:rsidR="005B206D" w:rsidRDefault="006A3BE7" w:rsidP="006A3BE7">
      <w:pPr>
        <w:widowControl w:val="0"/>
        <w:numPr>
          <w:ilvl w:val="1"/>
          <w:numId w:val="28"/>
        </w:numPr>
        <w:overflowPunct w:val="0"/>
        <w:spacing w:after="240"/>
        <w:textAlignment w:val="baseline"/>
      </w:pPr>
      <w:r w:rsidRPr="000E16B6">
        <w:t>Where there is a lack of evidence on effective approaches to improving gender balance, innovative ideas for increasing participation can be proposed. These interventions must be underpinned by a clear rationale</w:t>
      </w:r>
      <w:r w:rsidR="00C05304">
        <w:t xml:space="preserve"> </w:t>
      </w:r>
      <w:r w:rsidRPr="000E16B6">
        <w:t>and theory of change</w:t>
      </w:r>
      <w:r w:rsidR="00C05304">
        <w:t xml:space="preserve"> (both based on evidence where possible)</w:t>
      </w:r>
      <w:r w:rsidRPr="000E16B6">
        <w:t>, and should be trialled on a smaller</w:t>
      </w:r>
      <w:r w:rsidR="005B206D">
        <w:t xml:space="preserve"> </w:t>
      </w:r>
      <w:r w:rsidRPr="000E16B6">
        <w:t>scale than other interventions.</w:t>
      </w:r>
      <w:r w:rsidR="005B206D">
        <w:t xml:space="preserve"> </w:t>
      </w:r>
    </w:p>
    <w:p w:rsidR="006A3BE7" w:rsidRPr="000E16B6" w:rsidRDefault="005B206D" w:rsidP="006A3BE7">
      <w:pPr>
        <w:widowControl w:val="0"/>
        <w:numPr>
          <w:ilvl w:val="1"/>
          <w:numId w:val="28"/>
        </w:numPr>
        <w:overflowPunct w:val="0"/>
        <w:spacing w:after="240"/>
        <w:textAlignment w:val="baseline"/>
      </w:pPr>
      <w:r>
        <w:t xml:space="preserve">The Supplier should not propose approaches that have been trialled previously without evidence of positive impact, unless a case can be made demonstrating how the proposed interventions are substantially different and/or likely to generate more definitive evidence of impact. </w:t>
      </w:r>
    </w:p>
    <w:p w:rsidR="006A3BE7" w:rsidRPr="000E16B6" w:rsidRDefault="00E753D9" w:rsidP="006A3BE7">
      <w:pPr>
        <w:widowControl w:val="0"/>
        <w:numPr>
          <w:ilvl w:val="1"/>
          <w:numId w:val="28"/>
        </w:numPr>
        <w:overflowPunct w:val="0"/>
        <w:spacing w:after="240"/>
        <w:textAlignment w:val="baseline"/>
      </w:pPr>
      <w:r>
        <w:t>Collectively, the i</w:t>
      </w:r>
      <w:r w:rsidR="006A3BE7" w:rsidRPr="000E16B6">
        <w:t xml:space="preserve">nterventions will directly engage with a wide age range of pupils, from key stage </w:t>
      </w:r>
      <w:r w:rsidR="00336F10">
        <w:t>1</w:t>
      </w:r>
      <w:r w:rsidR="006A3BE7" w:rsidRPr="000E16B6">
        <w:t xml:space="preserve"> up to key stage 4.  As evidence suggests that gender stereotyping and attitude formation happens at an early age</w:t>
      </w:r>
      <w:r>
        <w:rPr>
          <w:rStyle w:val="FootnoteReference"/>
        </w:rPr>
        <w:footnoteReference w:id="3"/>
      </w:r>
      <w:r w:rsidR="006A3BE7" w:rsidRPr="000E16B6">
        <w:t xml:space="preserve">, interventions will need to consider how to work with pupils long before they make their GCSE, AS and A level subject choices. The proposed Programme should, therefore, offer the opportunity to measure shifts in attitudes towards computing amongst younger pupils, and not limit its focus to pupils who are </w:t>
      </w:r>
      <w:r w:rsidR="0050358C">
        <w:t>at the stage at which they selecting subject options to study at key stage 4 (GCSE)</w:t>
      </w:r>
      <w:r w:rsidR="006A3BE7" w:rsidRPr="000E16B6">
        <w:t xml:space="preserve">.  </w:t>
      </w:r>
    </w:p>
    <w:p w:rsidR="006A3BE7" w:rsidRPr="000E16B6" w:rsidRDefault="006A3BE7" w:rsidP="006A3BE7">
      <w:pPr>
        <w:widowControl w:val="0"/>
        <w:numPr>
          <w:ilvl w:val="1"/>
          <w:numId w:val="28"/>
        </w:numPr>
        <w:overflowPunct w:val="0"/>
        <w:spacing w:after="240"/>
        <w:textAlignment w:val="baseline"/>
      </w:pPr>
      <w:r w:rsidRPr="000E16B6">
        <w:t xml:space="preserve">Whilst interventions should be school-centred, they need not be limited to classroom teaching of computing. Trials should consider both whole-school approaches and how they may reach beyond </w:t>
      </w:r>
      <w:r w:rsidR="005F21CB">
        <w:t>the school to maximise impact</w:t>
      </w:r>
      <w:r>
        <w:t>. This could include</w:t>
      </w:r>
      <w:r w:rsidR="005F21CB">
        <w:t xml:space="preserve"> involving</w:t>
      </w:r>
      <w:r>
        <w:t>, for example,</w:t>
      </w:r>
      <w:r w:rsidRPr="000E16B6">
        <w:t xml:space="preserve"> parents, industry, local authorities, careers advisers, and local community networks in seeking to break down barriers that may limit girls’ uptake. </w:t>
      </w:r>
      <w:r w:rsidR="005F21CB">
        <w:t>Interventions</w:t>
      </w:r>
      <w:r>
        <w:t xml:space="preserve"> could extend beyond the classroom</w:t>
      </w:r>
      <w:r w:rsidRPr="000E16B6">
        <w:t xml:space="preserve">, for example, </w:t>
      </w:r>
      <w:r w:rsidR="005F21CB">
        <w:t xml:space="preserve">including </w:t>
      </w:r>
      <w:r w:rsidRPr="000E16B6">
        <w:t xml:space="preserve">extra-curricular activities, school visits, or participation in other external events. </w:t>
      </w:r>
    </w:p>
    <w:p w:rsidR="00B02FCD" w:rsidRPr="000E16B6" w:rsidRDefault="00B02FCD" w:rsidP="00B02FCD">
      <w:pPr>
        <w:widowControl w:val="0"/>
        <w:numPr>
          <w:ilvl w:val="1"/>
          <w:numId w:val="28"/>
        </w:numPr>
        <w:overflowPunct w:val="0"/>
        <w:spacing w:after="240"/>
        <w:textAlignment w:val="baseline"/>
      </w:pPr>
      <w:r w:rsidRPr="000E16B6">
        <w:t>The Supplier should specify how interventions will be timetabled during t</w:t>
      </w:r>
      <w:r w:rsidR="005F21CB">
        <w:t>he funding</w:t>
      </w:r>
      <w:r w:rsidRPr="000E16B6">
        <w:t xml:space="preserve"> period and the associated benefits of the proposed approach. The overall Programme should be structured so that interventions can be delivered</w:t>
      </w:r>
      <w:r>
        <w:t xml:space="preserve"> </w:t>
      </w:r>
      <w:r w:rsidRPr="000E16B6">
        <w:t>in parallel</w:t>
      </w:r>
      <w:r>
        <w:t xml:space="preserve">, </w:t>
      </w:r>
      <w:r w:rsidRPr="000E16B6">
        <w:t xml:space="preserve"> in sequence</w:t>
      </w:r>
      <w:r>
        <w:t>, or combined</w:t>
      </w:r>
      <w:r w:rsidRPr="000E16B6">
        <w:t xml:space="preserve"> across the period of funding, such that the emerging findings will inform the delivery of later interventions. </w:t>
      </w:r>
    </w:p>
    <w:p w:rsidR="006A3BE7" w:rsidRDefault="006A3BE7" w:rsidP="006A3BE7">
      <w:pPr>
        <w:widowControl w:val="0"/>
        <w:numPr>
          <w:ilvl w:val="1"/>
          <w:numId w:val="28"/>
        </w:numPr>
        <w:overflowPunct w:val="0"/>
        <w:spacing w:after="240"/>
        <w:textAlignment w:val="baseline"/>
      </w:pPr>
      <w:r w:rsidRPr="000E16B6">
        <w:t>It should be noted that the Supplier will be held to account for the delivery of high quality interventions</w:t>
      </w:r>
      <w:r w:rsidR="00441A49">
        <w:t xml:space="preserve"> that </w:t>
      </w:r>
      <w:r w:rsidR="005F21CB">
        <w:t xml:space="preserve">are </w:t>
      </w:r>
      <w:r w:rsidR="00441A49">
        <w:t xml:space="preserve">based on evidence </w:t>
      </w:r>
      <w:r w:rsidR="00370388">
        <w:t>or theories of change</w:t>
      </w:r>
      <w:r w:rsidR="005F21CB">
        <w:t>,</w:t>
      </w:r>
      <w:r w:rsidR="00370388">
        <w:t xml:space="preserve"> are most likely to</w:t>
      </w:r>
      <w:r w:rsidR="00441A49">
        <w:t xml:space="preserve"> increase girls’ engagement with computing, </w:t>
      </w:r>
      <w:r w:rsidRPr="000E16B6">
        <w:t>and their accurate and robust evaluation</w:t>
      </w:r>
      <w:r w:rsidR="00370388">
        <w:t xml:space="preserve">. They </w:t>
      </w:r>
      <w:r w:rsidRPr="000E16B6">
        <w:t xml:space="preserve">will </w:t>
      </w:r>
      <w:r w:rsidRPr="005F21CB">
        <w:rPr>
          <w:b/>
        </w:rPr>
        <w:t>not</w:t>
      </w:r>
      <w:r w:rsidRPr="000E16B6">
        <w:t xml:space="preserve"> be held to account for how effective the interventions are in increasing girls’ engagement with computing and participation in computer science.</w:t>
      </w:r>
    </w:p>
    <w:p w:rsidR="00E1051B" w:rsidRPr="000E16B6" w:rsidRDefault="0061706D" w:rsidP="006A3BE7">
      <w:pPr>
        <w:widowControl w:val="0"/>
        <w:numPr>
          <w:ilvl w:val="1"/>
          <w:numId w:val="28"/>
        </w:numPr>
        <w:overflowPunct w:val="0"/>
        <w:spacing w:after="240"/>
        <w:textAlignment w:val="baseline"/>
      </w:pPr>
      <w:r>
        <w:t xml:space="preserve">The interventions should be designed in such a way that the steps taken to produce any positive impact are clear, replicable and generalizable (i.e. that the intervention can be taken to scale in many other schools). </w:t>
      </w:r>
    </w:p>
    <w:p w:rsidR="006A3BE7" w:rsidRPr="000E16B6" w:rsidRDefault="006A3BE7" w:rsidP="006A3BE7">
      <w:pPr>
        <w:pStyle w:val="Heading3"/>
        <w:rPr>
          <w:rFonts w:ascii="Arial" w:hAnsi="Arial" w:cs="Arial"/>
          <w:color w:val="auto"/>
        </w:rPr>
      </w:pPr>
      <w:bookmarkStart w:id="3" w:name="_Toc507750519"/>
      <w:r w:rsidRPr="000E16B6">
        <w:rPr>
          <w:rFonts w:ascii="Arial" w:hAnsi="Arial" w:cs="Arial"/>
          <w:color w:val="auto"/>
        </w:rPr>
        <w:t>Participation</w:t>
      </w:r>
      <w:bookmarkEnd w:id="3"/>
      <w:r w:rsidRPr="000E16B6">
        <w:rPr>
          <w:rFonts w:ascii="Arial" w:hAnsi="Arial" w:cs="Arial"/>
          <w:color w:val="auto"/>
        </w:rPr>
        <w:t xml:space="preserve"> </w:t>
      </w:r>
    </w:p>
    <w:p w:rsidR="006A3BE7" w:rsidRPr="000E16B6" w:rsidRDefault="005F21CB" w:rsidP="006A3BE7">
      <w:pPr>
        <w:pStyle w:val="ListParagraph"/>
        <w:widowControl w:val="0"/>
        <w:numPr>
          <w:ilvl w:val="1"/>
          <w:numId w:val="28"/>
        </w:numPr>
        <w:overflowPunct w:val="0"/>
        <w:spacing w:after="240"/>
        <w:textAlignment w:val="baseline"/>
        <w:rPr>
          <w:color w:val="auto"/>
        </w:rPr>
      </w:pPr>
      <w:r>
        <w:rPr>
          <w:color w:val="auto"/>
        </w:rPr>
        <w:t>The Programme needs to generate an</w:t>
      </w:r>
      <w:r w:rsidR="006A3BE7" w:rsidRPr="000E16B6">
        <w:rPr>
          <w:color w:val="auto"/>
        </w:rPr>
        <w:t xml:space="preserve"> evidence base on the effectiveness of interventions in a variety of schools facing different challenges</w:t>
      </w:r>
      <w:r>
        <w:rPr>
          <w:color w:val="auto"/>
        </w:rPr>
        <w:t>.</w:t>
      </w:r>
      <w:r w:rsidR="00A82AA1">
        <w:rPr>
          <w:color w:val="auto"/>
        </w:rPr>
        <w:t xml:space="preserve"> As far as possible</w:t>
      </w:r>
      <w:r w:rsidR="006A3BE7" w:rsidRPr="000E16B6">
        <w:rPr>
          <w:color w:val="auto"/>
        </w:rPr>
        <w:t xml:space="preserve">, </w:t>
      </w:r>
      <w:r>
        <w:rPr>
          <w:color w:val="auto"/>
        </w:rPr>
        <w:t xml:space="preserve">participating </w:t>
      </w:r>
      <w:r w:rsidR="006A3BE7" w:rsidRPr="000E16B6">
        <w:rPr>
          <w:color w:val="auto"/>
        </w:rPr>
        <w:t xml:space="preserve">schools should be selected from a range of </w:t>
      </w:r>
      <w:r w:rsidR="00576CDD">
        <w:rPr>
          <w:color w:val="auto"/>
        </w:rPr>
        <w:t xml:space="preserve">school </w:t>
      </w:r>
      <w:r w:rsidR="006A3BE7" w:rsidRPr="000E16B6">
        <w:rPr>
          <w:color w:val="auto"/>
        </w:rPr>
        <w:t>types</w:t>
      </w:r>
      <w:r w:rsidR="00576CDD">
        <w:rPr>
          <w:color w:val="auto"/>
        </w:rPr>
        <w:t>,</w:t>
      </w:r>
      <w:r w:rsidR="006A3BE7" w:rsidRPr="000E16B6">
        <w:rPr>
          <w:color w:val="auto"/>
        </w:rPr>
        <w:t xml:space="preserve"> including:</w:t>
      </w:r>
    </w:p>
    <w:p w:rsidR="006A3BE7" w:rsidRPr="000E16B6" w:rsidRDefault="006A3BE7" w:rsidP="006A3BE7">
      <w:pPr>
        <w:pStyle w:val="ListSubParagraph"/>
        <w:numPr>
          <w:ilvl w:val="2"/>
          <w:numId w:val="28"/>
        </w:numPr>
        <w:rPr>
          <w:sz w:val="24"/>
          <w:szCs w:val="24"/>
        </w:rPr>
      </w:pPr>
      <w:r w:rsidRPr="000E16B6">
        <w:rPr>
          <w:sz w:val="24"/>
          <w:szCs w:val="24"/>
        </w:rPr>
        <w:t>maintained primary schools; and maintained mixed and girls</w:t>
      </w:r>
      <w:r w:rsidR="005F21CB">
        <w:rPr>
          <w:sz w:val="24"/>
          <w:szCs w:val="24"/>
        </w:rPr>
        <w:t>’</w:t>
      </w:r>
      <w:r w:rsidRPr="000E16B6">
        <w:rPr>
          <w:sz w:val="24"/>
          <w:szCs w:val="24"/>
        </w:rPr>
        <w:t xml:space="preserve"> secondary schools;</w:t>
      </w:r>
    </w:p>
    <w:p w:rsidR="006A3BE7" w:rsidRPr="000E16B6" w:rsidRDefault="006A3BE7" w:rsidP="006A3BE7">
      <w:pPr>
        <w:pStyle w:val="ListSubParagraph"/>
        <w:numPr>
          <w:ilvl w:val="2"/>
          <w:numId w:val="28"/>
        </w:numPr>
        <w:rPr>
          <w:sz w:val="24"/>
          <w:szCs w:val="24"/>
        </w:rPr>
      </w:pPr>
      <w:r w:rsidRPr="000E16B6">
        <w:rPr>
          <w:sz w:val="24"/>
          <w:szCs w:val="24"/>
        </w:rPr>
        <w:t xml:space="preserve">schools in different geographical areas </w:t>
      </w:r>
      <w:r w:rsidR="005F21CB">
        <w:rPr>
          <w:sz w:val="24"/>
          <w:szCs w:val="24"/>
        </w:rPr>
        <w:t xml:space="preserve">and contexts </w:t>
      </w:r>
      <w:r w:rsidRPr="000E16B6">
        <w:rPr>
          <w:sz w:val="24"/>
          <w:szCs w:val="24"/>
        </w:rPr>
        <w:t xml:space="preserve">e.g. urban/rural/coastal, Opportunity Areas, category 5/6 Achieving Excellence Areas;  </w:t>
      </w:r>
    </w:p>
    <w:p w:rsidR="006A3BE7" w:rsidRPr="000E16B6" w:rsidRDefault="006A3BE7" w:rsidP="006A3BE7">
      <w:pPr>
        <w:pStyle w:val="ListSubParagraph"/>
        <w:numPr>
          <w:ilvl w:val="2"/>
          <w:numId w:val="28"/>
        </w:numPr>
        <w:rPr>
          <w:sz w:val="24"/>
          <w:szCs w:val="24"/>
        </w:rPr>
      </w:pPr>
      <w:r w:rsidRPr="000E16B6">
        <w:rPr>
          <w:sz w:val="24"/>
          <w:szCs w:val="24"/>
        </w:rPr>
        <w:t xml:space="preserve">schools and areas with particularly low participation of girls in GCSE and A level computer science;  </w:t>
      </w:r>
    </w:p>
    <w:p w:rsidR="006A3BE7" w:rsidRPr="000E16B6" w:rsidRDefault="006A3BE7" w:rsidP="006A3BE7">
      <w:pPr>
        <w:pStyle w:val="ListSubParagraph"/>
        <w:numPr>
          <w:ilvl w:val="2"/>
          <w:numId w:val="28"/>
        </w:numPr>
        <w:rPr>
          <w:sz w:val="24"/>
          <w:szCs w:val="24"/>
        </w:rPr>
      </w:pPr>
      <w:r w:rsidRPr="000E16B6">
        <w:rPr>
          <w:sz w:val="24"/>
          <w:szCs w:val="24"/>
        </w:rPr>
        <w:t xml:space="preserve">schools that meet </w:t>
      </w:r>
      <w:r w:rsidR="00336F10">
        <w:rPr>
          <w:sz w:val="24"/>
          <w:szCs w:val="24"/>
        </w:rPr>
        <w:t>any</w:t>
      </w:r>
      <w:r w:rsidR="00336F10" w:rsidRPr="000E16B6">
        <w:rPr>
          <w:sz w:val="24"/>
          <w:szCs w:val="24"/>
        </w:rPr>
        <w:t xml:space="preserve"> </w:t>
      </w:r>
      <w:r w:rsidR="00336F10">
        <w:rPr>
          <w:sz w:val="24"/>
          <w:szCs w:val="24"/>
        </w:rPr>
        <w:t xml:space="preserve">future </w:t>
      </w:r>
      <w:r w:rsidRPr="000E16B6">
        <w:rPr>
          <w:sz w:val="24"/>
          <w:szCs w:val="24"/>
        </w:rPr>
        <w:t xml:space="preserve">criteria or triggers </w:t>
      </w:r>
      <w:r w:rsidR="00336F10">
        <w:rPr>
          <w:sz w:val="24"/>
          <w:szCs w:val="24"/>
        </w:rPr>
        <w:t xml:space="preserve">set by DfE </w:t>
      </w:r>
      <w:r w:rsidRPr="000E16B6">
        <w:rPr>
          <w:sz w:val="24"/>
          <w:szCs w:val="24"/>
        </w:rPr>
        <w:t>for wider school improvement support</w:t>
      </w:r>
      <w:r w:rsidR="00003F09">
        <w:rPr>
          <w:sz w:val="24"/>
          <w:szCs w:val="24"/>
        </w:rPr>
        <w:t xml:space="preserve"> (to be confirmed in the ITT)</w:t>
      </w:r>
      <w:r w:rsidRPr="000E16B6">
        <w:rPr>
          <w:sz w:val="24"/>
          <w:szCs w:val="24"/>
        </w:rPr>
        <w:t>.</w:t>
      </w:r>
    </w:p>
    <w:p w:rsidR="00003F09" w:rsidRDefault="00003F09" w:rsidP="006A3BE7">
      <w:pPr>
        <w:pStyle w:val="ListParagraph"/>
        <w:widowControl w:val="0"/>
        <w:numPr>
          <w:ilvl w:val="1"/>
          <w:numId w:val="28"/>
        </w:numPr>
        <w:overflowPunct w:val="0"/>
        <w:spacing w:after="240"/>
        <w:textAlignment w:val="baseline"/>
      </w:pPr>
      <w:r>
        <w:t>Further details will be provided in the ITT of the types of schools for which interventions must be designed as part of the Programme.</w:t>
      </w:r>
    </w:p>
    <w:p w:rsidR="006A3BE7" w:rsidRPr="000E16B6" w:rsidRDefault="006A3BE7" w:rsidP="006A3BE7">
      <w:pPr>
        <w:pStyle w:val="ListParagraph"/>
        <w:widowControl w:val="0"/>
        <w:numPr>
          <w:ilvl w:val="1"/>
          <w:numId w:val="28"/>
        </w:numPr>
        <w:overflowPunct w:val="0"/>
        <w:spacing w:after="240"/>
        <w:textAlignment w:val="baseline"/>
      </w:pPr>
      <w:r w:rsidRPr="000E16B6">
        <w:t xml:space="preserve">The Programme will be expected to make links with the new National Centre </w:t>
      </w:r>
      <w:r w:rsidR="005F21CB">
        <w:t>of</w:t>
      </w:r>
      <w:r w:rsidRPr="000E16B6">
        <w:t xml:space="preserve"> Computing </w:t>
      </w:r>
      <w:r w:rsidR="005F21CB">
        <w:t>Education</w:t>
      </w:r>
      <w:r w:rsidR="00CB1A2B">
        <w:t>,</w:t>
      </w:r>
      <w:r w:rsidRPr="000E16B6">
        <w:t xml:space="preserve"> once established</w:t>
      </w:r>
      <w:r w:rsidR="00CB1A2B">
        <w:t>,</w:t>
      </w:r>
      <w:r w:rsidRPr="000E16B6">
        <w:t xml:space="preserve"> to ensure that interventions in schools are coordinated with other activities and support focused on computing.</w:t>
      </w:r>
    </w:p>
    <w:p w:rsidR="006A3BE7" w:rsidRPr="00D16669" w:rsidRDefault="006A3BE7" w:rsidP="00593095">
      <w:pPr>
        <w:pStyle w:val="ListParagraph"/>
        <w:widowControl w:val="0"/>
        <w:numPr>
          <w:ilvl w:val="1"/>
          <w:numId w:val="28"/>
        </w:numPr>
        <w:overflowPunct w:val="0"/>
        <w:spacing w:after="240"/>
        <w:textAlignment w:val="baseline"/>
        <w:rPr>
          <w:color w:val="auto"/>
        </w:rPr>
      </w:pPr>
      <w:r w:rsidRPr="00D16669">
        <w:t xml:space="preserve">The Supplier will have the capacity to deliver the interventions </w:t>
      </w:r>
      <w:r w:rsidR="00D16669" w:rsidRPr="00D16669">
        <w:t>proposed</w:t>
      </w:r>
      <w:r w:rsidRPr="00D16669">
        <w:t>.</w:t>
      </w:r>
      <w:r w:rsidR="00593095" w:rsidRPr="00D16669">
        <w:rPr>
          <w:color w:val="auto"/>
        </w:rPr>
        <w:t xml:space="preserve"> Proposals should provide an indication of the scale and range of interventions.  Greater detail will be required if the Supplier is asked to submit a full tender.  </w:t>
      </w:r>
    </w:p>
    <w:p w:rsidR="00D16669" w:rsidRPr="00D16669" w:rsidRDefault="00D16669" w:rsidP="00D16669">
      <w:pPr>
        <w:widowControl w:val="0"/>
        <w:overflowPunct w:val="0"/>
        <w:spacing w:after="240"/>
        <w:textAlignment w:val="baseline"/>
        <w:rPr>
          <w:b/>
        </w:rPr>
      </w:pPr>
      <w:r w:rsidRPr="00D16669">
        <w:rPr>
          <w:b/>
        </w:rPr>
        <w:t>Evaluation</w:t>
      </w:r>
    </w:p>
    <w:p w:rsidR="00593095" w:rsidRDefault="006A3BE7" w:rsidP="00593095">
      <w:pPr>
        <w:widowControl w:val="0"/>
        <w:numPr>
          <w:ilvl w:val="1"/>
          <w:numId w:val="28"/>
        </w:numPr>
        <w:overflowPunct w:val="0"/>
        <w:spacing w:after="240"/>
        <w:textAlignment w:val="baseline"/>
      </w:pPr>
      <w:r w:rsidRPr="000E16B6">
        <w:t>The Supplier will be responsible for the evaluation of the interventions. The Supplier may either undertake the evaluation directly, sub-contract to a relevant third party organisation</w:t>
      </w:r>
      <w:r w:rsidR="00974FC0">
        <w:t>, or partner with an appropriate organisation to submit a joint bid.</w:t>
      </w:r>
      <w:r w:rsidR="00593095" w:rsidRPr="00593095">
        <w:t xml:space="preserve"> </w:t>
      </w:r>
    </w:p>
    <w:p w:rsidR="00AE4D36" w:rsidRPr="000E16B6" w:rsidRDefault="00593095" w:rsidP="00D16669">
      <w:pPr>
        <w:widowControl w:val="0"/>
        <w:numPr>
          <w:ilvl w:val="1"/>
          <w:numId w:val="28"/>
        </w:numPr>
        <w:overflowPunct w:val="0"/>
        <w:spacing w:after="240"/>
        <w:textAlignment w:val="baseline"/>
      </w:pPr>
      <w:r w:rsidRPr="000E16B6">
        <w:t xml:space="preserve">The Programme will </w:t>
      </w:r>
      <w:r>
        <w:t>requir</w:t>
      </w:r>
      <w:r w:rsidRPr="000E16B6">
        <w:t>e a robust evaluation strategy</w:t>
      </w:r>
      <w:r w:rsidR="005A731D">
        <w:t>,</w:t>
      </w:r>
      <w:r>
        <w:t xml:space="preserve"> so proposals should provide an indication of an evaluation approach</w:t>
      </w:r>
      <w:r w:rsidR="00336F10">
        <w:t xml:space="preserve"> which will assess changes in both attitude and participation</w:t>
      </w:r>
      <w:r w:rsidR="005A731D">
        <w:t xml:space="preserve"> using a robust quantitative approach</w:t>
      </w:r>
      <w:r>
        <w:rPr>
          <w:color w:val="auto"/>
        </w:rPr>
        <w:t>. Greater detail will be required if the Supplier is asked to submit a full tender.</w:t>
      </w:r>
      <w:r>
        <w:t xml:space="preserve"> </w:t>
      </w:r>
    </w:p>
    <w:p w:rsidR="00AE4D36" w:rsidRPr="000E16B6" w:rsidRDefault="006A3BE7" w:rsidP="00225D92">
      <w:pPr>
        <w:widowControl w:val="0"/>
        <w:numPr>
          <w:ilvl w:val="1"/>
          <w:numId w:val="28"/>
        </w:numPr>
        <w:overflowPunct w:val="0"/>
        <w:spacing w:after="240"/>
        <w:textAlignment w:val="baseline"/>
      </w:pPr>
      <w:r w:rsidRPr="000E16B6">
        <w:t xml:space="preserve">If the Supplier undertakes the evaluation directly, they will have the necessary in-house expertise to meet the DfE’s Requirements. The Supplier will ensure there are a suitable governance mechanisms </w:t>
      </w:r>
      <w:r w:rsidR="005A731D">
        <w:t>to allow</w:t>
      </w:r>
      <w:r w:rsidRPr="000E16B6">
        <w:t xml:space="preserve"> ‘</w:t>
      </w:r>
      <w:r w:rsidR="005A731D">
        <w:t xml:space="preserve">chinese </w:t>
      </w:r>
      <w:r w:rsidRPr="000E16B6">
        <w:t>walls’ between the evaluation of the interventions and their delivery, to ensure confidence in the objectivity of the evaluation’s findings</w:t>
      </w:r>
      <w:r w:rsidR="005A731D">
        <w:t xml:space="preserve"> and this should be outlined in the detail</w:t>
      </w:r>
      <w:r w:rsidR="00460B31">
        <w:t>ed</w:t>
      </w:r>
      <w:r w:rsidR="005A731D">
        <w:t xml:space="preserve"> tender</w:t>
      </w:r>
      <w:r w:rsidR="00460B31">
        <w:t xml:space="preserve"> response</w:t>
      </w:r>
      <w:r w:rsidR="005A731D">
        <w:t xml:space="preserve"> </w:t>
      </w:r>
      <w:r w:rsidR="00460B31">
        <w:t>at</w:t>
      </w:r>
      <w:r w:rsidR="005A731D">
        <w:t xml:space="preserve"> the second stage</w:t>
      </w:r>
      <w:r w:rsidRPr="000E16B6">
        <w:t>.</w:t>
      </w:r>
    </w:p>
    <w:p w:rsidR="006A3BE7" w:rsidRPr="000E16B6" w:rsidRDefault="006A3BE7" w:rsidP="00225D92">
      <w:pPr>
        <w:widowControl w:val="0"/>
        <w:numPr>
          <w:ilvl w:val="1"/>
          <w:numId w:val="28"/>
        </w:numPr>
        <w:overflowPunct w:val="0"/>
        <w:spacing w:after="240"/>
        <w:textAlignment w:val="baseline"/>
      </w:pPr>
      <w:r w:rsidRPr="000E16B6">
        <w:t>If the Supplier sub-contracts the evaluation to a third party organisation, they will undertake a clear and transparent procurement exercise, selecting the sub-contractor through an open competition. The DfE will approve the procurement exercise and preferred evaluator before the sub-contract is awarded. The selected evaluator will have the necessary expertise and capacity to meet the DfE’s Requirements.</w:t>
      </w:r>
    </w:p>
    <w:p w:rsidR="006A3BE7" w:rsidRPr="000E16B6" w:rsidRDefault="006A3BE7" w:rsidP="006A3BE7">
      <w:pPr>
        <w:pStyle w:val="Heading2"/>
      </w:pPr>
      <w:r w:rsidRPr="000E16B6">
        <w:rPr>
          <w:rFonts w:eastAsia="Arial"/>
        </w:rPr>
        <w:t>Notes for completion of the SSQ and EOI Response Form</w:t>
      </w:r>
    </w:p>
    <w:p w:rsidR="006A3BE7" w:rsidRPr="000E16B6" w:rsidRDefault="006A3BE7" w:rsidP="006A3BE7">
      <w:pPr>
        <w:pStyle w:val="Normal1"/>
        <w:numPr>
          <w:ilvl w:val="0"/>
          <w:numId w:val="22"/>
        </w:numPr>
        <w:spacing w:after="200"/>
        <w:ind w:left="714" w:hanging="714"/>
        <w:jc w:val="both"/>
        <w:rPr>
          <w:rFonts w:asciiTheme="minorHAnsi" w:eastAsia="Arial" w:hAnsiTheme="minorHAnsi" w:cstheme="minorHAnsi"/>
        </w:rPr>
      </w:pPr>
      <w:r w:rsidRPr="000E16B6">
        <w:rPr>
          <w:rFonts w:asciiTheme="minorHAnsi" w:eastAsia="Arial" w:hAnsiTheme="minorHAnsi" w:cstheme="minorHAnsi"/>
        </w:rPr>
        <w:t>The “Authority” means the contracting authority (DfE), or anyone acting on behalf of the contracting authority, that is seeking to invite suitable candidates to participate in this procurement process.</w:t>
      </w:r>
    </w:p>
    <w:p w:rsidR="006A3BE7" w:rsidRPr="000E16B6" w:rsidRDefault="006A3BE7" w:rsidP="006A3BE7">
      <w:pPr>
        <w:pStyle w:val="Normal1"/>
        <w:numPr>
          <w:ilvl w:val="0"/>
          <w:numId w:val="22"/>
        </w:numPr>
        <w:spacing w:after="200"/>
        <w:ind w:left="714" w:hanging="714"/>
        <w:jc w:val="both"/>
        <w:rPr>
          <w:rFonts w:asciiTheme="minorHAnsi" w:eastAsia="Arial" w:hAnsiTheme="minorHAnsi" w:cstheme="minorHAnsi"/>
        </w:rPr>
      </w:pPr>
      <w:r w:rsidRPr="000E16B6">
        <w:rPr>
          <w:rFonts w:asciiTheme="minorHAnsi" w:eastAsia="Arial" w:hAnsiTheme="minorHAnsi" w:cstheme="minorHAnsi"/>
        </w:rPr>
        <w:t>“You” / “Your” refers to the potential supplier completing the SSQ</w:t>
      </w:r>
      <w:r w:rsidR="00A64416">
        <w:rPr>
          <w:rFonts w:asciiTheme="minorHAnsi" w:eastAsia="Arial" w:hAnsiTheme="minorHAnsi" w:cstheme="minorHAnsi"/>
        </w:rPr>
        <w:t xml:space="preserve"> and EOI Response Form,</w:t>
      </w:r>
      <w:r w:rsidRPr="000E16B6">
        <w:rPr>
          <w:rFonts w:asciiTheme="minorHAnsi" w:eastAsia="Arial" w:hAnsiTheme="minorHAnsi" w:cstheme="minorHAnsi"/>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6A3BE7" w:rsidRPr="000E16B6" w:rsidRDefault="006A3BE7" w:rsidP="006A3BE7">
      <w:pPr>
        <w:pStyle w:val="Normal1"/>
        <w:numPr>
          <w:ilvl w:val="0"/>
          <w:numId w:val="22"/>
        </w:numPr>
        <w:spacing w:after="200"/>
        <w:ind w:left="714" w:hanging="714"/>
        <w:jc w:val="both"/>
        <w:rPr>
          <w:rFonts w:asciiTheme="minorHAnsi" w:eastAsia="Arial" w:hAnsiTheme="minorHAnsi" w:cstheme="minorHAnsi"/>
        </w:rPr>
      </w:pPr>
      <w:r w:rsidRPr="000E16B6">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submit a clearly identified annex.</w:t>
      </w:r>
    </w:p>
    <w:p w:rsidR="006A3BE7" w:rsidRPr="000E16B6" w:rsidRDefault="006A3BE7" w:rsidP="006A3BE7">
      <w:pPr>
        <w:pStyle w:val="Normal1"/>
        <w:numPr>
          <w:ilvl w:val="0"/>
          <w:numId w:val="22"/>
        </w:numPr>
        <w:spacing w:after="200"/>
        <w:ind w:left="714" w:hanging="714"/>
        <w:jc w:val="both"/>
        <w:rPr>
          <w:rFonts w:asciiTheme="minorHAnsi" w:eastAsia="Arial" w:hAnsiTheme="minorHAnsi" w:cstheme="minorHAnsi"/>
        </w:rPr>
      </w:pPr>
      <w:r w:rsidRPr="000E16B6">
        <w:rPr>
          <w:rFonts w:asciiTheme="minorHAnsi" w:eastAsia="Arial" w:hAnsiTheme="minorHAnsi" w:cstheme="minorHAnsi"/>
        </w:rPr>
        <w:t xml:space="preserve">The Authority requires all Suppliers to register with the Supplier Registration Service for Government. This is a Crown Commercial Service/Cabinet Office portal, which contains details of over 225,000 suppliers, of which 4,300 are registered as delivering goods and services to the Authority and its agencies. The portal provides both suppliers and buyers with a single place to create and share commercial information and if not already registered, you should do so via the following link: </w:t>
      </w:r>
      <w:hyperlink r:id="rId12" w:history="1">
        <w:r w:rsidRPr="000E16B6">
          <w:rPr>
            <w:rStyle w:val="Hyperlink"/>
            <w:rFonts w:asciiTheme="minorHAnsi" w:eastAsia="Arial" w:hAnsiTheme="minorHAnsi" w:cstheme="minorHAnsi"/>
          </w:rPr>
          <w:t>https://supplierregistration.cabinetoffice.gov.uk/</w:t>
        </w:r>
      </w:hyperlink>
      <w:r w:rsidRPr="000E16B6">
        <w:rPr>
          <w:rFonts w:asciiTheme="minorHAnsi" w:eastAsia="Arial" w:hAnsiTheme="minorHAnsi" w:cstheme="minorHAnsi"/>
        </w:rPr>
        <w:t xml:space="preserve">    </w:t>
      </w:r>
    </w:p>
    <w:p w:rsidR="006A3BE7" w:rsidRPr="000E16B6" w:rsidRDefault="00A64416" w:rsidP="006A3BE7">
      <w:pPr>
        <w:pStyle w:val="Normal1"/>
        <w:numPr>
          <w:ilvl w:val="0"/>
          <w:numId w:val="22"/>
        </w:numPr>
        <w:spacing w:after="200"/>
        <w:ind w:left="714" w:hanging="714"/>
        <w:jc w:val="both"/>
        <w:rPr>
          <w:rFonts w:asciiTheme="minorHAnsi" w:eastAsia="Arial" w:hAnsiTheme="minorHAnsi" w:cstheme="minorHAnsi"/>
        </w:rPr>
      </w:pPr>
      <w:r>
        <w:rPr>
          <w:rFonts w:asciiTheme="minorHAnsi" w:eastAsia="Arial" w:hAnsiTheme="minorHAnsi" w:cstheme="minorHAnsi"/>
        </w:rPr>
        <w:t xml:space="preserve">If you are responding as a consortium, each member of the consortium must complete the SSQ in full. </w:t>
      </w:r>
      <w:r w:rsidR="006A3BE7" w:rsidRPr="000E16B6">
        <w:rPr>
          <w:rFonts w:asciiTheme="minorHAnsi" w:eastAsia="Arial" w:hAnsiTheme="minorHAnsi" w:cstheme="minorHAnsi"/>
        </w:rPr>
        <w:t xml:space="preserve">Every </w:t>
      </w:r>
      <w:r>
        <w:rPr>
          <w:rFonts w:asciiTheme="minorHAnsi" w:eastAsia="Arial" w:hAnsiTheme="minorHAnsi" w:cstheme="minorHAnsi"/>
        </w:rPr>
        <w:t>subcontractor</w:t>
      </w:r>
      <w:r w:rsidR="006A3BE7" w:rsidRPr="000E16B6">
        <w:rPr>
          <w:rFonts w:asciiTheme="minorHAnsi" w:eastAsia="Arial" w:hAnsiTheme="minorHAnsi" w:cstheme="minorHAnsi"/>
        </w:rPr>
        <w:t xml:space="preserve"> that is being relied </w:t>
      </w:r>
      <w:r w:rsidR="00460B31">
        <w:rPr>
          <w:rFonts w:asciiTheme="minorHAnsi" w:eastAsia="Arial" w:hAnsiTheme="minorHAnsi" w:cstheme="minorHAnsi"/>
        </w:rPr>
        <w:t>up</w:t>
      </w:r>
      <w:r w:rsidR="006A3BE7" w:rsidRPr="000E16B6">
        <w:rPr>
          <w:rFonts w:asciiTheme="minorHAnsi" w:eastAsia="Arial" w:hAnsiTheme="minorHAnsi" w:cstheme="minorHAnsi"/>
        </w:rPr>
        <w:t>on</w:t>
      </w:r>
      <w:r w:rsidRPr="00A64416">
        <w:rPr>
          <w:rFonts w:asciiTheme="minorHAnsi" w:eastAsia="Arial" w:hAnsiTheme="minorHAnsi" w:cstheme="minorHAnsi"/>
        </w:rPr>
        <w:t xml:space="preserve"> </w:t>
      </w:r>
      <w:r w:rsidRPr="000E16B6">
        <w:rPr>
          <w:rFonts w:asciiTheme="minorHAnsi" w:eastAsia="Arial" w:hAnsiTheme="minorHAnsi" w:cstheme="minorHAnsi"/>
        </w:rPr>
        <w:t>to meet the Requirements</w:t>
      </w:r>
      <w:r w:rsidR="006A3BE7" w:rsidRPr="000E16B6">
        <w:rPr>
          <w:rFonts w:asciiTheme="minorHAnsi" w:eastAsia="Arial" w:hAnsiTheme="minorHAnsi" w:cstheme="minorHAnsi"/>
        </w:rPr>
        <w:t xml:space="preserve"> </w:t>
      </w:r>
      <w:r w:rsidR="00460B31">
        <w:rPr>
          <w:rFonts w:asciiTheme="minorHAnsi" w:eastAsia="Arial" w:hAnsiTheme="minorHAnsi" w:cstheme="minorHAnsi"/>
        </w:rPr>
        <w:t>(i.e. cannot be easily replaced by another organisation)</w:t>
      </w:r>
      <w:r>
        <w:rPr>
          <w:rFonts w:asciiTheme="minorHAnsi" w:eastAsia="Arial" w:hAnsiTheme="minorHAnsi" w:cstheme="minorHAnsi"/>
        </w:rPr>
        <w:t xml:space="preserve"> or who are providing services equal to or greater than 25% of the value of the contract</w:t>
      </w:r>
      <w:r w:rsidR="00460B31">
        <w:rPr>
          <w:rFonts w:asciiTheme="minorHAnsi" w:eastAsia="Arial" w:hAnsiTheme="minorHAnsi" w:cstheme="minorHAnsi"/>
        </w:rPr>
        <w:t xml:space="preserve"> </w:t>
      </w:r>
      <w:r w:rsidR="006A3BE7" w:rsidRPr="000E16B6">
        <w:rPr>
          <w:rFonts w:asciiTheme="minorHAnsi" w:eastAsia="Arial" w:hAnsiTheme="minorHAnsi" w:cstheme="minorHAnsi"/>
        </w:rPr>
        <w:t xml:space="preserve">must complete and submit Sections 1 – 3 of the SSQ. </w:t>
      </w:r>
      <w:r w:rsidR="00460B31">
        <w:rPr>
          <w:rFonts w:asciiTheme="minorHAnsi" w:eastAsia="Arial" w:hAnsiTheme="minorHAnsi" w:cstheme="minorHAnsi"/>
        </w:rPr>
        <w:t>Subcontractors that are not relied upon or who are providing less than 25% of the value of the contract are not required to complete the SSQ.</w:t>
      </w:r>
    </w:p>
    <w:p w:rsidR="006A3BE7" w:rsidRPr="000E16B6" w:rsidRDefault="006A3BE7" w:rsidP="006A3BE7">
      <w:pPr>
        <w:pStyle w:val="Normal1"/>
        <w:numPr>
          <w:ilvl w:val="0"/>
          <w:numId w:val="22"/>
        </w:numPr>
        <w:spacing w:after="200"/>
        <w:ind w:hanging="714"/>
        <w:jc w:val="both"/>
        <w:rPr>
          <w:rFonts w:asciiTheme="minorHAnsi" w:eastAsia="Arial" w:hAnsiTheme="minorHAnsi" w:cstheme="minorHAnsi"/>
        </w:rPr>
      </w:pPr>
      <w:r w:rsidRPr="000E16B6">
        <w:rPr>
          <w:rFonts w:asciiTheme="minorHAnsi" w:eastAsia="Arial" w:hAnsiTheme="minorHAnsi" w:cstheme="minorHAnsi"/>
        </w:rPr>
        <w:t>The Authority recognises that arrangements set out in the SSQ,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SSQ is submitted for any new organisation relied on to meet the selection criteria. The authority will make a revised assessment of the submission based on the updated information.</w:t>
      </w:r>
    </w:p>
    <w:p w:rsidR="006A3BE7" w:rsidRPr="000E16B6" w:rsidRDefault="006A3BE7" w:rsidP="006A3BE7">
      <w:pPr>
        <w:pStyle w:val="Normal1"/>
        <w:numPr>
          <w:ilvl w:val="0"/>
          <w:numId w:val="22"/>
        </w:numPr>
        <w:spacing w:after="160"/>
        <w:ind w:right="11" w:hanging="714"/>
        <w:jc w:val="both"/>
        <w:rPr>
          <w:rFonts w:asciiTheme="minorHAnsi" w:hAnsiTheme="minorHAnsi" w:cstheme="minorHAnsi"/>
        </w:rPr>
      </w:pPr>
      <w:r w:rsidRPr="000E16B6">
        <w:rPr>
          <w:rFonts w:asciiTheme="minorHAnsi" w:eastAsia="Arial" w:hAnsiTheme="minorHAnsi" w:cstheme="minorHAnsi"/>
        </w:rPr>
        <w:t>Completed SSQs will be assessed. Failure to meet the stated selection criteria will result in a Response being rejected at this stage and no further assessment of the remainder of the Response will be undertaken by the Authority.</w:t>
      </w:r>
    </w:p>
    <w:p w:rsidR="006A3BE7" w:rsidRPr="000E16B6" w:rsidRDefault="006A3BE7" w:rsidP="006A3BE7">
      <w:pPr>
        <w:pStyle w:val="Normal1"/>
        <w:numPr>
          <w:ilvl w:val="0"/>
          <w:numId w:val="22"/>
        </w:numPr>
        <w:spacing w:after="160"/>
        <w:ind w:right="11" w:hanging="714"/>
        <w:jc w:val="both"/>
        <w:rPr>
          <w:rFonts w:asciiTheme="minorHAnsi" w:hAnsiTheme="minorHAnsi" w:cstheme="minorHAnsi"/>
        </w:rPr>
      </w:pPr>
      <w:r w:rsidRPr="000E16B6">
        <w:rPr>
          <w:rFonts w:asciiTheme="minorHAnsi" w:eastAsia="Arial" w:hAnsiTheme="minorHAnsi" w:cstheme="minorHAnsi"/>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D31D66" w:rsidRDefault="001C6C61" w:rsidP="007F7536">
      <w:pPr>
        <w:pStyle w:val="Heading2"/>
      </w:pPr>
      <w:r>
        <w:t xml:space="preserve">EOI Response assessment </w:t>
      </w:r>
      <w:r w:rsidR="00881E4E">
        <w:t>process</w:t>
      </w:r>
    </w:p>
    <w:p w:rsidR="00881E4E" w:rsidRDefault="00881E4E" w:rsidP="00881E4E">
      <w:r>
        <w:t xml:space="preserve">An assessment panel will review and score all completed </w:t>
      </w:r>
      <w:r w:rsidR="001C6C61">
        <w:t>EOI Response F</w:t>
      </w:r>
      <w:r>
        <w:t>orms.</w:t>
      </w:r>
    </w:p>
    <w:p w:rsidR="009D679D" w:rsidRDefault="00854AA8" w:rsidP="00881E4E">
      <w:r>
        <w:t>The EOI Response</w:t>
      </w:r>
      <w:r w:rsidR="001C6C61">
        <w:t xml:space="preserve"> Form comprises</w:t>
      </w:r>
      <w:r>
        <w:t xml:space="preserve"> five questions. The response to each question will be scored </w:t>
      </w:r>
      <w:r w:rsidR="004C04C9">
        <w:t xml:space="preserve">on a </w:t>
      </w:r>
      <w:r>
        <w:t>0 – 5</w:t>
      </w:r>
      <w:r w:rsidR="004C04C9">
        <w:t xml:space="preserve"> scale</w:t>
      </w:r>
      <w:r w:rsidR="001C6C61">
        <w:t>, using the criteria set out below</w:t>
      </w:r>
      <w:r>
        <w:t>.</w:t>
      </w:r>
      <w:r w:rsidR="009D679D">
        <w:t xml:space="preserve"> When responding to questions in Part 2, please refer to the relevant para</w:t>
      </w:r>
      <w:r w:rsidR="00A64416">
        <w:t>graphs in this G</w:t>
      </w:r>
      <w:r w:rsidR="009D679D">
        <w:t>uidance (as outlined within the questions).</w:t>
      </w:r>
    </w:p>
    <w:p w:rsidR="00881E4E" w:rsidRPr="001C6C61" w:rsidRDefault="007B46EC" w:rsidP="00881E4E">
      <w:r>
        <w:t xml:space="preserve">The response to each of questions 1 – 4 must not exceed 500 words. </w:t>
      </w:r>
      <w:r w:rsidRPr="007D112D">
        <w:rPr>
          <w:b/>
        </w:rPr>
        <w:t>Any response exceeding 500 words will be disregarded and score ‘0’.</w:t>
      </w:r>
    </w:p>
    <w:p w:rsidR="003A1699" w:rsidRDefault="00CC38CA" w:rsidP="00A64416">
      <w:pPr>
        <w:rPr>
          <w:bCs/>
          <w:kern w:val="32"/>
          <w:u w:val="single"/>
        </w:rPr>
      </w:pPr>
      <w:r>
        <w:t xml:space="preserve">After scoring, the EOI </w:t>
      </w:r>
      <w:r w:rsidR="001C6C61">
        <w:t>Responses</w:t>
      </w:r>
      <w:r>
        <w:t xml:space="preserve"> will be ranked by total score</w:t>
      </w:r>
      <w:r w:rsidR="009F04FF">
        <w:t xml:space="preserve"> (i.e the combined score awarded for all five questions in the EOI)</w:t>
      </w:r>
      <w:r>
        <w:t xml:space="preserve">. DfE will select </w:t>
      </w:r>
      <w:r w:rsidR="009F04FF">
        <w:t>the highest-scoring</w:t>
      </w:r>
      <w:r>
        <w:t xml:space="preserve"> </w:t>
      </w:r>
      <w:r w:rsidR="001C6C61">
        <w:t>Responses</w:t>
      </w:r>
      <w:r w:rsidR="004C04C9">
        <w:t xml:space="preserve"> (no more than </w:t>
      </w:r>
      <w:r w:rsidR="004C04C9">
        <w:rPr>
          <w:b/>
        </w:rPr>
        <w:t>five</w:t>
      </w:r>
      <w:r w:rsidR="004C04C9">
        <w:t>)</w:t>
      </w:r>
      <w:r>
        <w:t>; these organisations will proceed to the second stage of the procurement and will be sent the full ITT. Unsuccessful EOI applications will be notified; feedback and scores will be provided.</w:t>
      </w:r>
      <w:r w:rsidR="003A1699">
        <w:br w:type="page"/>
      </w:r>
    </w:p>
    <w:p w:rsidR="00CC38CA" w:rsidRDefault="001C6C61" w:rsidP="00CC38CA">
      <w:pPr>
        <w:pStyle w:val="Heading2"/>
      </w:pPr>
      <w:r>
        <w:t>Scoring criteria</w:t>
      </w:r>
    </w:p>
    <w:tbl>
      <w:tblPr>
        <w:tblW w:w="5000" w:type="pct"/>
        <w:tblLook w:val="04A0" w:firstRow="1" w:lastRow="0" w:firstColumn="1" w:lastColumn="0" w:noHBand="0" w:noVBand="1"/>
      </w:tblPr>
      <w:tblGrid>
        <w:gridCol w:w="1070"/>
        <w:gridCol w:w="1857"/>
        <w:gridCol w:w="6549"/>
      </w:tblGrid>
      <w:tr w:rsidR="00CC38CA" w:rsidRPr="003C7656" w:rsidTr="00D77DF0">
        <w:trPr>
          <w:cantSplit/>
          <w:trHeight w:val="315"/>
        </w:trPr>
        <w:tc>
          <w:tcPr>
            <w:tcW w:w="555" w:type="pct"/>
            <w:tcBorders>
              <w:top w:val="single" w:sz="8" w:space="0" w:color="auto"/>
              <w:left w:val="single" w:sz="8" w:space="0" w:color="auto"/>
              <w:bottom w:val="nil"/>
              <w:right w:val="single" w:sz="8" w:space="0" w:color="auto"/>
            </w:tcBorders>
            <w:shd w:val="clear" w:color="000000" w:fill="9CC2E5"/>
            <w:hideMark/>
          </w:tcPr>
          <w:p w:rsidR="00CC38CA" w:rsidRPr="003C7656" w:rsidRDefault="00CC38CA" w:rsidP="00D77DF0">
            <w:pPr>
              <w:spacing w:after="0" w:line="276" w:lineRule="auto"/>
              <w:rPr>
                <w:rFonts w:eastAsia="Calibri"/>
                <w:b/>
                <w:bCs/>
              </w:rPr>
            </w:pPr>
            <w:r w:rsidRPr="003C7656">
              <w:rPr>
                <w:rFonts w:eastAsia="Calibri"/>
                <w:b/>
                <w:bCs/>
              </w:rPr>
              <w:t>SCORE</w:t>
            </w:r>
          </w:p>
        </w:tc>
        <w:tc>
          <w:tcPr>
            <w:tcW w:w="955" w:type="pct"/>
            <w:tcBorders>
              <w:top w:val="single" w:sz="8" w:space="0" w:color="auto"/>
              <w:left w:val="nil"/>
              <w:bottom w:val="nil"/>
              <w:right w:val="nil"/>
            </w:tcBorders>
            <w:shd w:val="clear" w:color="000000" w:fill="9CC2E5"/>
            <w:hideMark/>
          </w:tcPr>
          <w:p w:rsidR="00CC38CA" w:rsidRPr="003C7656" w:rsidRDefault="00CC38CA" w:rsidP="00D77DF0">
            <w:pPr>
              <w:spacing w:after="0" w:line="276" w:lineRule="auto"/>
              <w:rPr>
                <w:rFonts w:eastAsia="Calibri"/>
                <w:b/>
                <w:bCs/>
              </w:rPr>
            </w:pPr>
            <w:r w:rsidRPr="003C7656">
              <w:rPr>
                <w:rFonts w:eastAsia="Calibri"/>
                <w:b/>
                <w:bCs/>
              </w:rPr>
              <w:t>DESCRIPTION</w:t>
            </w:r>
          </w:p>
        </w:tc>
        <w:tc>
          <w:tcPr>
            <w:tcW w:w="3490" w:type="pct"/>
            <w:tcBorders>
              <w:top w:val="single" w:sz="8" w:space="0" w:color="auto"/>
              <w:left w:val="single" w:sz="8" w:space="0" w:color="auto"/>
              <w:bottom w:val="nil"/>
              <w:right w:val="single" w:sz="8" w:space="0" w:color="auto"/>
            </w:tcBorders>
            <w:shd w:val="clear" w:color="000000" w:fill="9CC2E5"/>
            <w:hideMark/>
          </w:tcPr>
          <w:p w:rsidR="00CC38CA" w:rsidRPr="003C7656" w:rsidRDefault="00CC38CA" w:rsidP="00D77DF0">
            <w:pPr>
              <w:spacing w:after="0" w:line="276" w:lineRule="auto"/>
              <w:rPr>
                <w:rFonts w:eastAsia="Calibri"/>
                <w:b/>
                <w:bCs/>
              </w:rPr>
            </w:pPr>
            <w:r w:rsidRPr="003C7656">
              <w:rPr>
                <w:rFonts w:eastAsia="Calibri"/>
                <w:b/>
                <w:bCs/>
              </w:rPr>
              <w:t>CRITERIA</w:t>
            </w:r>
          </w:p>
        </w:tc>
      </w:tr>
      <w:tr w:rsidR="00CC38CA" w:rsidRPr="003C7656" w:rsidTr="00D77DF0">
        <w:trPr>
          <w:cantSplit/>
          <w:trHeight w:val="1807"/>
        </w:trPr>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5</w:t>
            </w:r>
          </w:p>
        </w:tc>
        <w:tc>
          <w:tcPr>
            <w:tcW w:w="955" w:type="pct"/>
            <w:tcBorders>
              <w:top w:val="single" w:sz="8" w:space="0" w:color="auto"/>
              <w:left w:val="nil"/>
              <w:bottom w:val="single" w:sz="8" w:space="0" w:color="auto"/>
              <w:right w:val="nil"/>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Excellent</w:t>
            </w:r>
          </w:p>
        </w:tc>
        <w:tc>
          <w:tcPr>
            <w:tcW w:w="3490" w:type="pct"/>
            <w:tcBorders>
              <w:top w:val="single" w:sz="8" w:space="0" w:color="auto"/>
              <w:left w:val="single" w:sz="8" w:space="0" w:color="auto"/>
              <w:bottom w:val="single" w:sz="8" w:space="0" w:color="auto"/>
              <w:right w:val="single" w:sz="8" w:space="0" w:color="auto"/>
            </w:tcBorders>
            <w:shd w:val="clear" w:color="auto" w:fill="auto"/>
            <w:hideMark/>
          </w:tcPr>
          <w:p w:rsidR="00CC38CA" w:rsidRPr="003C7656" w:rsidRDefault="00CC38CA" w:rsidP="00CC38CA">
            <w:pPr>
              <w:spacing w:after="0" w:line="276" w:lineRule="auto"/>
              <w:rPr>
                <w:rFonts w:eastAsia="Calibri"/>
              </w:rPr>
            </w:pPr>
            <w:r w:rsidRPr="00636E55">
              <w:rPr>
                <w:rFonts w:eastAsia="Calibri"/>
              </w:rPr>
              <w:t xml:space="preserve">The response fully and successfully meets the </w:t>
            </w:r>
            <w:r>
              <w:rPr>
                <w:rFonts w:eastAsia="Calibri"/>
              </w:rPr>
              <w:t>Requirements</w:t>
            </w:r>
            <w:r w:rsidRPr="00636E55">
              <w:rPr>
                <w:rFonts w:eastAsia="Calibri"/>
              </w:rPr>
              <w:t xml:space="preserve"> and in addition offers significant and clearly recognisable benefits and desirable features</w:t>
            </w:r>
            <w:r>
              <w:rPr>
                <w:rFonts w:eastAsia="Calibri"/>
              </w:rPr>
              <w:t>,</w:t>
            </w:r>
            <w:r w:rsidRPr="00636E55">
              <w:rPr>
                <w:rFonts w:eastAsia="Calibri"/>
              </w:rPr>
              <w:t xml:space="preserve"> which are relevant and proportionate, over and above the level required.</w:t>
            </w:r>
          </w:p>
        </w:tc>
      </w:tr>
      <w:tr w:rsidR="00CC38CA" w:rsidRPr="003C7656" w:rsidTr="00D77DF0">
        <w:trPr>
          <w:cantSplit/>
          <w:trHeight w:val="900"/>
        </w:trPr>
        <w:tc>
          <w:tcPr>
            <w:tcW w:w="555" w:type="pct"/>
            <w:tcBorders>
              <w:top w:val="nil"/>
              <w:left w:val="single" w:sz="8" w:space="0" w:color="auto"/>
              <w:bottom w:val="single" w:sz="8" w:space="0" w:color="auto"/>
              <w:right w:val="single" w:sz="8" w:space="0" w:color="auto"/>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4</w:t>
            </w:r>
          </w:p>
        </w:tc>
        <w:tc>
          <w:tcPr>
            <w:tcW w:w="955" w:type="pct"/>
            <w:tcBorders>
              <w:top w:val="nil"/>
              <w:left w:val="nil"/>
              <w:bottom w:val="single" w:sz="8" w:space="0" w:color="auto"/>
              <w:right w:val="nil"/>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Good</w:t>
            </w:r>
          </w:p>
        </w:tc>
        <w:tc>
          <w:tcPr>
            <w:tcW w:w="3490" w:type="pct"/>
            <w:tcBorders>
              <w:top w:val="nil"/>
              <w:left w:val="single" w:sz="8" w:space="0" w:color="auto"/>
              <w:bottom w:val="single" w:sz="8" w:space="0" w:color="auto"/>
              <w:right w:val="single" w:sz="8" w:space="0" w:color="auto"/>
            </w:tcBorders>
            <w:shd w:val="clear" w:color="auto" w:fill="auto"/>
            <w:hideMark/>
          </w:tcPr>
          <w:p w:rsidR="00CC38CA" w:rsidRPr="003C7656" w:rsidRDefault="00CC38CA" w:rsidP="00CC38CA">
            <w:pPr>
              <w:spacing w:after="0" w:line="276" w:lineRule="auto"/>
              <w:rPr>
                <w:rFonts w:eastAsia="Calibri"/>
              </w:rPr>
            </w:pPr>
            <w:r w:rsidRPr="003C7656">
              <w:rPr>
                <w:rFonts w:eastAsia="Calibri"/>
              </w:rPr>
              <w:t xml:space="preserve">The response fully and successfully meets the </w:t>
            </w:r>
            <w:r>
              <w:rPr>
                <w:rFonts w:eastAsia="Calibri"/>
              </w:rPr>
              <w:t>Requirements</w:t>
            </w:r>
            <w:r w:rsidRPr="003C7656">
              <w:rPr>
                <w:rFonts w:eastAsia="Calibri"/>
              </w:rPr>
              <w:t>.</w:t>
            </w:r>
          </w:p>
        </w:tc>
      </w:tr>
      <w:tr w:rsidR="00CC38CA" w:rsidRPr="003C7656" w:rsidTr="00D77DF0">
        <w:trPr>
          <w:cantSplit/>
          <w:trHeight w:val="1114"/>
        </w:trPr>
        <w:tc>
          <w:tcPr>
            <w:tcW w:w="555" w:type="pct"/>
            <w:tcBorders>
              <w:top w:val="nil"/>
              <w:left w:val="single" w:sz="8" w:space="0" w:color="auto"/>
              <w:bottom w:val="single" w:sz="8" w:space="0" w:color="auto"/>
              <w:right w:val="single" w:sz="8" w:space="0" w:color="auto"/>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3</w:t>
            </w:r>
          </w:p>
        </w:tc>
        <w:tc>
          <w:tcPr>
            <w:tcW w:w="955" w:type="pct"/>
            <w:tcBorders>
              <w:top w:val="nil"/>
              <w:left w:val="nil"/>
              <w:bottom w:val="single" w:sz="8" w:space="0" w:color="auto"/>
              <w:right w:val="nil"/>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Satisfactory</w:t>
            </w:r>
          </w:p>
        </w:tc>
        <w:tc>
          <w:tcPr>
            <w:tcW w:w="3490" w:type="pct"/>
            <w:tcBorders>
              <w:top w:val="nil"/>
              <w:left w:val="single" w:sz="8" w:space="0" w:color="auto"/>
              <w:bottom w:val="single" w:sz="8" w:space="0" w:color="auto"/>
              <w:right w:val="single" w:sz="8" w:space="0" w:color="auto"/>
            </w:tcBorders>
            <w:shd w:val="clear" w:color="auto" w:fill="auto"/>
            <w:hideMark/>
          </w:tcPr>
          <w:p w:rsidR="00CC38CA" w:rsidRPr="003C7656" w:rsidRDefault="00CC38CA" w:rsidP="00D77DF0">
            <w:pPr>
              <w:spacing w:after="0" w:line="276" w:lineRule="auto"/>
              <w:rPr>
                <w:rFonts w:eastAsia="Calibri"/>
              </w:rPr>
            </w:pPr>
            <w:r w:rsidRPr="003C7656">
              <w:rPr>
                <w:rFonts w:eastAsia="Calibri"/>
              </w:rPr>
              <w:t xml:space="preserve">The </w:t>
            </w:r>
            <w:r>
              <w:rPr>
                <w:rFonts w:eastAsia="Calibri"/>
              </w:rPr>
              <w:t>R</w:t>
            </w:r>
            <w:r w:rsidRPr="003C7656">
              <w:rPr>
                <w:rFonts w:eastAsia="Calibri"/>
              </w:rPr>
              <w:t xml:space="preserve">esponse substantially meets the </w:t>
            </w:r>
            <w:r>
              <w:rPr>
                <w:rFonts w:eastAsia="Calibri"/>
              </w:rPr>
              <w:t>Requirements</w:t>
            </w:r>
            <w:r w:rsidRPr="003C7656">
              <w:rPr>
                <w:rFonts w:eastAsia="Calibri"/>
              </w:rPr>
              <w:t>.</w:t>
            </w:r>
            <w:r w:rsidRPr="003C7656">
              <w:rPr>
                <w:rFonts w:eastAsia="Calibri"/>
              </w:rPr>
              <w:br/>
              <w:t>May lack some clarity or detail in how the proposed solutions will be achieved.</w:t>
            </w:r>
          </w:p>
        </w:tc>
      </w:tr>
      <w:tr w:rsidR="00CC38CA" w:rsidRPr="003C7656" w:rsidTr="00CC38CA">
        <w:trPr>
          <w:cantSplit/>
          <w:trHeight w:val="783"/>
        </w:trPr>
        <w:tc>
          <w:tcPr>
            <w:tcW w:w="555" w:type="pct"/>
            <w:tcBorders>
              <w:top w:val="nil"/>
              <w:left w:val="single" w:sz="8" w:space="0" w:color="auto"/>
              <w:bottom w:val="single" w:sz="8" w:space="0" w:color="auto"/>
              <w:right w:val="single" w:sz="8" w:space="0" w:color="auto"/>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2</w:t>
            </w:r>
          </w:p>
        </w:tc>
        <w:tc>
          <w:tcPr>
            <w:tcW w:w="955" w:type="pct"/>
            <w:tcBorders>
              <w:top w:val="nil"/>
              <w:left w:val="nil"/>
              <w:bottom w:val="single" w:sz="8" w:space="0" w:color="auto"/>
              <w:right w:val="nil"/>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Poor</w:t>
            </w:r>
          </w:p>
        </w:tc>
        <w:tc>
          <w:tcPr>
            <w:tcW w:w="3490" w:type="pct"/>
            <w:tcBorders>
              <w:top w:val="nil"/>
              <w:left w:val="single" w:sz="8" w:space="0" w:color="auto"/>
              <w:bottom w:val="single" w:sz="8" w:space="0" w:color="auto"/>
              <w:right w:val="single" w:sz="8" w:space="0" w:color="auto"/>
            </w:tcBorders>
            <w:shd w:val="clear" w:color="auto" w:fill="auto"/>
            <w:hideMark/>
          </w:tcPr>
          <w:p w:rsidR="00CC38CA" w:rsidRPr="003C7656" w:rsidRDefault="00CC38CA" w:rsidP="00D77DF0">
            <w:pPr>
              <w:spacing w:after="0" w:line="276" w:lineRule="auto"/>
              <w:rPr>
                <w:rFonts w:eastAsia="Calibri"/>
              </w:rPr>
            </w:pPr>
            <w:r w:rsidRPr="003C7656">
              <w:rPr>
                <w:rFonts w:eastAsia="Calibri"/>
              </w:rPr>
              <w:t xml:space="preserve">The </w:t>
            </w:r>
            <w:r>
              <w:rPr>
                <w:rFonts w:eastAsia="Calibri"/>
              </w:rPr>
              <w:t>R</w:t>
            </w:r>
            <w:r w:rsidRPr="003C7656">
              <w:rPr>
                <w:rFonts w:eastAsia="Calibri"/>
              </w:rPr>
              <w:t xml:space="preserve">esponse satisfies only some of the </w:t>
            </w:r>
            <w:r>
              <w:rPr>
                <w:rFonts w:eastAsia="Calibri"/>
              </w:rPr>
              <w:t xml:space="preserve">Requirements, and is </w:t>
            </w:r>
            <w:r w:rsidRPr="003C7656">
              <w:rPr>
                <w:rFonts w:eastAsia="Calibri"/>
              </w:rPr>
              <w:t>lacking in sufficient detail in one or more areas.</w:t>
            </w:r>
          </w:p>
        </w:tc>
      </w:tr>
      <w:tr w:rsidR="00CC38CA" w:rsidRPr="003C7656" w:rsidTr="00CC38CA">
        <w:trPr>
          <w:cantSplit/>
          <w:trHeight w:val="822"/>
        </w:trPr>
        <w:tc>
          <w:tcPr>
            <w:tcW w:w="555" w:type="pct"/>
            <w:tcBorders>
              <w:top w:val="nil"/>
              <w:left w:val="single" w:sz="8" w:space="0" w:color="auto"/>
              <w:bottom w:val="single" w:sz="8" w:space="0" w:color="auto"/>
              <w:right w:val="single" w:sz="8" w:space="0" w:color="auto"/>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1</w:t>
            </w:r>
          </w:p>
        </w:tc>
        <w:tc>
          <w:tcPr>
            <w:tcW w:w="955" w:type="pct"/>
            <w:tcBorders>
              <w:top w:val="nil"/>
              <w:left w:val="nil"/>
              <w:bottom w:val="single" w:sz="8" w:space="0" w:color="auto"/>
              <w:right w:val="nil"/>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Very Poor</w:t>
            </w:r>
          </w:p>
        </w:tc>
        <w:tc>
          <w:tcPr>
            <w:tcW w:w="3490" w:type="pct"/>
            <w:tcBorders>
              <w:top w:val="nil"/>
              <w:left w:val="single" w:sz="8" w:space="0" w:color="auto"/>
              <w:bottom w:val="single" w:sz="8" w:space="0" w:color="auto"/>
              <w:right w:val="single" w:sz="8" w:space="0" w:color="auto"/>
            </w:tcBorders>
            <w:shd w:val="clear" w:color="auto" w:fill="auto"/>
            <w:hideMark/>
          </w:tcPr>
          <w:p w:rsidR="00CC38CA" w:rsidRPr="003C7656" w:rsidRDefault="00CC38CA" w:rsidP="00CC38CA">
            <w:pPr>
              <w:spacing w:after="0" w:line="276" w:lineRule="auto"/>
              <w:rPr>
                <w:rFonts w:eastAsia="Calibri"/>
              </w:rPr>
            </w:pPr>
            <w:r w:rsidRPr="003C7656">
              <w:rPr>
                <w:rFonts w:eastAsia="Calibri"/>
              </w:rPr>
              <w:t xml:space="preserve">The </w:t>
            </w:r>
            <w:r>
              <w:rPr>
                <w:rFonts w:eastAsia="Calibri"/>
              </w:rPr>
              <w:t>R</w:t>
            </w:r>
            <w:r w:rsidRPr="003C7656">
              <w:rPr>
                <w:rFonts w:eastAsia="Calibri"/>
              </w:rPr>
              <w:t xml:space="preserve">esponse clearly fails to meet </w:t>
            </w:r>
            <w:r>
              <w:rPr>
                <w:rFonts w:eastAsia="Calibri"/>
              </w:rPr>
              <w:t>Requirements, exhibiting</w:t>
            </w:r>
            <w:r w:rsidRPr="003C7656">
              <w:rPr>
                <w:rFonts w:eastAsia="Calibri"/>
              </w:rPr>
              <w:t xml:space="preserve"> clear and significant omissions.</w:t>
            </w:r>
          </w:p>
        </w:tc>
      </w:tr>
      <w:tr w:rsidR="00CC38CA" w:rsidRPr="003C7656" w:rsidTr="00D77DF0">
        <w:trPr>
          <w:cantSplit/>
          <w:trHeight w:val="398"/>
        </w:trPr>
        <w:tc>
          <w:tcPr>
            <w:tcW w:w="555" w:type="pct"/>
            <w:tcBorders>
              <w:top w:val="nil"/>
              <w:left w:val="single" w:sz="8" w:space="0" w:color="auto"/>
              <w:bottom w:val="single" w:sz="8" w:space="0" w:color="auto"/>
              <w:right w:val="single" w:sz="8" w:space="0" w:color="auto"/>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0</w:t>
            </w:r>
          </w:p>
        </w:tc>
        <w:tc>
          <w:tcPr>
            <w:tcW w:w="955" w:type="pct"/>
            <w:tcBorders>
              <w:top w:val="nil"/>
              <w:left w:val="nil"/>
              <w:bottom w:val="single" w:sz="8" w:space="0" w:color="auto"/>
              <w:right w:val="nil"/>
            </w:tcBorders>
            <w:shd w:val="clear" w:color="auto" w:fill="auto"/>
            <w:vAlign w:val="center"/>
            <w:hideMark/>
          </w:tcPr>
          <w:p w:rsidR="00CC38CA" w:rsidRPr="003C7656" w:rsidRDefault="00CC38CA" w:rsidP="00D77DF0">
            <w:pPr>
              <w:spacing w:after="0" w:line="276" w:lineRule="auto"/>
              <w:jc w:val="center"/>
              <w:rPr>
                <w:rFonts w:eastAsia="Calibri"/>
              </w:rPr>
            </w:pPr>
            <w:r w:rsidRPr="003C7656">
              <w:rPr>
                <w:rFonts w:eastAsia="Calibri"/>
              </w:rPr>
              <w:t>Nil Response</w:t>
            </w:r>
          </w:p>
        </w:tc>
        <w:tc>
          <w:tcPr>
            <w:tcW w:w="3490" w:type="pct"/>
            <w:tcBorders>
              <w:top w:val="nil"/>
              <w:left w:val="single" w:sz="8" w:space="0" w:color="auto"/>
              <w:bottom w:val="single" w:sz="8" w:space="0" w:color="auto"/>
              <w:right w:val="single" w:sz="8" w:space="0" w:color="auto"/>
            </w:tcBorders>
            <w:shd w:val="clear" w:color="auto" w:fill="auto"/>
            <w:hideMark/>
          </w:tcPr>
          <w:p w:rsidR="00CC38CA" w:rsidRPr="003C7656" w:rsidRDefault="00CC38CA" w:rsidP="00D77DF0">
            <w:pPr>
              <w:spacing w:after="0" w:line="276" w:lineRule="auto"/>
              <w:rPr>
                <w:rFonts w:eastAsia="Calibri"/>
              </w:rPr>
            </w:pPr>
            <w:r w:rsidRPr="003C7656">
              <w:rPr>
                <w:rFonts w:eastAsia="Calibri"/>
              </w:rPr>
              <w:t xml:space="preserve">No </w:t>
            </w:r>
            <w:r>
              <w:rPr>
                <w:rFonts w:eastAsia="Calibri"/>
              </w:rPr>
              <w:t>R</w:t>
            </w:r>
            <w:r w:rsidRPr="003C7656">
              <w:rPr>
                <w:rFonts w:eastAsia="Calibri"/>
              </w:rPr>
              <w:t>esponse provided.</w:t>
            </w:r>
          </w:p>
        </w:tc>
      </w:tr>
    </w:tbl>
    <w:p w:rsidR="003A1699" w:rsidRDefault="003A1699" w:rsidP="00881E4E"/>
    <w:p w:rsidR="003A1699" w:rsidRDefault="003A1699" w:rsidP="00881E4E"/>
    <w:p w:rsidR="009F04FF" w:rsidRPr="00A64416" w:rsidRDefault="009F04FF" w:rsidP="009F04FF">
      <w:pPr>
        <w:rPr>
          <w:rFonts w:asciiTheme="minorHAnsi" w:hAnsiTheme="minorHAnsi" w:cstheme="minorHAnsi"/>
          <w:b/>
          <w:color w:val="auto"/>
        </w:rPr>
      </w:pPr>
      <w:r>
        <w:rPr>
          <w:rFonts w:asciiTheme="minorHAnsi" w:hAnsiTheme="minorHAnsi" w:cstheme="minorHAnsi"/>
          <w:b/>
        </w:rPr>
        <w:t xml:space="preserve">The completed EOI response must be sent by email </w:t>
      </w:r>
      <w:r w:rsidRPr="006C59C9">
        <w:rPr>
          <w:rFonts w:asciiTheme="minorHAnsi" w:hAnsiTheme="minorHAnsi" w:cstheme="minorHAnsi"/>
          <w:b/>
        </w:rPr>
        <w:t xml:space="preserve">to </w:t>
      </w:r>
      <w:hyperlink r:id="rId13" w:history="1">
        <w:r w:rsidRPr="006C59C9">
          <w:rPr>
            <w:rStyle w:val="Hyperlink"/>
            <w:rFonts w:asciiTheme="minorHAnsi" w:hAnsiTheme="minorHAnsi" w:cstheme="minorHAnsi"/>
            <w:b/>
          </w:rPr>
          <w:t>computing.implementation@education.gov.uk</w:t>
        </w:r>
      </w:hyperlink>
      <w:r w:rsidRPr="006C59C9">
        <w:rPr>
          <w:rFonts w:asciiTheme="minorHAnsi" w:hAnsiTheme="minorHAnsi" w:cstheme="minorHAnsi"/>
          <w:b/>
        </w:rPr>
        <w:t xml:space="preserve"> by </w:t>
      </w:r>
      <w:r>
        <w:rPr>
          <w:rFonts w:asciiTheme="minorHAnsi" w:hAnsiTheme="minorHAnsi" w:cstheme="minorHAnsi"/>
          <w:b/>
        </w:rPr>
        <w:t xml:space="preserve">no later than </w:t>
      </w:r>
      <w:r w:rsidRPr="00A64416">
        <w:rPr>
          <w:rFonts w:asciiTheme="minorHAnsi" w:hAnsiTheme="minorHAnsi" w:cstheme="minorHAnsi"/>
          <w:b/>
          <w:color w:val="auto"/>
        </w:rPr>
        <w:t xml:space="preserve">12.00 on </w:t>
      </w:r>
      <w:r w:rsidR="00D859B3" w:rsidRPr="00A64416">
        <w:rPr>
          <w:rFonts w:asciiTheme="minorHAnsi" w:hAnsiTheme="minorHAnsi" w:cstheme="minorHAnsi"/>
          <w:b/>
          <w:color w:val="auto"/>
        </w:rPr>
        <w:t>Tues</w:t>
      </w:r>
      <w:r w:rsidRPr="00A64416">
        <w:rPr>
          <w:rFonts w:asciiTheme="minorHAnsi" w:hAnsiTheme="minorHAnsi" w:cstheme="minorHAnsi"/>
          <w:b/>
          <w:color w:val="auto"/>
        </w:rPr>
        <w:t xml:space="preserve">day </w:t>
      </w:r>
      <w:r w:rsidR="00D859B3" w:rsidRPr="00A64416">
        <w:rPr>
          <w:rFonts w:asciiTheme="minorHAnsi" w:hAnsiTheme="minorHAnsi" w:cstheme="minorHAnsi"/>
          <w:b/>
          <w:color w:val="auto"/>
        </w:rPr>
        <w:t xml:space="preserve">26th </w:t>
      </w:r>
      <w:r w:rsidRPr="00A64416">
        <w:rPr>
          <w:rFonts w:asciiTheme="minorHAnsi" w:hAnsiTheme="minorHAnsi" w:cstheme="minorHAnsi"/>
          <w:b/>
          <w:color w:val="auto"/>
        </w:rPr>
        <w:t>Ju</w:t>
      </w:r>
      <w:r w:rsidR="00D859B3" w:rsidRPr="00A64416">
        <w:rPr>
          <w:rFonts w:asciiTheme="minorHAnsi" w:hAnsiTheme="minorHAnsi" w:cstheme="minorHAnsi"/>
          <w:b/>
          <w:color w:val="auto"/>
        </w:rPr>
        <w:t>ne</w:t>
      </w:r>
      <w:r w:rsidRPr="00A64416">
        <w:rPr>
          <w:rFonts w:asciiTheme="minorHAnsi" w:hAnsiTheme="minorHAnsi" w:cstheme="minorHAnsi"/>
          <w:b/>
          <w:color w:val="auto"/>
        </w:rPr>
        <w:t xml:space="preserve"> 2018. </w:t>
      </w:r>
    </w:p>
    <w:p w:rsidR="009F04FF" w:rsidRDefault="009F04FF" w:rsidP="009F04FF">
      <w:pPr>
        <w:pStyle w:val="Heading1"/>
      </w:pPr>
      <w:r w:rsidRPr="004B29E2">
        <w:rPr>
          <w:rFonts w:asciiTheme="minorHAnsi" w:hAnsiTheme="minorHAnsi" w:cstheme="minorHAnsi"/>
        </w:rPr>
        <w:t>Please include “EOI response</w:t>
      </w:r>
      <w:r>
        <w:rPr>
          <w:rFonts w:asciiTheme="minorHAnsi" w:hAnsiTheme="minorHAnsi" w:cstheme="minorHAnsi"/>
          <w:b w:val="0"/>
        </w:rPr>
        <w:t xml:space="preserve"> - </w:t>
      </w:r>
      <w:r w:rsidRPr="00C47F33">
        <w:t>Gender Balance in Computing Pilot Programme</w:t>
      </w:r>
      <w:r>
        <w:t xml:space="preserve">” in the subject line of your </w:t>
      </w:r>
      <w:r w:rsidR="00795B99">
        <w:t xml:space="preserve">submission </w:t>
      </w:r>
      <w:r>
        <w:t>email</w:t>
      </w:r>
      <w:r w:rsidR="00795B99">
        <w:t>.</w:t>
      </w:r>
    </w:p>
    <w:p w:rsidR="009F04FF" w:rsidRDefault="009F04FF" w:rsidP="009F04FF">
      <w:pPr>
        <w:rPr>
          <w:rFonts w:asciiTheme="minorHAnsi" w:hAnsiTheme="minorHAnsi" w:cstheme="minorHAnsi"/>
          <w:b/>
        </w:rPr>
      </w:pPr>
      <w:r w:rsidRPr="006C59C9">
        <w:rPr>
          <w:rFonts w:asciiTheme="minorHAnsi" w:hAnsiTheme="minorHAnsi" w:cstheme="minorHAnsi"/>
          <w:b/>
        </w:rPr>
        <w:t>Late applications will not be considered.</w:t>
      </w:r>
    </w:p>
    <w:p w:rsidR="009F04FF" w:rsidRDefault="009F04FF" w:rsidP="009F04FF">
      <w:pPr>
        <w:rPr>
          <w:rFonts w:asciiTheme="minorHAnsi" w:hAnsiTheme="minorHAnsi" w:cstheme="minorHAnsi"/>
          <w:b/>
        </w:rPr>
      </w:pPr>
    </w:p>
    <w:p w:rsidR="009F04FF" w:rsidRPr="002B43CD" w:rsidRDefault="009F04FF" w:rsidP="009F04FF">
      <w:pPr>
        <w:rPr>
          <w:rFonts w:asciiTheme="minorHAnsi" w:hAnsiTheme="minorHAnsi" w:cstheme="minorHAnsi"/>
          <w:b/>
        </w:rPr>
      </w:pPr>
      <w:r>
        <w:rPr>
          <w:rFonts w:asciiTheme="minorHAnsi" w:hAnsiTheme="minorHAnsi" w:cstheme="minorHAnsi"/>
        </w:rPr>
        <w:t xml:space="preserve">Any queries should be sent to </w:t>
      </w:r>
      <w:hyperlink r:id="rId14" w:history="1">
        <w:r w:rsidRPr="00341317">
          <w:rPr>
            <w:rStyle w:val="Hyperlink"/>
            <w:rFonts w:asciiTheme="minorHAnsi" w:hAnsiTheme="minorHAnsi" w:cstheme="minorHAnsi"/>
          </w:rPr>
          <w:t>computing.implementation@education.gov.uk</w:t>
        </w:r>
      </w:hyperlink>
      <w:r>
        <w:rPr>
          <w:rFonts w:asciiTheme="minorHAnsi" w:hAnsiTheme="minorHAnsi" w:cstheme="minorHAnsi"/>
        </w:rPr>
        <w:t xml:space="preserve">. </w:t>
      </w:r>
    </w:p>
    <w:p w:rsidR="00854AA8" w:rsidRDefault="00854AA8" w:rsidP="00854AA8"/>
    <w:sectPr w:rsidR="00854AA8" w:rsidSect="001E47D2">
      <w:footerReference w:type="default" r:id="rId15"/>
      <w:headerReference w:type="first" r:id="rId16"/>
      <w:footerReference w:type="first" r:id="rId17"/>
      <w:type w:val="oddPage"/>
      <w:pgSz w:w="11906" w:h="16838"/>
      <w:pgMar w:top="1134" w:right="1418" w:bottom="1440"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666" w:rsidRDefault="00BA6666" w:rsidP="00AA6BDF">
      <w:r>
        <w:separator/>
      </w:r>
    </w:p>
  </w:endnote>
  <w:endnote w:type="continuationSeparator" w:id="0">
    <w:p w:rsidR="00BA6666" w:rsidRDefault="00BA6666" w:rsidP="00AA6BDF">
      <w:r>
        <w:continuationSeparator/>
      </w:r>
    </w:p>
  </w:endnote>
  <w:endnote w:type="continuationNotice" w:id="1">
    <w:p w:rsidR="00BA6666" w:rsidRDefault="00BA6666" w:rsidP="00AA6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60188"/>
      <w:docPartObj>
        <w:docPartGallery w:val="Page Numbers (Bottom of Page)"/>
        <w:docPartUnique/>
      </w:docPartObj>
    </w:sdtPr>
    <w:sdtEndPr/>
    <w:sdtContent>
      <w:sdt>
        <w:sdtPr>
          <w:id w:val="-1872989919"/>
          <w:docPartObj>
            <w:docPartGallery w:val="Page Numbers (Top of Page)"/>
            <w:docPartUnique/>
          </w:docPartObj>
        </w:sdtPr>
        <w:sdtEndPr/>
        <w:sdtContent>
          <w:p w:rsidR="005A731D" w:rsidRDefault="005A731D" w:rsidP="00AA6BDF">
            <w:pPr>
              <w:pStyle w:val="Footer"/>
            </w:pPr>
            <w:r>
              <w:t xml:space="preserve">Page </w:t>
            </w:r>
            <w:r>
              <w:rPr>
                <w:sz w:val="24"/>
              </w:rPr>
              <w:fldChar w:fldCharType="begin"/>
            </w:r>
            <w:r>
              <w:instrText xml:space="preserve"> PAGE </w:instrText>
            </w:r>
            <w:r>
              <w:rPr>
                <w:sz w:val="24"/>
              </w:rPr>
              <w:fldChar w:fldCharType="separate"/>
            </w:r>
            <w:r w:rsidR="00DE0536">
              <w:rPr>
                <w:noProof/>
              </w:rPr>
              <w:t>7</w:t>
            </w:r>
            <w:r>
              <w:rPr>
                <w:sz w:val="24"/>
              </w:rPr>
              <w:fldChar w:fldCharType="end"/>
            </w:r>
            <w:r>
              <w:t xml:space="preserve"> of </w:t>
            </w:r>
            <w:r w:rsidR="00BA6666">
              <w:fldChar w:fldCharType="begin"/>
            </w:r>
            <w:r w:rsidR="00BA6666">
              <w:instrText xml:space="preserve"> NUMPAGES  </w:instrText>
            </w:r>
            <w:r w:rsidR="00BA6666">
              <w:fldChar w:fldCharType="separate"/>
            </w:r>
            <w:r w:rsidR="00DE0536">
              <w:rPr>
                <w:noProof/>
              </w:rPr>
              <w:t>7</w:t>
            </w:r>
            <w:r w:rsidR="00BA6666">
              <w:rPr>
                <w:noProof/>
              </w:rPr>
              <w:fldChar w:fldCharType="end"/>
            </w:r>
          </w:p>
        </w:sdtContent>
      </w:sdt>
    </w:sdtContent>
  </w:sdt>
  <w:p w:rsidR="005A731D" w:rsidRPr="001E47D2" w:rsidRDefault="005A731D" w:rsidP="00AA6BDF">
    <w:pPr>
      <w:pStyle w:val="Footer"/>
      <w:rPr>
        <w:b/>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830083"/>
      <w:docPartObj>
        <w:docPartGallery w:val="Page Numbers (Bottom of Page)"/>
        <w:docPartUnique/>
      </w:docPartObj>
    </w:sdtPr>
    <w:sdtEndPr/>
    <w:sdtContent>
      <w:sdt>
        <w:sdtPr>
          <w:id w:val="-1705238520"/>
          <w:docPartObj>
            <w:docPartGallery w:val="Page Numbers (Top of Page)"/>
            <w:docPartUnique/>
          </w:docPartObj>
        </w:sdtPr>
        <w:sdtEndPr/>
        <w:sdtContent>
          <w:p w:rsidR="005A731D" w:rsidRDefault="005A731D" w:rsidP="00AA6BDF">
            <w:pPr>
              <w:pStyle w:val="Footer"/>
            </w:pPr>
            <w:r>
              <w:t xml:space="preserve">Page </w:t>
            </w:r>
            <w:r>
              <w:rPr>
                <w:sz w:val="24"/>
              </w:rPr>
              <w:fldChar w:fldCharType="begin"/>
            </w:r>
            <w:r>
              <w:instrText xml:space="preserve"> PAGE </w:instrText>
            </w:r>
            <w:r>
              <w:rPr>
                <w:sz w:val="24"/>
              </w:rPr>
              <w:fldChar w:fldCharType="separate"/>
            </w:r>
            <w:r w:rsidR="00460E59">
              <w:rPr>
                <w:noProof/>
              </w:rPr>
              <w:t>1</w:t>
            </w:r>
            <w:r>
              <w:rPr>
                <w:sz w:val="24"/>
              </w:rPr>
              <w:fldChar w:fldCharType="end"/>
            </w:r>
            <w:r>
              <w:t xml:space="preserve"> of </w:t>
            </w:r>
            <w:r w:rsidR="00BA6666">
              <w:fldChar w:fldCharType="begin"/>
            </w:r>
            <w:r w:rsidR="00BA6666">
              <w:instrText xml:space="preserve"> NUMPAGES  </w:instrText>
            </w:r>
            <w:r w:rsidR="00BA6666">
              <w:fldChar w:fldCharType="separate"/>
            </w:r>
            <w:r w:rsidR="00460E59">
              <w:rPr>
                <w:noProof/>
              </w:rPr>
              <w:t>7</w:t>
            </w:r>
            <w:r w:rsidR="00BA6666">
              <w:rPr>
                <w:noProof/>
              </w:rPr>
              <w:fldChar w:fldCharType="end"/>
            </w:r>
          </w:p>
        </w:sdtContent>
      </w:sdt>
    </w:sdtContent>
  </w:sdt>
  <w:p w:rsidR="005A731D" w:rsidRPr="001E47D2" w:rsidRDefault="005A731D" w:rsidP="00AA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666" w:rsidRDefault="00BA6666" w:rsidP="00AA6BDF">
      <w:r>
        <w:separator/>
      </w:r>
    </w:p>
  </w:footnote>
  <w:footnote w:type="continuationSeparator" w:id="0">
    <w:p w:rsidR="00BA6666" w:rsidRDefault="00BA6666" w:rsidP="00AA6BDF">
      <w:r>
        <w:continuationSeparator/>
      </w:r>
    </w:p>
  </w:footnote>
  <w:footnote w:type="continuationNotice" w:id="1">
    <w:p w:rsidR="00BA6666" w:rsidRDefault="00BA6666" w:rsidP="00AA6BDF"/>
  </w:footnote>
  <w:footnote w:id="2">
    <w:p w:rsidR="0008655F" w:rsidRDefault="0008655F">
      <w:pPr>
        <w:pStyle w:val="FootnoteText"/>
      </w:pPr>
      <w:r>
        <w:rPr>
          <w:rStyle w:val="FootnoteReference"/>
        </w:rPr>
        <w:footnoteRef/>
      </w:r>
      <w:r>
        <w:t xml:space="preserve"> </w:t>
      </w:r>
      <w:r w:rsidRPr="0008655F">
        <w:t>https://www.gov.uk/government/publications/uk-digital-strategy</w:t>
      </w:r>
    </w:p>
  </w:footnote>
  <w:footnote w:id="3">
    <w:p w:rsidR="00E753D9" w:rsidRDefault="00E753D9">
      <w:pPr>
        <w:pStyle w:val="FootnoteText"/>
      </w:pPr>
      <w:r>
        <w:rPr>
          <w:rStyle w:val="FootnoteReference"/>
        </w:rPr>
        <w:footnoteRef/>
      </w:r>
      <w:r>
        <w:t xml:space="preserve"> </w:t>
      </w:r>
      <w:r w:rsidRPr="00E753D9">
        <w:t>http://sciencegrrl.co.uk/assets/SCIENCE-GRRL-Stem-Report_FINAL_WEBLINKS-1.pdf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31D" w:rsidRDefault="005A731D" w:rsidP="00AA6BDF">
    <w:pPr>
      <w:rPr>
        <w:rStyle w:val="ClassificationText"/>
        <w:rFonts w:asciiTheme="majorHAnsi" w:hAnsiTheme="majorHAnsi" w:cstheme="majorHAnsi"/>
      </w:rPr>
    </w:pPr>
    <w:r>
      <w:rPr>
        <w:noProof/>
      </w:rPr>
      <w:drawing>
        <wp:inline distT="0" distB="0" distL="0" distR="0" wp14:anchorId="6754CB22" wp14:editId="3B01B324">
          <wp:extent cx="2612945" cy="276225"/>
          <wp:effectExtent l="0" t="0" r="0" b="0"/>
          <wp:docPr id="2" name="Picture 2"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686283" cy="28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4E86"/>
    <w:multiLevelType w:val="hybridMultilevel"/>
    <w:tmpl w:val="8160A518"/>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1" w15:restartNumberingAfterBreak="0">
    <w:nsid w:val="166259D2"/>
    <w:multiLevelType w:val="multilevel"/>
    <w:tmpl w:val="4DBA3912"/>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ascii="Arial" w:hAnsi="Arial" w:cs="Arial" w:hint="default"/>
        <w:b w:val="0"/>
        <w:i w:val="0"/>
        <w:color w:val="auto"/>
        <w:sz w:val="24"/>
        <w:szCs w:val="24"/>
      </w:rPr>
    </w:lvl>
    <w:lvl w:ilvl="2">
      <w:start w:val="1"/>
      <w:numFmt w:val="lowerLetter"/>
      <w:isLgl/>
      <w:lvlText w:val="%1.%2.%3"/>
      <w:lvlJc w:val="left"/>
      <w:pPr>
        <w:ind w:left="1531" w:hanging="811"/>
      </w:pPr>
      <w:rPr>
        <w:rFonts w:ascii="Arial" w:eastAsia="Times New Roman" w:hAnsi="Arial" w:cs="Arial" w:hint="default"/>
        <w:color w:val="auto"/>
      </w:rPr>
    </w:lvl>
    <w:lvl w:ilvl="3">
      <w:start w:val="1"/>
      <w:numFmt w:val="decimal"/>
      <w:isLgl/>
      <w:lvlText w:val="%1.%2.%3.%4"/>
      <w:lvlJc w:val="left"/>
      <w:pPr>
        <w:ind w:left="2665" w:hanging="113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29978DD"/>
    <w:multiLevelType w:val="hybridMultilevel"/>
    <w:tmpl w:val="F27AC2CE"/>
    <w:lvl w:ilvl="0" w:tplc="1968FD9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5F3EBB"/>
    <w:multiLevelType w:val="hybridMultilevel"/>
    <w:tmpl w:val="C73E412E"/>
    <w:lvl w:ilvl="0" w:tplc="5804083E">
      <w:start w:val="1"/>
      <w:numFmt w:val="bullet"/>
      <w:pStyle w:val="KeyMessages"/>
      <w:lvlText w:val=""/>
      <w:lvlJc w:val="left"/>
      <w:pPr>
        <w:tabs>
          <w:tab w:val="num" w:pos="540"/>
        </w:tabs>
        <w:ind w:left="540" w:hanging="360"/>
      </w:pPr>
      <w:rPr>
        <w:rFonts w:ascii="Symbol" w:hAnsi="Symbol" w:hint="default"/>
      </w:rPr>
    </w:lvl>
    <w:lvl w:ilvl="1" w:tplc="A042A32E" w:tentative="1">
      <w:start w:val="1"/>
      <w:numFmt w:val="bullet"/>
      <w:lvlText w:val="o"/>
      <w:lvlJc w:val="left"/>
      <w:pPr>
        <w:tabs>
          <w:tab w:val="num" w:pos="1440"/>
        </w:tabs>
        <w:ind w:left="1440" w:hanging="360"/>
      </w:pPr>
      <w:rPr>
        <w:rFonts w:ascii="Courier New" w:hAnsi="Courier New" w:cs="Courier New" w:hint="default"/>
      </w:rPr>
    </w:lvl>
    <w:lvl w:ilvl="2" w:tplc="B65EE010" w:tentative="1">
      <w:start w:val="1"/>
      <w:numFmt w:val="bullet"/>
      <w:lvlText w:val=""/>
      <w:lvlJc w:val="left"/>
      <w:pPr>
        <w:tabs>
          <w:tab w:val="num" w:pos="2160"/>
        </w:tabs>
        <w:ind w:left="2160" w:hanging="360"/>
      </w:pPr>
      <w:rPr>
        <w:rFonts w:ascii="Wingdings" w:hAnsi="Wingdings" w:hint="default"/>
      </w:rPr>
    </w:lvl>
    <w:lvl w:ilvl="3" w:tplc="5FC806AC" w:tentative="1">
      <w:start w:val="1"/>
      <w:numFmt w:val="bullet"/>
      <w:lvlText w:val=""/>
      <w:lvlJc w:val="left"/>
      <w:pPr>
        <w:tabs>
          <w:tab w:val="num" w:pos="2880"/>
        </w:tabs>
        <w:ind w:left="2880" w:hanging="360"/>
      </w:pPr>
      <w:rPr>
        <w:rFonts w:ascii="Symbol" w:hAnsi="Symbol" w:hint="default"/>
      </w:rPr>
    </w:lvl>
    <w:lvl w:ilvl="4" w:tplc="5EB6F662" w:tentative="1">
      <w:start w:val="1"/>
      <w:numFmt w:val="bullet"/>
      <w:lvlText w:val="o"/>
      <w:lvlJc w:val="left"/>
      <w:pPr>
        <w:tabs>
          <w:tab w:val="num" w:pos="3600"/>
        </w:tabs>
        <w:ind w:left="3600" w:hanging="360"/>
      </w:pPr>
      <w:rPr>
        <w:rFonts w:ascii="Courier New" w:hAnsi="Courier New" w:cs="Courier New" w:hint="default"/>
      </w:rPr>
    </w:lvl>
    <w:lvl w:ilvl="5" w:tplc="90B4CAE8" w:tentative="1">
      <w:start w:val="1"/>
      <w:numFmt w:val="bullet"/>
      <w:lvlText w:val=""/>
      <w:lvlJc w:val="left"/>
      <w:pPr>
        <w:tabs>
          <w:tab w:val="num" w:pos="4320"/>
        </w:tabs>
        <w:ind w:left="4320" w:hanging="360"/>
      </w:pPr>
      <w:rPr>
        <w:rFonts w:ascii="Wingdings" w:hAnsi="Wingdings" w:hint="default"/>
      </w:rPr>
    </w:lvl>
    <w:lvl w:ilvl="6" w:tplc="C65C4946" w:tentative="1">
      <w:start w:val="1"/>
      <w:numFmt w:val="bullet"/>
      <w:lvlText w:val=""/>
      <w:lvlJc w:val="left"/>
      <w:pPr>
        <w:tabs>
          <w:tab w:val="num" w:pos="5040"/>
        </w:tabs>
        <w:ind w:left="5040" w:hanging="360"/>
      </w:pPr>
      <w:rPr>
        <w:rFonts w:ascii="Symbol" w:hAnsi="Symbol" w:hint="default"/>
      </w:rPr>
    </w:lvl>
    <w:lvl w:ilvl="7" w:tplc="88E09FF8" w:tentative="1">
      <w:start w:val="1"/>
      <w:numFmt w:val="bullet"/>
      <w:lvlText w:val="o"/>
      <w:lvlJc w:val="left"/>
      <w:pPr>
        <w:tabs>
          <w:tab w:val="num" w:pos="5760"/>
        </w:tabs>
        <w:ind w:left="5760" w:hanging="360"/>
      </w:pPr>
      <w:rPr>
        <w:rFonts w:ascii="Courier New" w:hAnsi="Courier New" w:cs="Courier New" w:hint="default"/>
      </w:rPr>
    </w:lvl>
    <w:lvl w:ilvl="8" w:tplc="8890907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627C3"/>
    <w:multiLevelType w:val="hybridMultilevel"/>
    <w:tmpl w:val="C3983ED2"/>
    <w:lvl w:ilvl="0" w:tplc="7478A49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C7DB5"/>
    <w:multiLevelType w:val="hybridMultilevel"/>
    <w:tmpl w:val="C0FE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B00AF"/>
    <w:multiLevelType w:val="hybridMultilevel"/>
    <w:tmpl w:val="C85A97D8"/>
    <w:lvl w:ilvl="0" w:tplc="08090013">
      <w:start w:val="1"/>
      <w:numFmt w:val="upp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A3923"/>
    <w:multiLevelType w:val="hybridMultilevel"/>
    <w:tmpl w:val="8C422FE6"/>
    <w:lvl w:ilvl="0" w:tplc="08090001">
      <w:start w:val="1"/>
      <w:numFmt w:val="bullet"/>
      <w:lvlText w:val=""/>
      <w:lvlJc w:val="left"/>
      <w:pPr>
        <w:ind w:left="1800" w:hanging="360"/>
      </w:pPr>
      <w:rPr>
        <w:rFonts w:ascii="Symbol" w:hAnsi="Symbol" w:hint="default"/>
      </w:rPr>
    </w:lvl>
    <w:lvl w:ilvl="1" w:tplc="08090013">
      <w:start w:val="1"/>
      <w:numFmt w:val="upperRoman"/>
      <w:lvlText w:val="%2."/>
      <w:lvlJc w:val="right"/>
      <w:pPr>
        <w:ind w:left="2454" w:hanging="360"/>
      </w:pPr>
    </w:lvl>
    <w:lvl w:ilvl="2" w:tplc="C94043BA" w:tentative="1">
      <w:start w:val="1"/>
      <w:numFmt w:val="lowerRoman"/>
      <w:lvlText w:val="%3."/>
      <w:lvlJc w:val="right"/>
      <w:pPr>
        <w:ind w:left="3174" w:hanging="180"/>
      </w:pPr>
    </w:lvl>
    <w:lvl w:ilvl="3" w:tplc="CD3C238A" w:tentative="1">
      <w:start w:val="1"/>
      <w:numFmt w:val="decimal"/>
      <w:lvlText w:val="%4."/>
      <w:lvlJc w:val="left"/>
      <w:pPr>
        <w:ind w:left="3894" w:hanging="360"/>
      </w:pPr>
    </w:lvl>
    <w:lvl w:ilvl="4" w:tplc="E93C43C8" w:tentative="1">
      <w:start w:val="1"/>
      <w:numFmt w:val="lowerLetter"/>
      <w:lvlText w:val="%5."/>
      <w:lvlJc w:val="left"/>
      <w:pPr>
        <w:ind w:left="4614" w:hanging="360"/>
      </w:pPr>
    </w:lvl>
    <w:lvl w:ilvl="5" w:tplc="D22CA256" w:tentative="1">
      <w:start w:val="1"/>
      <w:numFmt w:val="lowerRoman"/>
      <w:lvlText w:val="%6."/>
      <w:lvlJc w:val="right"/>
      <w:pPr>
        <w:ind w:left="5334" w:hanging="180"/>
      </w:pPr>
    </w:lvl>
    <w:lvl w:ilvl="6" w:tplc="56821910" w:tentative="1">
      <w:start w:val="1"/>
      <w:numFmt w:val="decimal"/>
      <w:lvlText w:val="%7."/>
      <w:lvlJc w:val="left"/>
      <w:pPr>
        <w:ind w:left="6054" w:hanging="360"/>
      </w:pPr>
    </w:lvl>
    <w:lvl w:ilvl="7" w:tplc="B9C42BDC" w:tentative="1">
      <w:start w:val="1"/>
      <w:numFmt w:val="lowerLetter"/>
      <w:lvlText w:val="%8."/>
      <w:lvlJc w:val="left"/>
      <w:pPr>
        <w:ind w:left="6774" w:hanging="360"/>
      </w:pPr>
    </w:lvl>
    <w:lvl w:ilvl="8" w:tplc="229AF54C" w:tentative="1">
      <w:start w:val="1"/>
      <w:numFmt w:val="lowerRoman"/>
      <w:lvlText w:val="%9."/>
      <w:lvlJc w:val="right"/>
      <w:pPr>
        <w:ind w:left="7494" w:hanging="180"/>
      </w:pPr>
    </w:lvl>
  </w:abstractNum>
  <w:abstractNum w:abstractNumId="11" w15:restartNumberingAfterBreak="0">
    <w:nsid w:val="3C7B7703"/>
    <w:multiLevelType w:val="hybridMultilevel"/>
    <w:tmpl w:val="8D14C48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457615E3"/>
    <w:multiLevelType w:val="hybridMultilevel"/>
    <w:tmpl w:val="95F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BC928DC"/>
    <w:multiLevelType w:val="hybridMultilevel"/>
    <w:tmpl w:val="5CEC58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C7455CF"/>
    <w:multiLevelType w:val="hybridMultilevel"/>
    <w:tmpl w:val="EBA25D2A"/>
    <w:lvl w:ilvl="0" w:tplc="A85EA7CE">
      <w:start w:val="1"/>
      <w:numFmt w:val="bullet"/>
      <w:pStyle w:val="Bullets"/>
      <w:lvlText w:val=""/>
      <w:lvlJc w:val="left"/>
      <w:pPr>
        <w:ind w:left="1003" w:hanging="360"/>
      </w:pPr>
      <w:rPr>
        <w:rFonts w:ascii="Symbol" w:hAnsi="Symbol" w:hint="default"/>
      </w:rPr>
    </w:lvl>
    <w:lvl w:ilvl="1" w:tplc="0DA2639C">
      <w:start w:val="1"/>
      <w:numFmt w:val="bullet"/>
      <w:pStyle w:val="SubBullets"/>
      <w:lvlText w:val="o"/>
      <w:lvlJc w:val="left"/>
      <w:pPr>
        <w:ind w:left="1723" w:hanging="360"/>
      </w:pPr>
      <w:rPr>
        <w:rFonts w:ascii="Courier New" w:hAnsi="Courier New" w:cs="Courier New" w:hint="default"/>
      </w:rPr>
    </w:lvl>
    <w:lvl w:ilvl="2" w:tplc="AF526A76" w:tentative="1">
      <w:start w:val="1"/>
      <w:numFmt w:val="bullet"/>
      <w:lvlText w:val=""/>
      <w:lvlJc w:val="left"/>
      <w:pPr>
        <w:ind w:left="2443" w:hanging="360"/>
      </w:pPr>
      <w:rPr>
        <w:rFonts w:ascii="Wingdings" w:hAnsi="Wingdings" w:hint="default"/>
      </w:rPr>
    </w:lvl>
    <w:lvl w:ilvl="3" w:tplc="A7B68530" w:tentative="1">
      <w:start w:val="1"/>
      <w:numFmt w:val="bullet"/>
      <w:lvlText w:val=""/>
      <w:lvlJc w:val="left"/>
      <w:pPr>
        <w:ind w:left="3163" w:hanging="360"/>
      </w:pPr>
      <w:rPr>
        <w:rFonts w:ascii="Symbol" w:hAnsi="Symbol" w:hint="default"/>
      </w:rPr>
    </w:lvl>
    <w:lvl w:ilvl="4" w:tplc="E2CAD9D0" w:tentative="1">
      <w:start w:val="1"/>
      <w:numFmt w:val="bullet"/>
      <w:lvlText w:val="o"/>
      <w:lvlJc w:val="left"/>
      <w:pPr>
        <w:ind w:left="3883" w:hanging="360"/>
      </w:pPr>
      <w:rPr>
        <w:rFonts w:ascii="Courier New" w:hAnsi="Courier New" w:cs="Courier New" w:hint="default"/>
      </w:rPr>
    </w:lvl>
    <w:lvl w:ilvl="5" w:tplc="84C4B394" w:tentative="1">
      <w:start w:val="1"/>
      <w:numFmt w:val="bullet"/>
      <w:lvlText w:val=""/>
      <w:lvlJc w:val="left"/>
      <w:pPr>
        <w:ind w:left="4603" w:hanging="360"/>
      </w:pPr>
      <w:rPr>
        <w:rFonts w:ascii="Wingdings" w:hAnsi="Wingdings" w:hint="default"/>
      </w:rPr>
    </w:lvl>
    <w:lvl w:ilvl="6" w:tplc="E870C776" w:tentative="1">
      <w:start w:val="1"/>
      <w:numFmt w:val="bullet"/>
      <w:lvlText w:val=""/>
      <w:lvlJc w:val="left"/>
      <w:pPr>
        <w:ind w:left="5323" w:hanging="360"/>
      </w:pPr>
      <w:rPr>
        <w:rFonts w:ascii="Symbol" w:hAnsi="Symbol" w:hint="default"/>
      </w:rPr>
    </w:lvl>
    <w:lvl w:ilvl="7" w:tplc="B01E1EC8" w:tentative="1">
      <w:start w:val="1"/>
      <w:numFmt w:val="bullet"/>
      <w:lvlText w:val="o"/>
      <w:lvlJc w:val="left"/>
      <w:pPr>
        <w:ind w:left="6043" w:hanging="360"/>
      </w:pPr>
      <w:rPr>
        <w:rFonts w:ascii="Courier New" w:hAnsi="Courier New" w:cs="Courier New" w:hint="default"/>
      </w:rPr>
    </w:lvl>
    <w:lvl w:ilvl="8" w:tplc="57AA6AE8" w:tentative="1">
      <w:start w:val="1"/>
      <w:numFmt w:val="bullet"/>
      <w:lvlText w:val=""/>
      <w:lvlJc w:val="left"/>
      <w:pPr>
        <w:ind w:left="6763" w:hanging="360"/>
      </w:pPr>
      <w:rPr>
        <w:rFonts w:ascii="Wingdings" w:hAnsi="Wingdings" w:hint="default"/>
      </w:rPr>
    </w:lvl>
  </w:abstractNum>
  <w:abstractNum w:abstractNumId="16" w15:restartNumberingAfterBreak="0">
    <w:nsid w:val="4E985ABD"/>
    <w:multiLevelType w:val="hybridMultilevel"/>
    <w:tmpl w:val="05863320"/>
    <w:lvl w:ilvl="0" w:tplc="E59E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D4151"/>
    <w:multiLevelType w:val="hybridMultilevel"/>
    <w:tmpl w:val="0CCC630A"/>
    <w:lvl w:ilvl="0" w:tplc="E59E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8149C"/>
    <w:multiLevelType w:val="hybridMultilevel"/>
    <w:tmpl w:val="CA547430"/>
    <w:lvl w:ilvl="0" w:tplc="519060B8">
      <w:start w:val="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42F70"/>
    <w:multiLevelType w:val="hybridMultilevel"/>
    <w:tmpl w:val="53E257D0"/>
    <w:lvl w:ilvl="0" w:tplc="E59E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33602"/>
    <w:multiLevelType w:val="hybridMultilevel"/>
    <w:tmpl w:val="83D2779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6F207E81"/>
    <w:multiLevelType w:val="hybridMultilevel"/>
    <w:tmpl w:val="D1E016AC"/>
    <w:lvl w:ilvl="0" w:tplc="CC6ABE90">
      <w:start w:val="1"/>
      <w:numFmt w:val="lowerLetter"/>
      <w:lvlText w:val="%1."/>
      <w:lvlJc w:val="righ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32034"/>
    <w:multiLevelType w:val="hybridMultilevel"/>
    <w:tmpl w:val="4FAE5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DE5B9D"/>
    <w:multiLevelType w:val="multilevel"/>
    <w:tmpl w:val="8C089F4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4" w15:restartNumberingAfterBreak="0">
    <w:nsid w:val="79131F5E"/>
    <w:multiLevelType w:val="hybridMultilevel"/>
    <w:tmpl w:val="2B00E848"/>
    <w:lvl w:ilvl="0" w:tplc="D3F87C4C">
      <w:start w:val="1"/>
      <w:numFmt w:val="upperRoman"/>
      <w:lvlText w:val="%1."/>
      <w:lvlJc w:val="right"/>
      <w:pPr>
        <w:tabs>
          <w:tab w:val="num" w:pos="720"/>
        </w:tabs>
        <w:ind w:left="720" w:hanging="360"/>
      </w:pPr>
    </w:lvl>
    <w:lvl w:ilvl="1" w:tplc="CC6ABE90">
      <w:start w:val="1"/>
      <w:numFmt w:val="lowerLetter"/>
      <w:lvlText w:val="%2."/>
      <w:lvlJc w:val="right"/>
      <w:pPr>
        <w:tabs>
          <w:tab w:val="num" w:pos="1440"/>
        </w:tabs>
        <w:ind w:left="1440" w:hanging="360"/>
      </w:pPr>
    </w:lvl>
    <w:lvl w:ilvl="2" w:tplc="479A6614" w:tentative="1">
      <w:start w:val="1"/>
      <w:numFmt w:val="upperRoman"/>
      <w:lvlText w:val="%3."/>
      <w:lvlJc w:val="right"/>
      <w:pPr>
        <w:tabs>
          <w:tab w:val="num" w:pos="2160"/>
        </w:tabs>
        <w:ind w:left="2160" w:hanging="360"/>
      </w:pPr>
    </w:lvl>
    <w:lvl w:ilvl="3" w:tplc="AD44760E" w:tentative="1">
      <w:start w:val="1"/>
      <w:numFmt w:val="upperRoman"/>
      <w:lvlText w:val="%4."/>
      <w:lvlJc w:val="right"/>
      <w:pPr>
        <w:tabs>
          <w:tab w:val="num" w:pos="2880"/>
        </w:tabs>
        <w:ind w:left="2880" w:hanging="360"/>
      </w:pPr>
    </w:lvl>
    <w:lvl w:ilvl="4" w:tplc="5F20A58E" w:tentative="1">
      <w:start w:val="1"/>
      <w:numFmt w:val="upperRoman"/>
      <w:lvlText w:val="%5."/>
      <w:lvlJc w:val="right"/>
      <w:pPr>
        <w:tabs>
          <w:tab w:val="num" w:pos="3600"/>
        </w:tabs>
        <w:ind w:left="3600" w:hanging="360"/>
      </w:pPr>
    </w:lvl>
    <w:lvl w:ilvl="5" w:tplc="C9C4E1C6" w:tentative="1">
      <w:start w:val="1"/>
      <w:numFmt w:val="upperRoman"/>
      <w:lvlText w:val="%6."/>
      <w:lvlJc w:val="right"/>
      <w:pPr>
        <w:tabs>
          <w:tab w:val="num" w:pos="4320"/>
        </w:tabs>
        <w:ind w:left="4320" w:hanging="360"/>
      </w:pPr>
    </w:lvl>
    <w:lvl w:ilvl="6" w:tplc="E9F4CD56" w:tentative="1">
      <w:start w:val="1"/>
      <w:numFmt w:val="upperRoman"/>
      <w:lvlText w:val="%7."/>
      <w:lvlJc w:val="right"/>
      <w:pPr>
        <w:tabs>
          <w:tab w:val="num" w:pos="5040"/>
        </w:tabs>
        <w:ind w:left="5040" w:hanging="360"/>
      </w:pPr>
    </w:lvl>
    <w:lvl w:ilvl="7" w:tplc="05363D12" w:tentative="1">
      <w:start w:val="1"/>
      <w:numFmt w:val="upperRoman"/>
      <w:lvlText w:val="%8."/>
      <w:lvlJc w:val="right"/>
      <w:pPr>
        <w:tabs>
          <w:tab w:val="num" w:pos="5760"/>
        </w:tabs>
        <w:ind w:left="5760" w:hanging="360"/>
      </w:pPr>
    </w:lvl>
    <w:lvl w:ilvl="8" w:tplc="41468446" w:tentative="1">
      <w:start w:val="1"/>
      <w:numFmt w:val="upperRoman"/>
      <w:lvlText w:val="%9."/>
      <w:lvlJc w:val="right"/>
      <w:pPr>
        <w:tabs>
          <w:tab w:val="num" w:pos="6480"/>
        </w:tabs>
        <w:ind w:left="6480" w:hanging="360"/>
      </w:pPr>
    </w:lvl>
  </w:abstractNum>
  <w:abstractNum w:abstractNumId="25" w15:restartNumberingAfterBreak="0">
    <w:nsid w:val="7B6C3075"/>
    <w:multiLevelType w:val="hybridMultilevel"/>
    <w:tmpl w:val="25C687EE"/>
    <w:lvl w:ilvl="0" w:tplc="32ECD454">
      <w:start w:val="1"/>
      <w:numFmt w:val="decimal"/>
      <w:pStyle w:val="NumberedNormal"/>
      <w:lvlText w:val="%1."/>
      <w:lvlJc w:val="left"/>
      <w:pPr>
        <w:ind w:left="786" w:hanging="360"/>
      </w:pPr>
      <w:rPr>
        <w:b w:val="0"/>
      </w:rPr>
    </w:lvl>
    <w:lvl w:ilvl="1" w:tplc="08090013">
      <w:start w:val="1"/>
      <w:numFmt w:val="upperRoman"/>
      <w:lvlText w:val="%2."/>
      <w:lvlJc w:val="righ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26" w15:restartNumberingAfterBreak="0">
    <w:nsid w:val="7CB0484B"/>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F29180B"/>
    <w:multiLevelType w:val="hybridMultilevel"/>
    <w:tmpl w:val="3C38BC1A"/>
    <w:lvl w:ilvl="0" w:tplc="E59E7576">
      <w:start w:val="1"/>
      <w:numFmt w:val="bullet"/>
      <w:lvlText w:val=""/>
      <w:lvlJc w:val="left"/>
      <w:pPr>
        <w:tabs>
          <w:tab w:val="num" w:pos="720"/>
        </w:tabs>
        <w:ind w:left="720" w:hanging="360"/>
      </w:pPr>
      <w:rPr>
        <w:rFonts w:ascii="Symbol" w:hAnsi="Symbol" w:hint="default"/>
      </w:rPr>
    </w:lvl>
    <w:lvl w:ilvl="1" w:tplc="63A65A0C" w:tentative="1">
      <w:start w:val="1"/>
      <w:numFmt w:val="bullet"/>
      <w:lvlText w:val="•"/>
      <w:lvlJc w:val="left"/>
      <w:pPr>
        <w:tabs>
          <w:tab w:val="num" w:pos="1440"/>
        </w:tabs>
        <w:ind w:left="1440" w:hanging="360"/>
      </w:pPr>
      <w:rPr>
        <w:rFonts w:ascii="Arial" w:hAnsi="Arial" w:hint="default"/>
      </w:rPr>
    </w:lvl>
    <w:lvl w:ilvl="2" w:tplc="FB7C807A" w:tentative="1">
      <w:start w:val="1"/>
      <w:numFmt w:val="bullet"/>
      <w:lvlText w:val="•"/>
      <w:lvlJc w:val="left"/>
      <w:pPr>
        <w:tabs>
          <w:tab w:val="num" w:pos="2160"/>
        </w:tabs>
        <w:ind w:left="2160" w:hanging="360"/>
      </w:pPr>
      <w:rPr>
        <w:rFonts w:ascii="Arial" w:hAnsi="Arial" w:hint="default"/>
      </w:rPr>
    </w:lvl>
    <w:lvl w:ilvl="3" w:tplc="46BC07DC" w:tentative="1">
      <w:start w:val="1"/>
      <w:numFmt w:val="bullet"/>
      <w:lvlText w:val="•"/>
      <w:lvlJc w:val="left"/>
      <w:pPr>
        <w:tabs>
          <w:tab w:val="num" w:pos="2880"/>
        </w:tabs>
        <w:ind w:left="2880" w:hanging="360"/>
      </w:pPr>
      <w:rPr>
        <w:rFonts w:ascii="Arial" w:hAnsi="Arial" w:hint="default"/>
      </w:rPr>
    </w:lvl>
    <w:lvl w:ilvl="4" w:tplc="E368B1A0" w:tentative="1">
      <w:start w:val="1"/>
      <w:numFmt w:val="bullet"/>
      <w:lvlText w:val="•"/>
      <w:lvlJc w:val="left"/>
      <w:pPr>
        <w:tabs>
          <w:tab w:val="num" w:pos="3600"/>
        </w:tabs>
        <w:ind w:left="3600" w:hanging="360"/>
      </w:pPr>
      <w:rPr>
        <w:rFonts w:ascii="Arial" w:hAnsi="Arial" w:hint="default"/>
      </w:rPr>
    </w:lvl>
    <w:lvl w:ilvl="5" w:tplc="E48ED28C" w:tentative="1">
      <w:start w:val="1"/>
      <w:numFmt w:val="bullet"/>
      <w:lvlText w:val="•"/>
      <w:lvlJc w:val="left"/>
      <w:pPr>
        <w:tabs>
          <w:tab w:val="num" w:pos="4320"/>
        </w:tabs>
        <w:ind w:left="4320" w:hanging="360"/>
      </w:pPr>
      <w:rPr>
        <w:rFonts w:ascii="Arial" w:hAnsi="Arial" w:hint="default"/>
      </w:rPr>
    </w:lvl>
    <w:lvl w:ilvl="6" w:tplc="D7043F02" w:tentative="1">
      <w:start w:val="1"/>
      <w:numFmt w:val="bullet"/>
      <w:lvlText w:val="•"/>
      <w:lvlJc w:val="left"/>
      <w:pPr>
        <w:tabs>
          <w:tab w:val="num" w:pos="5040"/>
        </w:tabs>
        <w:ind w:left="5040" w:hanging="360"/>
      </w:pPr>
      <w:rPr>
        <w:rFonts w:ascii="Arial" w:hAnsi="Arial" w:hint="default"/>
      </w:rPr>
    </w:lvl>
    <w:lvl w:ilvl="7" w:tplc="7DA0CE70" w:tentative="1">
      <w:start w:val="1"/>
      <w:numFmt w:val="bullet"/>
      <w:lvlText w:val="•"/>
      <w:lvlJc w:val="left"/>
      <w:pPr>
        <w:tabs>
          <w:tab w:val="num" w:pos="5760"/>
        </w:tabs>
        <w:ind w:left="5760" w:hanging="360"/>
      </w:pPr>
      <w:rPr>
        <w:rFonts w:ascii="Arial" w:hAnsi="Arial" w:hint="default"/>
      </w:rPr>
    </w:lvl>
    <w:lvl w:ilvl="8" w:tplc="4A7A7A3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5"/>
  </w:num>
  <w:num w:numId="3">
    <w:abstractNumId w:val="15"/>
  </w:num>
  <w:num w:numId="4">
    <w:abstractNumId w:val="8"/>
  </w:num>
  <w:num w:numId="5">
    <w:abstractNumId w:val="11"/>
  </w:num>
  <w:num w:numId="6">
    <w:abstractNumId w:val="0"/>
  </w:num>
  <w:num w:numId="7">
    <w:abstractNumId w:val="9"/>
  </w:num>
  <w:num w:numId="8">
    <w:abstractNumId w:val="18"/>
  </w:num>
  <w:num w:numId="9">
    <w:abstractNumId w:val="27"/>
  </w:num>
  <w:num w:numId="10">
    <w:abstractNumId w:val="19"/>
  </w:num>
  <w:num w:numId="11">
    <w:abstractNumId w:val="24"/>
  </w:num>
  <w:num w:numId="12">
    <w:abstractNumId w:val="16"/>
  </w:num>
  <w:num w:numId="13">
    <w:abstractNumId w:val="14"/>
  </w:num>
  <w:num w:numId="14">
    <w:abstractNumId w:val="17"/>
  </w:num>
  <w:num w:numId="15">
    <w:abstractNumId w:val="20"/>
  </w:num>
  <w:num w:numId="16">
    <w:abstractNumId w:val="10"/>
  </w:num>
  <w:num w:numId="17">
    <w:abstractNumId w:val="12"/>
  </w:num>
  <w:num w:numId="18">
    <w:abstractNumId w:val="2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6"/>
  </w:num>
  <w:num w:numId="22">
    <w:abstractNumId w:val="4"/>
  </w:num>
  <w:num w:numId="23">
    <w:abstractNumId w:val="26"/>
  </w:num>
  <w:num w:numId="24">
    <w:abstractNumId w:val="23"/>
  </w:num>
  <w:num w:numId="25">
    <w:abstractNumId w:val="2"/>
  </w:num>
  <w:num w:numId="26">
    <w:abstractNumId w:val="3"/>
  </w:num>
  <w:num w:numId="27">
    <w:abstractNumId w:val="13"/>
  </w:num>
  <w:num w:numId="28">
    <w:abstractNumId w:val="1"/>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A8"/>
    <w:rsid w:val="000002AF"/>
    <w:rsid w:val="00003F09"/>
    <w:rsid w:val="00006196"/>
    <w:rsid w:val="000164A9"/>
    <w:rsid w:val="00016896"/>
    <w:rsid w:val="00016C49"/>
    <w:rsid w:val="00020AF3"/>
    <w:rsid w:val="00025992"/>
    <w:rsid w:val="000275CD"/>
    <w:rsid w:val="00030F23"/>
    <w:rsid w:val="00031D1A"/>
    <w:rsid w:val="00033CFF"/>
    <w:rsid w:val="00040B66"/>
    <w:rsid w:val="00046CAD"/>
    <w:rsid w:val="00047D9E"/>
    <w:rsid w:val="00053862"/>
    <w:rsid w:val="00055FFC"/>
    <w:rsid w:val="000566CA"/>
    <w:rsid w:val="00061B16"/>
    <w:rsid w:val="0006254A"/>
    <w:rsid w:val="00073821"/>
    <w:rsid w:val="00074FFE"/>
    <w:rsid w:val="00075098"/>
    <w:rsid w:val="00075AE4"/>
    <w:rsid w:val="00077746"/>
    <w:rsid w:val="00080C44"/>
    <w:rsid w:val="00085630"/>
    <w:rsid w:val="0008655F"/>
    <w:rsid w:val="00090081"/>
    <w:rsid w:val="000A23D5"/>
    <w:rsid w:val="000A2E08"/>
    <w:rsid w:val="000A5120"/>
    <w:rsid w:val="000A54B7"/>
    <w:rsid w:val="000A71E0"/>
    <w:rsid w:val="000A75CB"/>
    <w:rsid w:val="000B165C"/>
    <w:rsid w:val="000B4E91"/>
    <w:rsid w:val="000B6535"/>
    <w:rsid w:val="000C0C13"/>
    <w:rsid w:val="000C5011"/>
    <w:rsid w:val="000C703A"/>
    <w:rsid w:val="000D0A72"/>
    <w:rsid w:val="000D1B8B"/>
    <w:rsid w:val="000D269C"/>
    <w:rsid w:val="000D2FC4"/>
    <w:rsid w:val="000D644E"/>
    <w:rsid w:val="000D6AB3"/>
    <w:rsid w:val="000F0317"/>
    <w:rsid w:val="000F1AF2"/>
    <w:rsid w:val="000F2C0B"/>
    <w:rsid w:val="000F454A"/>
    <w:rsid w:val="000F485B"/>
    <w:rsid w:val="000F5E40"/>
    <w:rsid w:val="000F7E7D"/>
    <w:rsid w:val="00105745"/>
    <w:rsid w:val="00107021"/>
    <w:rsid w:val="00110B49"/>
    <w:rsid w:val="0011241E"/>
    <w:rsid w:val="001135CC"/>
    <w:rsid w:val="00117683"/>
    <w:rsid w:val="00124671"/>
    <w:rsid w:val="00127064"/>
    <w:rsid w:val="00135EF0"/>
    <w:rsid w:val="001371E1"/>
    <w:rsid w:val="0014052E"/>
    <w:rsid w:val="00142B4D"/>
    <w:rsid w:val="00144294"/>
    <w:rsid w:val="00144CF3"/>
    <w:rsid w:val="00145C59"/>
    <w:rsid w:val="001466D0"/>
    <w:rsid w:val="00147FB3"/>
    <w:rsid w:val="00150487"/>
    <w:rsid w:val="00152642"/>
    <w:rsid w:val="0015603D"/>
    <w:rsid w:val="00156CF5"/>
    <w:rsid w:val="001601E0"/>
    <w:rsid w:val="00162B50"/>
    <w:rsid w:val="00166D4A"/>
    <w:rsid w:val="00167076"/>
    <w:rsid w:val="0017090C"/>
    <w:rsid w:val="00170BB2"/>
    <w:rsid w:val="00172D8C"/>
    <w:rsid w:val="00172FC7"/>
    <w:rsid w:val="00176D8C"/>
    <w:rsid w:val="001844B3"/>
    <w:rsid w:val="001869F0"/>
    <w:rsid w:val="001876C6"/>
    <w:rsid w:val="00190519"/>
    <w:rsid w:val="001A6665"/>
    <w:rsid w:val="001B0786"/>
    <w:rsid w:val="001B2C80"/>
    <w:rsid w:val="001B338A"/>
    <w:rsid w:val="001C049E"/>
    <w:rsid w:val="001C10F8"/>
    <w:rsid w:val="001C4781"/>
    <w:rsid w:val="001C5DA3"/>
    <w:rsid w:val="001C6C61"/>
    <w:rsid w:val="001C6CDB"/>
    <w:rsid w:val="001C71C3"/>
    <w:rsid w:val="001C7F1E"/>
    <w:rsid w:val="001D3B7D"/>
    <w:rsid w:val="001E1AAD"/>
    <w:rsid w:val="001E3E65"/>
    <w:rsid w:val="001E47D2"/>
    <w:rsid w:val="001E5961"/>
    <w:rsid w:val="001E6C47"/>
    <w:rsid w:val="001F1F28"/>
    <w:rsid w:val="001F21A0"/>
    <w:rsid w:val="001F234D"/>
    <w:rsid w:val="001F5018"/>
    <w:rsid w:val="001F7020"/>
    <w:rsid w:val="001F70A1"/>
    <w:rsid w:val="001F7D10"/>
    <w:rsid w:val="002020F3"/>
    <w:rsid w:val="0020386A"/>
    <w:rsid w:val="0020449A"/>
    <w:rsid w:val="002055E2"/>
    <w:rsid w:val="0021605F"/>
    <w:rsid w:val="002162BA"/>
    <w:rsid w:val="0021748E"/>
    <w:rsid w:val="002211E7"/>
    <w:rsid w:val="00222DC2"/>
    <w:rsid w:val="002233D5"/>
    <w:rsid w:val="00225D92"/>
    <w:rsid w:val="002260B1"/>
    <w:rsid w:val="00231B6B"/>
    <w:rsid w:val="00237282"/>
    <w:rsid w:val="002374F4"/>
    <w:rsid w:val="00237631"/>
    <w:rsid w:val="0024590B"/>
    <w:rsid w:val="00245B1E"/>
    <w:rsid w:val="00245B82"/>
    <w:rsid w:val="00246041"/>
    <w:rsid w:val="002537E8"/>
    <w:rsid w:val="002566FD"/>
    <w:rsid w:val="00260737"/>
    <w:rsid w:val="0026556A"/>
    <w:rsid w:val="002677F4"/>
    <w:rsid w:val="0027128B"/>
    <w:rsid w:val="00273E7C"/>
    <w:rsid w:val="00275822"/>
    <w:rsid w:val="002765C6"/>
    <w:rsid w:val="00276EA1"/>
    <w:rsid w:val="00280305"/>
    <w:rsid w:val="00283822"/>
    <w:rsid w:val="002919A5"/>
    <w:rsid w:val="00291A24"/>
    <w:rsid w:val="002928E1"/>
    <w:rsid w:val="002932E6"/>
    <w:rsid w:val="002944CD"/>
    <w:rsid w:val="00296265"/>
    <w:rsid w:val="002964B2"/>
    <w:rsid w:val="00296570"/>
    <w:rsid w:val="002A0BA9"/>
    <w:rsid w:val="002A1B1D"/>
    <w:rsid w:val="002A264E"/>
    <w:rsid w:val="002A2FB8"/>
    <w:rsid w:val="002A6281"/>
    <w:rsid w:val="002A6441"/>
    <w:rsid w:val="002B2D9A"/>
    <w:rsid w:val="002B3322"/>
    <w:rsid w:val="002B3EA6"/>
    <w:rsid w:val="002B4ABD"/>
    <w:rsid w:val="002C03A2"/>
    <w:rsid w:val="002C0B79"/>
    <w:rsid w:val="002C1894"/>
    <w:rsid w:val="002C4347"/>
    <w:rsid w:val="002D2D42"/>
    <w:rsid w:val="002D3C0D"/>
    <w:rsid w:val="002D5987"/>
    <w:rsid w:val="002D5F95"/>
    <w:rsid w:val="002D7E29"/>
    <w:rsid w:val="002E0E46"/>
    <w:rsid w:val="002E4413"/>
    <w:rsid w:val="002E5D9E"/>
    <w:rsid w:val="002F2E14"/>
    <w:rsid w:val="002F4721"/>
    <w:rsid w:val="002F503B"/>
    <w:rsid w:val="002F5590"/>
    <w:rsid w:val="002F679A"/>
    <w:rsid w:val="003041F5"/>
    <w:rsid w:val="00306867"/>
    <w:rsid w:val="00307051"/>
    <w:rsid w:val="00307929"/>
    <w:rsid w:val="00307BC9"/>
    <w:rsid w:val="00310C86"/>
    <w:rsid w:val="003148E7"/>
    <w:rsid w:val="00315128"/>
    <w:rsid w:val="00315294"/>
    <w:rsid w:val="00326AC0"/>
    <w:rsid w:val="00330DB3"/>
    <w:rsid w:val="00331078"/>
    <w:rsid w:val="00331A97"/>
    <w:rsid w:val="003345AD"/>
    <w:rsid w:val="00336F10"/>
    <w:rsid w:val="00337CDD"/>
    <w:rsid w:val="003417AA"/>
    <w:rsid w:val="003427F0"/>
    <w:rsid w:val="00350197"/>
    <w:rsid w:val="00350789"/>
    <w:rsid w:val="0035442B"/>
    <w:rsid w:val="003568D4"/>
    <w:rsid w:val="00357E34"/>
    <w:rsid w:val="00360450"/>
    <w:rsid w:val="00364E4B"/>
    <w:rsid w:val="00365688"/>
    <w:rsid w:val="00365812"/>
    <w:rsid w:val="00370388"/>
    <w:rsid w:val="003719B5"/>
    <w:rsid w:val="00371F37"/>
    <w:rsid w:val="00373BB9"/>
    <w:rsid w:val="00374C46"/>
    <w:rsid w:val="0037551C"/>
    <w:rsid w:val="0037621A"/>
    <w:rsid w:val="003763E0"/>
    <w:rsid w:val="00376FD4"/>
    <w:rsid w:val="0037719E"/>
    <w:rsid w:val="003775B4"/>
    <w:rsid w:val="00381F51"/>
    <w:rsid w:val="003823EE"/>
    <w:rsid w:val="00384B77"/>
    <w:rsid w:val="00384E19"/>
    <w:rsid w:val="0038588E"/>
    <w:rsid w:val="00390F7E"/>
    <w:rsid w:val="00393E19"/>
    <w:rsid w:val="003966E4"/>
    <w:rsid w:val="003A0535"/>
    <w:rsid w:val="003A158C"/>
    <w:rsid w:val="003A1699"/>
    <w:rsid w:val="003A7AD1"/>
    <w:rsid w:val="003B04D1"/>
    <w:rsid w:val="003C1458"/>
    <w:rsid w:val="003C2890"/>
    <w:rsid w:val="003C3816"/>
    <w:rsid w:val="003C3DCE"/>
    <w:rsid w:val="003C5B97"/>
    <w:rsid w:val="003D1C5F"/>
    <w:rsid w:val="003D4FB0"/>
    <w:rsid w:val="003E334C"/>
    <w:rsid w:val="003E4B26"/>
    <w:rsid w:val="003E4C1E"/>
    <w:rsid w:val="003E5909"/>
    <w:rsid w:val="003E773B"/>
    <w:rsid w:val="003F0366"/>
    <w:rsid w:val="003F1600"/>
    <w:rsid w:val="003F1820"/>
    <w:rsid w:val="003F5448"/>
    <w:rsid w:val="003F6994"/>
    <w:rsid w:val="00403787"/>
    <w:rsid w:val="0040513F"/>
    <w:rsid w:val="00412AAE"/>
    <w:rsid w:val="0041302A"/>
    <w:rsid w:val="00413896"/>
    <w:rsid w:val="004162F8"/>
    <w:rsid w:val="004164D2"/>
    <w:rsid w:val="0041714F"/>
    <w:rsid w:val="0041795A"/>
    <w:rsid w:val="00423F02"/>
    <w:rsid w:val="004274D6"/>
    <w:rsid w:val="00432A8B"/>
    <w:rsid w:val="00436596"/>
    <w:rsid w:val="00436E57"/>
    <w:rsid w:val="00437E33"/>
    <w:rsid w:val="00441A49"/>
    <w:rsid w:val="00447AFD"/>
    <w:rsid w:val="00450E8E"/>
    <w:rsid w:val="004513C3"/>
    <w:rsid w:val="004540BD"/>
    <w:rsid w:val="00460569"/>
    <w:rsid w:val="00460A11"/>
    <w:rsid w:val="00460B2C"/>
    <w:rsid w:val="00460B31"/>
    <w:rsid w:val="00460E59"/>
    <w:rsid w:val="00461415"/>
    <w:rsid w:val="0046181A"/>
    <w:rsid w:val="0046307D"/>
    <w:rsid w:val="00465367"/>
    <w:rsid w:val="004654D4"/>
    <w:rsid w:val="0046606F"/>
    <w:rsid w:val="00466612"/>
    <w:rsid w:val="00466935"/>
    <w:rsid w:val="00467B8D"/>
    <w:rsid w:val="00470C70"/>
    <w:rsid w:val="00470ED3"/>
    <w:rsid w:val="004718B3"/>
    <w:rsid w:val="004719F2"/>
    <w:rsid w:val="00474158"/>
    <w:rsid w:val="004746DC"/>
    <w:rsid w:val="00475CFF"/>
    <w:rsid w:val="0047608C"/>
    <w:rsid w:val="00476409"/>
    <w:rsid w:val="00480308"/>
    <w:rsid w:val="004815C7"/>
    <w:rsid w:val="00482AB6"/>
    <w:rsid w:val="00483C42"/>
    <w:rsid w:val="00490707"/>
    <w:rsid w:val="004A0BFF"/>
    <w:rsid w:val="004A1367"/>
    <w:rsid w:val="004A2995"/>
    <w:rsid w:val="004A2C97"/>
    <w:rsid w:val="004A5721"/>
    <w:rsid w:val="004A6AB2"/>
    <w:rsid w:val="004A6F82"/>
    <w:rsid w:val="004A74BC"/>
    <w:rsid w:val="004B6727"/>
    <w:rsid w:val="004B7A96"/>
    <w:rsid w:val="004C04C9"/>
    <w:rsid w:val="004C1887"/>
    <w:rsid w:val="004C1DDE"/>
    <w:rsid w:val="004C2939"/>
    <w:rsid w:val="004C4050"/>
    <w:rsid w:val="004C4DE1"/>
    <w:rsid w:val="004C713A"/>
    <w:rsid w:val="004C736E"/>
    <w:rsid w:val="004C7716"/>
    <w:rsid w:val="004C7C54"/>
    <w:rsid w:val="004D29A2"/>
    <w:rsid w:val="004D2AA4"/>
    <w:rsid w:val="004D3978"/>
    <w:rsid w:val="004E13CD"/>
    <w:rsid w:val="004E266F"/>
    <w:rsid w:val="004E26BB"/>
    <w:rsid w:val="004E4A29"/>
    <w:rsid w:val="004E5EC7"/>
    <w:rsid w:val="004E64E4"/>
    <w:rsid w:val="004F40A2"/>
    <w:rsid w:val="004F44E9"/>
    <w:rsid w:val="004F64F9"/>
    <w:rsid w:val="004F6F08"/>
    <w:rsid w:val="004F714B"/>
    <w:rsid w:val="004F7F0D"/>
    <w:rsid w:val="005034C8"/>
    <w:rsid w:val="0050358C"/>
    <w:rsid w:val="00504AA4"/>
    <w:rsid w:val="005051BC"/>
    <w:rsid w:val="0050721E"/>
    <w:rsid w:val="00507DF4"/>
    <w:rsid w:val="005107AE"/>
    <w:rsid w:val="00510888"/>
    <w:rsid w:val="005120AB"/>
    <w:rsid w:val="005203A3"/>
    <w:rsid w:val="005213F9"/>
    <w:rsid w:val="005230BA"/>
    <w:rsid w:val="00524E51"/>
    <w:rsid w:val="00530603"/>
    <w:rsid w:val="00530F0D"/>
    <w:rsid w:val="00532413"/>
    <w:rsid w:val="0053270E"/>
    <w:rsid w:val="00532F37"/>
    <w:rsid w:val="00534625"/>
    <w:rsid w:val="00535A1A"/>
    <w:rsid w:val="0053665B"/>
    <w:rsid w:val="0053668B"/>
    <w:rsid w:val="005401FA"/>
    <w:rsid w:val="00541ED8"/>
    <w:rsid w:val="00544C16"/>
    <w:rsid w:val="00547A43"/>
    <w:rsid w:val="00551B53"/>
    <w:rsid w:val="00552CB7"/>
    <w:rsid w:val="00555524"/>
    <w:rsid w:val="005573C9"/>
    <w:rsid w:val="00570524"/>
    <w:rsid w:val="0057498E"/>
    <w:rsid w:val="00575D80"/>
    <w:rsid w:val="00576CDD"/>
    <w:rsid w:val="00580647"/>
    <w:rsid w:val="00581CC9"/>
    <w:rsid w:val="005828CE"/>
    <w:rsid w:val="00593095"/>
    <w:rsid w:val="00596B15"/>
    <w:rsid w:val="005A4017"/>
    <w:rsid w:val="005A41B3"/>
    <w:rsid w:val="005A465F"/>
    <w:rsid w:val="005A731D"/>
    <w:rsid w:val="005B206D"/>
    <w:rsid w:val="005B4EE0"/>
    <w:rsid w:val="005B708D"/>
    <w:rsid w:val="005C0C71"/>
    <w:rsid w:val="005C63D8"/>
    <w:rsid w:val="005D1C8C"/>
    <w:rsid w:val="005D2E61"/>
    <w:rsid w:val="005D4DF9"/>
    <w:rsid w:val="005E7C58"/>
    <w:rsid w:val="005F21CB"/>
    <w:rsid w:val="005F73F9"/>
    <w:rsid w:val="005F7675"/>
    <w:rsid w:val="00600ECD"/>
    <w:rsid w:val="006021B0"/>
    <w:rsid w:val="00603A6A"/>
    <w:rsid w:val="00605E7E"/>
    <w:rsid w:val="00606607"/>
    <w:rsid w:val="00606722"/>
    <w:rsid w:val="00606E45"/>
    <w:rsid w:val="00614777"/>
    <w:rsid w:val="0061706D"/>
    <w:rsid w:val="0062083E"/>
    <w:rsid w:val="00621245"/>
    <w:rsid w:val="00621C38"/>
    <w:rsid w:val="00623DFF"/>
    <w:rsid w:val="006249A4"/>
    <w:rsid w:val="00625997"/>
    <w:rsid w:val="006259F7"/>
    <w:rsid w:val="00625E28"/>
    <w:rsid w:val="0062627A"/>
    <w:rsid w:val="006328E6"/>
    <w:rsid w:val="00637FC6"/>
    <w:rsid w:val="006418B0"/>
    <w:rsid w:val="00647A7E"/>
    <w:rsid w:val="006573D2"/>
    <w:rsid w:val="00660DFC"/>
    <w:rsid w:val="00660F7A"/>
    <w:rsid w:val="006640BB"/>
    <w:rsid w:val="00664609"/>
    <w:rsid w:val="00670809"/>
    <w:rsid w:val="006727F8"/>
    <w:rsid w:val="006753F3"/>
    <w:rsid w:val="006773B5"/>
    <w:rsid w:val="006779FF"/>
    <w:rsid w:val="00681768"/>
    <w:rsid w:val="00687774"/>
    <w:rsid w:val="00690F02"/>
    <w:rsid w:val="00691FE5"/>
    <w:rsid w:val="00693F42"/>
    <w:rsid w:val="0069593E"/>
    <w:rsid w:val="0069677D"/>
    <w:rsid w:val="006A3BE7"/>
    <w:rsid w:val="006A3CC0"/>
    <w:rsid w:val="006A5061"/>
    <w:rsid w:val="006A5B7F"/>
    <w:rsid w:val="006B35A2"/>
    <w:rsid w:val="006C1E6E"/>
    <w:rsid w:val="006C513D"/>
    <w:rsid w:val="006C58AA"/>
    <w:rsid w:val="006C7097"/>
    <w:rsid w:val="006D117A"/>
    <w:rsid w:val="006D11B6"/>
    <w:rsid w:val="006D4789"/>
    <w:rsid w:val="006D4BBF"/>
    <w:rsid w:val="006D6036"/>
    <w:rsid w:val="006D73DE"/>
    <w:rsid w:val="006E16FD"/>
    <w:rsid w:val="006E17D0"/>
    <w:rsid w:val="006E28D6"/>
    <w:rsid w:val="006E5490"/>
    <w:rsid w:val="006E54AA"/>
    <w:rsid w:val="006F0BA0"/>
    <w:rsid w:val="006F328B"/>
    <w:rsid w:val="006F69D4"/>
    <w:rsid w:val="006F6EFA"/>
    <w:rsid w:val="00703FD4"/>
    <w:rsid w:val="007061C0"/>
    <w:rsid w:val="007100C2"/>
    <w:rsid w:val="00713092"/>
    <w:rsid w:val="007130FC"/>
    <w:rsid w:val="00713455"/>
    <w:rsid w:val="00714372"/>
    <w:rsid w:val="00721D5B"/>
    <w:rsid w:val="00724EC5"/>
    <w:rsid w:val="00725EF4"/>
    <w:rsid w:val="00725FD9"/>
    <w:rsid w:val="00726CEA"/>
    <w:rsid w:val="00734C40"/>
    <w:rsid w:val="0073775E"/>
    <w:rsid w:val="0074581B"/>
    <w:rsid w:val="00751967"/>
    <w:rsid w:val="007528E9"/>
    <w:rsid w:val="0075714D"/>
    <w:rsid w:val="0075764C"/>
    <w:rsid w:val="00757AFC"/>
    <w:rsid w:val="00761DEA"/>
    <w:rsid w:val="007650E3"/>
    <w:rsid w:val="00765E06"/>
    <w:rsid w:val="007669B0"/>
    <w:rsid w:val="00766BB1"/>
    <w:rsid w:val="00770C9F"/>
    <w:rsid w:val="007771A4"/>
    <w:rsid w:val="007826D6"/>
    <w:rsid w:val="0078400E"/>
    <w:rsid w:val="00785004"/>
    <w:rsid w:val="00787544"/>
    <w:rsid w:val="00790EF2"/>
    <w:rsid w:val="00792F00"/>
    <w:rsid w:val="007958ED"/>
    <w:rsid w:val="00795B99"/>
    <w:rsid w:val="00796150"/>
    <w:rsid w:val="007A05C9"/>
    <w:rsid w:val="007A5ED0"/>
    <w:rsid w:val="007A7A72"/>
    <w:rsid w:val="007B33B3"/>
    <w:rsid w:val="007B46EC"/>
    <w:rsid w:val="007C5D4C"/>
    <w:rsid w:val="007C68F0"/>
    <w:rsid w:val="007D097E"/>
    <w:rsid w:val="007D112D"/>
    <w:rsid w:val="007D37A2"/>
    <w:rsid w:val="007D405D"/>
    <w:rsid w:val="007D4B9D"/>
    <w:rsid w:val="007D4C8D"/>
    <w:rsid w:val="007D64F1"/>
    <w:rsid w:val="007E01B7"/>
    <w:rsid w:val="007E2F29"/>
    <w:rsid w:val="007E50E6"/>
    <w:rsid w:val="007E56D0"/>
    <w:rsid w:val="007F0746"/>
    <w:rsid w:val="007F7536"/>
    <w:rsid w:val="00802820"/>
    <w:rsid w:val="008033F0"/>
    <w:rsid w:val="00803554"/>
    <w:rsid w:val="00805826"/>
    <w:rsid w:val="00805AA3"/>
    <w:rsid w:val="008106B0"/>
    <w:rsid w:val="00810C8F"/>
    <w:rsid w:val="00811D42"/>
    <w:rsid w:val="00812490"/>
    <w:rsid w:val="00812685"/>
    <w:rsid w:val="00815F1D"/>
    <w:rsid w:val="00820FDD"/>
    <w:rsid w:val="008224A9"/>
    <w:rsid w:val="00822BAD"/>
    <w:rsid w:val="00833013"/>
    <w:rsid w:val="0083316B"/>
    <w:rsid w:val="00835F90"/>
    <w:rsid w:val="00840CA3"/>
    <w:rsid w:val="0084744D"/>
    <w:rsid w:val="00854AA8"/>
    <w:rsid w:val="00861F7D"/>
    <w:rsid w:val="00862A80"/>
    <w:rsid w:val="0086362C"/>
    <w:rsid w:val="00867BFE"/>
    <w:rsid w:val="008704CC"/>
    <w:rsid w:val="00874740"/>
    <w:rsid w:val="008811D2"/>
    <w:rsid w:val="00881E4E"/>
    <w:rsid w:val="00890F37"/>
    <w:rsid w:val="008A0BCA"/>
    <w:rsid w:val="008A0C0E"/>
    <w:rsid w:val="008A2C9B"/>
    <w:rsid w:val="008A583C"/>
    <w:rsid w:val="008A6419"/>
    <w:rsid w:val="008B0593"/>
    <w:rsid w:val="008B26F5"/>
    <w:rsid w:val="008B462C"/>
    <w:rsid w:val="008B4C8E"/>
    <w:rsid w:val="008B5765"/>
    <w:rsid w:val="008B6198"/>
    <w:rsid w:val="008D68AF"/>
    <w:rsid w:val="008D6D28"/>
    <w:rsid w:val="008E6C8F"/>
    <w:rsid w:val="008F1AC9"/>
    <w:rsid w:val="008F1B38"/>
    <w:rsid w:val="008F729A"/>
    <w:rsid w:val="008F7922"/>
    <w:rsid w:val="00902BD9"/>
    <w:rsid w:val="00906B99"/>
    <w:rsid w:val="009104E3"/>
    <w:rsid w:val="009108F3"/>
    <w:rsid w:val="00911878"/>
    <w:rsid w:val="009127BB"/>
    <w:rsid w:val="00912DBC"/>
    <w:rsid w:val="00912F3B"/>
    <w:rsid w:val="00915AFB"/>
    <w:rsid w:val="0092209E"/>
    <w:rsid w:val="00923D39"/>
    <w:rsid w:val="00924B23"/>
    <w:rsid w:val="009258EB"/>
    <w:rsid w:val="009266E1"/>
    <w:rsid w:val="00927D5D"/>
    <w:rsid w:val="00934A4F"/>
    <w:rsid w:val="00941E5B"/>
    <w:rsid w:val="00943953"/>
    <w:rsid w:val="00944DD0"/>
    <w:rsid w:val="00946233"/>
    <w:rsid w:val="00947C99"/>
    <w:rsid w:val="00950ABB"/>
    <w:rsid w:val="00952CB9"/>
    <w:rsid w:val="0095410A"/>
    <w:rsid w:val="00956506"/>
    <w:rsid w:val="00957AD4"/>
    <w:rsid w:val="00960EBE"/>
    <w:rsid w:val="00964DD9"/>
    <w:rsid w:val="00964EC5"/>
    <w:rsid w:val="00965000"/>
    <w:rsid w:val="00970206"/>
    <w:rsid w:val="00970A72"/>
    <w:rsid w:val="00972538"/>
    <w:rsid w:val="009733B2"/>
    <w:rsid w:val="00974FC0"/>
    <w:rsid w:val="00976278"/>
    <w:rsid w:val="0097646C"/>
    <w:rsid w:val="00977634"/>
    <w:rsid w:val="00982152"/>
    <w:rsid w:val="00983471"/>
    <w:rsid w:val="0098759D"/>
    <w:rsid w:val="00987B07"/>
    <w:rsid w:val="009916FE"/>
    <w:rsid w:val="00991939"/>
    <w:rsid w:val="00993040"/>
    <w:rsid w:val="009A74D7"/>
    <w:rsid w:val="009B13E3"/>
    <w:rsid w:val="009B257E"/>
    <w:rsid w:val="009B31A1"/>
    <w:rsid w:val="009B4D9B"/>
    <w:rsid w:val="009B4F10"/>
    <w:rsid w:val="009C0549"/>
    <w:rsid w:val="009C2E10"/>
    <w:rsid w:val="009C70B9"/>
    <w:rsid w:val="009D2C42"/>
    <w:rsid w:val="009D2FFB"/>
    <w:rsid w:val="009D30F1"/>
    <w:rsid w:val="009D379F"/>
    <w:rsid w:val="009D5EDC"/>
    <w:rsid w:val="009D5F38"/>
    <w:rsid w:val="009D679D"/>
    <w:rsid w:val="009E4EB6"/>
    <w:rsid w:val="009F04FF"/>
    <w:rsid w:val="009F0793"/>
    <w:rsid w:val="009F0835"/>
    <w:rsid w:val="009F438B"/>
    <w:rsid w:val="009F54B7"/>
    <w:rsid w:val="00A002BE"/>
    <w:rsid w:val="00A0096A"/>
    <w:rsid w:val="00A01C90"/>
    <w:rsid w:val="00A02942"/>
    <w:rsid w:val="00A04218"/>
    <w:rsid w:val="00A06939"/>
    <w:rsid w:val="00A07D4A"/>
    <w:rsid w:val="00A11567"/>
    <w:rsid w:val="00A136FB"/>
    <w:rsid w:val="00A13EBD"/>
    <w:rsid w:val="00A1595C"/>
    <w:rsid w:val="00A16AF1"/>
    <w:rsid w:val="00A16B1B"/>
    <w:rsid w:val="00A23F67"/>
    <w:rsid w:val="00A24FB2"/>
    <w:rsid w:val="00A25284"/>
    <w:rsid w:val="00A31DC0"/>
    <w:rsid w:val="00A34DEA"/>
    <w:rsid w:val="00A3531C"/>
    <w:rsid w:val="00A35B53"/>
    <w:rsid w:val="00A45CCE"/>
    <w:rsid w:val="00A46D41"/>
    <w:rsid w:val="00A50011"/>
    <w:rsid w:val="00A50E27"/>
    <w:rsid w:val="00A517A9"/>
    <w:rsid w:val="00A529BC"/>
    <w:rsid w:val="00A562A5"/>
    <w:rsid w:val="00A64199"/>
    <w:rsid w:val="00A64416"/>
    <w:rsid w:val="00A65315"/>
    <w:rsid w:val="00A66704"/>
    <w:rsid w:val="00A668FC"/>
    <w:rsid w:val="00A7014B"/>
    <w:rsid w:val="00A756DD"/>
    <w:rsid w:val="00A76FAA"/>
    <w:rsid w:val="00A82AA1"/>
    <w:rsid w:val="00A8610F"/>
    <w:rsid w:val="00A903E7"/>
    <w:rsid w:val="00A907E7"/>
    <w:rsid w:val="00A90B93"/>
    <w:rsid w:val="00A931F6"/>
    <w:rsid w:val="00A973A3"/>
    <w:rsid w:val="00A97540"/>
    <w:rsid w:val="00AA041E"/>
    <w:rsid w:val="00AA2CD1"/>
    <w:rsid w:val="00AA6BDF"/>
    <w:rsid w:val="00AA7033"/>
    <w:rsid w:val="00AB1B5E"/>
    <w:rsid w:val="00AB1F00"/>
    <w:rsid w:val="00AB35D4"/>
    <w:rsid w:val="00AB5327"/>
    <w:rsid w:val="00AB72D8"/>
    <w:rsid w:val="00AB7D23"/>
    <w:rsid w:val="00AB7E66"/>
    <w:rsid w:val="00AC41BF"/>
    <w:rsid w:val="00AD0C86"/>
    <w:rsid w:val="00AD3218"/>
    <w:rsid w:val="00AD4727"/>
    <w:rsid w:val="00AE40E5"/>
    <w:rsid w:val="00AE4D36"/>
    <w:rsid w:val="00AE56E7"/>
    <w:rsid w:val="00AF0552"/>
    <w:rsid w:val="00AF5B26"/>
    <w:rsid w:val="00AF5F37"/>
    <w:rsid w:val="00AF7F07"/>
    <w:rsid w:val="00B0282F"/>
    <w:rsid w:val="00B02FCD"/>
    <w:rsid w:val="00B06B81"/>
    <w:rsid w:val="00B12F83"/>
    <w:rsid w:val="00B14E01"/>
    <w:rsid w:val="00B16477"/>
    <w:rsid w:val="00B2095B"/>
    <w:rsid w:val="00B20A91"/>
    <w:rsid w:val="00B21111"/>
    <w:rsid w:val="00B2270B"/>
    <w:rsid w:val="00B23914"/>
    <w:rsid w:val="00B31B2F"/>
    <w:rsid w:val="00B334F1"/>
    <w:rsid w:val="00B3399D"/>
    <w:rsid w:val="00B426C8"/>
    <w:rsid w:val="00B53A91"/>
    <w:rsid w:val="00B53CC5"/>
    <w:rsid w:val="00B62B35"/>
    <w:rsid w:val="00B63F38"/>
    <w:rsid w:val="00B71272"/>
    <w:rsid w:val="00B71E88"/>
    <w:rsid w:val="00B723DE"/>
    <w:rsid w:val="00B77F32"/>
    <w:rsid w:val="00B80640"/>
    <w:rsid w:val="00B8179E"/>
    <w:rsid w:val="00B83343"/>
    <w:rsid w:val="00B92791"/>
    <w:rsid w:val="00B937C5"/>
    <w:rsid w:val="00B945BA"/>
    <w:rsid w:val="00B94C9A"/>
    <w:rsid w:val="00B969B6"/>
    <w:rsid w:val="00B9710F"/>
    <w:rsid w:val="00BA24BC"/>
    <w:rsid w:val="00BA3ACE"/>
    <w:rsid w:val="00BA4A00"/>
    <w:rsid w:val="00BA5C9E"/>
    <w:rsid w:val="00BA6666"/>
    <w:rsid w:val="00BA7021"/>
    <w:rsid w:val="00BB0490"/>
    <w:rsid w:val="00BB1624"/>
    <w:rsid w:val="00BB1DA1"/>
    <w:rsid w:val="00BB2BFD"/>
    <w:rsid w:val="00BB76D2"/>
    <w:rsid w:val="00BB791A"/>
    <w:rsid w:val="00BB7A2F"/>
    <w:rsid w:val="00BC1791"/>
    <w:rsid w:val="00BC3E79"/>
    <w:rsid w:val="00BC7E88"/>
    <w:rsid w:val="00BD6141"/>
    <w:rsid w:val="00BD75D5"/>
    <w:rsid w:val="00BD7B15"/>
    <w:rsid w:val="00BD7F57"/>
    <w:rsid w:val="00BE05A5"/>
    <w:rsid w:val="00BE708C"/>
    <w:rsid w:val="00BF051C"/>
    <w:rsid w:val="00BF77E2"/>
    <w:rsid w:val="00C01018"/>
    <w:rsid w:val="00C027E9"/>
    <w:rsid w:val="00C05304"/>
    <w:rsid w:val="00C0610D"/>
    <w:rsid w:val="00C061B8"/>
    <w:rsid w:val="00C0639D"/>
    <w:rsid w:val="00C06B5B"/>
    <w:rsid w:val="00C105E8"/>
    <w:rsid w:val="00C10E97"/>
    <w:rsid w:val="00C133A5"/>
    <w:rsid w:val="00C14248"/>
    <w:rsid w:val="00C14C63"/>
    <w:rsid w:val="00C20891"/>
    <w:rsid w:val="00C2177C"/>
    <w:rsid w:val="00C23591"/>
    <w:rsid w:val="00C32351"/>
    <w:rsid w:val="00C3393B"/>
    <w:rsid w:val="00C34FD8"/>
    <w:rsid w:val="00C37DCB"/>
    <w:rsid w:val="00C42C00"/>
    <w:rsid w:val="00C442D8"/>
    <w:rsid w:val="00C45219"/>
    <w:rsid w:val="00C4689B"/>
    <w:rsid w:val="00C4691B"/>
    <w:rsid w:val="00C47F33"/>
    <w:rsid w:val="00C52680"/>
    <w:rsid w:val="00C52DFC"/>
    <w:rsid w:val="00C55E10"/>
    <w:rsid w:val="00C56617"/>
    <w:rsid w:val="00C61796"/>
    <w:rsid w:val="00C65824"/>
    <w:rsid w:val="00C65D3C"/>
    <w:rsid w:val="00C66EAF"/>
    <w:rsid w:val="00C70C06"/>
    <w:rsid w:val="00C7183C"/>
    <w:rsid w:val="00C74286"/>
    <w:rsid w:val="00C80E4D"/>
    <w:rsid w:val="00C830E5"/>
    <w:rsid w:val="00C83CDC"/>
    <w:rsid w:val="00C84623"/>
    <w:rsid w:val="00C85074"/>
    <w:rsid w:val="00C8795D"/>
    <w:rsid w:val="00C90D7D"/>
    <w:rsid w:val="00C94977"/>
    <w:rsid w:val="00C97BC2"/>
    <w:rsid w:val="00CA6BF1"/>
    <w:rsid w:val="00CB1588"/>
    <w:rsid w:val="00CB166B"/>
    <w:rsid w:val="00CB1A2B"/>
    <w:rsid w:val="00CB5DE6"/>
    <w:rsid w:val="00CC1316"/>
    <w:rsid w:val="00CC38CA"/>
    <w:rsid w:val="00CC3D26"/>
    <w:rsid w:val="00CC3FC5"/>
    <w:rsid w:val="00CC5777"/>
    <w:rsid w:val="00CC7596"/>
    <w:rsid w:val="00CD07F5"/>
    <w:rsid w:val="00CD0EAD"/>
    <w:rsid w:val="00CD37C0"/>
    <w:rsid w:val="00CD3D31"/>
    <w:rsid w:val="00CD51F0"/>
    <w:rsid w:val="00CD633C"/>
    <w:rsid w:val="00CF0E45"/>
    <w:rsid w:val="00CF2A04"/>
    <w:rsid w:val="00CF3F45"/>
    <w:rsid w:val="00CF5B3C"/>
    <w:rsid w:val="00D07721"/>
    <w:rsid w:val="00D117E8"/>
    <w:rsid w:val="00D1208B"/>
    <w:rsid w:val="00D152FD"/>
    <w:rsid w:val="00D16669"/>
    <w:rsid w:val="00D20F0D"/>
    <w:rsid w:val="00D237FC"/>
    <w:rsid w:val="00D247AD"/>
    <w:rsid w:val="00D24A13"/>
    <w:rsid w:val="00D31D66"/>
    <w:rsid w:val="00D31DB9"/>
    <w:rsid w:val="00D36D30"/>
    <w:rsid w:val="00D4307E"/>
    <w:rsid w:val="00D438A3"/>
    <w:rsid w:val="00D47B33"/>
    <w:rsid w:val="00D501EC"/>
    <w:rsid w:val="00D532B7"/>
    <w:rsid w:val="00D5360B"/>
    <w:rsid w:val="00D53CC7"/>
    <w:rsid w:val="00D54F92"/>
    <w:rsid w:val="00D637EB"/>
    <w:rsid w:val="00D670BC"/>
    <w:rsid w:val="00D67FE0"/>
    <w:rsid w:val="00D72DAE"/>
    <w:rsid w:val="00D75E96"/>
    <w:rsid w:val="00D778F3"/>
    <w:rsid w:val="00D77DF0"/>
    <w:rsid w:val="00D80EF9"/>
    <w:rsid w:val="00D837E8"/>
    <w:rsid w:val="00D84104"/>
    <w:rsid w:val="00D845DA"/>
    <w:rsid w:val="00D859B3"/>
    <w:rsid w:val="00D926A1"/>
    <w:rsid w:val="00D96B70"/>
    <w:rsid w:val="00DA1AC9"/>
    <w:rsid w:val="00DA1BF7"/>
    <w:rsid w:val="00DA24E7"/>
    <w:rsid w:val="00DA2EF1"/>
    <w:rsid w:val="00DA3058"/>
    <w:rsid w:val="00DA536D"/>
    <w:rsid w:val="00DA7405"/>
    <w:rsid w:val="00DB2EE4"/>
    <w:rsid w:val="00DB47E7"/>
    <w:rsid w:val="00DB5CEA"/>
    <w:rsid w:val="00DB6BEC"/>
    <w:rsid w:val="00DB75A8"/>
    <w:rsid w:val="00DB768C"/>
    <w:rsid w:val="00DC0B55"/>
    <w:rsid w:val="00DC4801"/>
    <w:rsid w:val="00DC4E21"/>
    <w:rsid w:val="00DC6CF1"/>
    <w:rsid w:val="00DC7597"/>
    <w:rsid w:val="00DD095C"/>
    <w:rsid w:val="00DD0C23"/>
    <w:rsid w:val="00DD4C33"/>
    <w:rsid w:val="00DE0536"/>
    <w:rsid w:val="00DE16DC"/>
    <w:rsid w:val="00DE222F"/>
    <w:rsid w:val="00DE2FCF"/>
    <w:rsid w:val="00DE383B"/>
    <w:rsid w:val="00DF1F02"/>
    <w:rsid w:val="00E00270"/>
    <w:rsid w:val="00E025B1"/>
    <w:rsid w:val="00E0345F"/>
    <w:rsid w:val="00E04670"/>
    <w:rsid w:val="00E05920"/>
    <w:rsid w:val="00E07D96"/>
    <w:rsid w:val="00E1051B"/>
    <w:rsid w:val="00E10C63"/>
    <w:rsid w:val="00E152B2"/>
    <w:rsid w:val="00E16280"/>
    <w:rsid w:val="00E2027A"/>
    <w:rsid w:val="00E2164B"/>
    <w:rsid w:val="00E23895"/>
    <w:rsid w:val="00E27879"/>
    <w:rsid w:val="00E27899"/>
    <w:rsid w:val="00E30BAB"/>
    <w:rsid w:val="00E31B1B"/>
    <w:rsid w:val="00E31B7B"/>
    <w:rsid w:val="00E336DF"/>
    <w:rsid w:val="00E400F7"/>
    <w:rsid w:val="00E44DD9"/>
    <w:rsid w:val="00E44F47"/>
    <w:rsid w:val="00E517FB"/>
    <w:rsid w:val="00E555FB"/>
    <w:rsid w:val="00E55600"/>
    <w:rsid w:val="00E569EB"/>
    <w:rsid w:val="00E57DD3"/>
    <w:rsid w:val="00E6487B"/>
    <w:rsid w:val="00E65855"/>
    <w:rsid w:val="00E665A4"/>
    <w:rsid w:val="00E6700B"/>
    <w:rsid w:val="00E701F6"/>
    <w:rsid w:val="00E746A7"/>
    <w:rsid w:val="00E753D9"/>
    <w:rsid w:val="00E8009A"/>
    <w:rsid w:val="00E8301E"/>
    <w:rsid w:val="00E852BF"/>
    <w:rsid w:val="00E854EA"/>
    <w:rsid w:val="00E85DBA"/>
    <w:rsid w:val="00E91131"/>
    <w:rsid w:val="00E92FC9"/>
    <w:rsid w:val="00E96BEB"/>
    <w:rsid w:val="00EA04A7"/>
    <w:rsid w:val="00EA0C86"/>
    <w:rsid w:val="00EA19A5"/>
    <w:rsid w:val="00EA2741"/>
    <w:rsid w:val="00EA488E"/>
    <w:rsid w:val="00EB1793"/>
    <w:rsid w:val="00EB32F8"/>
    <w:rsid w:val="00EB3494"/>
    <w:rsid w:val="00EB79F2"/>
    <w:rsid w:val="00EC1926"/>
    <w:rsid w:val="00EC30B1"/>
    <w:rsid w:val="00EC5952"/>
    <w:rsid w:val="00EC635C"/>
    <w:rsid w:val="00ED0536"/>
    <w:rsid w:val="00ED17B0"/>
    <w:rsid w:val="00ED47A0"/>
    <w:rsid w:val="00ED5D61"/>
    <w:rsid w:val="00ED670B"/>
    <w:rsid w:val="00EF4FF0"/>
    <w:rsid w:val="00F0083B"/>
    <w:rsid w:val="00F00E8C"/>
    <w:rsid w:val="00F116E2"/>
    <w:rsid w:val="00F131C4"/>
    <w:rsid w:val="00F14A0D"/>
    <w:rsid w:val="00F22BA8"/>
    <w:rsid w:val="00F25F2F"/>
    <w:rsid w:val="00F265EF"/>
    <w:rsid w:val="00F26D44"/>
    <w:rsid w:val="00F30BDB"/>
    <w:rsid w:val="00F311E6"/>
    <w:rsid w:val="00F3231A"/>
    <w:rsid w:val="00F35B5B"/>
    <w:rsid w:val="00F408F9"/>
    <w:rsid w:val="00F40B70"/>
    <w:rsid w:val="00F43656"/>
    <w:rsid w:val="00F44E2F"/>
    <w:rsid w:val="00F45BA5"/>
    <w:rsid w:val="00F471D9"/>
    <w:rsid w:val="00F519A2"/>
    <w:rsid w:val="00F519C3"/>
    <w:rsid w:val="00F52380"/>
    <w:rsid w:val="00F53AA0"/>
    <w:rsid w:val="00F542E4"/>
    <w:rsid w:val="00F6458B"/>
    <w:rsid w:val="00F6626F"/>
    <w:rsid w:val="00F6783A"/>
    <w:rsid w:val="00F76582"/>
    <w:rsid w:val="00F80ADD"/>
    <w:rsid w:val="00F86AAF"/>
    <w:rsid w:val="00F914C2"/>
    <w:rsid w:val="00F92B2F"/>
    <w:rsid w:val="00F932A2"/>
    <w:rsid w:val="00F95C5B"/>
    <w:rsid w:val="00FA0857"/>
    <w:rsid w:val="00FA118E"/>
    <w:rsid w:val="00FA17F9"/>
    <w:rsid w:val="00FA5889"/>
    <w:rsid w:val="00FA7CF6"/>
    <w:rsid w:val="00FB2398"/>
    <w:rsid w:val="00FB30B4"/>
    <w:rsid w:val="00FB4AC7"/>
    <w:rsid w:val="00FB5337"/>
    <w:rsid w:val="00FB7C07"/>
    <w:rsid w:val="00FC431D"/>
    <w:rsid w:val="00FC6954"/>
    <w:rsid w:val="00FD230E"/>
    <w:rsid w:val="00FD2700"/>
    <w:rsid w:val="00FD5718"/>
    <w:rsid w:val="00FD7495"/>
    <w:rsid w:val="00FE0366"/>
    <w:rsid w:val="00FE248C"/>
    <w:rsid w:val="00FE290D"/>
    <w:rsid w:val="00FE6175"/>
    <w:rsid w:val="00FE62F3"/>
    <w:rsid w:val="00FF3DFA"/>
    <w:rsid w:val="00FF4171"/>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2AF43"/>
  <w15:docId w15:val="{B129F096-40F7-496C-89A0-4FEB80C1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GB" w:eastAsia="en-GB"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AA6BDF"/>
    <w:pPr>
      <w:autoSpaceDE w:val="0"/>
      <w:autoSpaceDN w:val="0"/>
      <w:adjustRightInd w:val="0"/>
      <w:spacing w:after="120"/>
    </w:pPr>
    <w:rPr>
      <w:rFonts w:ascii="Arial" w:hAnsi="Arial" w:cs="Arial"/>
      <w:color w:val="000000"/>
    </w:rPr>
  </w:style>
  <w:style w:type="paragraph" w:styleId="Heading1">
    <w:name w:val="heading 1"/>
    <w:aliases w:val="TITLE"/>
    <w:basedOn w:val="Normal"/>
    <w:next w:val="Normal"/>
    <w:qFormat/>
    <w:rsid w:val="00C47F33"/>
    <w:pPr>
      <w:keepNext/>
      <w:spacing w:after="240"/>
      <w:outlineLvl w:val="0"/>
    </w:pPr>
    <w:rPr>
      <w:b/>
      <w:bCs/>
      <w:kern w:val="32"/>
    </w:rPr>
  </w:style>
  <w:style w:type="paragraph" w:styleId="Heading2">
    <w:name w:val="heading 2"/>
    <w:basedOn w:val="Heading1"/>
    <w:next w:val="Normal"/>
    <w:qFormat/>
    <w:rsid w:val="00C47F33"/>
    <w:pPr>
      <w:outlineLvl w:val="1"/>
    </w:pPr>
    <w:rPr>
      <w:b w:val="0"/>
      <w:u w:val="single"/>
    </w:rPr>
  </w:style>
  <w:style w:type="paragraph" w:styleId="Heading3">
    <w:name w:val="heading 3"/>
    <w:basedOn w:val="Normal"/>
    <w:next w:val="Normal"/>
    <w:link w:val="Heading3Char"/>
    <w:rsid w:val="004B0C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224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440A3"/>
    <w:pPr>
      <w:tabs>
        <w:tab w:val="right" w:leader="dot" w:pos="9856"/>
      </w:tabs>
      <w:spacing w:before="60"/>
    </w:pPr>
    <w:rPr>
      <w:rFonts w:ascii="Times" w:hAnsi="Times"/>
      <w:bCs/>
      <w:szCs w:val="20"/>
    </w:rPr>
  </w:style>
  <w:style w:type="paragraph" w:styleId="TOC2">
    <w:name w:val="toc 2"/>
    <w:basedOn w:val="Normal"/>
    <w:next w:val="Normal"/>
    <w:autoRedefine/>
    <w:semiHidden/>
    <w:rsid w:val="00532E92"/>
    <w:pPr>
      <w:tabs>
        <w:tab w:val="right" w:leader="dot" w:pos="9174"/>
      </w:tabs>
      <w:spacing w:before="120"/>
    </w:pPr>
    <w:rPr>
      <w:b/>
      <w:bCs/>
      <w:szCs w:val="20"/>
    </w:rPr>
  </w:style>
  <w:style w:type="paragraph" w:styleId="TOC3">
    <w:name w:val="toc 3"/>
    <w:basedOn w:val="Normal"/>
    <w:next w:val="Normal"/>
    <w:autoRedefine/>
    <w:semiHidden/>
    <w:rsid w:val="00123139"/>
    <w:pPr>
      <w:ind w:left="720"/>
    </w:pPr>
    <w:rPr>
      <w:szCs w:val="20"/>
    </w:rPr>
  </w:style>
  <w:style w:type="paragraph" w:customStyle="1" w:styleId="KeyMessages">
    <w:name w:val="Key Messages"/>
    <w:basedOn w:val="Normal"/>
    <w:rsid w:val="00C24AF0"/>
    <w:pPr>
      <w:numPr>
        <w:numId w:val="1"/>
      </w:numPr>
      <w:spacing w:before="60"/>
    </w:pPr>
    <w:rPr>
      <w:szCs w:val="28"/>
    </w:rPr>
  </w:style>
  <w:style w:type="table" w:styleId="TableGrid">
    <w:name w:val="Table Grid"/>
    <w:basedOn w:val="TableNormal"/>
    <w:rsid w:val="00FA5F1C"/>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FA5F1C"/>
    <w:pPr>
      <w:tabs>
        <w:tab w:val="center" w:pos="4153"/>
        <w:tab w:val="right" w:pos="8306"/>
      </w:tabs>
    </w:pPr>
  </w:style>
  <w:style w:type="paragraph" w:styleId="Footer">
    <w:name w:val="footer"/>
    <w:basedOn w:val="Normal"/>
    <w:link w:val="FooterChar"/>
    <w:uiPriority w:val="99"/>
    <w:rsid w:val="002E296E"/>
    <w:pPr>
      <w:tabs>
        <w:tab w:val="center" w:pos="4153"/>
        <w:tab w:val="right" w:pos="8306"/>
      </w:tabs>
      <w:ind w:right="360"/>
      <w:jc w:val="right"/>
    </w:pPr>
    <w:rPr>
      <w:sz w:val="20"/>
    </w:rPr>
  </w:style>
  <w:style w:type="paragraph" w:styleId="BalloonText">
    <w:name w:val="Balloon Text"/>
    <w:basedOn w:val="Normal"/>
    <w:semiHidden/>
    <w:rsid w:val="00CB4D5C"/>
    <w:rPr>
      <w:rFonts w:ascii="Tahoma" w:hAnsi="Tahoma" w:cs="Tahoma"/>
      <w:sz w:val="16"/>
      <w:szCs w:val="16"/>
    </w:rPr>
  </w:style>
  <w:style w:type="character" w:styleId="PageNumber">
    <w:name w:val="page number"/>
    <w:basedOn w:val="DefaultParagraphFont"/>
    <w:semiHidden/>
    <w:rsid w:val="008F32D5"/>
  </w:style>
  <w:style w:type="character" w:styleId="PlaceholderText">
    <w:name w:val="Placeholder Text"/>
    <w:basedOn w:val="DefaultParagraphFont"/>
    <w:uiPriority w:val="99"/>
    <w:semiHidden/>
    <w:rsid w:val="00E9197D"/>
    <w:rPr>
      <w:color w:val="808080"/>
    </w:rPr>
  </w:style>
  <w:style w:type="character" w:styleId="Hyperlink">
    <w:name w:val="Hyperlink"/>
    <w:basedOn w:val="DefaultParagraphFont"/>
    <w:semiHidden/>
    <w:rsid w:val="00E65CC8"/>
    <w:rPr>
      <w:color w:val="0000FF" w:themeColor="hyperlink"/>
      <w:u w:val="single"/>
    </w:rPr>
  </w:style>
  <w:style w:type="paragraph" w:styleId="Title">
    <w:name w:val="Title"/>
    <w:basedOn w:val="Normal"/>
    <w:next w:val="Normal"/>
    <w:link w:val="TitleChar"/>
    <w:rsid w:val="004B0C3E"/>
    <w:pPr>
      <w:pBdr>
        <w:bottom w:val="single" w:sz="8" w:space="4" w:color="4F81BD" w:themeColor="accent1"/>
      </w:pBdr>
      <w:spacing w:before="200" w:after="300"/>
      <w:contextualSpacing/>
    </w:pPr>
    <w:rPr>
      <w:rFonts w:eastAsiaTheme="majorEastAsia" w:cstheme="majorBidi"/>
      <w:b/>
      <w:caps/>
      <w:spacing w:val="5"/>
      <w:kern w:val="28"/>
      <w:szCs w:val="52"/>
    </w:rPr>
  </w:style>
  <w:style w:type="character" w:customStyle="1" w:styleId="TitleChar">
    <w:name w:val="Title Char"/>
    <w:basedOn w:val="DefaultParagraphFont"/>
    <w:link w:val="Title"/>
    <w:rsid w:val="004B0C3E"/>
    <w:rPr>
      <w:rFonts w:ascii="Arial" w:eastAsiaTheme="majorEastAsia" w:hAnsi="Arial" w:cstheme="majorBidi"/>
      <w:b/>
      <w:caps/>
      <w:spacing w:val="5"/>
      <w:kern w:val="28"/>
      <w:szCs w:val="5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116E2"/>
    <w:pPr>
      <w:numPr>
        <w:numId w:val="21"/>
      </w:numPr>
      <w:ind w:left="714" w:hanging="357"/>
    </w:pPr>
  </w:style>
  <w:style w:type="paragraph" w:customStyle="1" w:styleId="NumberedNormal">
    <w:name w:val="Numbered Normal"/>
    <w:basedOn w:val="ListParagraph"/>
    <w:uiPriority w:val="1"/>
    <w:qFormat/>
    <w:rsid w:val="002237CD"/>
    <w:pPr>
      <w:numPr>
        <w:numId w:val="2"/>
      </w:numPr>
      <w:spacing w:after="240"/>
      <w:ind w:left="425" w:hanging="425"/>
    </w:pPr>
  </w:style>
  <w:style w:type="character" w:customStyle="1" w:styleId="Heading3Char">
    <w:name w:val="Heading 3 Char"/>
    <w:basedOn w:val="DefaultParagraphFont"/>
    <w:link w:val="Heading3"/>
    <w:rsid w:val="004B0C3E"/>
    <w:rPr>
      <w:rFonts w:asciiTheme="majorHAnsi" w:eastAsiaTheme="majorEastAsia" w:hAnsiTheme="majorHAnsi" w:cstheme="majorBidi"/>
      <w:b/>
      <w:bCs/>
      <w:color w:val="4F81BD" w:themeColor="accent1"/>
    </w:rPr>
  </w:style>
  <w:style w:type="paragraph" w:customStyle="1" w:styleId="Bullets">
    <w:name w:val="Bullets"/>
    <w:basedOn w:val="Normal"/>
    <w:uiPriority w:val="2"/>
    <w:qFormat/>
    <w:rsid w:val="002237CD"/>
    <w:pPr>
      <w:numPr>
        <w:numId w:val="3"/>
      </w:numPr>
      <w:spacing w:after="240"/>
      <w:ind w:left="998" w:hanging="357"/>
    </w:pPr>
  </w:style>
  <w:style w:type="paragraph" w:customStyle="1" w:styleId="TableText">
    <w:name w:val="Table Text"/>
    <w:basedOn w:val="Normal"/>
    <w:semiHidden/>
    <w:qFormat/>
    <w:rsid w:val="005F0025"/>
    <w:rPr>
      <w:sz w:val="20"/>
      <w:szCs w:val="22"/>
    </w:rPr>
  </w:style>
  <w:style w:type="character" w:customStyle="1" w:styleId="FooterChar">
    <w:name w:val="Footer Char"/>
    <w:basedOn w:val="DefaultParagraphFont"/>
    <w:link w:val="Footer"/>
    <w:uiPriority w:val="99"/>
    <w:rsid w:val="00873302"/>
    <w:rPr>
      <w:rFonts w:asciiTheme="minorHAnsi" w:hAnsiTheme="minorHAnsi"/>
      <w:szCs w:val="24"/>
    </w:rPr>
  </w:style>
  <w:style w:type="character" w:styleId="FollowedHyperlink">
    <w:name w:val="FollowedHyperlink"/>
    <w:basedOn w:val="DefaultParagraphFont"/>
    <w:semiHidden/>
    <w:rsid w:val="009A7A21"/>
    <w:rPr>
      <w:color w:val="800080" w:themeColor="followedHyperlink"/>
      <w:u w:val="single"/>
    </w:rPr>
  </w:style>
  <w:style w:type="paragraph" w:customStyle="1" w:styleId="SubBullets">
    <w:name w:val="Sub Bullets"/>
    <w:basedOn w:val="Bullets"/>
    <w:semiHidden/>
    <w:qFormat/>
    <w:rsid w:val="00E84808"/>
    <w:pPr>
      <w:numPr>
        <w:ilvl w:val="1"/>
      </w:numPr>
      <w:ind w:left="1718" w:hanging="357"/>
    </w:pPr>
  </w:style>
  <w:style w:type="paragraph" w:customStyle="1" w:styleId="Question">
    <w:name w:val="Question"/>
    <w:basedOn w:val="Normal"/>
    <w:semiHidden/>
    <w:qFormat/>
    <w:rsid w:val="00053358"/>
    <w:rPr>
      <w:b/>
    </w:rPr>
  </w:style>
  <w:style w:type="paragraph" w:customStyle="1" w:styleId="Classification">
    <w:name w:val="Classification"/>
    <w:basedOn w:val="Normal"/>
    <w:semiHidden/>
    <w:qFormat/>
    <w:rsid w:val="003C074F"/>
    <w:pPr>
      <w:jc w:val="center"/>
    </w:pPr>
    <w:rPr>
      <w:b/>
      <w:szCs w:val="22"/>
    </w:rPr>
  </w:style>
  <w:style w:type="character" w:customStyle="1" w:styleId="ClassificationText">
    <w:name w:val="Classification Text"/>
    <w:basedOn w:val="DefaultParagraphFont"/>
    <w:uiPriority w:val="1"/>
    <w:semiHidden/>
    <w:rsid w:val="006F2B86"/>
  </w:style>
  <w:style w:type="paragraph" w:customStyle="1" w:styleId="ChecklistHeading">
    <w:name w:val="Checklist Heading"/>
    <w:basedOn w:val="Heading2"/>
    <w:uiPriority w:val="3"/>
    <w:qFormat/>
    <w:rsid w:val="004B0C3E"/>
    <w:pPr>
      <w:spacing w:after="0"/>
    </w:pPr>
  </w:style>
  <w:style w:type="paragraph" w:customStyle="1" w:styleId="ChecklistTable">
    <w:name w:val="Checklist Table"/>
    <w:basedOn w:val="Normal"/>
    <w:uiPriority w:val="3"/>
    <w:qFormat/>
    <w:rsid w:val="004B0C3E"/>
    <w:pPr>
      <w:spacing w:after="0"/>
    </w:pPr>
  </w:style>
  <w:style w:type="paragraph" w:customStyle="1" w:styleId="ChecklistItem">
    <w:name w:val="Checklist Item"/>
    <w:basedOn w:val="Normal"/>
    <w:uiPriority w:val="3"/>
    <w:rsid w:val="004B0C3E"/>
    <w:pPr>
      <w:spacing w:after="0"/>
      <w:jc w:val="right"/>
    </w:pPr>
  </w:style>
  <w:style w:type="paragraph" w:customStyle="1" w:styleId="DetailTable">
    <w:name w:val="Detail Table"/>
    <w:basedOn w:val="Normal"/>
    <w:uiPriority w:val="3"/>
    <w:rsid w:val="004B0C3E"/>
    <w:pPr>
      <w:spacing w:after="0"/>
    </w:pPr>
    <w:rPr>
      <w:sz w:val="20"/>
    </w:rPr>
  </w:style>
  <w:style w:type="character" w:styleId="CommentReference">
    <w:name w:val="annotation reference"/>
    <w:basedOn w:val="DefaultParagraphFont"/>
    <w:uiPriority w:val="99"/>
    <w:rsid w:val="006D77A7"/>
    <w:rPr>
      <w:sz w:val="16"/>
      <w:szCs w:val="16"/>
    </w:rPr>
  </w:style>
  <w:style w:type="paragraph" w:styleId="CommentText">
    <w:name w:val="annotation text"/>
    <w:basedOn w:val="Normal"/>
    <w:link w:val="CommentTextChar"/>
    <w:uiPriority w:val="99"/>
    <w:rsid w:val="006D77A7"/>
    <w:rPr>
      <w:sz w:val="20"/>
      <w:szCs w:val="20"/>
    </w:rPr>
  </w:style>
  <w:style w:type="character" w:customStyle="1" w:styleId="CommentTextChar">
    <w:name w:val="Comment Text Char"/>
    <w:basedOn w:val="DefaultParagraphFont"/>
    <w:link w:val="CommentText"/>
    <w:uiPriority w:val="99"/>
    <w:rsid w:val="006D77A7"/>
    <w:rPr>
      <w:rFonts w:ascii="Times New Roman" w:hAnsi="Times New Roman"/>
      <w:sz w:val="20"/>
      <w:szCs w:val="20"/>
    </w:rPr>
  </w:style>
  <w:style w:type="paragraph" w:styleId="CommentSubject">
    <w:name w:val="annotation subject"/>
    <w:basedOn w:val="CommentText"/>
    <w:next w:val="CommentText"/>
    <w:link w:val="CommentSubjectChar"/>
    <w:semiHidden/>
    <w:rsid w:val="006D77A7"/>
    <w:rPr>
      <w:b/>
      <w:bCs/>
    </w:rPr>
  </w:style>
  <w:style w:type="character" w:customStyle="1" w:styleId="CommentSubjectChar">
    <w:name w:val="Comment Subject Char"/>
    <w:basedOn w:val="CommentTextChar"/>
    <w:link w:val="CommentSubject"/>
    <w:semiHidden/>
    <w:rsid w:val="006D77A7"/>
    <w:rPr>
      <w:rFonts w:ascii="Times New Roman" w:hAnsi="Times New Roman"/>
      <w:b/>
      <w:bCs/>
      <w:sz w:val="20"/>
      <w:szCs w:val="20"/>
    </w:rPr>
  </w:style>
  <w:style w:type="paragraph" w:styleId="NormalWeb">
    <w:name w:val="Normal (Web)"/>
    <w:basedOn w:val="Normal"/>
    <w:uiPriority w:val="99"/>
    <w:unhideWhenUsed/>
    <w:rsid w:val="000A53FF"/>
    <w:pPr>
      <w:spacing w:before="100" w:beforeAutospacing="1" w:after="100" w:afterAutospacing="1"/>
    </w:pPr>
  </w:style>
  <w:style w:type="paragraph" w:styleId="FootnoteText">
    <w:name w:val="footnote text"/>
    <w:basedOn w:val="Normal"/>
    <w:link w:val="FootnoteTextChar"/>
    <w:unhideWhenUsed/>
    <w:rsid w:val="009916FE"/>
    <w:pPr>
      <w:spacing w:after="0"/>
    </w:pPr>
    <w:rPr>
      <w:sz w:val="20"/>
      <w:szCs w:val="20"/>
    </w:rPr>
  </w:style>
  <w:style w:type="character" w:customStyle="1" w:styleId="FootnoteTextChar">
    <w:name w:val="Footnote Text Char"/>
    <w:basedOn w:val="DefaultParagraphFont"/>
    <w:link w:val="FootnoteText"/>
    <w:rsid w:val="009916FE"/>
    <w:rPr>
      <w:sz w:val="20"/>
      <w:szCs w:val="20"/>
    </w:rPr>
  </w:style>
  <w:style w:type="character" w:styleId="FootnoteReference">
    <w:name w:val="footnote reference"/>
    <w:basedOn w:val="DefaultParagraphFont"/>
    <w:semiHidden/>
    <w:unhideWhenUsed/>
    <w:rsid w:val="009916FE"/>
    <w:rPr>
      <w:vertAlign w:val="superscript"/>
    </w:rPr>
  </w:style>
  <w:style w:type="paragraph" w:styleId="Revision">
    <w:name w:val="Revision"/>
    <w:hidden/>
    <w:uiPriority w:val="99"/>
    <w:semiHidden/>
    <w:rsid w:val="00C66EAF"/>
  </w:style>
  <w:style w:type="character" w:customStyle="1" w:styleId="NumberedChar">
    <w:name w:val="Numbered Char"/>
    <w:basedOn w:val="DefaultParagraphFont"/>
    <w:link w:val="Numbered"/>
    <w:locked/>
    <w:rsid w:val="000C703A"/>
    <w:rPr>
      <w:rFonts w:ascii="Arial" w:hAnsi="Arial" w:cs="Arial"/>
    </w:rPr>
  </w:style>
  <w:style w:type="paragraph" w:customStyle="1" w:styleId="Numbered">
    <w:name w:val="Numbered"/>
    <w:basedOn w:val="Normal"/>
    <w:link w:val="NumberedChar"/>
    <w:rsid w:val="000C703A"/>
    <w:pPr>
      <w:overflowPunct w:val="0"/>
      <w:spacing w:after="240"/>
    </w:pPr>
  </w:style>
  <w:style w:type="character" w:customStyle="1" w:styleId="Heading4Char">
    <w:name w:val="Heading 4 Char"/>
    <w:basedOn w:val="DefaultParagraphFont"/>
    <w:link w:val="Heading4"/>
    <w:semiHidden/>
    <w:rsid w:val="008224A9"/>
    <w:rPr>
      <w:rFonts w:asciiTheme="majorHAnsi" w:eastAsiaTheme="majorEastAsia" w:hAnsiTheme="majorHAnsi" w:cstheme="majorBidi"/>
      <w:i/>
      <w:iCs/>
      <w:color w:val="365F91" w:themeColor="accent1" w:themeShade="BF"/>
    </w:rPr>
  </w:style>
  <w:style w:type="character" w:customStyle="1" w:styleId="LogosChar">
    <w:name w:val="Logos Char"/>
    <w:basedOn w:val="DefaultParagraphFont"/>
    <w:link w:val="Logos"/>
    <w:locked/>
    <w:rsid w:val="008224A9"/>
    <w:rPr>
      <w:noProof/>
      <w:color w:val="0D0D0D" w:themeColor="text1" w:themeTint="F2"/>
    </w:rPr>
  </w:style>
  <w:style w:type="paragraph" w:customStyle="1" w:styleId="Logos">
    <w:name w:val="Logos"/>
    <w:basedOn w:val="Normal"/>
    <w:link w:val="LogosChar"/>
    <w:rsid w:val="008224A9"/>
    <w:pPr>
      <w:pageBreakBefore/>
      <w:widowControl w:val="0"/>
      <w:spacing w:after="240" w:line="288" w:lineRule="auto"/>
    </w:pPr>
    <w:rPr>
      <w:noProof/>
      <w:color w:val="0D0D0D" w:themeColor="text1" w:themeTint="F2"/>
    </w:rPr>
  </w:style>
  <w:style w:type="paragraph" w:customStyle="1" w:styleId="Default">
    <w:name w:val="Default"/>
    <w:rsid w:val="008224A9"/>
    <w:pPr>
      <w:autoSpaceDE w:val="0"/>
      <w:autoSpaceDN w:val="0"/>
      <w:adjustRightInd w:val="0"/>
    </w:pPr>
    <w:rPr>
      <w:rFonts w:ascii="Arial" w:hAnsi="Arial" w:cs="Arial"/>
      <w:color w:val="00000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116E2"/>
    <w:rPr>
      <w:rFonts w:ascii="Arial" w:hAnsi="Arial" w:cs="Arial"/>
      <w:color w:val="000000"/>
    </w:rPr>
  </w:style>
  <w:style w:type="paragraph" w:customStyle="1" w:styleId="Normal1">
    <w:name w:val="Normal1"/>
    <w:link w:val="Normal1Char"/>
    <w:rsid w:val="00DE222F"/>
    <w:rPr>
      <w:rFonts w:ascii="Times New Roman" w:hAnsi="Times New Roman" w:cs="Times New Roman"/>
      <w:color w:val="000000"/>
      <w:lang w:eastAsia="en-US"/>
    </w:rPr>
  </w:style>
  <w:style w:type="character" w:customStyle="1" w:styleId="Normal1Char">
    <w:name w:val="Normal1 Char"/>
    <w:basedOn w:val="DefaultParagraphFont"/>
    <w:link w:val="Normal1"/>
    <w:rsid w:val="00DE222F"/>
    <w:rPr>
      <w:rFonts w:ascii="Times New Roman" w:hAnsi="Times New Roman" w:cs="Times New Roman"/>
      <w:color w:val="000000"/>
      <w:lang w:eastAsia="en-US"/>
    </w:rPr>
  </w:style>
  <w:style w:type="paragraph" w:customStyle="1" w:styleId="DfESOutNumbered">
    <w:name w:val="DfESOutNumbered"/>
    <w:basedOn w:val="Normal"/>
    <w:link w:val="DfESOutNumberedChar"/>
    <w:rsid w:val="008B0593"/>
    <w:pPr>
      <w:widowControl w:val="0"/>
      <w:numPr>
        <w:numId w:val="25"/>
      </w:numPr>
      <w:overflowPunct w:val="0"/>
      <w:spacing w:after="240"/>
      <w:textAlignment w:val="baseline"/>
    </w:pPr>
    <w:rPr>
      <w:color w:val="auto"/>
      <w:sz w:val="22"/>
      <w:szCs w:val="20"/>
      <w:lang w:eastAsia="en-US"/>
    </w:rPr>
  </w:style>
  <w:style w:type="character" w:customStyle="1" w:styleId="DfESOutNumberedChar">
    <w:name w:val="DfESOutNumbered Char"/>
    <w:basedOn w:val="DefaultParagraphFont"/>
    <w:link w:val="DfESOutNumbered"/>
    <w:rsid w:val="008B0593"/>
    <w:rPr>
      <w:rFonts w:ascii="Arial" w:hAnsi="Arial" w:cs="Arial"/>
      <w:sz w:val="22"/>
      <w:szCs w:val="20"/>
      <w:lang w:eastAsia="en-US"/>
    </w:rPr>
  </w:style>
  <w:style w:type="paragraph" w:customStyle="1" w:styleId="DeptBullets">
    <w:name w:val="DeptBullets"/>
    <w:basedOn w:val="Normal"/>
    <w:link w:val="DeptBulletsChar"/>
    <w:rsid w:val="008B0593"/>
    <w:pPr>
      <w:widowControl w:val="0"/>
      <w:numPr>
        <w:numId w:val="27"/>
      </w:numPr>
      <w:overflowPunct w:val="0"/>
      <w:spacing w:after="240"/>
      <w:textAlignment w:val="baseline"/>
    </w:pPr>
    <w:rPr>
      <w:rFonts w:cs="Times New Roman"/>
      <w:color w:val="auto"/>
      <w:szCs w:val="20"/>
      <w:lang w:eastAsia="en-US"/>
    </w:rPr>
  </w:style>
  <w:style w:type="character" w:customStyle="1" w:styleId="DeptBulletsChar">
    <w:name w:val="DeptBullets Char"/>
    <w:basedOn w:val="DefaultParagraphFont"/>
    <w:link w:val="DeptBullets"/>
    <w:rsid w:val="008B0593"/>
    <w:rPr>
      <w:rFonts w:ascii="Arial" w:hAnsi="Arial" w:cs="Times New Roman"/>
      <w:szCs w:val="20"/>
      <w:lang w:eastAsia="en-US"/>
    </w:rPr>
  </w:style>
  <w:style w:type="paragraph" w:customStyle="1" w:styleId="ListSubParagraph">
    <w:name w:val="List SubParagraph"/>
    <w:basedOn w:val="Normal"/>
    <w:qFormat/>
    <w:rsid w:val="006A3BE7"/>
    <w:pPr>
      <w:widowControl w:val="0"/>
      <w:overflowPunct w:val="0"/>
      <w:spacing w:after="240"/>
      <w:ind w:left="1531" w:hanging="811"/>
      <w:textAlignment w:val="baseline"/>
    </w:pPr>
    <w:rPr>
      <w:rFonts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333">
      <w:bodyDiv w:val="1"/>
      <w:marLeft w:val="0"/>
      <w:marRight w:val="0"/>
      <w:marTop w:val="0"/>
      <w:marBottom w:val="0"/>
      <w:divBdr>
        <w:top w:val="none" w:sz="0" w:space="0" w:color="auto"/>
        <w:left w:val="none" w:sz="0" w:space="0" w:color="auto"/>
        <w:bottom w:val="none" w:sz="0" w:space="0" w:color="auto"/>
        <w:right w:val="none" w:sz="0" w:space="0" w:color="auto"/>
      </w:divBdr>
    </w:div>
    <w:div w:id="5908600">
      <w:bodyDiv w:val="1"/>
      <w:marLeft w:val="0"/>
      <w:marRight w:val="0"/>
      <w:marTop w:val="0"/>
      <w:marBottom w:val="0"/>
      <w:divBdr>
        <w:top w:val="none" w:sz="0" w:space="0" w:color="auto"/>
        <w:left w:val="none" w:sz="0" w:space="0" w:color="auto"/>
        <w:bottom w:val="none" w:sz="0" w:space="0" w:color="auto"/>
        <w:right w:val="none" w:sz="0" w:space="0" w:color="auto"/>
      </w:divBdr>
    </w:div>
    <w:div w:id="69011742">
      <w:bodyDiv w:val="1"/>
      <w:marLeft w:val="0"/>
      <w:marRight w:val="0"/>
      <w:marTop w:val="0"/>
      <w:marBottom w:val="0"/>
      <w:divBdr>
        <w:top w:val="none" w:sz="0" w:space="0" w:color="auto"/>
        <w:left w:val="none" w:sz="0" w:space="0" w:color="auto"/>
        <w:bottom w:val="none" w:sz="0" w:space="0" w:color="auto"/>
        <w:right w:val="none" w:sz="0" w:space="0" w:color="auto"/>
      </w:divBdr>
      <w:divsChild>
        <w:div w:id="324360266">
          <w:marLeft w:val="274"/>
          <w:marRight w:val="0"/>
          <w:marTop w:val="0"/>
          <w:marBottom w:val="0"/>
          <w:divBdr>
            <w:top w:val="none" w:sz="0" w:space="0" w:color="auto"/>
            <w:left w:val="none" w:sz="0" w:space="0" w:color="auto"/>
            <w:bottom w:val="none" w:sz="0" w:space="0" w:color="auto"/>
            <w:right w:val="none" w:sz="0" w:space="0" w:color="auto"/>
          </w:divBdr>
        </w:div>
        <w:div w:id="1222668146">
          <w:marLeft w:val="274"/>
          <w:marRight w:val="0"/>
          <w:marTop w:val="0"/>
          <w:marBottom w:val="0"/>
          <w:divBdr>
            <w:top w:val="none" w:sz="0" w:space="0" w:color="auto"/>
            <w:left w:val="none" w:sz="0" w:space="0" w:color="auto"/>
            <w:bottom w:val="none" w:sz="0" w:space="0" w:color="auto"/>
            <w:right w:val="none" w:sz="0" w:space="0" w:color="auto"/>
          </w:divBdr>
        </w:div>
        <w:div w:id="1404448768">
          <w:marLeft w:val="274"/>
          <w:marRight w:val="0"/>
          <w:marTop w:val="0"/>
          <w:marBottom w:val="0"/>
          <w:divBdr>
            <w:top w:val="none" w:sz="0" w:space="0" w:color="auto"/>
            <w:left w:val="none" w:sz="0" w:space="0" w:color="auto"/>
            <w:bottom w:val="none" w:sz="0" w:space="0" w:color="auto"/>
            <w:right w:val="none" w:sz="0" w:space="0" w:color="auto"/>
          </w:divBdr>
        </w:div>
      </w:divsChild>
    </w:div>
    <w:div w:id="132405917">
      <w:bodyDiv w:val="1"/>
      <w:marLeft w:val="0"/>
      <w:marRight w:val="0"/>
      <w:marTop w:val="0"/>
      <w:marBottom w:val="0"/>
      <w:divBdr>
        <w:top w:val="none" w:sz="0" w:space="0" w:color="auto"/>
        <w:left w:val="none" w:sz="0" w:space="0" w:color="auto"/>
        <w:bottom w:val="none" w:sz="0" w:space="0" w:color="auto"/>
        <w:right w:val="none" w:sz="0" w:space="0" w:color="auto"/>
      </w:divBdr>
    </w:div>
    <w:div w:id="150026725">
      <w:bodyDiv w:val="1"/>
      <w:marLeft w:val="0"/>
      <w:marRight w:val="0"/>
      <w:marTop w:val="0"/>
      <w:marBottom w:val="0"/>
      <w:divBdr>
        <w:top w:val="none" w:sz="0" w:space="0" w:color="auto"/>
        <w:left w:val="none" w:sz="0" w:space="0" w:color="auto"/>
        <w:bottom w:val="none" w:sz="0" w:space="0" w:color="auto"/>
        <w:right w:val="none" w:sz="0" w:space="0" w:color="auto"/>
      </w:divBdr>
    </w:div>
    <w:div w:id="251858664">
      <w:bodyDiv w:val="1"/>
      <w:marLeft w:val="0"/>
      <w:marRight w:val="0"/>
      <w:marTop w:val="0"/>
      <w:marBottom w:val="0"/>
      <w:divBdr>
        <w:top w:val="none" w:sz="0" w:space="0" w:color="auto"/>
        <w:left w:val="none" w:sz="0" w:space="0" w:color="auto"/>
        <w:bottom w:val="none" w:sz="0" w:space="0" w:color="auto"/>
        <w:right w:val="none" w:sz="0" w:space="0" w:color="auto"/>
      </w:divBdr>
    </w:div>
    <w:div w:id="267932635">
      <w:bodyDiv w:val="1"/>
      <w:marLeft w:val="0"/>
      <w:marRight w:val="0"/>
      <w:marTop w:val="0"/>
      <w:marBottom w:val="0"/>
      <w:divBdr>
        <w:top w:val="none" w:sz="0" w:space="0" w:color="auto"/>
        <w:left w:val="none" w:sz="0" w:space="0" w:color="auto"/>
        <w:bottom w:val="none" w:sz="0" w:space="0" w:color="auto"/>
        <w:right w:val="none" w:sz="0" w:space="0" w:color="auto"/>
      </w:divBdr>
    </w:div>
    <w:div w:id="361630668">
      <w:bodyDiv w:val="1"/>
      <w:marLeft w:val="0"/>
      <w:marRight w:val="0"/>
      <w:marTop w:val="0"/>
      <w:marBottom w:val="0"/>
      <w:divBdr>
        <w:top w:val="none" w:sz="0" w:space="0" w:color="auto"/>
        <w:left w:val="none" w:sz="0" w:space="0" w:color="auto"/>
        <w:bottom w:val="none" w:sz="0" w:space="0" w:color="auto"/>
        <w:right w:val="none" w:sz="0" w:space="0" w:color="auto"/>
      </w:divBdr>
    </w:div>
    <w:div w:id="376667211">
      <w:bodyDiv w:val="1"/>
      <w:marLeft w:val="0"/>
      <w:marRight w:val="0"/>
      <w:marTop w:val="0"/>
      <w:marBottom w:val="0"/>
      <w:divBdr>
        <w:top w:val="none" w:sz="0" w:space="0" w:color="auto"/>
        <w:left w:val="none" w:sz="0" w:space="0" w:color="auto"/>
        <w:bottom w:val="none" w:sz="0" w:space="0" w:color="auto"/>
        <w:right w:val="none" w:sz="0" w:space="0" w:color="auto"/>
      </w:divBdr>
    </w:div>
    <w:div w:id="501162650">
      <w:bodyDiv w:val="1"/>
      <w:marLeft w:val="0"/>
      <w:marRight w:val="0"/>
      <w:marTop w:val="0"/>
      <w:marBottom w:val="0"/>
      <w:divBdr>
        <w:top w:val="none" w:sz="0" w:space="0" w:color="auto"/>
        <w:left w:val="none" w:sz="0" w:space="0" w:color="auto"/>
        <w:bottom w:val="none" w:sz="0" w:space="0" w:color="auto"/>
        <w:right w:val="none" w:sz="0" w:space="0" w:color="auto"/>
      </w:divBdr>
    </w:div>
    <w:div w:id="574096805">
      <w:bodyDiv w:val="1"/>
      <w:marLeft w:val="0"/>
      <w:marRight w:val="0"/>
      <w:marTop w:val="0"/>
      <w:marBottom w:val="0"/>
      <w:divBdr>
        <w:top w:val="none" w:sz="0" w:space="0" w:color="auto"/>
        <w:left w:val="none" w:sz="0" w:space="0" w:color="auto"/>
        <w:bottom w:val="none" w:sz="0" w:space="0" w:color="auto"/>
        <w:right w:val="none" w:sz="0" w:space="0" w:color="auto"/>
      </w:divBdr>
    </w:div>
    <w:div w:id="592520177">
      <w:bodyDiv w:val="1"/>
      <w:marLeft w:val="0"/>
      <w:marRight w:val="0"/>
      <w:marTop w:val="0"/>
      <w:marBottom w:val="0"/>
      <w:divBdr>
        <w:top w:val="none" w:sz="0" w:space="0" w:color="auto"/>
        <w:left w:val="none" w:sz="0" w:space="0" w:color="auto"/>
        <w:bottom w:val="none" w:sz="0" w:space="0" w:color="auto"/>
        <w:right w:val="none" w:sz="0" w:space="0" w:color="auto"/>
      </w:divBdr>
    </w:div>
    <w:div w:id="592935236">
      <w:bodyDiv w:val="1"/>
      <w:marLeft w:val="0"/>
      <w:marRight w:val="0"/>
      <w:marTop w:val="0"/>
      <w:marBottom w:val="0"/>
      <w:divBdr>
        <w:top w:val="none" w:sz="0" w:space="0" w:color="auto"/>
        <w:left w:val="none" w:sz="0" w:space="0" w:color="auto"/>
        <w:bottom w:val="none" w:sz="0" w:space="0" w:color="auto"/>
        <w:right w:val="none" w:sz="0" w:space="0" w:color="auto"/>
      </w:divBdr>
    </w:div>
    <w:div w:id="668872679">
      <w:bodyDiv w:val="1"/>
      <w:marLeft w:val="0"/>
      <w:marRight w:val="0"/>
      <w:marTop w:val="0"/>
      <w:marBottom w:val="0"/>
      <w:divBdr>
        <w:top w:val="none" w:sz="0" w:space="0" w:color="auto"/>
        <w:left w:val="none" w:sz="0" w:space="0" w:color="auto"/>
        <w:bottom w:val="none" w:sz="0" w:space="0" w:color="auto"/>
        <w:right w:val="none" w:sz="0" w:space="0" w:color="auto"/>
      </w:divBdr>
    </w:div>
    <w:div w:id="735467905">
      <w:bodyDiv w:val="1"/>
      <w:marLeft w:val="0"/>
      <w:marRight w:val="0"/>
      <w:marTop w:val="0"/>
      <w:marBottom w:val="0"/>
      <w:divBdr>
        <w:top w:val="none" w:sz="0" w:space="0" w:color="auto"/>
        <w:left w:val="none" w:sz="0" w:space="0" w:color="auto"/>
        <w:bottom w:val="none" w:sz="0" w:space="0" w:color="auto"/>
        <w:right w:val="none" w:sz="0" w:space="0" w:color="auto"/>
      </w:divBdr>
      <w:divsChild>
        <w:div w:id="628702752">
          <w:marLeft w:val="547"/>
          <w:marRight w:val="0"/>
          <w:marTop w:val="0"/>
          <w:marBottom w:val="0"/>
          <w:divBdr>
            <w:top w:val="none" w:sz="0" w:space="0" w:color="auto"/>
            <w:left w:val="none" w:sz="0" w:space="0" w:color="auto"/>
            <w:bottom w:val="none" w:sz="0" w:space="0" w:color="auto"/>
            <w:right w:val="none" w:sz="0" w:space="0" w:color="auto"/>
          </w:divBdr>
        </w:div>
        <w:div w:id="1327243375">
          <w:marLeft w:val="547"/>
          <w:marRight w:val="0"/>
          <w:marTop w:val="0"/>
          <w:marBottom w:val="0"/>
          <w:divBdr>
            <w:top w:val="none" w:sz="0" w:space="0" w:color="auto"/>
            <w:left w:val="none" w:sz="0" w:space="0" w:color="auto"/>
            <w:bottom w:val="none" w:sz="0" w:space="0" w:color="auto"/>
            <w:right w:val="none" w:sz="0" w:space="0" w:color="auto"/>
          </w:divBdr>
        </w:div>
        <w:div w:id="2143113743">
          <w:marLeft w:val="547"/>
          <w:marRight w:val="0"/>
          <w:marTop w:val="0"/>
          <w:marBottom w:val="0"/>
          <w:divBdr>
            <w:top w:val="none" w:sz="0" w:space="0" w:color="auto"/>
            <w:left w:val="none" w:sz="0" w:space="0" w:color="auto"/>
            <w:bottom w:val="none" w:sz="0" w:space="0" w:color="auto"/>
            <w:right w:val="none" w:sz="0" w:space="0" w:color="auto"/>
          </w:divBdr>
        </w:div>
      </w:divsChild>
    </w:div>
    <w:div w:id="779298085">
      <w:bodyDiv w:val="1"/>
      <w:marLeft w:val="0"/>
      <w:marRight w:val="0"/>
      <w:marTop w:val="0"/>
      <w:marBottom w:val="0"/>
      <w:divBdr>
        <w:top w:val="none" w:sz="0" w:space="0" w:color="auto"/>
        <w:left w:val="none" w:sz="0" w:space="0" w:color="auto"/>
        <w:bottom w:val="none" w:sz="0" w:space="0" w:color="auto"/>
        <w:right w:val="none" w:sz="0" w:space="0" w:color="auto"/>
      </w:divBdr>
    </w:div>
    <w:div w:id="845900840">
      <w:bodyDiv w:val="1"/>
      <w:marLeft w:val="0"/>
      <w:marRight w:val="0"/>
      <w:marTop w:val="0"/>
      <w:marBottom w:val="0"/>
      <w:divBdr>
        <w:top w:val="none" w:sz="0" w:space="0" w:color="auto"/>
        <w:left w:val="none" w:sz="0" w:space="0" w:color="auto"/>
        <w:bottom w:val="none" w:sz="0" w:space="0" w:color="auto"/>
        <w:right w:val="none" w:sz="0" w:space="0" w:color="auto"/>
      </w:divBdr>
    </w:div>
    <w:div w:id="876897406">
      <w:bodyDiv w:val="1"/>
      <w:marLeft w:val="0"/>
      <w:marRight w:val="0"/>
      <w:marTop w:val="0"/>
      <w:marBottom w:val="0"/>
      <w:divBdr>
        <w:top w:val="none" w:sz="0" w:space="0" w:color="auto"/>
        <w:left w:val="none" w:sz="0" w:space="0" w:color="auto"/>
        <w:bottom w:val="none" w:sz="0" w:space="0" w:color="auto"/>
        <w:right w:val="none" w:sz="0" w:space="0" w:color="auto"/>
      </w:divBdr>
    </w:div>
    <w:div w:id="1031027167">
      <w:bodyDiv w:val="1"/>
      <w:marLeft w:val="0"/>
      <w:marRight w:val="0"/>
      <w:marTop w:val="0"/>
      <w:marBottom w:val="0"/>
      <w:divBdr>
        <w:top w:val="none" w:sz="0" w:space="0" w:color="auto"/>
        <w:left w:val="none" w:sz="0" w:space="0" w:color="auto"/>
        <w:bottom w:val="none" w:sz="0" w:space="0" w:color="auto"/>
        <w:right w:val="none" w:sz="0" w:space="0" w:color="auto"/>
      </w:divBdr>
    </w:div>
    <w:div w:id="1076590819">
      <w:bodyDiv w:val="1"/>
      <w:marLeft w:val="0"/>
      <w:marRight w:val="0"/>
      <w:marTop w:val="0"/>
      <w:marBottom w:val="0"/>
      <w:divBdr>
        <w:top w:val="none" w:sz="0" w:space="0" w:color="auto"/>
        <w:left w:val="none" w:sz="0" w:space="0" w:color="auto"/>
        <w:bottom w:val="none" w:sz="0" w:space="0" w:color="auto"/>
        <w:right w:val="none" w:sz="0" w:space="0" w:color="auto"/>
      </w:divBdr>
    </w:div>
    <w:div w:id="1119224726">
      <w:bodyDiv w:val="1"/>
      <w:marLeft w:val="0"/>
      <w:marRight w:val="0"/>
      <w:marTop w:val="0"/>
      <w:marBottom w:val="0"/>
      <w:divBdr>
        <w:top w:val="none" w:sz="0" w:space="0" w:color="auto"/>
        <w:left w:val="none" w:sz="0" w:space="0" w:color="auto"/>
        <w:bottom w:val="none" w:sz="0" w:space="0" w:color="auto"/>
        <w:right w:val="none" w:sz="0" w:space="0" w:color="auto"/>
      </w:divBdr>
    </w:div>
    <w:div w:id="1173181488">
      <w:bodyDiv w:val="1"/>
      <w:marLeft w:val="0"/>
      <w:marRight w:val="0"/>
      <w:marTop w:val="0"/>
      <w:marBottom w:val="0"/>
      <w:divBdr>
        <w:top w:val="none" w:sz="0" w:space="0" w:color="auto"/>
        <w:left w:val="none" w:sz="0" w:space="0" w:color="auto"/>
        <w:bottom w:val="none" w:sz="0" w:space="0" w:color="auto"/>
        <w:right w:val="none" w:sz="0" w:space="0" w:color="auto"/>
      </w:divBdr>
    </w:div>
    <w:div w:id="1308320353">
      <w:bodyDiv w:val="1"/>
      <w:marLeft w:val="0"/>
      <w:marRight w:val="0"/>
      <w:marTop w:val="0"/>
      <w:marBottom w:val="0"/>
      <w:divBdr>
        <w:top w:val="none" w:sz="0" w:space="0" w:color="auto"/>
        <w:left w:val="none" w:sz="0" w:space="0" w:color="auto"/>
        <w:bottom w:val="none" w:sz="0" w:space="0" w:color="auto"/>
        <w:right w:val="none" w:sz="0" w:space="0" w:color="auto"/>
      </w:divBdr>
      <w:divsChild>
        <w:div w:id="11030309">
          <w:marLeft w:val="274"/>
          <w:marRight w:val="0"/>
          <w:marTop w:val="0"/>
          <w:marBottom w:val="0"/>
          <w:divBdr>
            <w:top w:val="none" w:sz="0" w:space="0" w:color="auto"/>
            <w:left w:val="none" w:sz="0" w:space="0" w:color="auto"/>
            <w:bottom w:val="none" w:sz="0" w:space="0" w:color="auto"/>
            <w:right w:val="none" w:sz="0" w:space="0" w:color="auto"/>
          </w:divBdr>
        </w:div>
        <w:div w:id="318195218">
          <w:marLeft w:val="274"/>
          <w:marRight w:val="0"/>
          <w:marTop w:val="0"/>
          <w:marBottom w:val="0"/>
          <w:divBdr>
            <w:top w:val="none" w:sz="0" w:space="0" w:color="auto"/>
            <w:left w:val="none" w:sz="0" w:space="0" w:color="auto"/>
            <w:bottom w:val="none" w:sz="0" w:space="0" w:color="auto"/>
            <w:right w:val="none" w:sz="0" w:space="0" w:color="auto"/>
          </w:divBdr>
        </w:div>
        <w:div w:id="1800538080">
          <w:marLeft w:val="274"/>
          <w:marRight w:val="0"/>
          <w:marTop w:val="0"/>
          <w:marBottom w:val="0"/>
          <w:divBdr>
            <w:top w:val="none" w:sz="0" w:space="0" w:color="auto"/>
            <w:left w:val="none" w:sz="0" w:space="0" w:color="auto"/>
            <w:bottom w:val="none" w:sz="0" w:space="0" w:color="auto"/>
            <w:right w:val="none" w:sz="0" w:space="0" w:color="auto"/>
          </w:divBdr>
        </w:div>
        <w:div w:id="1999796422">
          <w:marLeft w:val="274"/>
          <w:marRight w:val="0"/>
          <w:marTop w:val="0"/>
          <w:marBottom w:val="0"/>
          <w:divBdr>
            <w:top w:val="none" w:sz="0" w:space="0" w:color="auto"/>
            <w:left w:val="none" w:sz="0" w:space="0" w:color="auto"/>
            <w:bottom w:val="none" w:sz="0" w:space="0" w:color="auto"/>
            <w:right w:val="none" w:sz="0" w:space="0" w:color="auto"/>
          </w:divBdr>
        </w:div>
      </w:divsChild>
    </w:div>
    <w:div w:id="1427189956">
      <w:bodyDiv w:val="1"/>
      <w:marLeft w:val="0"/>
      <w:marRight w:val="0"/>
      <w:marTop w:val="0"/>
      <w:marBottom w:val="0"/>
      <w:divBdr>
        <w:top w:val="none" w:sz="0" w:space="0" w:color="auto"/>
        <w:left w:val="none" w:sz="0" w:space="0" w:color="auto"/>
        <w:bottom w:val="none" w:sz="0" w:space="0" w:color="auto"/>
        <w:right w:val="none" w:sz="0" w:space="0" w:color="auto"/>
      </w:divBdr>
    </w:div>
    <w:div w:id="1528056106">
      <w:bodyDiv w:val="1"/>
      <w:marLeft w:val="0"/>
      <w:marRight w:val="0"/>
      <w:marTop w:val="0"/>
      <w:marBottom w:val="0"/>
      <w:divBdr>
        <w:top w:val="none" w:sz="0" w:space="0" w:color="auto"/>
        <w:left w:val="none" w:sz="0" w:space="0" w:color="auto"/>
        <w:bottom w:val="none" w:sz="0" w:space="0" w:color="auto"/>
        <w:right w:val="none" w:sz="0" w:space="0" w:color="auto"/>
      </w:divBdr>
    </w:div>
    <w:div w:id="1532959251">
      <w:bodyDiv w:val="1"/>
      <w:marLeft w:val="0"/>
      <w:marRight w:val="0"/>
      <w:marTop w:val="0"/>
      <w:marBottom w:val="0"/>
      <w:divBdr>
        <w:top w:val="none" w:sz="0" w:space="0" w:color="auto"/>
        <w:left w:val="none" w:sz="0" w:space="0" w:color="auto"/>
        <w:bottom w:val="none" w:sz="0" w:space="0" w:color="auto"/>
        <w:right w:val="none" w:sz="0" w:space="0" w:color="auto"/>
      </w:divBdr>
    </w:div>
    <w:div w:id="1645041864">
      <w:bodyDiv w:val="1"/>
      <w:marLeft w:val="0"/>
      <w:marRight w:val="0"/>
      <w:marTop w:val="0"/>
      <w:marBottom w:val="0"/>
      <w:divBdr>
        <w:top w:val="none" w:sz="0" w:space="0" w:color="auto"/>
        <w:left w:val="none" w:sz="0" w:space="0" w:color="auto"/>
        <w:bottom w:val="none" w:sz="0" w:space="0" w:color="auto"/>
        <w:right w:val="none" w:sz="0" w:space="0" w:color="auto"/>
      </w:divBdr>
      <w:divsChild>
        <w:div w:id="1118795751">
          <w:marLeft w:val="547"/>
          <w:marRight w:val="0"/>
          <w:marTop w:val="0"/>
          <w:marBottom w:val="0"/>
          <w:divBdr>
            <w:top w:val="none" w:sz="0" w:space="0" w:color="auto"/>
            <w:left w:val="none" w:sz="0" w:space="0" w:color="auto"/>
            <w:bottom w:val="none" w:sz="0" w:space="0" w:color="auto"/>
            <w:right w:val="none" w:sz="0" w:space="0" w:color="auto"/>
          </w:divBdr>
        </w:div>
        <w:div w:id="1168789462">
          <w:marLeft w:val="547"/>
          <w:marRight w:val="0"/>
          <w:marTop w:val="0"/>
          <w:marBottom w:val="0"/>
          <w:divBdr>
            <w:top w:val="none" w:sz="0" w:space="0" w:color="auto"/>
            <w:left w:val="none" w:sz="0" w:space="0" w:color="auto"/>
            <w:bottom w:val="none" w:sz="0" w:space="0" w:color="auto"/>
            <w:right w:val="none" w:sz="0" w:space="0" w:color="auto"/>
          </w:divBdr>
        </w:div>
      </w:divsChild>
    </w:div>
    <w:div w:id="1670524689">
      <w:bodyDiv w:val="1"/>
      <w:marLeft w:val="0"/>
      <w:marRight w:val="0"/>
      <w:marTop w:val="0"/>
      <w:marBottom w:val="0"/>
      <w:divBdr>
        <w:top w:val="none" w:sz="0" w:space="0" w:color="auto"/>
        <w:left w:val="none" w:sz="0" w:space="0" w:color="auto"/>
        <w:bottom w:val="none" w:sz="0" w:space="0" w:color="auto"/>
        <w:right w:val="none" w:sz="0" w:space="0" w:color="auto"/>
      </w:divBdr>
    </w:div>
    <w:div w:id="1802961837">
      <w:bodyDiv w:val="1"/>
      <w:marLeft w:val="0"/>
      <w:marRight w:val="0"/>
      <w:marTop w:val="0"/>
      <w:marBottom w:val="0"/>
      <w:divBdr>
        <w:top w:val="none" w:sz="0" w:space="0" w:color="auto"/>
        <w:left w:val="none" w:sz="0" w:space="0" w:color="auto"/>
        <w:bottom w:val="none" w:sz="0" w:space="0" w:color="auto"/>
        <w:right w:val="none" w:sz="0" w:space="0" w:color="auto"/>
      </w:divBdr>
      <w:divsChild>
        <w:div w:id="536817667">
          <w:marLeft w:val="274"/>
          <w:marRight w:val="0"/>
          <w:marTop w:val="0"/>
          <w:marBottom w:val="0"/>
          <w:divBdr>
            <w:top w:val="none" w:sz="0" w:space="0" w:color="auto"/>
            <w:left w:val="none" w:sz="0" w:space="0" w:color="auto"/>
            <w:bottom w:val="none" w:sz="0" w:space="0" w:color="auto"/>
            <w:right w:val="none" w:sz="0" w:space="0" w:color="auto"/>
          </w:divBdr>
        </w:div>
      </w:divsChild>
    </w:div>
    <w:div w:id="1972393158">
      <w:bodyDiv w:val="1"/>
      <w:marLeft w:val="0"/>
      <w:marRight w:val="0"/>
      <w:marTop w:val="0"/>
      <w:marBottom w:val="0"/>
      <w:divBdr>
        <w:top w:val="none" w:sz="0" w:space="0" w:color="auto"/>
        <w:left w:val="none" w:sz="0" w:space="0" w:color="auto"/>
        <w:bottom w:val="none" w:sz="0" w:space="0" w:color="auto"/>
        <w:right w:val="none" w:sz="0" w:space="0" w:color="auto"/>
      </w:divBdr>
      <w:divsChild>
        <w:div w:id="644361360">
          <w:marLeft w:val="547"/>
          <w:marRight w:val="0"/>
          <w:marTop w:val="0"/>
          <w:marBottom w:val="0"/>
          <w:divBdr>
            <w:top w:val="none" w:sz="0" w:space="0" w:color="auto"/>
            <w:left w:val="none" w:sz="0" w:space="0" w:color="auto"/>
            <w:bottom w:val="none" w:sz="0" w:space="0" w:color="auto"/>
            <w:right w:val="none" w:sz="0" w:space="0" w:color="auto"/>
          </w:divBdr>
        </w:div>
        <w:div w:id="1737194800">
          <w:marLeft w:val="547"/>
          <w:marRight w:val="0"/>
          <w:marTop w:val="0"/>
          <w:marBottom w:val="0"/>
          <w:divBdr>
            <w:top w:val="none" w:sz="0" w:space="0" w:color="auto"/>
            <w:left w:val="none" w:sz="0" w:space="0" w:color="auto"/>
            <w:bottom w:val="none" w:sz="0" w:space="0" w:color="auto"/>
            <w:right w:val="none" w:sz="0" w:space="0" w:color="auto"/>
          </w:divBdr>
        </w:div>
        <w:div w:id="1818767413">
          <w:marLeft w:val="547"/>
          <w:marRight w:val="0"/>
          <w:marTop w:val="0"/>
          <w:marBottom w:val="0"/>
          <w:divBdr>
            <w:top w:val="none" w:sz="0" w:space="0" w:color="auto"/>
            <w:left w:val="none" w:sz="0" w:space="0" w:color="auto"/>
            <w:bottom w:val="none" w:sz="0" w:space="0" w:color="auto"/>
            <w:right w:val="none" w:sz="0" w:space="0" w:color="auto"/>
          </w:divBdr>
        </w:div>
      </w:divsChild>
    </w:div>
    <w:div w:id="2090806574">
      <w:bodyDiv w:val="1"/>
      <w:marLeft w:val="0"/>
      <w:marRight w:val="0"/>
      <w:marTop w:val="0"/>
      <w:marBottom w:val="0"/>
      <w:divBdr>
        <w:top w:val="none" w:sz="0" w:space="0" w:color="auto"/>
        <w:left w:val="none" w:sz="0" w:space="0" w:color="auto"/>
        <w:bottom w:val="none" w:sz="0" w:space="0" w:color="auto"/>
        <w:right w:val="none" w:sz="0" w:space="0" w:color="auto"/>
      </w:divBdr>
    </w:div>
    <w:div w:id="213636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uting.implementation@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lierregistration.cabinetoffic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uting.implementation@education.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portal/" TargetMode="External"/><Relationship Id="rId1" Type="http://schemas.openxmlformats.org/officeDocument/2006/relationships/hyperlink" Target="https://educationgovuk.sharepoin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NGL~1.EVO\AppData\Local\Temp\New-Submiss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https://educationgovuk.sharepoint.com/sites/acgq/_layouts/15/DocIdRedir.aspx?ID=JUHFRXH27QC6-19-36437</Url>
      <Description>JUHFRXH27QC6-19-36437</Description>
    </_dlc_DocIdUrl>
    <TaxCatchAll xmlns="f9cc211a-2e2a-45d5-870d-c1331983a320">
      <Value>4</Value>
      <Value>3</Value>
      <Value>1</Value>
    </TaxCatchAl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JUHFRXH27QC6-19-36437</_dlc_DocId>
    <Comment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evelopment" ma:contentTypeID="0x0101001FF5C00457589F4B98B687E918B8BBD6070034B540C299D99641845318C54DBDA627" ma:contentTypeVersion="43" ma:contentTypeDescription="For departmental policy documents. Records retained for 10 years." ma:contentTypeScope="" ma:versionID="3f9a4a3365841239234756fcd0f1b42b">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05ab67826d7fb39a6c80358b75b7477b"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6088-AF08-4068-BB00-9FC757519459}">
  <ds:schemaRefs>
    <ds:schemaRef ds:uri="http://schemas.microsoft.com/sharepoint/v3/contenttype/forms"/>
  </ds:schemaRefs>
</ds:datastoreItem>
</file>

<file path=customXml/itemProps2.xml><?xml version="1.0" encoding="utf-8"?>
<ds:datastoreItem xmlns:ds="http://schemas.openxmlformats.org/officeDocument/2006/customXml" ds:itemID="{D9B2EA12-BCF2-427B-95DF-886F8E54B2E2}">
  <ds:schemaRefs>
    <ds:schemaRef ds:uri="http://schemas.microsoft.com/office/2006/metadata/properties"/>
    <ds:schemaRef ds:uri="http://schemas.microsoft.com/office/infopath/2007/PartnerControls"/>
    <ds:schemaRef ds:uri="f9cc211a-2e2a-45d5-870d-c1331983a320"/>
    <ds:schemaRef ds:uri="9c62ab6d-d23a-4e2f-9f9b-82d0ade4fc03"/>
    <ds:schemaRef ds:uri="06cb7ad6-076d-4c0c-94a5-f08edf2a3777"/>
    <ds:schemaRef ds:uri="http://schemas.microsoft.com/sharepoint/v3"/>
  </ds:schemaRefs>
</ds:datastoreItem>
</file>

<file path=customXml/itemProps3.xml><?xml version="1.0" encoding="utf-8"?>
<ds:datastoreItem xmlns:ds="http://schemas.openxmlformats.org/officeDocument/2006/customXml" ds:itemID="{F8614A45-0A69-4632-AF2C-2AC6F0E8980C}">
  <ds:schemaRefs>
    <ds:schemaRef ds:uri="http://schemas.microsoft.com/sharepoint/events"/>
  </ds:schemaRefs>
</ds:datastoreItem>
</file>

<file path=customXml/itemProps4.xml><?xml version="1.0" encoding="utf-8"?>
<ds:datastoreItem xmlns:ds="http://schemas.openxmlformats.org/officeDocument/2006/customXml" ds:itemID="{EE3D7948-ABE2-446E-8F6E-7C274C10D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1B407-EDBF-4D6F-A881-90FBE3C0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New-Submission-template.dotx</Template>
  <TotalTime>7</TotalTime>
  <Pages>1</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EOI_Guidance</vt:lpstr>
    </vt:vector>
  </TitlesOfParts>
  <Company>DfE</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EOI_Guidance</dc:title>
  <dc:subject/>
  <dc:creator>David Cameron</dc:creator>
  <cp:keywords/>
  <dc:description/>
  <cp:lastModifiedBy>CAMERON, David</cp:lastModifiedBy>
  <cp:revision>5</cp:revision>
  <cp:lastPrinted>2018-03-19T09:53:00Z</cp:lastPrinted>
  <dcterms:created xsi:type="dcterms:W3CDTF">2018-06-11T11:14:00Z</dcterms:created>
  <dcterms:modified xsi:type="dcterms:W3CDTF">2018-06-11T11:21:00Z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linkTarget="Classification">
    <vt:lpwstr>*</vt:lpwstr>
  </property>
  <property fmtid="{D5CDD505-2E9C-101B-9397-08002B2CF9AE}" pid="3" name="ContentTypeId">
    <vt:lpwstr>0x0101001FF5C00457589F4B98B687E918B8BBD6070034B540C299D99641845318C54DBDA627</vt:lpwstr>
  </property>
  <property fmtid="{D5CDD505-2E9C-101B-9397-08002B2CF9AE}" pid="4" name="IWPOrganisationalUnit">
    <vt:lpwstr>4;#Education Standards Directorate|0bb1b330-0f80-45f3-9dcd-af0b6ab04a85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y fmtid="{D5CDD505-2E9C-101B-9397-08002B2CF9AE}" pid="10" name="_dlc_DocIdItemGuid">
    <vt:lpwstr>283c0d24-8eb6-40cf-8422-0d68d37d2d8c</vt:lpwstr>
  </property>
</Properties>
</file>