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pos="4513"/>
          <w:tab w:val="right" w:pos="9026"/>
        </w:tabs>
        <w:spacing w:after="0" w:lineRule="auto"/>
        <w:jc w:val="left"/>
        <w:rPr>
          <w:rFonts w:ascii="Arial" w:cs="Arial" w:eastAsia="Arial" w:hAnsi="Arial"/>
          <w:b w:val="1"/>
          <w:smallCaps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b w:val="1"/>
          <w:smallCaps w:val="1"/>
          <w:color w:val="000000"/>
          <w:sz w:val="36"/>
          <w:szCs w:val="36"/>
        </w:rPr>
      </w:pPr>
      <w:r w:rsidDel="00000000" w:rsidR="00000000" w:rsidRPr="00000000">
        <w:rPr>
          <w:rFonts w:ascii="Arial" w:cs="Arial" w:eastAsia="Arial" w:hAnsi="Arial"/>
          <w:b w:val="1"/>
          <w:color w:val="000000"/>
          <w:sz w:val="36"/>
          <w:szCs w:val="36"/>
          <w:rtl w:val="0"/>
        </w:rPr>
        <w:t xml:space="preserve">Call-Off Schedule 3 (Continuous Improvement) </w:t>
      </w:r>
      <w:r w:rsidDel="00000000" w:rsidR="00000000" w:rsidRPr="00000000">
        <w:rPr>
          <w:rtl w:val="0"/>
        </w:rPr>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tabs>
          <w:tab w:val="left" w:pos="142"/>
        </w:tabs>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4">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610.0" w:type="dxa"/>
        <w:jc w:val="left"/>
        <w:tblInd w:w="709.0" w:type="dxa"/>
        <w:tblLayout w:type="fixed"/>
        <w:tblLook w:val="0400"/>
      </w:tblPr>
      <w:tblGrid>
        <w:gridCol w:w="2410"/>
        <w:gridCol w:w="6200"/>
        <w:tblGridChange w:id="0">
          <w:tblGrid>
            <w:gridCol w:w="2410"/>
            <w:gridCol w:w="6200"/>
          </w:tblGrid>
        </w:tblGridChange>
      </w:tblGrid>
      <w:tr>
        <w:trPr>
          <w:cantSplit w:val="0"/>
          <w:tblHeader w:val="0"/>
        </w:trPr>
        <w:tc>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"Continuous Improvement Plan"</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meaning set out in Paragraph 3.3 below; and</w:t>
            </w:r>
          </w:p>
        </w:tc>
      </w:tr>
      <w:tr>
        <w:trPr>
          <w:cantSplit w:val="0"/>
          <w:tblHeader w:val="0"/>
        </w:trPr>
        <w:tc>
          <w:tcPr/>
          <w:p w:rsidR="00000000" w:rsidDel="00000000" w:rsidP="00000000" w:rsidRDefault="00000000" w:rsidRPr="00000000" w14:paraId="000000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68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social value as described in the Public Services (Social Value) Act 2012 as amended from time to time; and</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68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environmental, social and economic benefits associated with, relevant and proportionate to, the subject matter of the Contract and accruing to the area in which the Buyer is operating. </w:t>
            </w:r>
          </w:p>
        </w:tc>
      </w:tr>
    </w:tbl>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tabs>
          <w:tab w:val="left" w:pos="142"/>
        </w:tabs>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Buyer’s Rights</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tabs>
          <w:tab w:val="left" w:pos="142"/>
        </w:tabs>
        <w:spacing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Obligations</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must, throughout the Contract Period, identify new or potential improvements to the provision of the Deliverables (including improvements to the Social Value it delivers) with a view to reducing the Buyer’s costs (including the Charges) and/or improving the quality and efficiency of the Deliverables and their supply to the Buyer.  </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adopt a policy of continuous improvement in relation to the Deliverables (including improvements to the Social Value it delivers),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In addition to Paragraph 3.1,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color w:val="000000"/>
          <w:sz w:val="24"/>
          <w:szCs w:val="24"/>
          <w:rtl w:val="0"/>
        </w:rPr>
        <w:t xml:space="preserve">Continuous Improvement Plan</w:t>
      </w:r>
      <w:r w:rsidDel="00000000" w:rsidR="00000000" w:rsidRPr="00000000">
        <w:rPr>
          <w:rFonts w:ascii="Arial" w:cs="Arial" w:eastAsia="Arial" w:hAnsi="Arial"/>
          <w:color w:val="000000"/>
          <w:sz w:val="24"/>
          <w:szCs w:val="24"/>
          <w:rtl w:val="0"/>
        </w:rPr>
        <w:t xml:space="preserve">") for the Buyer's Approval.  The Continuous Improvement Plan must include, as a minimum, proposals: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134"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3.3.1  identifying the emergence of relevant new and evolving technologies;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3.3.2  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3.3.3 identifying and implementing efficiencies in the Supplier's internal processes and administration that may lead to cost savings and reductions in the Charges;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3.3.4 identifying and implementing efficiencies in the way the Buyer interacts with the Supplier that may lead to cost savings and reductions in the Charges;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3.3.5 baselining the quality of the  Services and its cost structure and demonstrating the efficacy of its Continuous Improvement Plan on each element during the Contract Period;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3.3.6 identifying and implementing processes that may lead to quantifiable Social Value benefits to the Buyer;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3.3.7 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3.3.8 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the first Continuous Improvement Plan has been Approved in accordance with Paragraph 3.5: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27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3.8.1 the Supplier shall use all reasonable endeavours to implement any agreed deliverables in accordance with the Continuous Improvement Plan; and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27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3.8.2 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update the Continuous Improvement Plan as and when required but at least once every Contract Year (after the first (1st) Contract Year) in accordance with the procedure and timescales set out in Paragraph 3.3. </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tabs>
          <w:tab w:val="left" w:pos="1134"/>
        </w:tabs>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24">
      <w:pPr>
        <w:rPr/>
      </w:pPr>
      <w:bookmarkStart w:colFirst="0" w:colLast="0" w:name="_heading=h.3dy6vkm" w:id="6"/>
      <w:bookmarkEnd w:id="6"/>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F">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Rule="auto"/>
      <w:rPr>
        <w:color w:val="a6a6a6"/>
      </w:rPr>
    </w:pPr>
    <w:r w:rsidDel="00000000" w:rsidR="00000000" w:rsidRPr="00000000">
      <w:rPr>
        <w:rFonts w:ascii="Arial" w:cs="Arial" w:eastAsia="Arial" w:hAnsi="Arial"/>
        <w:color w:val="a6a6a6"/>
        <w:sz w:val="20"/>
        <w:szCs w:val="20"/>
        <w:rtl w:val="0"/>
      </w:rPr>
      <w:t xml:space="preserve">Model Version : v3.0</w:t>
      <w:tab/>
      <w:tab/>
    </w:r>
    <w:r w:rsidDel="00000000" w:rsidR="00000000" w:rsidRPr="00000000">
      <w:rPr>
        <w:color w:val="a6a6a6"/>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3 (Continuous Improvement)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CCCC21B23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bookmarkStart w:colFirst="0" w:colLast="0" w:name="_heading=h.1t3h5sf" w:id="7"/>
    <w:bookmarkEnd w:id="7"/>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2022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13"/>
        <w:tab w:val="right"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13"/>
        <w:tab w:val="right" w:pos="9026"/>
      </w:tabs>
      <w:spacing w:after="0" w:lineRule="auto"/>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pos="4513"/>
        <w:tab w:val="right" w:pos="9026"/>
      </w:tabs>
      <w:spacing w:after="0" w:lineRule="auto"/>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13"/>
        <w:tab w:val="right"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2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588" w:hanging="866.9999999999999"/>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tabs>
        <w:tab w:val="left" w:pos="3686"/>
        <w:tab w:val="num" w:pos="4320"/>
      </w:tabs>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pPr>
    <w:rPr>
      <w:rFonts w:cs="Arial" w:eastAsia="Times New Roman"/>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aOP1IIubUWbNSj/0jfZroXW4g==">AMUW2mXnPa5fq9SWJffQDtp6aGwtgfaZK3aB9JGpJ9GBD9vSDRdRByFrUscszQeuGh7dT26FHr+qadOZdEEr4A65jqJpKGVm3inrq59lYrutQl7930+Yg/C5zG2HELybixLGygMOl+OS99vGKVIAi0+6geTMD57bx3Hd+fo1005uGayErUw/i9EJnw8rGGYTM3RMPFGg9K/H5QDuQaUAXrh8kVZRl7rL+9zlk9ZvLG9LWleR60jAfko=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2022-08-18T10:30:00Z</dcterms:created>
  <dc:creator>Kelly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