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BDA" w:rsidRPr="00211547" w:rsidRDefault="00C80BDA" w:rsidP="00C80BDA">
      <w:pPr>
        <w:spacing w:line="360" w:lineRule="auto"/>
        <w:rPr>
          <w:rFonts w:ascii="Arial" w:hAnsi="Arial" w:cs="Arial"/>
          <w:b/>
          <w:color w:val="C00000"/>
        </w:rPr>
      </w:pPr>
    </w:p>
    <w:p w:rsidR="008372C3" w:rsidRDefault="008372C3" w:rsidP="00C80BDA">
      <w:pPr>
        <w:pStyle w:val="Heading1"/>
        <w:ind w:left="0"/>
        <w:jc w:val="center"/>
        <w:rPr>
          <w:color w:val="0066FF"/>
          <w:sz w:val="40"/>
        </w:rPr>
      </w:pPr>
      <w:bookmarkStart w:id="0" w:name="_Toc448914365"/>
    </w:p>
    <w:p w:rsidR="008372C3" w:rsidRDefault="008372C3" w:rsidP="00C80BDA">
      <w:pPr>
        <w:pStyle w:val="Heading1"/>
        <w:ind w:left="0"/>
        <w:jc w:val="center"/>
        <w:rPr>
          <w:color w:val="0066FF"/>
          <w:sz w:val="40"/>
        </w:rPr>
      </w:pPr>
    </w:p>
    <w:p w:rsidR="008372C3" w:rsidRDefault="008372C3" w:rsidP="00C80BDA">
      <w:pPr>
        <w:pStyle w:val="Heading1"/>
        <w:ind w:left="0"/>
        <w:jc w:val="center"/>
        <w:rPr>
          <w:color w:val="0066FF"/>
          <w:sz w:val="40"/>
        </w:rPr>
      </w:pPr>
    </w:p>
    <w:p w:rsidR="00C80BDA" w:rsidRDefault="00C80BDA" w:rsidP="00C80BDA">
      <w:pPr>
        <w:pStyle w:val="Heading1"/>
        <w:ind w:left="0"/>
        <w:jc w:val="center"/>
        <w:rPr>
          <w:color w:val="0066FF"/>
          <w:sz w:val="40"/>
        </w:rPr>
      </w:pPr>
      <w:r w:rsidRPr="00211547">
        <w:rPr>
          <w:color w:val="0066FF"/>
          <w:sz w:val="40"/>
        </w:rPr>
        <w:t>S</w:t>
      </w:r>
      <w:bookmarkEnd w:id="0"/>
      <w:r w:rsidR="008372C3">
        <w:rPr>
          <w:color w:val="0066FF"/>
          <w:sz w:val="40"/>
        </w:rPr>
        <w:t>UPPORT TO DEVELOP SPECIALISED COMMISSIONING POLICIES AND SERVICE SPECIFICATIONS FOR 2016/17 TO 2018/19</w:t>
      </w:r>
    </w:p>
    <w:p w:rsidR="008372C3" w:rsidRDefault="008372C3" w:rsidP="008372C3"/>
    <w:p w:rsidR="008372C3" w:rsidRPr="008372C3" w:rsidRDefault="008372C3" w:rsidP="008372C3"/>
    <w:p w:rsidR="00C80BDA" w:rsidRDefault="00C80BDA" w:rsidP="00C80BDA">
      <w:pPr>
        <w:spacing w:line="360" w:lineRule="auto"/>
        <w:rPr>
          <w:rFonts w:ascii="Arial" w:hAnsi="Arial" w:cs="Arial"/>
          <w:b/>
          <w:color w:val="C00000"/>
        </w:rPr>
      </w:pPr>
    </w:p>
    <w:p w:rsidR="00C9556D" w:rsidRDefault="00C9556D" w:rsidP="00C80BDA">
      <w:pPr>
        <w:spacing w:line="360" w:lineRule="auto"/>
        <w:rPr>
          <w:rFonts w:ascii="Arial" w:hAnsi="Arial" w:cs="Arial"/>
          <w:b/>
          <w:color w:val="C00000"/>
        </w:rPr>
      </w:pPr>
    </w:p>
    <w:p w:rsidR="00C9556D" w:rsidRDefault="00C9556D" w:rsidP="00C80BDA">
      <w:pPr>
        <w:spacing w:line="360" w:lineRule="auto"/>
        <w:rPr>
          <w:rFonts w:ascii="Arial" w:hAnsi="Arial" w:cs="Arial"/>
          <w:b/>
          <w:color w:val="C00000"/>
        </w:rPr>
      </w:pPr>
    </w:p>
    <w:p w:rsidR="00C9556D" w:rsidRDefault="00C9556D" w:rsidP="00C80BDA">
      <w:pPr>
        <w:spacing w:line="360" w:lineRule="auto"/>
        <w:rPr>
          <w:rFonts w:ascii="Arial" w:hAnsi="Arial" w:cs="Arial"/>
          <w:b/>
          <w:color w:val="C00000"/>
        </w:rPr>
      </w:pPr>
    </w:p>
    <w:p w:rsidR="00C9556D" w:rsidRDefault="00C9556D" w:rsidP="00C80BDA">
      <w:pPr>
        <w:spacing w:line="360" w:lineRule="auto"/>
        <w:rPr>
          <w:rFonts w:ascii="Arial" w:hAnsi="Arial" w:cs="Arial"/>
          <w:b/>
          <w:color w:val="C00000"/>
        </w:rPr>
      </w:pPr>
    </w:p>
    <w:p w:rsidR="00C9556D" w:rsidRDefault="00C9556D" w:rsidP="00C80BDA">
      <w:pPr>
        <w:spacing w:line="360" w:lineRule="auto"/>
        <w:rPr>
          <w:rFonts w:ascii="Arial" w:hAnsi="Arial" w:cs="Arial"/>
          <w:b/>
          <w:color w:val="C00000"/>
        </w:rPr>
      </w:pPr>
    </w:p>
    <w:p w:rsidR="00C9556D" w:rsidRDefault="00C9556D" w:rsidP="00C80BDA">
      <w:pPr>
        <w:spacing w:line="360" w:lineRule="auto"/>
        <w:rPr>
          <w:rFonts w:ascii="Arial" w:hAnsi="Arial" w:cs="Arial"/>
          <w:b/>
          <w:color w:val="C00000"/>
        </w:rPr>
      </w:pPr>
    </w:p>
    <w:p w:rsidR="00C9556D" w:rsidRPr="00211547" w:rsidRDefault="00C9556D" w:rsidP="00C80BDA">
      <w:pPr>
        <w:spacing w:line="360" w:lineRule="auto"/>
        <w:rPr>
          <w:rFonts w:ascii="Arial" w:hAnsi="Arial" w:cs="Arial"/>
          <w:b/>
          <w:color w:val="C00000"/>
        </w:rPr>
      </w:pPr>
    </w:p>
    <w:p w:rsidR="00C80BDA" w:rsidRPr="00211547" w:rsidRDefault="00C80BDA" w:rsidP="00C80BDA">
      <w:pPr>
        <w:spacing w:line="360" w:lineRule="auto"/>
        <w:rPr>
          <w:rFonts w:ascii="Arial" w:hAnsi="Arial" w:cs="Arial"/>
          <w:b/>
          <w:color w:val="C00000"/>
        </w:rPr>
      </w:pPr>
    </w:p>
    <w:p w:rsidR="008372C3" w:rsidRPr="001A215E" w:rsidRDefault="00C9556D" w:rsidP="008372C3">
      <w:pPr>
        <w:spacing w:line="360" w:lineRule="auto"/>
        <w:rPr>
          <w:rFonts w:ascii="Arial" w:hAnsi="Arial" w:cs="Arial"/>
          <w:b/>
          <w:color w:val="365F91" w:themeColor="accent1" w:themeShade="BF"/>
        </w:rPr>
      </w:pPr>
      <w:r>
        <w:rPr>
          <w:rFonts w:ascii="Arial" w:hAnsi="Arial" w:cs="Arial"/>
          <w:b/>
          <w:color w:val="365F91" w:themeColor="accent1" w:themeShade="BF"/>
        </w:rPr>
        <w:t>Final Version: 1.0</w:t>
      </w:r>
      <w:r w:rsidR="008372C3" w:rsidRPr="001A215E">
        <w:rPr>
          <w:rFonts w:ascii="Arial" w:hAnsi="Arial" w:cs="Arial"/>
          <w:b/>
          <w:color w:val="365F91" w:themeColor="accent1" w:themeShade="BF"/>
        </w:rPr>
        <w:t xml:space="preserve"> </w:t>
      </w:r>
    </w:p>
    <w:p w:rsidR="008372C3" w:rsidRPr="001A215E" w:rsidRDefault="00C9556D" w:rsidP="008372C3">
      <w:pPr>
        <w:spacing w:line="360" w:lineRule="auto"/>
        <w:rPr>
          <w:rFonts w:ascii="Arial" w:hAnsi="Arial" w:cs="Arial"/>
          <w:b/>
          <w:color w:val="365F91" w:themeColor="accent1" w:themeShade="BF"/>
        </w:rPr>
      </w:pPr>
      <w:r>
        <w:rPr>
          <w:rFonts w:ascii="Arial" w:hAnsi="Arial" w:cs="Arial"/>
          <w:b/>
          <w:color w:val="365F91" w:themeColor="accent1" w:themeShade="BF"/>
        </w:rPr>
        <w:t>Date: 10.10</w:t>
      </w:r>
      <w:r w:rsidR="008372C3" w:rsidRPr="001A215E">
        <w:rPr>
          <w:rFonts w:ascii="Arial" w:hAnsi="Arial" w:cs="Arial"/>
          <w:b/>
          <w:color w:val="365F91" w:themeColor="accent1" w:themeShade="BF"/>
        </w:rPr>
        <w:t xml:space="preserve"> 2016 </w:t>
      </w:r>
    </w:p>
    <w:p w:rsidR="008372C3" w:rsidRPr="001A215E" w:rsidRDefault="008372C3" w:rsidP="008372C3">
      <w:pPr>
        <w:spacing w:line="360" w:lineRule="auto"/>
        <w:rPr>
          <w:rFonts w:ascii="Arial" w:hAnsi="Arial" w:cs="Arial"/>
          <w:b/>
          <w:color w:val="365F91" w:themeColor="accent1" w:themeShade="BF"/>
        </w:rPr>
      </w:pPr>
      <w:r>
        <w:rPr>
          <w:rFonts w:ascii="Arial" w:hAnsi="Arial" w:cs="Arial"/>
          <w:b/>
          <w:color w:val="365F91" w:themeColor="accent1" w:themeShade="BF"/>
        </w:rPr>
        <w:t xml:space="preserve">Authors: Ahmed Syed &amp; Donna Hakes </w:t>
      </w:r>
      <w:r w:rsidRPr="001A215E">
        <w:rPr>
          <w:rFonts w:ascii="Arial" w:hAnsi="Arial" w:cs="Arial"/>
          <w:b/>
          <w:color w:val="365F91" w:themeColor="accent1" w:themeShade="BF"/>
        </w:rPr>
        <w:t xml:space="preserve"> </w:t>
      </w:r>
    </w:p>
    <w:p w:rsidR="006415AA" w:rsidRPr="00211547" w:rsidRDefault="006415AA" w:rsidP="006415AA">
      <w:pPr>
        <w:rPr>
          <w:rFonts w:ascii="Arial" w:hAnsi="Arial" w:cs="Arial"/>
        </w:rPr>
      </w:pPr>
    </w:p>
    <w:p w:rsidR="006415AA" w:rsidRPr="00211547" w:rsidRDefault="006415AA" w:rsidP="006415AA">
      <w:pPr>
        <w:rPr>
          <w:rFonts w:ascii="Arial" w:hAnsi="Arial" w:cs="Arial"/>
        </w:rPr>
      </w:pPr>
    </w:p>
    <w:p w:rsidR="00C9556D" w:rsidRDefault="00C9556D">
      <w:pPr>
        <w:spacing w:after="200" w:line="276" w:lineRule="auto"/>
        <w:rPr>
          <w:rFonts w:ascii="Arial" w:eastAsia="BatangChe" w:hAnsi="Arial" w:cs="Arial"/>
          <w:b/>
          <w:bCs/>
          <w:color w:val="0066FF"/>
          <w:kern w:val="32"/>
          <w:sz w:val="36"/>
          <w:szCs w:val="36"/>
        </w:rPr>
      </w:pPr>
      <w:bookmarkStart w:id="1" w:name="_Toc448914366"/>
      <w:r>
        <w:rPr>
          <w:color w:val="0066FF"/>
          <w:sz w:val="36"/>
          <w:szCs w:val="36"/>
        </w:rPr>
        <w:br w:type="page"/>
      </w:r>
    </w:p>
    <w:p w:rsidR="00932E05" w:rsidRPr="009E050E" w:rsidRDefault="00390E69" w:rsidP="008372C3">
      <w:pPr>
        <w:pStyle w:val="Heading1"/>
        <w:ind w:left="0"/>
        <w:jc w:val="both"/>
        <w:rPr>
          <w:color w:val="0066FF"/>
          <w:sz w:val="36"/>
          <w:szCs w:val="36"/>
        </w:rPr>
      </w:pPr>
      <w:r w:rsidRPr="009E050E">
        <w:rPr>
          <w:color w:val="0066FF"/>
          <w:sz w:val="36"/>
          <w:szCs w:val="36"/>
        </w:rPr>
        <w:lastRenderedPageBreak/>
        <w:t>Specification of Requirements</w:t>
      </w:r>
      <w:bookmarkEnd w:id="1"/>
    </w:p>
    <w:p w:rsidR="00932E05" w:rsidRPr="00212556" w:rsidRDefault="00932E05" w:rsidP="00B84869">
      <w:pPr>
        <w:pStyle w:val="Heading2"/>
        <w:ind w:left="426" w:hanging="426"/>
        <w:jc w:val="both"/>
        <w:rPr>
          <w:rFonts w:cs="Arial"/>
        </w:rPr>
      </w:pPr>
      <w:bookmarkStart w:id="2" w:name="_Toc448914367"/>
      <w:r w:rsidRPr="00212556">
        <w:rPr>
          <w:rFonts w:cs="Arial"/>
        </w:rPr>
        <w:t>Background to the requirements</w:t>
      </w:r>
      <w:bookmarkEnd w:id="2"/>
    </w:p>
    <w:p w:rsidR="00932E05" w:rsidRPr="009E050E" w:rsidRDefault="008372C3" w:rsidP="00212556">
      <w:pPr>
        <w:pStyle w:val="Heading3"/>
        <w:ind w:left="567" w:hanging="567"/>
        <w:jc w:val="both"/>
        <w:rPr>
          <w:rFonts w:cs="Arial"/>
          <w:b/>
        </w:rPr>
      </w:pPr>
      <w:r w:rsidRPr="009E050E">
        <w:rPr>
          <w:rFonts w:cs="Arial"/>
          <w:b/>
        </w:rPr>
        <w:t xml:space="preserve">Introduction </w:t>
      </w:r>
      <w:r w:rsidR="008466DA" w:rsidRPr="009E050E">
        <w:rPr>
          <w:rFonts w:cs="Arial"/>
          <w:b/>
        </w:rPr>
        <w:t xml:space="preserve"> </w:t>
      </w:r>
    </w:p>
    <w:p w:rsidR="008372C3" w:rsidRPr="009E050E" w:rsidRDefault="008372C3" w:rsidP="00B84869">
      <w:pPr>
        <w:pStyle w:val="Heading4"/>
        <w:ind w:left="1134" w:hanging="992"/>
        <w:jc w:val="both"/>
      </w:pPr>
      <w:r w:rsidRPr="009E050E">
        <w:t xml:space="preserve">This is an invitation for bids from the NHS England Lead Provider Framework (LPF) Agreement – Lot 1 End to End Commissioning Support Services to provide support to develop specialised </w:t>
      </w:r>
      <w:r w:rsidR="00FA1CEC" w:rsidRPr="009E050E">
        <w:t xml:space="preserve">clinical </w:t>
      </w:r>
      <w:r w:rsidR="009271AD" w:rsidRPr="009E050E">
        <w:t>c</w:t>
      </w:r>
      <w:r w:rsidRPr="009E050E">
        <w:t xml:space="preserve">ommissioning </w:t>
      </w:r>
      <w:r w:rsidR="009271AD" w:rsidRPr="009E050E">
        <w:t xml:space="preserve">policies and service specifications for 2016/17 to 2018/19. </w:t>
      </w:r>
      <w:r w:rsidRPr="009E050E">
        <w:t xml:space="preserve"> </w:t>
      </w:r>
    </w:p>
    <w:p w:rsidR="009271AD" w:rsidRPr="009E050E" w:rsidRDefault="008372C3" w:rsidP="00B84869">
      <w:pPr>
        <w:pStyle w:val="Heading4"/>
        <w:ind w:left="1134" w:hanging="992"/>
        <w:jc w:val="both"/>
      </w:pPr>
      <w:r w:rsidRPr="009E050E">
        <w:t>Call-Off Contract</w:t>
      </w:r>
      <w:r w:rsidR="00B84869" w:rsidRPr="009E050E">
        <w:t>s</w:t>
      </w:r>
      <w:r w:rsidRPr="009E050E">
        <w:t xml:space="preserve"> will be established with selected Providers from Lot 1 of the LPF Agreement to deliver the requirements outlined within this specification document</w:t>
      </w:r>
      <w:r w:rsidR="009271AD" w:rsidRPr="009E050E">
        <w:t>.</w:t>
      </w:r>
    </w:p>
    <w:p w:rsidR="009271AD" w:rsidRPr="009E050E" w:rsidRDefault="009271AD" w:rsidP="00B84869">
      <w:pPr>
        <w:pStyle w:val="Heading4"/>
        <w:ind w:left="1134" w:hanging="992"/>
        <w:jc w:val="both"/>
      </w:pPr>
      <w:r w:rsidRPr="009E050E">
        <w:t>The NHS England may award up to three (3) Providers with Call-Off Contracts to deliver these requirements</w:t>
      </w:r>
      <w:r w:rsidR="00F85D75" w:rsidRPr="009E050E">
        <w:t xml:space="preserve">. </w:t>
      </w:r>
      <w:r w:rsidR="00AF20B9" w:rsidRPr="009E050E">
        <w:t xml:space="preserve">The rationale in appointing more than one provider is to mitigate possible risks and issues </w:t>
      </w:r>
      <w:r w:rsidR="00FA1CEC" w:rsidRPr="009E050E">
        <w:t>in delivery</w:t>
      </w:r>
      <w:r w:rsidR="00AF20B9" w:rsidRPr="009E050E">
        <w:t xml:space="preserve"> of the work related such as provider</w:t>
      </w:r>
      <w:r w:rsidR="00F85D75" w:rsidRPr="009E050E">
        <w:t xml:space="preserve"> capacity, conflicts of interests </w:t>
      </w:r>
      <w:r w:rsidR="00F90663" w:rsidRPr="009E050E">
        <w:t>and likely impact of</w:t>
      </w:r>
      <w:r w:rsidR="00AB6FE9" w:rsidRPr="009E050E">
        <w:t xml:space="preserve"> </w:t>
      </w:r>
      <w:r w:rsidR="00F85D75" w:rsidRPr="009E050E">
        <w:t>unforeseen delays</w:t>
      </w:r>
      <w:r w:rsidR="008372C3" w:rsidRPr="009E050E">
        <w:t xml:space="preserve">. </w:t>
      </w:r>
      <w:r w:rsidR="00D97FE8" w:rsidRPr="009E050E">
        <w:t xml:space="preserve">The resulting awarded Call-Off Contracts are expected to operate as follows: </w:t>
      </w:r>
    </w:p>
    <w:p w:rsidR="00D97FE8" w:rsidRPr="009E050E" w:rsidRDefault="009271AD" w:rsidP="00B84869">
      <w:pPr>
        <w:pStyle w:val="Heading4"/>
        <w:numPr>
          <w:ilvl w:val="3"/>
          <w:numId w:val="3"/>
        </w:numPr>
        <w:jc w:val="both"/>
      </w:pPr>
      <w:r w:rsidRPr="009E050E">
        <w:t>The top ranking Provider from the resulting Further Competition process will be appointed as a Preferred Provider</w:t>
      </w:r>
      <w:r w:rsidR="00D97FE8" w:rsidRPr="009E050E">
        <w:t>.</w:t>
      </w:r>
      <w:r w:rsidRPr="009E050E">
        <w:t xml:space="preserve"> </w:t>
      </w:r>
      <w:r w:rsidR="00D97FE8" w:rsidRPr="009E050E">
        <w:t xml:space="preserve">The Preferred Provider appointed a Call-Off Contract, would be automatically granted the right to deliver the requirements as outlined in this document, in the first instance. </w:t>
      </w:r>
    </w:p>
    <w:p w:rsidR="00D97FE8" w:rsidRPr="009E050E" w:rsidRDefault="00D97FE8" w:rsidP="00B84869">
      <w:pPr>
        <w:pStyle w:val="Heading4"/>
        <w:numPr>
          <w:ilvl w:val="3"/>
          <w:numId w:val="3"/>
        </w:numPr>
        <w:jc w:val="both"/>
      </w:pPr>
      <w:r w:rsidRPr="009E050E">
        <w:t>Where the Preferred Provider cannot deliver the requirements during the term of the Call-Off Contract due to capacity or conflict of interest issues, then the Second Ranking Provider awarded a Call-Off contract following the conclusion of the Further Competition, would be granted the right to deliver the requirements.</w:t>
      </w:r>
    </w:p>
    <w:p w:rsidR="00D97FE8" w:rsidRPr="009E050E" w:rsidRDefault="00D97FE8" w:rsidP="00B84869">
      <w:pPr>
        <w:pStyle w:val="Heading4"/>
        <w:numPr>
          <w:ilvl w:val="3"/>
          <w:numId w:val="3"/>
        </w:numPr>
        <w:jc w:val="both"/>
      </w:pPr>
      <w:r w:rsidRPr="009E050E">
        <w:lastRenderedPageBreak/>
        <w:t xml:space="preserve">Where the Second Ranking Provider cannot deliver the requirements during the term of the Call-Off Contract due to capacity or conflict of interest issues, then the Third Ranking Provider awarded a Call-Off contract following the conclusion of the Further Competition, would be granted the right to deliver the requirements .  </w:t>
      </w:r>
      <w:r w:rsidR="008372C3" w:rsidRPr="009E050E">
        <w:t xml:space="preserve"> </w:t>
      </w:r>
    </w:p>
    <w:p w:rsidR="00D97FE8" w:rsidRPr="009E050E" w:rsidRDefault="00EB1703" w:rsidP="00212556">
      <w:pPr>
        <w:pStyle w:val="Heading3"/>
        <w:ind w:left="709" w:hanging="567"/>
        <w:jc w:val="both"/>
        <w:rPr>
          <w:rFonts w:cs="Arial"/>
          <w:b/>
        </w:rPr>
      </w:pPr>
      <w:r w:rsidRPr="009E050E">
        <w:rPr>
          <w:rFonts w:cs="Arial"/>
          <w:b/>
        </w:rPr>
        <w:t>Background and c</w:t>
      </w:r>
      <w:r w:rsidR="00D97FE8" w:rsidRPr="009E050E">
        <w:rPr>
          <w:rFonts w:cs="Arial"/>
          <w:b/>
        </w:rPr>
        <w:t xml:space="preserve">ontext   </w:t>
      </w:r>
    </w:p>
    <w:p w:rsidR="007C29D1" w:rsidRPr="009E050E" w:rsidRDefault="00133374" w:rsidP="00B84869">
      <w:pPr>
        <w:pStyle w:val="Heading4"/>
        <w:ind w:left="1134" w:hanging="992"/>
        <w:jc w:val="both"/>
      </w:pPr>
      <w:r w:rsidRPr="009E050E">
        <w:rPr>
          <w:rFonts w:cs="Arial"/>
        </w:rPr>
        <w:t>NHS</w:t>
      </w:r>
      <w:r w:rsidRPr="009E050E">
        <w:t xml:space="preserve"> England has held the direct commissioning responsibility for prescribed specialised services since April 2013. As part of these duties, NHS England </w:t>
      </w:r>
      <w:r w:rsidR="007C29D1" w:rsidRPr="009E050E">
        <w:t>is responsible for programme management of the development, testing and adoption of a range of clinical commissioning policies and service specifications.  The</w:t>
      </w:r>
      <w:r w:rsidR="0034360A" w:rsidRPr="009E050E">
        <w:t xml:space="preserve">se </w:t>
      </w:r>
      <w:r w:rsidR="007C29D1" w:rsidRPr="009E050E">
        <w:t>set out the nationally consistent commissioning position for specific treatments, technologies and services to ensure equal access for defined groups of patients, for which NHS England has legislative responsibility for.</w:t>
      </w:r>
    </w:p>
    <w:p w:rsidR="000F2A39" w:rsidRPr="009E050E" w:rsidRDefault="000F2A39" w:rsidP="00B84869">
      <w:pPr>
        <w:pStyle w:val="Heading4"/>
        <w:ind w:left="1134" w:hanging="992"/>
        <w:jc w:val="both"/>
        <w:rPr>
          <w:rFonts w:cs="Arial"/>
          <w:bCs w:val="0"/>
          <w:iCs w:val="0"/>
        </w:rPr>
      </w:pPr>
      <w:r w:rsidRPr="009E050E">
        <w:t xml:space="preserve">The </w:t>
      </w:r>
      <w:proofErr w:type="gramStart"/>
      <w:r w:rsidRPr="009E050E">
        <w:t>programme</w:t>
      </w:r>
      <w:proofErr w:type="gramEnd"/>
      <w:r w:rsidRPr="009E050E">
        <w:t xml:space="preserve"> of </w:t>
      </w:r>
      <w:r w:rsidR="001573DC" w:rsidRPr="009E050E">
        <w:t xml:space="preserve">clinical evidence </w:t>
      </w:r>
      <w:r w:rsidRPr="009E050E">
        <w:t>reviews, which are based on treatment topics, are agreed on an annual basis (ongoing) with the flexibility to add new topics should they be considered clinically necessary through horizon scanning systems. The nature of this programme planning makes it essential that there is in place long term contractua</w:t>
      </w:r>
      <w:r w:rsidR="00F249FD" w:rsidRPr="009E050E">
        <w:t>l relationship with specialist P</w:t>
      </w:r>
      <w:r w:rsidRPr="009E050E">
        <w:t xml:space="preserve">roviders who can deliver this element of our programme requirement. </w:t>
      </w:r>
    </w:p>
    <w:p w:rsidR="00324D05" w:rsidRPr="009E050E" w:rsidRDefault="00CA5DAF" w:rsidP="00B84869">
      <w:pPr>
        <w:pStyle w:val="Heading4"/>
        <w:ind w:left="1134" w:hanging="992"/>
        <w:jc w:val="both"/>
        <w:rPr>
          <w:rFonts w:cs="Arial"/>
          <w:bCs w:val="0"/>
          <w:iCs w:val="0"/>
        </w:rPr>
      </w:pPr>
      <w:r w:rsidRPr="009E050E">
        <w:rPr>
          <w:rFonts w:cs="Arial"/>
          <w:bCs w:val="0"/>
          <w:iCs w:val="0"/>
        </w:rPr>
        <w:t>Specialised Services have a single operating model which applies equally across the population of England.</w:t>
      </w:r>
    </w:p>
    <w:p w:rsidR="00CA5DAF" w:rsidRPr="009E050E" w:rsidRDefault="00133374" w:rsidP="00B84869">
      <w:pPr>
        <w:pStyle w:val="Heading4"/>
        <w:ind w:left="1134" w:hanging="992"/>
        <w:jc w:val="both"/>
        <w:rPr>
          <w:rFonts w:cs="Arial"/>
          <w:bCs w:val="0"/>
          <w:iCs w:val="0"/>
        </w:rPr>
      </w:pPr>
      <w:r w:rsidRPr="009E050E">
        <w:rPr>
          <w:rFonts w:cs="Arial"/>
          <w:bCs w:val="0"/>
          <w:iCs w:val="0"/>
        </w:rPr>
        <w:t>Specialised services clinical commissioning policies</w:t>
      </w:r>
      <w:r w:rsidR="006D32B0" w:rsidRPr="009E050E">
        <w:rPr>
          <w:rFonts w:cs="Arial"/>
          <w:bCs w:val="0"/>
          <w:iCs w:val="0"/>
        </w:rPr>
        <w:t xml:space="preserve"> </w:t>
      </w:r>
      <w:r w:rsidRPr="009E050E">
        <w:rPr>
          <w:rFonts w:cs="Arial"/>
          <w:bCs w:val="0"/>
          <w:iCs w:val="0"/>
        </w:rPr>
        <w:t xml:space="preserve">form a critical part of NHS contracts, helping to ensure equitable access to evidence-based and cost-effective treatments and health technologies and providing clarity on whether or not treatments are routinely commissioned. Similarly, service specifications are important in clearly defining the standards of care </w:t>
      </w:r>
      <w:r w:rsidRPr="009E050E">
        <w:rPr>
          <w:rFonts w:cs="Arial"/>
          <w:bCs w:val="0"/>
          <w:iCs w:val="0"/>
        </w:rPr>
        <w:lastRenderedPageBreak/>
        <w:t>expected from organisations funded by NHS Engl</w:t>
      </w:r>
      <w:r w:rsidR="00CA5DAF" w:rsidRPr="009E050E">
        <w:rPr>
          <w:rFonts w:cs="Arial"/>
          <w:bCs w:val="0"/>
          <w:iCs w:val="0"/>
        </w:rPr>
        <w:t xml:space="preserve">and to provide specialised care. This approach promotes fairness and transparency in access to services ensuring whilst high quality care for patients </w:t>
      </w:r>
    </w:p>
    <w:p w:rsidR="00133374" w:rsidRPr="009E050E" w:rsidRDefault="00133374" w:rsidP="00B84869">
      <w:pPr>
        <w:pStyle w:val="Heading4"/>
        <w:ind w:left="1134" w:hanging="992"/>
        <w:jc w:val="both"/>
        <w:rPr>
          <w:rFonts w:cs="Arial"/>
        </w:rPr>
      </w:pPr>
      <w:r w:rsidRPr="009E050E">
        <w:rPr>
          <w:rFonts w:cs="Arial"/>
        </w:rPr>
        <w:t xml:space="preserve">In order to support funding decisions and </w:t>
      </w:r>
      <w:r w:rsidR="007F267B" w:rsidRPr="009E050E">
        <w:rPr>
          <w:rFonts w:cs="Arial"/>
        </w:rPr>
        <w:t xml:space="preserve">ensure </w:t>
      </w:r>
      <w:r w:rsidRPr="009E050E">
        <w:rPr>
          <w:rFonts w:cs="Arial"/>
        </w:rPr>
        <w:t xml:space="preserve">high standards of care, </w:t>
      </w:r>
      <w:r w:rsidR="007F267B" w:rsidRPr="009E050E">
        <w:rPr>
          <w:rFonts w:cs="Arial"/>
        </w:rPr>
        <w:t xml:space="preserve">development of </w:t>
      </w:r>
      <w:r w:rsidRPr="009E050E">
        <w:rPr>
          <w:rFonts w:cs="Arial"/>
        </w:rPr>
        <w:t xml:space="preserve">clinical </w:t>
      </w:r>
      <w:r w:rsidR="001573DC" w:rsidRPr="009E050E">
        <w:rPr>
          <w:rFonts w:cs="Arial"/>
        </w:rPr>
        <w:t xml:space="preserve">commissioning </w:t>
      </w:r>
      <w:r w:rsidRPr="009E050E">
        <w:rPr>
          <w:rFonts w:cs="Arial"/>
        </w:rPr>
        <w:t xml:space="preserve">policies and service specifications </w:t>
      </w:r>
      <w:r w:rsidR="007F267B" w:rsidRPr="009E050E">
        <w:rPr>
          <w:rFonts w:cs="Arial"/>
        </w:rPr>
        <w:t xml:space="preserve">is </w:t>
      </w:r>
      <w:r w:rsidRPr="009E050E">
        <w:rPr>
          <w:rFonts w:cs="Arial"/>
        </w:rPr>
        <w:t xml:space="preserve">informed by </w:t>
      </w:r>
      <w:r w:rsidR="001573DC" w:rsidRPr="009E050E">
        <w:rPr>
          <w:rFonts w:cs="Arial"/>
        </w:rPr>
        <w:t xml:space="preserve">clinical </w:t>
      </w:r>
      <w:r w:rsidRPr="009E050E">
        <w:rPr>
          <w:rFonts w:cs="Arial"/>
        </w:rPr>
        <w:t xml:space="preserve">evidence reviews. In addition </w:t>
      </w:r>
      <w:r w:rsidR="00F5204C" w:rsidRPr="009E050E">
        <w:rPr>
          <w:rFonts w:cs="Arial"/>
        </w:rPr>
        <w:t xml:space="preserve">to </w:t>
      </w:r>
      <w:r w:rsidR="00E22752" w:rsidRPr="009E050E">
        <w:rPr>
          <w:rFonts w:cs="Arial"/>
        </w:rPr>
        <w:t xml:space="preserve">clinical </w:t>
      </w:r>
      <w:r w:rsidR="00F5204C" w:rsidRPr="009E050E">
        <w:rPr>
          <w:rFonts w:cs="Arial"/>
        </w:rPr>
        <w:t xml:space="preserve">evidence reviews, activity, service and financial impact are undertaken to establish impact of </w:t>
      </w:r>
      <w:r w:rsidRPr="009E050E">
        <w:rPr>
          <w:rFonts w:cs="Arial"/>
        </w:rPr>
        <w:t xml:space="preserve">any proposed changes on services delivering care and the associated budget impact.  </w:t>
      </w:r>
      <w:r w:rsidR="00217D9C" w:rsidRPr="009E050E">
        <w:rPr>
          <w:rFonts w:cs="Arial"/>
        </w:rPr>
        <w:t>T</w:t>
      </w:r>
      <w:r w:rsidRPr="009E050E">
        <w:rPr>
          <w:rFonts w:cs="Arial"/>
        </w:rPr>
        <w:t xml:space="preserve">hese elements form part of the formal public consultation for </w:t>
      </w:r>
      <w:r w:rsidR="00217D9C" w:rsidRPr="009E050E">
        <w:rPr>
          <w:rFonts w:cs="Arial"/>
        </w:rPr>
        <w:t xml:space="preserve">clinical </w:t>
      </w:r>
      <w:r w:rsidR="007F6A50" w:rsidRPr="009E050E">
        <w:rPr>
          <w:rFonts w:cs="Arial"/>
        </w:rPr>
        <w:t xml:space="preserve">commissioning </w:t>
      </w:r>
      <w:r w:rsidR="00F5204C" w:rsidRPr="009E050E">
        <w:rPr>
          <w:rFonts w:cs="Arial"/>
        </w:rPr>
        <w:t xml:space="preserve">policy </w:t>
      </w:r>
      <w:r w:rsidR="00217D9C" w:rsidRPr="009E050E">
        <w:rPr>
          <w:rFonts w:cs="Arial"/>
        </w:rPr>
        <w:t xml:space="preserve">and service specification </w:t>
      </w:r>
      <w:r w:rsidRPr="009E050E">
        <w:rPr>
          <w:rFonts w:cs="Arial"/>
        </w:rPr>
        <w:t>proposals.</w:t>
      </w:r>
    </w:p>
    <w:p w:rsidR="00A200D0" w:rsidRPr="009E050E" w:rsidRDefault="00A200D0" w:rsidP="00DC5D4C">
      <w:pPr>
        <w:pStyle w:val="Heading4"/>
        <w:ind w:left="1134" w:hanging="992"/>
        <w:jc w:val="both"/>
        <w:rPr>
          <w:rFonts w:cs="Arial"/>
        </w:rPr>
      </w:pPr>
      <w:r w:rsidRPr="009E050E">
        <w:rPr>
          <w:rFonts w:cs="Arial"/>
          <w:bCs w:val="0"/>
          <w:iCs w:val="0"/>
        </w:rPr>
        <w:t>A</w:t>
      </w:r>
      <w:r w:rsidRPr="009E050E">
        <w:rPr>
          <w:rFonts w:cs="Arial"/>
        </w:rPr>
        <w:t>ll specialised services are grouped</w:t>
      </w:r>
      <w:r w:rsidRPr="009E050E">
        <w:rPr>
          <w:rFonts w:cs="Arial"/>
          <w:bCs w:val="0"/>
          <w:iCs w:val="0"/>
        </w:rPr>
        <w:t xml:space="preserve"> into six national programmes of care (</w:t>
      </w:r>
      <w:proofErr w:type="spellStart"/>
      <w:r w:rsidRPr="009E050E">
        <w:rPr>
          <w:rFonts w:cs="Arial"/>
          <w:bCs w:val="0"/>
          <w:iCs w:val="0"/>
        </w:rPr>
        <w:t>NPoCs</w:t>
      </w:r>
      <w:proofErr w:type="spellEnd"/>
      <w:r w:rsidRPr="009E050E">
        <w:rPr>
          <w:rFonts w:cs="Arial"/>
          <w:bCs w:val="0"/>
          <w:iCs w:val="0"/>
        </w:rPr>
        <w:t>)</w:t>
      </w:r>
      <w:r w:rsidRPr="009E050E">
        <w:rPr>
          <w:rFonts w:cs="Arial"/>
        </w:rPr>
        <w:t xml:space="preserve"> - Internal Medicine, Cancer, Blood and infection, Mental Health, Trauma and Women and Children. Each </w:t>
      </w:r>
      <w:proofErr w:type="spellStart"/>
      <w:r w:rsidRPr="009E050E">
        <w:rPr>
          <w:rFonts w:cs="Arial"/>
        </w:rPr>
        <w:t>NPoC</w:t>
      </w:r>
      <w:proofErr w:type="spellEnd"/>
      <w:r w:rsidRPr="009E050E">
        <w:rPr>
          <w:rFonts w:cs="Arial"/>
        </w:rPr>
        <w:t xml:space="preserve"> has several Clinical Reference Groups (CRGs) to provide clinical advice and leadership.</w:t>
      </w:r>
    </w:p>
    <w:p w:rsidR="000F348F" w:rsidRPr="009E050E" w:rsidRDefault="00D632DC" w:rsidP="00B84869">
      <w:pPr>
        <w:pStyle w:val="Heading4"/>
        <w:ind w:left="1134" w:hanging="992"/>
        <w:jc w:val="both"/>
        <w:rPr>
          <w:rFonts w:cs="Arial"/>
        </w:rPr>
      </w:pPr>
      <w:r w:rsidRPr="009E050E">
        <w:rPr>
          <w:rFonts w:cs="Arial"/>
        </w:rPr>
        <w:t xml:space="preserve">The programme of work for 2015/16 undertook the consideration of circa 100 clinical </w:t>
      </w:r>
      <w:r w:rsidR="007F6A50" w:rsidRPr="009E050E">
        <w:rPr>
          <w:rFonts w:cs="Arial"/>
        </w:rPr>
        <w:t xml:space="preserve">commissioning </w:t>
      </w:r>
      <w:r w:rsidRPr="009E050E">
        <w:rPr>
          <w:rFonts w:cs="Arial"/>
        </w:rPr>
        <w:t xml:space="preserve">policies and service specifications. Approximately 100 developed into documents for consideration through the governance process to recommended commissioning position. </w:t>
      </w:r>
      <w:r w:rsidR="000F348F" w:rsidRPr="009E050E">
        <w:rPr>
          <w:rFonts w:cs="Arial"/>
        </w:rPr>
        <w:t>The following clinical commissioning policy development arrangements were in place i</w:t>
      </w:r>
      <w:r w:rsidR="008349A7" w:rsidRPr="009E050E">
        <w:rPr>
          <w:rFonts w:cs="Arial"/>
        </w:rPr>
        <w:t>n 2015/16</w:t>
      </w:r>
      <w:r w:rsidR="001C6FC4" w:rsidRPr="009E050E">
        <w:rPr>
          <w:rFonts w:cs="Arial"/>
        </w:rPr>
        <w:t>:</w:t>
      </w:r>
    </w:p>
    <w:p w:rsidR="00B0354D" w:rsidRPr="009E050E" w:rsidRDefault="000F348F" w:rsidP="00B84869">
      <w:pPr>
        <w:pStyle w:val="Heading4"/>
        <w:numPr>
          <w:ilvl w:val="0"/>
          <w:numId w:val="4"/>
        </w:numPr>
        <w:jc w:val="both"/>
      </w:pPr>
      <w:r w:rsidRPr="009E050E">
        <w:rPr>
          <w:rFonts w:cs="Arial"/>
        </w:rPr>
        <w:t>A</w:t>
      </w:r>
      <w:r w:rsidR="008349A7" w:rsidRPr="009E050E">
        <w:rPr>
          <w:rFonts w:cs="Arial"/>
        </w:rPr>
        <w:t xml:space="preserve"> ‘turnkey’ solution was provided by </w:t>
      </w:r>
      <w:r w:rsidR="00212556" w:rsidRPr="009E050E">
        <w:rPr>
          <w:rFonts w:cs="Arial"/>
        </w:rPr>
        <w:t>Deloitte</w:t>
      </w:r>
      <w:r w:rsidR="008349A7" w:rsidRPr="009E050E">
        <w:rPr>
          <w:rFonts w:cs="Arial"/>
        </w:rPr>
        <w:t xml:space="preserve"> to support the development of clinical commissioning policies. In addition to undertaking </w:t>
      </w:r>
      <w:r w:rsidR="007F6A50" w:rsidRPr="009E050E">
        <w:rPr>
          <w:rFonts w:cs="Arial"/>
        </w:rPr>
        <w:t xml:space="preserve">clinical </w:t>
      </w:r>
      <w:r w:rsidR="008349A7" w:rsidRPr="009E050E">
        <w:rPr>
          <w:rFonts w:cs="Arial"/>
        </w:rPr>
        <w:t xml:space="preserve">evidence reviews, </w:t>
      </w:r>
      <w:r w:rsidR="00B0354D" w:rsidRPr="009E050E">
        <w:rPr>
          <w:rFonts w:cs="Arial"/>
        </w:rPr>
        <w:t>t</w:t>
      </w:r>
      <w:r w:rsidR="00B0354D" w:rsidRPr="009E050E">
        <w:t xml:space="preserve">his provided an effective PMO function to oversee the significant </w:t>
      </w:r>
      <w:r w:rsidR="00DF4681" w:rsidRPr="009E050E">
        <w:t xml:space="preserve">clinical commissioning </w:t>
      </w:r>
      <w:r w:rsidR="00B0354D" w:rsidRPr="009E050E">
        <w:t>policy pipeline process, direct support to the work with clinicians and other stakeholders to draft, develop and test policy proposals, and an objective review of the development process to capture ‘lessons learned’ to inform process going forward.</w:t>
      </w:r>
    </w:p>
    <w:p w:rsidR="000F348F" w:rsidRPr="009E050E" w:rsidRDefault="000F348F" w:rsidP="00B84869">
      <w:pPr>
        <w:pStyle w:val="ListParagraph"/>
        <w:numPr>
          <w:ilvl w:val="0"/>
          <w:numId w:val="4"/>
        </w:numPr>
        <w:spacing w:line="360" w:lineRule="auto"/>
        <w:ind w:left="1491"/>
        <w:jc w:val="both"/>
        <w:rPr>
          <w:rFonts w:ascii="Arial" w:eastAsia="Times New Roman" w:hAnsi="Arial" w:cs="Arial"/>
          <w:bCs/>
          <w:iCs/>
          <w:sz w:val="24"/>
          <w:szCs w:val="24"/>
        </w:rPr>
      </w:pPr>
      <w:r w:rsidRPr="009E050E">
        <w:rPr>
          <w:rFonts w:ascii="Arial" w:eastAsia="Times New Roman" w:hAnsi="Arial" w:cs="Arial"/>
          <w:bCs/>
          <w:iCs/>
          <w:sz w:val="24"/>
          <w:szCs w:val="24"/>
        </w:rPr>
        <w:lastRenderedPageBreak/>
        <w:t xml:space="preserve">Solutions for Public Health (SPH), a team within Arden and Greater East Midlands Commissioning Support Unit (AGCSU), </w:t>
      </w:r>
      <w:r w:rsidR="00E333E5" w:rsidRPr="009E050E">
        <w:rPr>
          <w:rFonts w:ascii="Arial" w:hAnsi="Arial" w:cs="Arial"/>
          <w:sz w:val="24"/>
          <w:szCs w:val="24"/>
        </w:rPr>
        <w:t xml:space="preserve">undertook a number of independent evidence reviews for specialised commissioning ‘in-house’ clinical </w:t>
      </w:r>
      <w:r w:rsidR="00DF4681" w:rsidRPr="009E050E">
        <w:rPr>
          <w:rFonts w:ascii="Arial" w:hAnsi="Arial" w:cs="Arial"/>
          <w:sz w:val="24"/>
          <w:szCs w:val="24"/>
        </w:rPr>
        <w:t xml:space="preserve">commissioning </w:t>
      </w:r>
      <w:r w:rsidR="00E333E5" w:rsidRPr="009E050E">
        <w:rPr>
          <w:rFonts w:ascii="Arial" w:hAnsi="Arial" w:cs="Arial"/>
          <w:sz w:val="24"/>
          <w:szCs w:val="24"/>
        </w:rPr>
        <w:t>policy developments</w:t>
      </w:r>
      <w:r w:rsidR="00DB7C21" w:rsidRPr="009E050E">
        <w:rPr>
          <w:rFonts w:ascii="Arial" w:hAnsi="Arial" w:cs="Arial"/>
          <w:sz w:val="24"/>
          <w:szCs w:val="24"/>
        </w:rPr>
        <w:t>.</w:t>
      </w:r>
    </w:p>
    <w:p w:rsidR="00DB7C21" w:rsidRPr="009E050E" w:rsidRDefault="00DB7C21" w:rsidP="00B84869">
      <w:pPr>
        <w:pStyle w:val="ListParagraph"/>
        <w:spacing w:line="360" w:lineRule="auto"/>
        <w:ind w:left="1491"/>
        <w:jc w:val="both"/>
        <w:rPr>
          <w:rFonts w:ascii="Arial" w:eastAsia="Times New Roman" w:hAnsi="Arial" w:cs="Arial"/>
          <w:bCs/>
          <w:iCs/>
          <w:sz w:val="24"/>
          <w:szCs w:val="24"/>
        </w:rPr>
      </w:pPr>
    </w:p>
    <w:p w:rsidR="000F348F" w:rsidRPr="009E050E" w:rsidRDefault="000F348F" w:rsidP="00B84869">
      <w:pPr>
        <w:pStyle w:val="ListParagraph"/>
        <w:numPr>
          <w:ilvl w:val="0"/>
          <w:numId w:val="4"/>
        </w:numPr>
        <w:spacing w:line="360" w:lineRule="auto"/>
        <w:ind w:left="1491"/>
        <w:jc w:val="both"/>
        <w:rPr>
          <w:rFonts w:ascii="Arial" w:eastAsia="Times New Roman" w:hAnsi="Arial" w:cs="Arial"/>
          <w:bCs/>
          <w:iCs/>
          <w:sz w:val="24"/>
          <w:szCs w:val="24"/>
        </w:rPr>
      </w:pPr>
      <w:r w:rsidRPr="009E050E">
        <w:rPr>
          <w:rFonts w:ascii="Arial" w:eastAsia="Times New Roman" w:hAnsi="Arial" w:cs="Arial"/>
          <w:bCs/>
          <w:iCs/>
          <w:sz w:val="24"/>
          <w:szCs w:val="24"/>
        </w:rPr>
        <w:t xml:space="preserve">NICE supported NHS England policy production by undertaking and publishing Rapid Evidence Reviews. </w:t>
      </w:r>
    </w:p>
    <w:p w:rsidR="00DB7C21" w:rsidRPr="009E050E" w:rsidRDefault="00DB7C21" w:rsidP="00B84869">
      <w:pPr>
        <w:pStyle w:val="ListParagraph"/>
        <w:jc w:val="both"/>
        <w:rPr>
          <w:rFonts w:ascii="Arial" w:eastAsia="Times New Roman" w:hAnsi="Arial" w:cs="Arial"/>
          <w:bCs/>
          <w:iCs/>
          <w:sz w:val="24"/>
          <w:szCs w:val="24"/>
        </w:rPr>
      </w:pPr>
    </w:p>
    <w:p w:rsidR="000F348F" w:rsidRPr="009E050E" w:rsidRDefault="00DB7C21" w:rsidP="00B84869">
      <w:pPr>
        <w:pStyle w:val="ListParagraph"/>
        <w:numPr>
          <w:ilvl w:val="0"/>
          <w:numId w:val="4"/>
        </w:numPr>
        <w:spacing w:line="360" w:lineRule="auto"/>
        <w:ind w:left="1491"/>
        <w:jc w:val="both"/>
        <w:rPr>
          <w:rFonts w:ascii="Arial" w:eastAsia="Times New Roman" w:hAnsi="Arial" w:cs="Arial"/>
          <w:bCs/>
          <w:iCs/>
          <w:sz w:val="24"/>
          <w:szCs w:val="24"/>
        </w:rPr>
      </w:pPr>
      <w:r w:rsidRPr="009E050E">
        <w:rPr>
          <w:rFonts w:ascii="Arial" w:hAnsi="Arial" w:cs="Arial"/>
          <w:sz w:val="24"/>
          <w:szCs w:val="24"/>
        </w:rPr>
        <w:t>United Kingdom Medicines Information (</w:t>
      </w:r>
      <w:proofErr w:type="spellStart"/>
      <w:r w:rsidRPr="009E050E">
        <w:rPr>
          <w:rFonts w:ascii="Arial" w:hAnsi="Arial" w:cs="Arial"/>
          <w:sz w:val="24"/>
          <w:szCs w:val="24"/>
        </w:rPr>
        <w:t>UKMi</w:t>
      </w:r>
      <w:proofErr w:type="spellEnd"/>
      <w:r w:rsidRPr="009E050E">
        <w:rPr>
          <w:rFonts w:ascii="Arial" w:hAnsi="Arial" w:cs="Arial"/>
          <w:sz w:val="24"/>
          <w:szCs w:val="24"/>
        </w:rPr>
        <w:t>): NHS England ha</w:t>
      </w:r>
      <w:r w:rsidR="00C22824" w:rsidRPr="009E050E">
        <w:rPr>
          <w:rFonts w:ascii="Arial" w:hAnsi="Arial" w:cs="Arial"/>
          <w:sz w:val="24"/>
          <w:szCs w:val="24"/>
        </w:rPr>
        <w:t xml:space="preserve">d </w:t>
      </w:r>
      <w:r w:rsidRPr="009E050E">
        <w:rPr>
          <w:rFonts w:ascii="Arial" w:hAnsi="Arial" w:cs="Arial"/>
          <w:sz w:val="24"/>
          <w:szCs w:val="24"/>
        </w:rPr>
        <w:t>access to medicine reviews undertaken by the United Kingdom Medicines Information (</w:t>
      </w:r>
      <w:proofErr w:type="spellStart"/>
      <w:r w:rsidRPr="009E050E">
        <w:rPr>
          <w:rFonts w:ascii="Arial" w:hAnsi="Arial" w:cs="Arial"/>
          <w:sz w:val="24"/>
          <w:szCs w:val="24"/>
        </w:rPr>
        <w:t>UKMi</w:t>
      </w:r>
      <w:proofErr w:type="spellEnd"/>
      <w:r w:rsidRPr="009E050E">
        <w:rPr>
          <w:rFonts w:ascii="Arial" w:hAnsi="Arial" w:cs="Arial"/>
          <w:sz w:val="24"/>
          <w:szCs w:val="24"/>
        </w:rPr>
        <w:t>) service which is part of NHS England’s Specialised Pharmacy Services (SPS)</w:t>
      </w:r>
    </w:p>
    <w:p w:rsidR="00C87FD4" w:rsidRPr="009E050E" w:rsidRDefault="00C87FD4" w:rsidP="00C87FD4">
      <w:pPr>
        <w:pStyle w:val="ListParagraph"/>
        <w:rPr>
          <w:rFonts w:ascii="Arial" w:eastAsia="Times New Roman" w:hAnsi="Arial" w:cs="Arial"/>
          <w:bCs/>
          <w:iCs/>
          <w:sz w:val="24"/>
          <w:szCs w:val="24"/>
        </w:rPr>
      </w:pPr>
    </w:p>
    <w:p w:rsidR="00C87FD4" w:rsidRPr="009E050E" w:rsidRDefault="00C87FD4" w:rsidP="00B84869">
      <w:pPr>
        <w:pStyle w:val="ListParagraph"/>
        <w:numPr>
          <w:ilvl w:val="0"/>
          <w:numId w:val="4"/>
        </w:numPr>
        <w:spacing w:line="360" w:lineRule="auto"/>
        <w:ind w:left="1491"/>
        <w:jc w:val="both"/>
        <w:rPr>
          <w:rFonts w:ascii="Arial" w:eastAsia="Times New Roman" w:hAnsi="Arial" w:cs="Arial"/>
          <w:bCs/>
          <w:iCs/>
          <w:sz w:val="24"/>
          <w:szCs w:val="24"/>
        </w:rPr>
      </w:pPr>
      <w:r w:rsidRPr="009E050E">
        <w:rPr>
          <w:rFonts w:ascii="Arial" w:eastAsia="Times New Roman" w:hAnsi="Arial" w:cs="Arial"/>
          <w:bCs/>
          <w:iCs/>
          <w:sz w:val="24"/>
          <w:szCs w:val="24"/>
        </w:rPr>
        <w:t xml:space="preserve">Public Health England undertook some </w:t>
      </w:r>
      <w:r w:rsidR="00DF4681" w:rsidRPr="009E050E">
        <w:rPr>
          <w:rFonts w:ascii="Arial" w:eastAsia="Times New Roman" w:hAnsi="Arial" w:cs="Arial"/>
          <w:bCs/>
          <w:iCs/>
          <w:sz w:val="24"/>
          <w:szCs w:val="24"/>
        </w:rPr>
        <w:t xml:space="preserve">clinical </w:t>
      </w:r>
      <w:r w:rsidRPr="009E050E">
        <w:rPr>
          <w:rFonts w:ascii="Arial" w:eastAsia="Times New Roman" w:hAnsi="Arial" w:cs="Arial"/>
          <w:bCs/>
          <w:iCs/>
          <w:sz w:val="24"/>
          <w:szCs w:val="24"/>
        </w:rPr>
        <w:t>evidence reviews to support NHS England</w:t>
      </w:r>
      <w:r w:rsidR="00DF4681" w:rsidRPr="009E050E">
        <w:rPr>
          <w:rFonts w:ascii="Arial" w:eastAsia="Times New Roman" w:hAnsi="Arial" w:cs="Arial"/>
          <w:bCs/>
          <w:iCs/>
          <w:sz w:val="24"/>
          <w:szCs w:val="24"/>
        </w:rPr>
        <w:t xml:space="preserve"> as part of a Heads of Agreement</w:t>
      </w:r>
      <w:r w:rsidRPr="009E050E">
        <w:rPr>
          <w:rFonts w:ascii="Arial" w:eastAsia="Times New Roman" w:hAnsi="Arial" w:cs="Arial"/>
          <w:bCs/>
          <w:iCs/>
          <w:sz w:val="24"/>
          <w:szCs w:val="24"/>
        </w:rPr>
        <w:t>.</w:t>
      </w:r>
    </w:p>
    <w:p w:rsidR="00803A9A" w:rsidRPr="009E050E" w:rsidRDefault="00654BAB" w:rsidP="00B84869">
      <w:pPr>
        <w:pStyle w:val="Heading4"/>
        <w:ind w:left="1134" w:hanging="992"/>
        <w:jc w:val="both"/>
      </w:pPr>
      <w:r w:rsidRPr="009E050E">
        <w:rPr>
          <w:rFonts w:cs="Arial"/>
        </w:rPr>
        <w:t>S</w:t>
      </w:r>
      <w:r w:rsidR="00803A9A" w:rsidRPr="009E050E">
        <w:rPr>
          <w:rFonts w:cs="Arial"/>
        </w:rPr>
        <w:t xml:space="preserve">ervice specifications were developed </w:t>
      </w:r>
      <w:r w:rsidRPr="009E050E">
        <w:rPr>
          <w:rFonts w:cs="Arial"/>
        </w:rPr>
        <w:t xml:space="preserve">in-house </w:t>
      </w:r>
      <w:r w:rsidR="00803A9A" w:rsidRPr="009E050E">
        <w:rPr>
          <w:rFonts w:cs="Arial"/>
        </w:rPr>
        <w:t>by NHS England in 2015/16</w:t>
      </w:r>
      <w:r w:rsidR="00ED4181" w:rsidRPr="009E050E">
        <w:rPr>
          <w:rFonts w:cs="Arial"/>
        </w:rPr>
        <w:t>.</w:t>
      </w:r>
    </w:p>
    <w:p w:rsidR="00EB1703" w:rsidRPr="009E050E" w:rsidRDefault="00EB1703" w:rsidP="00212556">
      <w:pPr>
        <w:pStyle w:val="Heading3"/>
        <w:ind w:left="709" w:hanging="567"/>
        <w:jc w:val="both"/>
        <w:rPr>
          <w:b/>
        </w:rPr>
      </w:pPr>
      <w:r w:rsidRPr="009E050E">
        <w:rPr>
          <w:b/>
        </w:rPr>
        <w:t xml:space="preserve">Clinical evidence reviews 2016/17 onwards:  </w:t>
      </w:r>
    </w:p>
    <w:p w:rsidR="00EB1703" w:rsidRPr="009E050E" w:rsidRDefault="001C6FC4" w:rsidP="00B84869">
      <w:pPr>
        <w:pStyle w:val="Heading4"/>
        <w:ind w:left="1134" w:hanging="992"/>
        <w:jc w:val="both"/>
        <w:rPr>
          <w:rFonts w:cs="Arial"/>
          <w:bCs w:val="0"/>
          <w:iCs w:val="0"/>
        </w:rPr>
      </w:pPr>
      <w:r w:rsidRPr="009E050E">
        <w:rPr>
          <w:rFonts w:cs="Arial"/>
        </w:rPr>
        <w:t>From</w:t>
      </w:r>
      <w:r w:rsidRPr="009E050E">
        <w:rPr>
          <w:rFonts w:cs="Arial"/>
          <w:bCs w:val="0"/>
          <w:iCs w:val="0"/>
        </w:rPr>
        <w:t xml:space="preserve"> 2016/17 onwards,</w:t>
      </w:r>
      <w:r w:rsidR="00803A9A" w:rsidRPr="009E050E">
        <w:rPr>
          <w:rFonts w:cs="Arial"/>
          <w:bCs w:val="0"/>
          <w:iCs w:val="0"/>
        </w:rPr>
        <w:t xml:space="preserve"> NHS England </w:t>
      </w:r>
      <w:r w:rsidR="00654BAB" w:rsidRPr="009E050E">
        <w:rPr>
          <w:rFonts w:cs="Arial"/>
          <w:bCs w:val="0"/>
          <w:iCs w:val="0"/>
        </w:rPr>
        <w:t xml:space="preserve">plans </w:t>
      </w:r>
      <w:r w:rsidR="00803A9A" w:rsidRPr="009E050E">
        <w:rPr>
          <w:rFonts w:cs="Arial"/>
          <w:bCs w:val="0"/>
          <w:iCs w:val="0"/>
        </w:rPr>
        <w:t xml:space="preserve">to have the following arrangements in place </w:t>
      </w:r>
      <w:r w:rsidR="001407E1" w:rsidRPr="009E050E">
        <w:rPr>
          <w:rFonts w:cs="Arial"/>
          <w:bCs w:val="0"/>
          <w:iCs w:val="0"/>
        </w:rPr>
        <w:t xml:space="preserve">for </w:t>
      </w:r>
      <w:r w:rsidR="00E9005A" w:rsidRPr="009E050E">
        <w:rPr>
          <w:rFonts w:cs="Arial"/>
          <w:bCs w:val="0"/>
          <w:iCs w:val="0"/>
        </w:rPr>
        <w:t xml:space="preserve">clinical </w:t>
      </w:r>
      <w:r w:rsidR="00803A9A" w:rsidRPr="009E050E">
        <w:rPr>
          <w:rFonts w:cs="Arial"/>
          <w:bCs w:val="0"/>
          <w:iCs w:val="0"/>
        </w:rPr>
        <w:t>evidence reviews to support</w:t>
      </w:r>
      <w:r w:rsidR="001407E1" w:rsidRPr="009E050E">
        <w:rPr>
          <w:rFonts w:cs="Arial"/>
          <w:bCs w:val="0"/>
          <w:iCs w:val="0"/>
        </w:rPr>
        <w:t xml:space="preserve"> </w:t>
      </w:r>
      <w:r w:rsidR="00654BAB" w:rsidRPr="009E050E">
        <w:rPr>
          <w:rFonts w:cs="Arial"/>
          <w:bCs w:val="0"/>
          <w:iCs w:val="0"/>
        </w:rPr>
        <w:t xml:space="preserve">its specialised services </w:t>
      </w:r>
      <w:r w:rsidR="001407E1" w:rsidRPr="009E050E">
        <w:rPr>
          <w:rFonts w:cs="Arial"/>
          <w:bCs w:val="0"/>
          <w:iCs w:val="0"/>
        </w:rPr>
        <w:t>clinical commissioning policy and service specification development</w:t>
      </w:r>
      <w:r w:rsidR="00EB1703" w:rsidRPr="009E050E">
        <w:rPr>
          <w:rFonts w:cs="Arial"/>
          <w:bCs w:val="0"/>
          <w:iCs w:val="0"/>
        </w:rPr>
        <w:t>:</w:t>
      </w:r>
    </w:p>
    <w:p w:rsidR="00EB1703" w:rsidRPr="009E050E" w:rsidRDefault="001407E1" w:rsidP="00B84869">
      <w:pPr>
        <w:pStyle w:val="Heading4"/>
        <w:numPr>
          <w:ilvl w:val="3"/>
          <w:numId w:val="3"/>
        </w:numPr>
        <w:jc w:val="both"/>
        <w:rPr>
          <w:rFonts w:cs="Arial"/>
        </w:rPr>
      </w:pPr>
      <w:r w:rsidRPr="009E050E">
        <w:rPr>
          <w:rFonts w:cs="Arial"/>
        </w:rPr>
        <w:t xml:space="preserve">NICE </w:t>
      </w:r>
      <w:r w:rsidR="00654BAB" w:rsidRPr="009E050E">
        <w:rPr>
          <w:rFonts w:cs="Arial"/>
        </w:rPr>
        <w:t>to</w:t>
      </w:r>
      <w:r w:rsidRPr="009E050E">
        <w:rPr>
          <w:rFonts w:cs="Arial"/>
        </w:rPr>
        <w:t xml:space="preserve"> undertake complete </w:t>
      </w:r>
      <w:r w:rsidR="00642A83" w:rsidRPr="009E050E">
        <w:rPr>
          <w:rFonts w:cs="Arial"/>
        </w:rPr>
        <w:t xml:space="preserve">clinical commissioning </w:t>
      </w:r>
      <w:r w:rsidRPr="009E050E">
        <w:rPr>
          <w:rFonts w:cs="Arial"/>
        </w:rPr>
        <w:t>policy development for licensed drugs in the form of Commissioning Support Documents (CSDs) (</w:t>
      </w:r>
      <w:r w:rsidR="00E9005A" w:rsidRPr="009E050E">
        <w:rPr>
          <w:rFonts w:cs="Arial"/>
        </w:rPr>
        <w:t>25</w:t>
      </w:r>
      <w:r w:rsidRPr="009E050E">
        <w:rPr>
          <w:rFonts w:cs="Arial"/>
        </w:rPr>
        <w:t xml:space="preserve"> per annum</w:t>
      </w:r>
      <w:r w:rsidR="00B84869" w:rsidRPr="009E050E">
        <w:rPr>
          <w:rFonts w:cs="Arial"/>
        </w:rPr>
        <w:t>) and</w:t>
      </w:r>
      <w:r w:rsidRPr="009E050E">
        <w:rPr>
          <w:rFonts w:cs="Arial"/>
        </w:rPr>
        <w:t xml:space="preserve"> </w:t>
      </w:r>
      <w:r w:rsidR="00E9005A" w:rsidRPr="009E050E">
        <w:rPr>
          <w:rFonts w:cs="Arial"/>
        </w:rPr>
        <w:t xml:space="preserve">clinical </w:t>
      </w:r>
      <w:r w:rsidRPr="009E050E">
        <w:rPr>
          <w:rFonts w:cs="Arial"/>
        </w:rPr>
        <w:t xml:space="preserve">evidence reviews </w:t>
      </w:r>
      <w:r w:rsidR="004B2F8C" w:rsidRPr="009E050E">
        <w:rPr>
          <w:rFonts w:cs="Arial"/>
        </w:rPr>
        <w:t>(</w:t>
      </w:r>
      <w:r w:rsidR="00E9005A" w:rsidRPr="009E050E">
        <w:rPr>
          <w:rFonts w:cs="Arial"/>
        </w:rPr>
        <w:t>8</w:t>
      </w:r>
      <w:r w:rsidR="00EB1703" w:rsidRPr="009E050E">
        <w:rPr>
          <w:rFonts w:cs="Arial"/>
        </w:rPr>
        <w:t xml:space="preserve"> per annum).</w:t>
      </w:r>
    </w:p>
    <w:p w:rsidR="00EB1703" w:rsidRPr="009E050E" w:rsidRDefault="001407E1" w:rsidP="00B84869">
      <w:pPr>
        <w:pStyle w:val="Heading4"/>
        <w:numPr>
          <w:ilvl w:val="3"/>
          <w:numId w:val="3"/>
        </w:numPr>
        <w:jc w:val="both"/>
        <w:rPr>
          <w:rFonts w:cs="Arial"/>
        </w:rPr>
      </w:pPr>
      <w:r w:rsidRPr="009E050E">
        <w:rPr>
          <w:rFonts w:cs="Arial"/>
        </w:rPr>
        <w:t>UK Medicines information service (</w:t>
      </w:r>
      <w:proofErr w:type="spellStart"/>
      <w:r w:rsidRPr="009E050E">
        <w:rPr>
          <w:rFonts w:cs="Arial"/>
        </w:rPr>
        <w:t>UKMi</w:t>
      </w:r>
      <w:proofErr w:type="spellEnd"/>
      <w:r w:rsidRPr="009E050E">
        <w:rPr>
          <w:rFonts w:cs="Arial"/>
        </w:rPr>
        <w:t>) which is part of NHS England’s Spec</w:t>
      </w:r>
      <w:r w:rsidR="00ED2B9D" w:rsidRPr="009E050E">
        <w:rPr>
          <w:rFonts w:cs="Arial"/>
        </w:rPr>
        <w:t>ialised Pharmacy Services (SPS)</w:t>
      </w:r>
      <w:r w:rsidR="00654BAB" w:rsidRPr="009E050E">
        <w:rPr>
          <w:rFonts w:cs="Arial"/>
        </w:rPr>
        <w:t xml:space="preserve"> to</w:t>
      </w:r>
      <w:r w:rsidR="00ED2B9D" w:rsidRPr="009E050E">
        <w:rPr>
          <w:rFonts w:cs="Arial"/>
        </w:rPr>
        <w:t xml:space="preserve"> undertake </w:t>
      </w:r>
      <w:r w:rsidR="00E9005A" w:rsidRPr="009E050E">
        <w:rPr>
          <w:rFonts w:cs="Arial"/>
        </w:rPr>
        <w:t>9</w:t>
      </w:r>
      <w:r w:rsidR="00ED2B9D" w:rsidRPr="009E050E">
        <w:rPr>
          <w:rFonts w:cs="Arial"/>
        </w:rPr>
        <w:t xml:space="preserve"> </w:t>
      </w:r>
      <w:r w:rsidR="00E9005A" w:rsidRPr="009E050E">
        <w:rPr>
          <w:rFonts w:cs="Arial"/>
        </w:rPr>
        <w:t xml:space="preserve">clinical </w:t>
      </w:r>
      <w:r w:rsidR="00ED2B9D" w:rsidRPr="009E050E">
        <w:rPr>
          <w:rFonts w:cs="Arial"/>
        </w:rPr>
        <w:t xml:space="preserve">evidence reviews </w:t>
      </w:r>
      <w:r w:rsidR="00E9005A" w:rsidRPr="009E050E">
        <w:rPr>
          <w:rFonts w:cs="Arial"/>
        </w:rPr>
        <w:t>for cancer drug off label indications</w:t>
      </w:r>
      <w:r w:rsidR="00EB1703" w:rsidRPr="009E050E">
        <w:rPr>
          <w:rFonts w:cs="Arial"/>
        </w:rPr>
        <w:t>.</w:t>
      </w:r>
    </w:p>
    <w:p w:rsidR="00EB1703" w:rsidRPr="009E050E" w:rsidRDefault="00ED2B9D" w:rsidP="00B84869">
      <w:pPr>
        <w:pStyle w:val="Heading4"/>
        <w:numPr>
          <w:ilvl w:val="3"/>
          <w:numId w:val="3"/>
        </w:numPr>
        <w:jc w:val="both"/>
        <w:rPr>
          <w:rFonts w:cs="Arial"/>
        </w:rPr>
      </w:pPr>
      <w:r w:rsidRPr="009E050E">
        <w:rPr>
          <w:rFonts w:cs="Arial"/>
        </w:rPr>
        <w:lastRenderedPageBreak/>
        <w:t xml:space="preserve">Public Health England </w:t>
      </w:r>
      <w:r w:rsidR="00654BAB" w:rsidRPr="009E050E">
        <w:rPr>
          <w:rFonts w:cs="Arial"/>
        </w:rPr>
        <w:t>to</w:t>
      </w:r>
      <w:r w:rsidRPr="009E050E">
        <w:rPr>
          <w:rFonts w:cs="Arial"/>
        </w:rPr>
        <w:t xml:space="preserve"> deliver </w:t>
      </w:r>
      <w:r w:rsidR="00C11294" w:rsidRPr="009E050E">
        <w:rPr>
          <w:rFonts w:cs="Arial"/>
        </w:rPr>
        <w:t xml:space="preserve">up to </w:t>
      </w:r>
      <w:r w:rsidRPr="009E050E">
        <w:rPr>
          <w:rFonts w:cs="Arial"/>
        </w:rPr>
        <w:t xml:space="preserve">12 </w:t>
      </w:r>
      <w:r w:rsidR="00C11294" w:rsidRPr="009E050E">
        <w:rPr>
          <w:rFonts w:cs="Arial"/>
        </w:rPr>
        <w:t xml:space="preserve">clinical </w:t>
      </w:r>
      <w:r w:rsidRPr="009E050E">
        <w:rPr>
          <w:rFonts w:cs="Arial"/>
        </w:rPr>
        <w:t>evidence reviews per annum</w:t>
      </w:r>
      <w:r w:rsidR="0006038F" w:rsidRPr="009E050E">
        <w:rPr>
          <w:rFonts w:cs="Arial"/>
        </w:rPr>
        <w:t xml:space="preserve"> as part of a Heads of Agreement in place between NHS England and Public Health England</w:t>
      </w:r>
      <w:r w:rsidR="00EB1703" w:rsidRPr="009E050E">
        <w:rPr>
          <w:rFonts w:cs="Arial"/>
        </w:rPr>
        <w:t>.</w:t>
      </w:r>
    </w:p>
    <w:p w:rsidR="00B957F1" w:rsidRPr="009E050E" w:rsidRDefault="00F249FD" w:rsidP="00B84869">
      <w:pPr>
        <w:pStyle w:val="Heading4"/>
        <w:numPr>
          <w:ilvl w:val="3"/>
          <w:numId w:val="3"/>
        </w:numPr>
        <w:jc w:val="both"/>
        <w:rPr>
          <w:rFonts w:cs="Arial"/>
        </w:rPr>
      </w:pPr>
      <w:r w:rsidRPr="009E050E">
        <w:rPr>
          <w:rFonts w:cs="Arial"/>
        </w:rPr>
        <w:t>E</w:t>
      </w:r>
      <w:r w:rsidR="00ED2B9D" w:rsidRPr="009E050E">
        <w:rPr>
          <w:rFonts w:cs="Arial"/>
        </w:rPr>
        <w:t xml:space="preserve">xternal </w:t>
      </w:r>
      <w:r w:rsidRPr="009E050E">
        <w:rPr>
          <w:rFonts w:cs="Arial"/>
        </w:rPr>
        <w:t>Providers</w:t>
      </w:r>
      <w:r w:rsidR="00406643" w:rsidRPr="009E050E">
        <w:rPr>
          <w:rFonts w:cs="Arial"/>
        </w:rPr>
        <w:t xml:space="preserve"> will deliver </w:t>
      </w:r>
      <w:r w:rsidR="00C11294" w:rsidRPr="009E050E">
        <w:rPr>
          <w:rFonts w:cs="Arial"/>
        </w:rPr>
        <w:t>a maximum of</w:t>
      </w:r>
      <w:r w:rsidR="00ED2B9D" w:rsidRPr="009E050E">
        <w:rPr>
          <w:rFonts w:cs="Arial"/>
        </w:rPr>
        <w:t xml:space="preserve"> 60 </w:t>
      </w:r>
      <w:r w:rsidR="00C11294" w:rsidRPr="009E050E">
        <w:rPr>
          <w:rFonts w:cs="Arial"/>
        </w:rPr>
        <w:t xml:space="preserve">clinical </w:t>
      </w:r>
      <w:r w:rsidR="00ED2B9D" w:rsidRPr="009E050E">
        <w:rPr>
          <w:rFonts w:cs="Arial"/>
        </w:rPr>
        <w:t>evidence reviews</w:t>
      </w:r>
      <w:r w:rsidR="00C11294" w:rsidRPr="009E050E">
        <w:rPr>
          <w:rFonts w:cs="Arial"/>
        </w:rPr>
        <w:t xml:space="preserve"> per annum</w:t>
      </w:r>
      <w:r w:rsidR="00ED2B9D" w:rsidRPr="009E050E">
        <w:rPr>
          <w:rFonts w:cs="Arial"/>
        </w:rPr>
        <w:t>.</w:t>
      </w:r>
    </w:p>
    <w:p w:rsidR="00EB1703" w:rsidRPr="009E050E" w:rsidRDefault="00B957F1" w:rsidP="000F01EC">
      <w:pPr>
        <w:pStyle w:val="Heading4"/>
        <w:ind w:left="993" w:hanging="851"/>
        <w:jc w:val="both"/>
        <w:rPr>
          <w:rFonts w:cs="Arial"/>
          <w:bCs w:val="0"/>
          <w:iCs w:val="0"/>
        </w:rPr>
      </w:pPr>
      <w:r w:rsidRPr="009E050E">
        <w:rPr>
          <w:rFonts w:cs="Arial"/>
        </w:rPr>
        <w:t>In</w:t>
      </w:r>
      <w:r w:rsidRPr="009E050E">
        <w:rPr>
          <w:rFonts w:cs="Arial"/>
          <w:bCs w:val="0"/>
          <w:iCs w:val="0"/>
        </w:rPr>
        <w:t xml:space="preserve"> 2016/17, clinical </w:t>
      </w:r>
      <w:r w:rsidR="0006038F" w:rsidRPr="009E050E">
        <w:rPr>
          <w:rFonts w:cs="Arial"/>
          <w:bCs w:val="0"/>
          <w:iCs w:val="0"/>
        </w:rPr>
        <w:t xml:space="preserve">commissioning </w:t>
      </w:r>
      <w:r w:rsidRPr="009E050E">
        <w:rPr>
          <w:rFonts w:cs="Arial"/>
          <w:bCs w:val="0"/>
          <w:iCs w:val="0"/>
        </w:rPr>
        <w:t>policy and service specification will include the following phases of development</w:t>
      </w:r>
      <w:r w:rsidR="000F01EC">
        <w:rPr>
          <w:rFonts w:cs="Arial"/>
          <w:bCs w:val="0"/>
          <w:iCs w:val="0"/>
        </w:rPr>
        <w:t xml:space="preserve">: </w:t>
      </w:r>
      <w:r w:rsidR="007E0B37" w:rsidRPr="009E050E">
        <w:rPr>
          <w:rFonts w:cs="Arial"/>
          <w:bCs w:val="0"/>
          <w:iCs w:val="0"/>
        </w:rPr>
        <w:t xml:space="preserve"> </w:t>
      </w:r>
    </w:p>
    <w:p w:rsidR="00EB1703" w:rsidRPr="009E050E" w:rsidRDefault="00364584" w:rsidP="00B84869">
      <w:pPr>
        <w:pStyle w:val="Heading4"/>
        <w:numPr>
          <w:ilvl w:val="3"/>
          <w:numId w:val="3"/>
        </w:numPr>
        <w:jc w:val="both"/>
        <w:rPr>
          <w:rFonts w:cs="Arial"/>
          <w:bCs w:val="0"/>
          <w:iCs w:val="0"/>
        </w:rPr>
      </w:pPr>
      <w:r w:rsidRPr="009E050E">
        <w:rPr>
          <w:rFonts w:cs="Arial"/>
          <w:b/>
        </w:rPr>
        <w:t>Phase A</w:t>
      </w:r>
      <w:r w:rsidR="00BB0D02" w:rsidRPr="009E050E">
        <w:rPr>
          <w:rFonts w:cs="Arial"/>
          <w:b/>
        </w:rPr>
        <w:t>:</w:t>
      </w:r>
      <w:r w:rsidR="008F4D2D" w:rsidRPr="009E050E">
        <w:rPr>
          <w:rFonts w:cs="Arial"/>
          <w:b/>
        </w:rPr>
        <w:t xml:space="preserve"> Clinical </w:t>
      </w:r>
      <w:r w:rsidR="000B4181" w:rsidRPr="009E050E">
        <w:rPr>
          <w:rFonts w:cs="Arial"/>
          <w:b/>
        </w:rPr>
        <w:t>B</w:t>
      </w:r>
      <w:r w:rsidR="008F4D2D" w:rsidRPr="009E050E">
        <w:rPr>
          <w:rFonts w:cs="Arial"/>
          <w:b/>
        </w:rPr>
        <w:t>uild</w:t>
      </w:r>
      <w:r w:rsidR="008F4D2D" w:rsidRPr="009E050E">
        <w:rPr>
          <w:rFonts w:cs="Arial"/>
        </w:rPr>
        <w:t xml:space="preserve"> - </w:t>
      </w:r>
      <w:r w:rsidR="000B4181" w:rsidRPr="009E050E">
        <w:rPr>
          <w:rFonts w:cs="Arial"/>
        </w:rPr>
        <w:t>t</w:t>
      </w:r>
      <w:r w:rsidR="008F4D2D" w:rsidRPr="009E050E">
        <w:rPr>
          <w:rFonts w:cs="Arial"/>
        </w:rPr>
        <w:t xml:space="preserve">he starting point of the clinical build phase is the potential inclusion of a </w:t>
      </w:r>
      <w:r w:rsidR="00737216" w:rsidRPr="009E050E">
        <w:rPr>
          <w:rFonts w:cs="Arial"/>
        </w:rPr>
        <w:t>proposal</w:t>
      </w:r>
      <w:r w:rsidR="008F4D2D" w:rsidRPr="009E050E">
        <w:rPr>
          <w:rFonts w:cs="Arial"/>
        </w:rPr>
        <w:t xml:space="preserve"> on to the clinical policy or service specification development work programme and concludes following a recommendation, made through a gateway managed by the Clinical Panel, to the </w:t>
      </w:r>
      <w:r w:rsidR="00C87FD4" w:rsidRPr="009E050E">
        <w:rPr>
          <w:rFonts w:cs="Arial"/>
        </w:rPr>
        <w:t xml:space="preserve">National </w:t>
      </w:r>
      <w:r w:rsidR="008F4D2D" w:rsidRPr="009E050E">
        <w:rPr>
          <w:rFonts w:cs="Arial"/>
        </w:rPr>
        <w:t xml:space="preserve">Programme of Care Board </w:t>
      </w:r>
      <w:r w:rsidR="00C87FD4" w:rsidRPr="009E050E">
        <w:rPr>
          <w:rFonts w:cs="Arial"/>
        </w:rPr>
        <w:t>(</w:t>
      </w:r>
      <w:proofErr w:type="spellStart"/>
      <w:r w:rsidR="00C87FD4" w:rsidRPr="009E050E">
        <w:rPr>
          <w:rFonts w:cs="Arial"/>
        </w:rPr>
        <w:t>NPoC</w:t>
      </w:r>
      <w:proofErr w:type="spellEnd"/>
      <w:r w:rsidR="00C87FD4" w:rsidRPr="009E050E">
        <w:rPr>
          <w:rFonts w:cs="Arial"/>
        </w:rPr>
        <w:t xml:space="preserve">) </w:t>
      </w:r>
      <w:r w:rsidR="008F4D2D" w:rsidRPr="009E050E">
        <w:rPr>
          <w:rFonts w:cs="Arial"/>
        </w:rPr>
        <w:t xml:space="preserve">for prioritisation. </w:t>
      </w:r>
      <w:r w:rsidR="00737216" w:rsidRPr="009E050E">
        <w:rPr>
          <w:rFonts w:cs="Arial"/>
        </w:rPr>
        <w:t xml:space="preserve">If included, </w:t>
      </w:r>
      <w:r w:rsidR="008F4D2D" w:rsidRPr="009E050E">
        <w:rPr>
          <w:rFonts w:cs="Arial"/>
        </w:rPr>
        <w:t>a</w:t>
      </w:r>
      <w:r w:rsidR="000B4181" w:rsidRPr="009E050E">
        <w:rPr>
          <w:rFonts w:cs="Arial"/>
        </w:rPr>
        <w:t xml:space="preserve"> clinical</w:t>
      </w:r>
      <w:r w:rsidR="008F4D2D" w:rsidRPr="009E050E">
        <w:rPr>
          <w:rFonts w:cs="Arial"/>
        </w:rPr>
        <w:t xml:space="preserve"> evidence review is undertaken</w:t>
      </w:r>
      <w:r w:rsidR="00782D63" w:rsidRPr="009E050E">
        <w:rPr>
          <w:rFonts w:cs="Arial"/>
        </w:rPr>
        <w:t xml:space="preserve"> in order to develop the proposition</w:t>
      </w:r>
      <w:r w:rsidR="00C60A1E" w:rsidRPr="009E050E">
        <w:rPr>
          <w:rFonts w:cs="Arial"/>
        </w:rPr>
        <w:t xml:space="preserve"> for clinical policy and maybe required for a service specification</w:t>
      </w:r>
      <w:r w:rsidR="008F4D2D" w:rsidRPr="009E050E">
        <w:rPr>
          <w:rFonts w:cs="Arial"/>
        </w:rPr>
        <w:t xml:space="preserve">. Phase </w:t>
      </w:r>
      <w:r w:rsidRPr="009E050E">
        <w:rPr>
          <w:rFonts w:cs="Arial"/>
        </w:rPr>
        <w:t>A</w:t>
      </w:r>
      <w:r w:rsidR="008F4D2D" w:rsidRPr="009E050E">
        <w:rPr>
          <w:rFonts w:cs="Arial"/>
        </w:rPr>
        <w:t xml:space="preserve"> is </w:t>
      </w:r>
      <w:r w:rsidR="00C60A1E" w:rsidRPr="009E050E">
        <w:rPr>
          <w:rFonts w:cs="Arial"/>
        </w:rPr>
        <w:t>lead</w:t>
      </w:r>
      <w:r w:rsidR="008F4D2D" w:rsidRPr="009E050E">
        <w:rPr>
          <w:rFonts w:cs="Arial"/>
        </w:rPr>
        <w:t xml:space="preserve"> and assured by the Clinical Effectiveness Team (CET)</w:t>
      </w:r>
      <w:r w:rsidR="00EB1703" w:rsidRPr="009E050E">
        <w:rPr>
          <w:rFonts w:cs="Arial"/>
          <w:bCs w:val="0"/>
          <w:iCs w:val="0"/>
        </w:rPr>
        <w:t>.</w:t>
      </w:r>
    </w:p>
    <w:p w:rsidR="003B3836" w:rsidRPr="009E050E" w:rsidRDefault="00364584" w:rsidP="003B3836">
      <w:pPr>
        <w:pStyle w:val="Heading4"/>
        <w:numPr>
          <w:ilvl w:val="3"/>
          <w:numId w:val="3"/>
        </w:numPr>
        <w:ind w:left="2127" w:hanging="1134"/>
        <w:jc w:val="both"/>
        <w:rPr>
          <w:rFonts w:cs="Arial"/>
        </w:rPr>
      </w:pPr>
      <w:r w:rsidRPr="009E050E">
        <w:rPr>
          <w:rFonts w:cs="Arial"/>
          <w:b/>
        </w:rPr>
        <w:t>Phase B</w:t>
      </w:r>
      <w:r w:rsidR="008F4D2D" w:rsidRPr="009E050E">
        <w:rPr>
          <w:rFonts w:cs="Arial"/>
          <w:b/>
        </w:rPr>
        <w:t xml:space="preserve">: Impact </w:t>
      </w:r>
      <w:r w:rsidR="00BB0D02" w:rsidRPr="009E050E">
        <w:rPr>
          <w:rFonts w:cs="Arial"/>
          <w:b/>
        </w:rPr>
        <w:t>Analysis</w:t>
      </w:r>
      <w:r w:rsidR="00BB0D02" w:rsidRPr="009E050E">
        <w:rPr>
          <w:rFonts w:cs="Arial"/>
        </w:rPr>
        <w:t xml:space="preserve"> </w:t>
      </w:r>
      <w:r w:rsidR="008F4D2D" w:rsidRPr="009E050E">
        <w:rPr>
          <w:rFonts w:cs="Arial"/>
        </w:rPr>
        <w:t xml:space="preserve">- </w:t>
      </w:r>
      <w:r w:rsidR="00BB0D02" w:rsidRPr="009E050E">
        <w:rPr>
          <w:rFonts w:cs="Arial"/>
        </w:rPr>
        <w:t>t</w:t>
      </w:r>
      <w:r w:rsidR="008F4D2D" w:rsidRPr="009E050E">
        <w:rPr>
          <w:rFonts w:cs="Arial"/>
        </w:rPr>
        <w:t xml:space="preserve">he second phase </w:t>
      </w:r>
      <w:r w:rsidR="00BB0D02" w:rsidRPr="009E050E">
        <w:rPr>
          <w:rFonts w:cs="Arial"/>
        </w:rPr>
        <w:t>involves</w:t>
      </w:r>
      <w:r w:rsidR="008F4D2D" w:rsidRPr="009E050E">
        <w:rPr>
          <w:rFonts w:cs="Arial"/>
        </w:rPr>
        <w:t xml:space="preserve"> further development of the proposition</w:t>
      </w:r>
      <w:r w:rsidR="00831595" w:rsidRPr="009E050E">
        <w:rPr>
          <w:rFonts w:cs="Arial"/>
        </w:rPr>
        <w:t xml:space="preserve"> which </w:t>
      </w:r>
      <w:r w:rsidR="00BB0D02" w:rsidRPr="009E050E">
        <w:rPr>
          <w:rFonts w:cs="Arial"/>
        </w:rPr>
        <w:t>requires</w:t>
      </w:r>
      <w:r w:rsidR="008F4D2D" w:rsidRPr="009E050E">
        <w:rPr>
          <w:rFonts w:cs="Arial"/>
        </w:rPr>
        <w:t xml:space="preserve"> </w:t>
      </w:r>
      <w:r w:rsidR="00BB0D02" w:rsidRPr="009E050E">
        <w:rPr>
          <w:rFonts w:cs="Arial"/>
        </w:rPr>
        <w:t xml:space="preserve">the </w:t>
      </w:r>
      <w:r w:rsidR="008F4D2D" w:rsidRPr="009E050E">
        <w:rPr>
          <w:rFonts w:cs="Arial"/>
        </w:rPr>
        <w:t>undertaking of operational and financial</w:t>
      </w:r>
      <w:r w:rsidR="00737216" w:rsidRPr="009E050E">
        <w:rPr>
          <w:rFonts w:cs="Arial"/>
        </w:rPr>
        <w:t xml:space="preserve"> impact assessments</w:t>
      </w:r>
      <w:r w:rsidR="006331C0" w:rsidRPr="009E050E">
        <w:rPr>
          <w:rFonts w:cs="Arial"/>
        </w:rPr>
        <w:t>, initial stakeholder testing and</w:t>
      </w:r>
      <w:r w:rsidR="00737216" w:rsidRPr="009E050E">
        <w:rPr>
          <w:rFonts w:cs="Arial"/>
        </w:rPr>
        <w:t xml:space="preserve"> formal public consultation.</w:t>
      </w:r>
      <w:r w:rsidR="008F4D2D" w:rsidRPr="009E050E">
        <w:rPr>
          <w:rFonts w:cs="Arial"/>
        </w:rPr>
        <w:t xml:space="preserve"> </w:t>
      </w:r>
      <w:r w:rsidR="00737216" w:rsidRPr="009E050E">
        <w:rPr>
          <w:rFonts w:cs="Arial"/>
        </w:rPr>
        <w:t xml:space="preserve">Any discrepancies or queries related to the </w:t>
      </w:r>
      <w:r w:rsidR="006331C0" w:rsidRPr="009E050E">
        <w:rPr>
          <w:rFonts w:cs="Arial"/>
        </w:rPr>
        <w:t xml:space="preserve">clinical </w:t>
      </w:r>
      <w:r w:rsidR="00737216" w:rsidRPr="009E050E">
        <w:rPr>
          <w:rFonts w:cs="Arial"/>
        </w:rPr>
        <w:t xml:space="preserve">evidence review undertaken may be raised in this Phase. </w:t>
      </w:r>
      <w:r w:rsidR="008F4D2D" w:rsidRPr="009E050E">
        <w:rPr>
          <w:rFonts w:cs="Arial"/>
        </w:rPr>
        <w:t xml:space="preserve">This phase is managed by the </w:t>
      </w:r>
      <w:proofErr w:type="spellStart"/>
      <w:r w:rsidR="00C87FD4" w:rsidRPr="009E050E">
        <w:rPr>
          <w:rFonts w:cs="Arial"/>
        </w:rPr>
        <w:t>N</w:t>
      </w:r>
      <w:r w:rsidR="008F4D2D" w:rsidRPr="009E050E">
        <w:rPr>
          <w:rFonts w:cs="Arial"/>
        </w:rPr>
        <w:t>PoC</w:t>
      </w:r>
      <w:proofErr w:type="spellEnd"/>
      <w:r w:rsidR="008F4D2D" w:rsidRPr="009E050E">
        <w:rPr>
          <w:rFonts w:cs="Arial"/>
        </w:rPr>
        <w:t xml:space="preserve"> and concludes through a gateway at </w:t>
      </w:r>
      <w:proofErr w:type="spellStart"/>
      <w:r w:rsidR="00C87FD4" w:rsidRPr="009E050E">
        <w:rPr>
          <w:rFonts w:cs="Arial"/>
        </w:rPr>
        <w:t>N</w:t>
      </w:r>
      <w:r w:rsidR="008F4D2D" w:rsidRPr="009E050E">
        <w:rPr>
          <w:rFonts w:cs="Arial"/>
        </w:rPr>
        <w:t>PoC</w:t>
      </w:r>
      <w:proofErr w:type="spellEnd"/>
      <w:r w:rsidR="008F4D2D" w:rsidRPr="009E050E">
        <w:rPr>
          <w:rFonts w:cs="Arial"/>
        </w:rPr>
        <w:t xml:space="preserve"> Board level</w:t>
      </w:r>
      <w:r w:rsidR="00E82DB2" w:rsidRPr="009E050E">
        <w:rPr>
          <w:rFonts w:cs="Arial"/>
        </w:rPr>
        <w:t>.</w:t>
      </w:r>
    </w:p>
    <w:p w:rsidR="003B3836" w:rsidRPr="009E050E" w:rsidRDefault="00364584" w:rsidP="003B3836">
      <w:pPr>
        <w:pStyle w:val="Heading4"/>
        <w:numPr>
          <w:ilvl w:val="3"/>
          <w:numId w:val="3"/>
        </w:numPr>
        <w:ind w:left="2127" w:hanging="1134"/>
        <w:jc w:val="both"/>
        <w:rPr>
          <w:rFonts w:cs="Arial"/>
        </w:rPr>
      </w:pPr>
      <w:r w:rsidRPr="009E050E">
        <w:rPr>
          <w:rFonts w:cs="Arial"/>
          <w:b/>
        </w:rPr>
        <w:t>Phase C</w:t>
      </w:r>
      <w:r w:rsidR="008F4D2D" w:rsidRPr="009E050E">
        <w:rPr>
          <w:rFonts w:cs="Arial"/>
          <w:b/>
        </w:rPr>
        <w:t xml:space="preserve">: </w:t>
      </w:r>
      <w:r w:rsidR="00782D63" w:rsidRPr="009E050E">
        <w:rPr>
          <w:rFonts w:cs="Arial"/>
          <w:b/>
        </w:rPr>
        <w:t>Governance</w:t>
      </w:r>
      <w:r w:rsidR="00782D63" w:rsidRPr="009E050E">
        <w:rPr>
          <w:rFonts w:cs="Arial"/>
        </w:rPr>
        <w:t xml:space="preserve"> - </w:t>
      </w:r>
      <w:r w:rsidR="006331C0" w:rsidRPr="009E050E">
        <w:rPr>
          <w:rFonts w:cs="Arial"/>
        </w:rPr>
        <w:t>t</w:t>
      </w:r>
      <w:r w:rsidR="008F4D2D" w:rsidRPr="009E050E">
        <w:rPr>
          <w:rFonts w:cs="Arial"/>
        </w:rPr>
        <w:t>he third and final phase is the recommendation process through the Clinical Priorities Advisory Group (</w:t>
      </w:r>
      <w:r w:rsidR="00E82DB2" w:rsidRPr="009E050E">
        <w:rPr>
          <w:rFonts w:cs="Arial"/>
        </w:rPr>
        <w:t>CPAG</w:t>
      </w:r>
      <w:r w:rsidR="008F4D2D" w:rsidRPr="009E050E">
        <w:rPr>
          <w:rFonts w:cs="Arial"/>
        </w:rPr>
        <w:t xml:space="preserve">), and the decision through Specialised Commissioning Oversight Group (SCOG) and Specialised </w:t>
      </w:r>
      <w:r w:rsidR="007B6CAD" w:rsidRPr="009E050E">
        <w:rPr>
          <w:rFonts w:cs="Arial"/>
        </w:rPr>
        <w:t xml:space="preserve">Services </w:t>
      </w:r>
      <w:r w:rsidR="008F4D2D" w:rsidRPr="009E050E">
        <w:rPr>
          <w:rFonts w:cs="Arial"/>
        </w:rPr>
        <w:t>Commissioning Committee (S</w:t>
      </w:r>
      <w:r w:rsidR="007B6CAD" w:rsidRPr="009E050E">
        <w:rPr>
          <w:rFonts w:cs="Arial"/>
        </w:rPr>
        <w:t>S</w:t>
      </w:r>
      <w:r w:rsidR="008F4D2D" w:rsidRPr="009E050E">
        <w:rPr>
          <w:rFonts w:cs="Arial"/>
        </w:rPr>
        <w:t xml:space="preserve">CC). Following </w:t>
      </w:r>
      <w:r w:rsidR="008F4D2D" w:rsidRPr="009E050E">
        <w:rPr>
          <w:rFonts w:cs="Arial"/>
        </w:rPr>
        <w:lastRenderedPageBreak/>
        <w:t xml:space="preserve">decisions being made, all clinical </w:t>
      </w:r>
      <w:r w:rsidR="00E82DB2" w:rsidRPr="009E050E">
        <w:rPr>
          <w:rFonts w:cs="Arial"/>
        </w:rPr>
        <w:t xml:space="preserve">commissioning </w:t>
      </w:r>
      <w:r w:rsidR="008F4D2D" w:rsidRPr="009E050E">
        <w:rPr>
          <w:rFonts w:cs="Arial"/>
        </w:rPr>
        <w:t xml:space="preserve">policies </w:t>
      </w:r>
      <w:r w:rsidR="00831595" w:rsidRPr="009E050E">
        <w:rPr>
          <w:rFonts w:cs="Arial"/>
        </w:rPr>
        <w:t>and service specification</w:t>
      </w:r>
      <w:r w:rsidR="00737216" w:rsidRPr="009E050E">
        <w:rPr>
          <w:rFonts w:cs="Arial"/>
          <w:bCs w:val="0"/>
          <w:iCs w:val="0"/>
        </w:rPr>
        <w:t xml:space="preserve"> </w:t>
      </w:r>
      <w:r w:rsidR="008F4D2D" w:rsidRPr="009E050E">
        <w:rPr>
          <w:rFonts w:cs="Arial"/>
          <w:bCs w:val="0"/>
          <w:iCs w:val="0"/>
        </w:rPr>
        <w:t xml:space="preserve">will be progressed through </w:t>
      </w:r>
      <w:r w:rsidR="007B6CAD" w:rsidRPr="009E050E">
        <w:rPr>
          <w:rFonts w:cs="Arial"/>
          <w:bCs w:val="0"/>
          <w:iCs w:val="0"/>
        </w:rPr>
        <w:t xml:space="preserve">NHS England </w:t>
      </w:r>
      <w:r w:rsidR="008F4D2D" w:rsidRPr="009E050E">
        <w:rPr>
          <w:rFonts w:cs="Arial"/>
          <w:bCs w:val="0"/>
          <w:iCs w:val="0"/>
        </w:rPr>
        <w:t>Gateway and</w:t>
      </w:r>
      <w:r w:rsidR="00831595" w:rsidRPr="009E050E">
        <w:rPr>
          <w:rFonts w:cs="Arial"/>
          <w:bCs w:val="0"/>
          <w:iCs w:val="0"/>
        </w:rPr>
        <w:t xml:space="preserve"> </w:t>
      </w:r>
      <w:r w:rsidR="008F4D2D" w:rsidRPr="009E050E">
        <w:rPr>
          <w:rFonts w:cs="Arial"/>
          <w:bCs w:val="0"/>
          <w:iCs w:val="0"/>
        </w:rPr>
        <w:t>published on NHS England website</w:t>
      </w:r>
      <w:r w:rsidR="00F92C98" w:rsidRPr="009E050E">
        <w:rPr>
          <w:rFonts w:cs="Arial"/>
          <w:bCs w:val="0"/>
          <w:iCs w:val="0"/>
        </w:rPr>
        <w:t>.</w:t>
      </w:r>
      <w:bookmarkStart w:id="3" w:name="_Toc448914368"/>
      <w:r w:rsidR="003B3836" w:rsidRPr="009E050E">
        <w:rPr>
          <w:rFonts w:cs="Arial"/>
          <w:bCs w:val="0"/>
          <w:iCs w:val="0"/>
        </w:rPr>
        <w:t xml:space="preserve"> </w:t>
      </w:r>
    </w:p>
    <w:p w:rsidR="00EE58D3" w:rsidRPr="000F01EC" w:rsidRDefault="00EE58D3" w:rsidP="000F01EC">
      <w:pPr>
        <w:pStyle w:val="Heading3"/>
        <w:ind w:left="567" w:hanging="567"/>
        <w:jc w:val="both"/>
        <w:rPr>
          <w:rFonts w:cs="Arial"/>
          <w:b/>
        </w:rPr>
      </w:pPr>
      <w:r w:rsidRPr="000F01EC">
        <w:rPr>
          <w:rFonts w:cs="Arial"/>
          <w:b/>
        </w:rPr>
        <w:t>Scope of the Procurement</w:t>
      </w:r>
      <w:bookmarkEnd w:id="3"/>
      <w:r w:rsidRPr="000F01EC">
        <w:rPr>
          <w:rFonts w:cs="Arial"/>
          <w:b/>
        </w:rPr>
        <w:t xml:space="preserve"> </w:t>
      </w:r>
    </w:p>
    <w:p w:rsidR="00EB1703" w:rsidRPr="009E050E" w:rsidRDefault="00EB1703" w:rsidP="000F01EC">
      <w:pPr>
        <w:pStyle w:val="Heading3"/>
        <w:numPr>
          <w:ilvl w:val="0"/>
          <w:numId w:val="0"/>
        </w:numPr>
        <w:ind w:left="567"/>
        <w:jc w:val="both"/>
        <w:rPr>
          <w:rFonts w:cs="Arial"/>
        </w:rPr>
      </w:pPr>
      <w:r w:rsidRPr="009E050E">
        <w:rPr>
          <w:rFonts w:cs="Arial"/>
        </w:rPr>
        <w:t>The aims and objectives of this procurement are broadly the same as those presented at the Provider briefing call held on 23</w:t>
      </w:r>
      <w:r w:rsidRPr="009E050E">
        <w:rPr>
          <w:rFonts w:cs="Arial"/>
          <w:vertAlign w:val="superscript"/>
        </w:rPr>
        <w:t>rd</w:t>
      </w:r>
      <w:r w:rsidRPr="009E050E">
        <w:rPr>
          <w:rFonts w:cs="Arial"/>
        </w:rPr>
        <w:t xml:space="preserve"> June 2016</w:t>
      </w:r>
      <w:r w:rsidR="00DD1F6B" w:rsidRPr="009E050E">
        <w:rPr>
          <w:rFonts w:cs="Arial"/>
        </w:rPr>
        <w:t xml:space="preserve">. The slide pack presented at this </w:t>
      </w:r>
      <w:r w:rsidR="000F01EC">
        <w:rPr>
          <w:rFonts w:cs="Arial"/>
        </w:rPr>
        <w:t xml:space="preserve">session can be found as </w:t>
      </w:r>
      <w:r w:rsidR="0080609E" w:rsidRPr="009E050E">
        <w:rPr>
          <w:rFonts w:cs="Arial"/>
        </w:rPr>
        <w:t>Appendix 1</w:t>
      </w:r>
      <w:r w:rsidR="00DD1F6B" w:rsidRPr="009E050E">
        <w:rPr>
          <w:rFonts w:cs="Arial"/>
        </w:rPr>
        <w:t xml:space="preserve">. </w:t>
      </w:r>
    </w:p>
    <w:p w:rsidR="00B72FC3" w:rsidRPr="000F01EC" w:rsidRDefault="00B72FC3" w:rsidP="000F01EC">
      <w:pPr>
        <w:pStyle w:val="Heading3"/>
        <w:ind w:left="567" w:hanging="567"/>
        <w:jc w:val="both"/>
        <w:rPr>
          <w:rFonts w:cs="Arial"/>
          <w:b/>
        </w:rPr>
      </w:pPr>
      <w:r w:rsidRPr="000F01EC">
        <w:rPr>
          <w:rFonts w:cs="Arial"/>
          <w:b/>
        </w:rPr>
        <w:t xml:space="preserve">Aims </w:t>
      </w:r>
      <w:r w:rsidR="007774A9" w:rsidRPr="000F01EC">
        <w:rPr>
          <w:rFonts w:cs="Arial"/>
          <w:b/>
        </w:rPr>
        <w:t>and</w:t>
      </w:r>
      <w:r w:rsidRPr="000F01EC">
        <w:rPr>
          <w:rFonts w:cs="Arial"/>
          <w:b/>
        </w:rPr>
        <w:t xml:space="preserve"> Objectives </w:t>
      </w:r>
    </w:p>
    <w:p w:rsidR="00E54A57" w:rsidRPr="009E050E" w:rsidRDefault="00654696" w:rsidP="000F01EC">
      <w:pPr>
        <w:pStyle w:val="Heading4"/>
        <w:ind w:left="851" w:hanging="851"/>
        <w:jc w:val="both"/>
        <w:rPr>
          <w:rFonts w:cs="Arial"/>
        </w:rPr>
      </w:pPr>
      <w:r w:rsidRPr="009E050E">
        <w:rPr>
          <w:rFonts w:cs="Arial"/>
        </w:rPr>
        <w:t>The aim</w:t>
      </w:r>
      <w:r w:rsidR="00266388" w:rsidRPr="009E050E">
        <w:rPr>
          <w:rFonts w:cs="Arial"/>
        </w:rPr>
        <w:t xml:space="preserve"> of th</w:t>
      </w:r>
      <w:r w:rsidR="00E54A57" w:rsidRPr="009E050E">
        <w:rPr>
          <w:rFonts w:cs="Arial"/>
        </w:rPr>
        <w:t>is work is to pro</w:t>
      </w:r>
      <w:r w:rsidR="008D509B" w:rsidRPr="009E050E">
        <w:rPr>
          <w:rFonts w:cs="Arial"/>
        </w:rPr>
        <w:t>vide</w:t>
      </w:r>
      <w:r w:rsidR="00E54A57" w:rsidRPr="009E050E">
        <w:rPr>
          <w:rFonts w:cs="Arial"/>
        </w:rPr>
        <w:t xml:space="preserve"> professional services </w:t>
      </w:r>
      <w:r w:rsidR="00D06BEA" w:rsidRPr="009E050E">
        <w:rPr>
          <w:rFonts w:cs="Arial"/>
        </w:rPr>
        <w:t xml:space="preserve">to </w:t>
      </w:r>
      <w:r w:rsidR="001C066E" w:rsidRPr="009E050E">
        <w:rPr>
          <w:rFonts w:cs="Arial"/>
        </w:rPr>
        <w:t xml:space="preserve">support </w:t>
      </w:r>
      <w:r w:rsidR="000941F8" w:rsidRPr="009E050E">
        <w:rPr>
          <w:rFonts w:cs="Arial"/>
        </w:rPr>
        <w:t>NHS England in developing</w:t>
      </w:r>
      <w:r w:rsidR="001C066E" w:rsidRPr="009E050E">
        <w:rPr>
          <w:rFonts w:cs="Arial"/>
        </w:rPr>
        <w:t xml:space="preserve"> clinical commissioning policies and services specifications</w:t>
      </w:r>
      <w:r w:rsidR="007C2F0E" w:rsidRPr="009E050E">
        <w:rPr>
          <w:rFonts w:cs="Arial"/>
        </w:rPr>
        <w:t xml:space="preserve"> for a period of 3 years. </w:t>
      </w:r>
    </w:p>
    <w:p w:rsidR="00DC6283" w:rsidRPr="000F01EC" w:rsidRDefault="00DC6283" w:rsidP="000F01EC">
      <w:pPr>
        <w:pStyle w:val="Heading3"/>
        <w:ind w:left="567" w:hanging="567"/>
        <w:jc w:val="both"/>
        <w:rPr>
          <w:rFonts w:cs="Arial"/>
          <w:b/>
        </w:rPr>
      </w:pPr>
      <w:r w:rsidRPr="000F01EC">
        <w:rPr>
          <w:rFonts w:cs="Arial"/>
          <w:b/>
        </w:rPr>
        <w:t>Objectives</w:t>
      </w:r>
    </w:p>
    <w:p w:rsidR="008D509B" w:rsidRPr="009E050E" w:rsidRDefault="008D509B" w:rsidP="000F01EC">
      <w:pPr>
        <w:pStyle w:val="Heading4"/>
        <w:ind w:left="851" w:hanging="851"/>
        <w:jc w:val="both"/>
        <w:rPr>
          <w:rFonts w:cs="Arial"/>
        </w:rPr>
      </w:pPr>
      <w:r w:rsidRPr="009E050E">
        <w:rPr>
          <w:rFonts w:cs="Arial"/>
        </w:rPr>
        <w:t>The objective</w:t>
      </w:r>
      <w:r w:rsidR="000941F8" w:rsidRPr="009E050E">
        <w:rPr>
          <w:rFonts w:cs="Arial"/>
        </w:rPr>
        <w:t xml:space="preserve"> of the professional services will be to undertake clinical-effectiveness, safety and cost effectiveness (where </w:t>
      </w:r>
      <w:r w:rsidR="00375FE4" w:rsidRPr="009E050E">
        <w:rPr>
          <w:rFonts w:cs="Arial"/>
        </w:rPr>
        <w:t xml:space="preserve">information is </w:t>
      </w:r>
      <w:r w:rsidR="000941F8" w:rsidRPr="009E050E">
        <w:rPr>
          <w:rFonts w:cs="Arial"/>
        </w:rPr>
        <w:t>available) reviews of published peer reviewed clinical evidence</w:t>
      </w:r>
      <w:r w:rsidRPr="009E050E">
        <w:rPr>
          <w:rFonts w:cs="Arial"/>
        </w:rPr>
        <w:t xml:space="preserve"> to support clinical </w:t>
      </w:r>
      <w:r w:rsidR="00375FE4" w:rsidRPr="009E050E">
        <w:rPr>
          <w:rFonts w:cs="Arial"/>
        </w:rPr>
        <w:t xml:space="preserve">commissioning </w:t>
      </w:r>
      <w:r w:rsidRPr="009E050E">
        <w:rPr>
          <w:rFonts w:cs="Arial"/>
        </w:rPr>
        <w:t xml:space="preserve">policy and service specification </w:t>
      </w:r>
      <w:r w:rsidR="000941F8" w:rsidRPr="009E050E">
        <w:rPr>
          <w:rFonts w:cs="Arial"/>
        </w:rPr>
        <w:t>in accordance with the guidance provided (Appendix 2)</w:t>
      </w:r>
      <w:r w:rsidRPr="009E050E">
        <w:rPr>
          <w:rFonts w:cs="Arial"/>
        </w:rPr>
        <w:t xml:space="preserve">. </w:t>
      </w:r>
    </w:p>
    <w:p w:rsidR="008D509B" w:rsidRPr="009E050E" w:rsidRDefault="008D509B" w:rsidP="000F01EC">
      <w:pPr>
        <w:pStyle w:val="Heading4"/>
        <w:ind w:left="851" w:hanging="851"/>
        <w:jc w:val="both"/>
        <w:rPr>
          <w:rFonts w:cs="Arial"/>
        </w:rPr>
      </w:pPr>
      <w:r w:rsidRPr="009E050E">
        <w:rPr>
          <w:rFonts w:cs="Arial"/>
        </w:rPr>
        <w:t xml:space="preserve">To undertake the </w:t>
      </w:r>
      <w:r w:rsidR="00375FE4" w:rsidRPr="009E050E">
        <w:rPr>
          <w:rFonts w:cs="Arial"/>
        </w:rPr>
        <w:t xml:space="preserve">clinical </w:t>
      </w:r>
      <w:r w:rsidRPr="009E050E">
        <w:rPr>
          <w:rFonts w:cs="Arial"/>
        </w:rPr>
        <w:t>evidence reviews using validated methodological approaches to ensure they are robust and of high quality as well as legally appropriate.</w:t>
      </w:r>
    </w:p>
    <w:p w:rsidR="000941F8" w:rsidRPr="009E050E" w:rsidRDefault="008D509B" w:rsidP="000F01EC">
      <w:pPr>
        <w:pStyle w:val="Heading4"/>
        <w:ind w:left="851" w:hanging="851"/>
        <w:jc w:val="both"/>
        <w:rPr>
          <w:rFonts w:cs="Arial"/>
        </w:rPr>
      </w:pPr>
      <w:r w:rsidRPr="009E050E">
        <w:rPr>
          <w:rFonts w:cs="Arial"/>
        </w:rPr>
        <w:t xml:space="preserve">The support required will be for up to 60 evidence reviews across the six </w:t>
      </w:r>
      <w:proofErr w:type="spellStart"/>
      <w:r w:rsidRPr="009E050E">
        <w:rPr>
          <w:rFonts w:cs="Arial"/>
        </w:rPr>
        <w:t>NPoCs</w:t>
      </w:r>
      <w:proofErr w:type="spellEnd"/>
      <w:r w:rsidRPr="009E050E">
        <w:rPr>
          <w:rFonts w:cs="Arial"/>
        </w:rPr>
        <w:t>.</w:t>
      </w:r>
      <w:r w:rsidR="000941F8" w:rsidRPr="009E050E">
        <w:rPr>
          <w:rFonts w:cs="Arial"/>
        </w:rPr>
        <w:t xml:space="preserve"> </w:t>
      </w:r>
    </w:p>
    <w:p w:rsidR="00B72FC3" w:rsidRPr="009E050E" w:rsidRDefault="00F14938" w:rsidP="000F01EC">
      <w:pPr>
        <w:pStyle w:val="Heading4"/>
        <w:ind w:left="851" w:hanging="851"/>
        <w:jc w:val="both"/>
        <w:rPr>
          <w:rFonts w:cs="Arial"/>
        </w:rPr>
      </w:pPr>
      <w:r w:rsidRPr="009E050E">
        <w:rPr>
          <w:rFonts w:cs="Arial"/>
        </w:rPr>
        <w:t xml:space="preserve">To </w:t>
      </w:r>
      <w:r w:rsidR="00280098" w:rsidRPr="009E050E">
        <w:rPr>
          <w:rFonts w:cs="Arial"/>
        </w:rPr>
        <w:t xml:space="preserve">support </w:t>
      </w:r>
      <w:r w:rsidRPr="009E050E">
        <w:rPr>
          <w:rFonts w:cs="Arial"/>
        </w:rPr>
        <w:t>d</w:t>
      </w:r>
      <w:r w:rsidR="00CD55A1" w:rsidRPr="009E050E">
        <w:rPr>
          <w:rFonts w:cs="Arial"/>
        </w:rPr>
        <w:t>evelop</w:t>
      </w:r>
      <w:r w:rsidR="00280098" w:rsidRPr="009E050E">
        <w:rPr>
          <w:rFonts w:cs="Arial"/>
        </w:rPr>
        <w:t xml:space="preserve">ment of </w:t>
      </w:r>
      <w:r w:rsidR="00CD55A1" w:rsidRPr="009E050E">
        <w:rPr>
          <w:rFonts w:cs="Arial"/>
        </w:rPr>
        <w:t>proposals</w:t>
      </w:r>
      <w:r w:rsidR="00280098" w:rsidRPr="009E050E">
        <w:rPr>
          <w:rFonts w:cs="Arial"/>
        </w:rPr>
        <w:t xml:space="preserve"> </w:t>
      </w:r>
      <w:r w:rsidR="00D632DC" w:rsidRPr="009E050E">
        <w:rPr>
          <w:rFonts w:cs="Arial"/>
        </w:rPr>
        <w:t xml:space="preserve">in a timely manner to ensure they are completed </w:t>
      </w:r>
      <w:r w:rsidR="00C50EE1" w:rsidRPr="009E050E">
        <w:rPr>
          <w:rFonts w:cs="Arial"/>
        </w:rPr>
        <w:t>to meet deadlines</w:t>
      </w:r>
      <w:r w:rsidR="00D632DC" w:rsidRPr="009E050E">
        <w:rPr>
          <w:rFonts w:cs="Arial"/>
        </w:rPr>
        <w:t xml:space="preserve"> for consideration as part of NHS England’s annual prioritisation</w:t>
      </w:r>
      <w:r w:rsidR="007774A9" w:rsidRPr="009E050E">
        <w:rPr>
          <w:rFonts w:cs="Arial"/>
        </w:rPr>
        <w:t>, or through the In Year Service Development route if clinical urgency or no financial impact is determined.</w:t>
      </w:r>
    </w:p>
    <w:p w:rsidR="004C1F0A" w:rsidRPr="000F01EC" w:rsidRDefault="004C1F0A" w:rsidP="000F01EC">
      <w:pPr>
        <w:pStyle w:val="Heading3"/>
        <w:ind w:left="567" w:hanging="567"/>
        <w:jc w:val="both"/>
        <w:rPr>
          <w:rFonts w:cs="Arial"/>
          <w:b/>
        </w:rPr>
      </w:pPr>
      <w:r w:rsidRPr="000F01EC">
        <w:rPr>
          <w:rFonts w:cs="Arial"/>
          <w:b/>
        </w:rPr>
        <w:lastRenderedPageBreak/>
        <w:t>Contract timeframes</w:t>
      </w:r>
    </w:p>
    <w:p w:rsidR="004C1F0A" w:rsidRPr="009E050E" w:rsidRDefault="00C11986" w:rsidP="000F01EC">
      <w:pPr>
        <w:pStyle w:val="Heading4"/>
        <w:ind w:left="709" w:hanging="709"/>
        <w:jc w:val="both"/>
      </w:pPr>
      <w:r w:rsidRPr="009E050E">
        <w:t>The appointed Providers are</w:t>
      </w:r>
      <w:r w:rsidR="004C1F0A" w:rsidRPr="009E050E">
        <w:t xml:space="preserve"> required to begin work as soon as the Call </w:t>
      </w:r>
      <w:proofErr w:type="gramStart"/>
      <w:r w:rsidR="004C1F0A" w:rsidRPr="009E050E">
        <w:t>Off Contract(s)</w:t>
      </w:r>
      <w:proofErr w:type="gramEnd"/>
      <w:r w:rsidR="004C1F0A" w:rsidRPr="009E050E">
        <w:t xml:space="preserve"> have been awarded.</w:t>
      </w:r>
    </w:p>
    <w:p w:rsidR="004C1F0A" w:rsidRPr="009E050E" w:rsidRDefault="004C1F0A" w:rsidP="000F01EC">
      <w:pPr>
        <w:pStyle w:val="Heading4"/>
        <w:ind w:left="709" w:hanging="709"/>
        <w:jc w:val="both"/>
      </w:pPr>
      <w:r w:rsidRPr="009E050E">
        <w:t>The Duration of the Call-Off Contracts is 3 years, currently anticipated to run from 1</w:t>
      </w:r>
      <w:r w:rsidR="00C9556D">
        <w:t>9</w:t>
      </w:r>
      <w:r w:rsidR="00C9556D" w:rsidRPr="00C9556D">
        <w:rPr>
          <w:vertAlign w:val="superscript"/>
        </w:rPr>
        <w:t>th</w:t>
      </w:r>
      <w:r w:rsidR="00C9556D">
        <w:t xml:space="preserve"> December 2016 until 18</w:t>
      </w:r>
      <w:r w:rsidRPr="009E050E">
        <w:rPr>
          <w:vertAlign w:val="superscript"/>
        </w:rPr>
        <w:t>th</w:t>
      </w:r>
      <w:r w:rsidRPr="009E050E">
        <w:t xml:space="preserve"> </w:t>
      </w:r>
      <w:r w:rsidR="00C9556D">
        <w:t xml:space="preserve">December </w:t>
      </w:r>
      <w:r w:rsidRPr="009E050E">
        <w:t xml:space="preserve">2019. </w:t>
      </w:r>
      <w:bookmarkStart w:id="4" w:name="_GoBack"/>
      <w:bookmarkEnd w:id="4"/>
    </w:p>
    <w:p w:rsidR="00B72FC3" w:rsidRPr="000F01EC" w:rsidRDefault="00B72FC3" w:rsidP="000F01EC">
      <w:pPr>
        <w:pStyle w:val="Heading3"/>
        <w:ind w:left="567" w:hanging="567"/>
        <w:jc w:val="both"/>
        <w:rPr>
          <w:rFonts w:cs="Arial"/>
          <w:b/>
        </w:rPr>
      </w:pPr>
      <w:r w:rsidRPr="000F01EC">
        <w:rPr>
          <w:rFonts w:cs="Arial"/>
          <w:b/>
        </w:rPr>
        <w:t>Constraints and Dependencies</w:t>
      </w:r>
    </w:p>
    <w:p w:rsidR="00B72FC3" w:rsidRPr="009E050E" w:rsidRDefault="00802FE8" w:rsidP="000F01EC">
      <w:pPr>
        <w:pStyle w:val="Heading4"/>
        <w:ind w:left="709" w:hanging="709"/>
        <w:jc w:val="both"/>
        <w:rPr>
          <w:rFonts w:cs="Arial"/>
        </w:rPr>
      </w:pPr>
      <w:r w:rsidRPr="009E050E">
        <w:rPr>
          <w:rFonts w:cs="Arial"/>
        </w:rPr>
        <w:t xml:space="preserve">The professional services will be </w:t>
      </w:r>
      <w:r w:rsidR="0096247D" w:rsidRPr="009E050E">
        <w:rPr>
          <w:rFonts w:cs="Arial"/>
        </w:rPr>
        <w:t xml:space="preserve">required </w:t>
      </w:r>
      <w:r w:rsidRPr="009E050E">
        <w:rPr>
          <w:rFonts w:cs="Arial"/>
        </w:rPr>
        <w:t xml:space="preserve">to develop </w:t>
      </w:r>
      <w:r w:rsidR="00571467" w:rsidRPr="009E050E">
        <w:rPr>
          <w:rFonts w:cs="Arial"/>
        </w:rPr>
        <w:t>a maximum of</w:t>
      </w:r>
      <w:r w:rsidRPr="009E050E">
        <w:rPr>
          <w:rFonts w:cs="Arial"/>
        </w:rPr>
        <w:t xml:space="preserve"> 60 proposals per year. </w:t>
      </w:r>
      <w:r w:rsidR="004C1F0A" w:rsidRPr="009E050E">
        <w:rPr>
          <w:rFonts w:cs="Arial"/>
        </w:rPr>
        <w:t>An i</w:t>
      </w:r>
      <w:r w:rsidRPr="009E050E">
        <w:rPr>
          <w:rFonts w:cs="Arial"/>
        </w:rPr>
        <w:t xml:space="preserve">nitial batch of proposals will be agreed on an annual basis. Further new proposals will be added on an ad-hoc basis as they </w:t>
      </w:r>
      <w:r w:rsidR="00571467" w:rsidRPr="009E050E">
        <w:rPr>
          <w:rFonts w:cs="Arial"/>
        </w:rPr>
        <w:t>are</w:t>
      </w:r>
      <w:r w:rsidRPr="009E050E">
        <w:rPr>
          <w:rFonts w:cs="Arial"/>
        </w:rPr>
        <w:t xml:space="preserve"> identified during the year. Each</w:t>
      </w:r>
      <w:r w:rsidR="00571467" w:rsidRPr="009E050E">
        <w:rPr>
          <w:rFonts w:cs="Arial"/>
        </w:rPr>
        <w:t xml:space="preserve"> clinical</w:t>
      </w:r>
      <w:r w:rsidRPr="009E050E">
        <w:rPr>
          <w:rFonts w:cs="Arial"/>
        </w:rPr>
        <w:t xml:space="preserve"> evidence review will need to be </w:t>
      </w:r>
      <w:r w:rsidR="00B30982">
        <w:rPr>
          <w:rFonts w:cs="Arial"/>
        </w:rPr>
        <w:t>completed</w:t>
      </w:r>
      <w:r w:rsidRPr="009E050E">
        <w:rPr>
          <w:rFonts w:cs="Arial"/>
        </w:rPr>
        <w:t xml:space="preserve"> in </w:t>
      </w:r>
      <w:r w:rsidR="009E44E4" w:rsidRPr="009E050E">
        <w:rPr>
          <w:rFonts w:cs="Arial"/>
        </w:rPr>
        <w:t>ten</w:t>
      </w:r>
      <w:r w:rsidRPr="009E050E">
        <w:rPr>
          <w:rFonts w:cs="Arial"/>
        </w:rPr>
        <w:t xml:space="preserve"> weeks</w:t>
      </w:r>
      <w:r w:rsidR="00B30982">
        <w:rPr>
          <w:rFonts w:cs="Arial"/>
        </w:rPr>
        <w:t xml:space="preserve"> </w:t>
      </w:r>
      <w:r w:rsidR="004807C6" w:rsidRPr="009E050E">
        <w:rPr>
          <w:rFonts w:cs="Arial"/>
        </w:rPr>
        <w:t>following agreement and sign off of the PICO</w:t>
      </w:r>
      <w:r w:rsidR="00B30982">
        <w:rPr>
          <w:rFonts w:cs="Arial"/>
        </w:rPr>
        <w:t xml:space="preserve"> – Eight weeks to produce the evidence report plus one week for NHS England to review and feedback and one week for provider to make amendments if necessary</w:t>
      </w:r>
      <w:r w:rsidRPr="009E050E">
        <w:rPr>
          <w:rFonts w:cs="Arial"/>
        </w:rPr>
        <w:t>.</w:t>
      </w:r>
    </w:p>
    <w:p w:rsidR="00B72FC3" w:rsidRPr="009E050E" w:rsidRDefault="00F249FD" w:rsidP="000F01EC">
      <w:pPr>
        <w:pStyle w:val="Heading4"/>
        <w:ind w:left="709" w:hanging="709"/>
        <w:jc w:val="both"/>
        <w:rPr>
          <w:rFonts w:cs="Arial"/>
        </w:rPr>
      </w:pPr>
      <w:r w:rsidRPr="009E050E">
        <w:rPr>
          <w:rFonts w:cs="Arial"/>
        </w:rPr>
        <w:t>Appointed Provider</w:t>
      </w:r>
      <w:r w:rsidR="00105874" w:rsidRPr="009E050E">
        <w:rPr>
          <w:rFonts w:cs="Arial"/>
        </w:rPr>
        <w:t xml:space="preserve">s will be required to work with </w:t>
      </w:r>
      <w:r w:rsidR="00542F72" w:rsidRPr="009E050E">
        <w:rPr>
          <w:rFonts w:cs="Arial"/>
        </w:rPr>
        <w:t xml:space="preserve">the </w:t>
      </w:r>
      <w:r w:rsidR="00837EBE" w:rsidRPr="009E050E">
        <w:rPr>
          <w:rFonts w:cs="Arial"/>
        </w:rPr>
        <w:t xml:space="preserve">Specialised Commissioning </w:t>
      </w:r>
      <w:r w:rsidR="00105874" w:rsidRPr="009E050E">
        <w:rPr>
          <w:rFonts w:cs="Arial"/>
        </w:rPr>
        <w:t>Policy Working Groups</w:t>
      </w:r>
      <w:r w:rsidR="0078493A" w:rsidRPr="009E050E">
        <w:rPr>
          <w:rFonts w:cs="Arial"/>
        </w:rPr>
        <w:t xml:space="preserve"> (PWGs)</w:t>
      </w:r>
      <w:r w:rsidR="00DC6283" w:rsidRPr="009E050E">
        <w:rPr>
          <w:rFonts w:cs="Arial"/>
        </w:rPr>
        <w:t xml:space="preserve"> (See Appendix 3 for PWG terms of reference)</w:t>
      </w:r>
      <w:r w:rsidR="00542F72" w:rsidRPr="009E050E">
        <w:rPr>
          <w:rFonts w:cs="Arial"/>
        </w:rPr>
        <w:t xml:space="preserve"> when undertaking </w:t>
      </w:r>
      <w:r w:rsidR="00837EBE" w:rsidRPr="009E050E">
        <w:rPr>
          <w:rFonts w:cs="Arial"/>
        </w:rPr>
        <w:t xml:space="preserve">clinical </w:t>
      </w:r>
      <w:r w:rsidR="00542F72" w:rsidRPr="009E050E">
        <w:rPr>
          <w:rFonts w:cs="Arial"/>
        </w:rPr>
        <w:t>evidence reviews and following public consultation to take into account</w:t>
      </w:r>
      <w:r w:rsidR="00105874" w:rsidRPr="009E050E">
        <w:rPr>
          <w:rFonts w:cs="Arial"/>
        </w:rPr>
        <w:t xml:space="preserve"> </w:t>
      </w:r>
      <w:r w:rsidR="00542F72" w:rsidRPr="009E050E">
        <w:rPr>
          <w:rFonts w:cs="Arial"/>
        </w:rPr>
        <w:t>feedback</w:t>
      </w:r>
      <w:r w:rsidR="00B37EFE" w:rsidRPr="009E050E">
        <w:rPr>
          <w:rFonts w:cs="Arial"/>
        </w:rPr>
        <w:t xml:space="preserve"> relevant to the reviews</w:t>
      </w:r>
      <w:r w:rsidR="00542F72" w:rsidRPr="009E050E">
        <w:rPr>
          <w:rFonts w:cs="Arial"/>
        </w:rPr>
        <w:t>.</w:t>
      </w:r>
    </w:p>
    <w:p w:rsidR="00B72FC3" w:rsidRPr="009E050E" w:rsidRDefault="00F249FD" w:rsidP="000F01EC">
      <w:pPr>
        <w:pStyle w:val="Heading4"/>
        <w:ind w:left="709" w:hanging="709"/>
        <w:jc w:val="both"/>
        <w:rPr>
          <w:rFonts w:cs="Arial"/>
        </w:rPr>
      </w:pPr>
      <w:r w:rsidRPr="009E050E">
        <w:rPr>
          <w:rFonts w:cs="Arial"/>
        </w:rPr>
        <w:t>Appointed Providers</w:t>
      </w:r>
      <w:r w:rsidR="00542F72" w:rsidRPr="009E050E">
        <w:rPr>
          <w:rFonts w:cs="Arial"/>
        </w:rPr>
        <w:t xml:space="preserve"> will require access to library </w:t>
      </w:r>
      <w:r w:rsidR="0012798A" w:rsidRPr="009E050E">
        <w:rPr>
          <w:rFonts w:cs="Arial"/>
        </w:rPr>
        <w:t>resources</w:t>
      </w:r>
      <w:r w:rsidR="00542F72" w:rsidRPr="009E050E">
        <w:rPr>
          <w:rFonts w:cs="Arial"/>
        </w:rPr>
        <w:t xml:space="preserve"> to</w:t>
      </w:r>
      <w:r w:rsidR="0012798A" w:rsidRPr="009E050E">
        <w:rPr>
          <w:rFonts w:cs="Arial"/>
        </w:rPr>
        <w:t xml:space="preserve"> search and download </w:t>
      </w:r>
      <w:r w:rsidR="00B37EFE" w:rsidRPr="009E050E">
        <w:rPr>
          <w:rFonts w:cs="Arial"/>
        </w:rPr>
        <w:t xml:space="preserve">peer reviewed and </w:t>
      </w:r>
      <w:r w:rsidR="0012798A" w:rsidRPr="009E050E">
        <w:rPr>
          <w:rFonts w:cs="Arial"/>
        </w:rPr>
        <w:t>published evidence.</w:t>
      </w:r>
    </w:p>
    <w:p w:rsidR="00212556" w:rsidRDefault="00212556">
      <w:pPr>
        <w:spacing w:after="200" w:line="276" w:lineRule="auto"/>
        <w:rPr>
          <w:rFonts w:ascii="Arial" w:eastAsia="Times New Roman" w:hAnsi="Arial" w:cs="Arial"/>
          <w:b/>
          <w:bCs/>
          <w:iCs/>
          <w:sz w:val="28"/>
          <w:szCs w:val="28"/>
        </w:rPr>
      </w:pPr>
      <w:bookmarkStart w:id="5" w:name="_Toc448914369"/>
      <w:r>
        <w:rPr>
          <w:rFonts w:cs="Arial"/>
        </w:rPr>
        <w:br w:type="page"/>
      </w:r>
    </w:p>
    <w:p w:rsidR="00613B18" w:rsidRPr="009E050E" w:rsidRDefault="00613B18" w:rsidP="00B84869">
      <w:pPr>
        <w:pStyle w:val="Heading2"/>
        <w:ind w:left="567" w:hanging="567"/>
        <w:jc w:val="both"/>
        <w:rPr>
          <w:rFonts w:cs="Arial"/>
        </w:rPr>
      </w:pPr>
      <w:r w:rsidRPr="009E050E">
        <w:rPr>
          <w:rFonts w:cs="Arial"/>
        </w:rPr>
        <w:lastRenderedPageBreak/>
        <w:t>Requirements</w:t>
      </w:r>
      <w:bookmarkEnd w:id="5"/>
      <w:r w:rsidRPr="009E050E">
        <w:rPr>
          <w:rFonts w:cs="Arial"/>
        </w:rPr>
        <w:t xml:space="preserve">  </w:t>
      </w:r>
    </w:p>
    <w:p w:rsidR="00116002" w:rsidRPr="00212556" w:rsidRDefault="00116002" w:rsidP="00212556">
      <w:pPr>
        <w:pStyle w:val="Heading3"/>
        <w:ind w:left="567" w:hanging="567"/>
        <w:jc w:val="both"/>
        <w:rPr>
          <w:rFonts w:cs="Arial"/>
          <w:b/>
        </w:rPr>
      </w:pPr>
      <w:r w:rsidRPr="00212556">
        <w:rPr>
          <w:rFonts w:cs="Arial"/>
          <w:b/>
        </w:rPr>
        <w:t>Mandatory</w:t>
      </w:r>
      <w:r w:rsidR="00082A6E" w:rsidRPr="00212556">
        <w:rPr>
          <w:rFonts w:cs="Arial"/>
          <w:b/>
        </w:rPr>
        <w:t xml:space="preserve"> and Minimum</w:t>
      </w:r>
      <w:r w:rsidRPr="00212556">
        <w:rPr>
          <w:rFonts w:cs="Arial"/>
          <w:b/>
        </w:rPr>
        <w:t xml:space="preserve"> Requirements</w:t>
      </w:r>
    </w:p>
    <w:p w:rsidR="009D3059" w:rsidRPr="009E050E" w:rsidRDefault="00F249FD" w:rsidP="000F01EC">
      <w:pPr>
        <w:pStyle w:val="Heading4"/>
        <w:ind w:left="709" w:hanging="709"/>
        <w:jc w:val="both"/>
        <w:rPr>
          <w:bCs w:val="0"/>
          <w:iCs w:val="0"/>
        </w:rPr>
      </w:pPr>
      <w:r w:rsidRPr="009E050E">
        <w:rPr>
          <w:rFonts w:cs="Arial"/>
        </w:rPr>
        <w:t>Providers</w:t>
      </w:r>
      <w:r w:rsidR="0007397A" w:rsidRPr="009E050E">
        <w:rPr>
          <w:rFonts w:cs="Arial"/>
        </w:rPr>
        <w:t xml:space="preserve"> must have the</w:t>
      </w:r>
      <w:r w:rsidR="0007397A" w:rsidRPr="009E050E">
        <w:rPr>
          <w:bCs w:val="0"/>
          <w:iCs w:val="0"/>
        </w:rPr>
        <w:t xml:space="preserve"> following skills and expertise to deliver the outputs: </w:t>
      </w:r>
    </w:p>
    <w:p w:rsidR="009D3059" w:rsidRPr="009E050E" w:rsidRDefault="009D3059" w:rsidP="000F01EC">
      <w:pPr>
        <w:pStyle w:val="Heading4"/>
        <w:numPr>
          <w:ilvl w:val="0"/>
          <w:numId w:val="14"/>
        </w:numPr>
        <w:ind w:left="1134" w:hanging="425"/>
        <w:jc w:val="both"/>
      </w:pPr>
      <w:proofErr w:type="gramStart"/>
      <w:r w:rsidRPr="009E050E">
        <w:t>expertise</w:t>
      </w:r>
      <w:proofErr w:type="gramEnd"/>
      <w:r w:rsidRPr="009E050E">
        <w:t xml:space="preserve"> in research methods particularly in undertaking </w:t>
      </w:r>
      <w:r w:rsidR="008F01B8" w:rsidRPr="009E050E">
        <w:t xml:space="preserve">clinical </w:t>
      </w:r>
      <w:r w:rsidRPr="009E050E">
        <w:t>evidence reviews</w:t>
      </w:r>
      <w:r w:rsidR="00212556">
        <w:t>;</w:t>
      </w:r>
    </w:p>
    <w:p w:rsidR="009D3059" w:rsidRPr="009E050E" w:rsidRDefault="009D3059" w:rsidP="000F01EC">
      <w:pPr>
        <w:pStyle w:val="Heading4"/>
        <w:numPr>
          <w:ilvl w:val="0"/>
          <w:numId w:val="14"/>
        </w:numPr>
        <w:ind w:left="1134" w:hanging="425"/>
        <w:jc w:val="both"/>
      </w:pPr>
      <w:proofErr w:type="gramStart"/>
      <w:r w:rsidRPr="009E050E">
        <w:t>expertise</w:t>
      </w:r>
      <w:proofErr w:type="gramEnd"/>
      <w:r w:rsidRPr="009E050E">
        <w:t xml:space="preserve"> in </w:t>
      </w:r>
      <w:r w:rsidR="00C87FD4" w:rsidRPr="009E050E">
        <w:t>knowledge and information management with acces</w:t>
      </w:r>
      <w:r w:rsidR="00212556">
        <w:t>s to clinical library resources;</w:t>
      </w:r>
    </w:p>
    <w:p w:rsidR="00BA0C07" w:rsidRPr="009E050E" w:rsidRDefault="009D3059" w:rsidP="000F01EC">
      <w:pPr>
        <w:pStyle w:val="Heading4"/>
        <w:numPr>
          <w:ilvl w:val="0"/>
          <w:numId w:val="14"/>
        </w:numPr>
        <w:ind w:left="1134" w:hanging="425"/>
        <w:jc w:val="both"/>
      </w:pPr>
      <w:proofErr w:type="gramStart"/>
      <w:r w:rsidRPr="009E050E">
        <w:t>expertise</w:t>
      </w:r>
      <w:proofErr w:type="gramEnd"/>
      <w:r w:rsidRPr="009E050E">
        <w:t xml:space="preserve"> in applied epidemiology</w:t>
      </w:r>
      <w:r w:rsidR="00212556">
        <w:t>;</w:t>
      </w:r>
      <w:r w:rsidRPr="009E050E">
        <w:t xml:space="preserve"> </w:t>
      </w:r>
    </w:p>
    <w:p w:rsidR="00BA0C07" w:rsidRPr="009E050E" w:rsidRDefault="009D3059" w:rsidP="000F01EC">
      <w:pPr>
        <w:pStyle w:val="Heading4"/>
        <w:numPr>
          <w:ilvl w:val="0"/>
          <w:numId w:val="14"/>
        </w:numPr>
        <w:ind w:left="1134" w:hanging="425"/>
        <w:jc w:val="both"/>
      </w:pPr>
      <w:proofErr w:type="gramStart"/>
      <w:r w:rsidRPr="009E050E">
        <w:t>expertise</w:t>
      </w:r>
      <w:proofErr w:type="gramEnd"/>
      <w:r w:rsidRPr="009E050E">
        <w:t xml:space="preserve"> in analysis and interpretation of clinical research evidence to provide the evidence summary, what it means, and then translate this not only into technical documents but also interpret what the key factors of the studies means for the public</w:t>
      </w:r>
      <w:r w:rsidR="00212556">
        <w:t>;</w:t>
      </w:r>
      <w:r w:rsidRPr="009E050E">
        <w:t xml:space="preserve">   </w:t>
      </w:r>
    </w:p>
    <w:p w:rsidR="00BA0C07" w:rsidRPr="009E050E" w:rsidRDefault="009D3059" w:rsidP="000F01EC">
      <w:pPr>
        <w:pStyle w:val="Heading4"/>
        <w:numPr>
          <w:ilvl w:val="0"/>
          <w:numId w:val="14"/>
        </w:numPr>
        <w:ind w:left="1134" w:hanging="425"/>
        <w:jc w:val="both"/>
      </w:pPr>
      <w:proofErr w:type="gramStart"/>
      <w:r w:rsidRPr="009E050E">
        <w:t>project</w:t>
      </w:r>
      <w:proofErr w:type="gramEnd"/>
      <w:r w:rsidRPr="009E050E">
        <w:t xml:space="preserve"> management skills to ensure the work is delivered in a timely and robust manner</w:t>
      </w:r>
      <w:r w:rsidR="00212556">
        <w:t>; and</w:t>
      </w:r>
    </w:p>
    <w:p w:rsidR="0007397A" w:rsidRPr="009E050E" w:rsidRDefault="00BA0C07" w:rsidP="000F01EC">
      <w:pPr>
        <w:pStyle w:val="Heading4"/>
        <w:numPr>
          <w:ilvl w:val="0"/>
          <w:numId w:val="14"/>
        </w:numPr>
        <w:ind w:left="1134" w:hanging="425"/>
        <w:jc w:val="both"/>
        <w:rPr>
          <w:bCs w:val="0"/>
          <w:iCs w:val="0"/>
        </w:rPr>
      </w:pPr>
      <w:proofErr w:type="gramStart"/>
      <w:r w:rsidRPr="009E050E">
        <w:t>in</w:t>
      </w:r>
      <w:r w:rsidR="009D3059" w:rsidRPr="009E050E">
        <w:t>dependence</w:t>
      </w:r>
      <w:proofErr w:type="gramEnd"/>
      <w:r w:rsidR="009D3059" w:rsidRPr="009E050E">
        <w:t xml:space="preserve"> from the subject matter, industry expertise</w:t>
      </w:r>
      <w:r w:rsidR="00212556">
        <w:t>.</w:t>
      </w:r>
    </w:p>
    <w:p w:rsidR="0007397A" w:rsidRPr="009E050E" w:rsidRDefault="00D30CF5" w:rsidP="000F01EC">
      <w:pPr>
        <w:pStyle w:val="Heading4"/>
        <w:ind w:left="851" w:hanging="851"/>
        <w:jc w:val="both"/>
        <w:rPr>
          <w:rFonts w:cs="Arial"/>
        </w:rPr>
      </w:pPr>
      <w:r w:rsidRPr="009E050E">
        <w:rPr>
          <w:rFonts w:cs="Arial"/>
        </w:rPr>
        <w:t xml:space="preserve">A minimum of 3 </w:t>
      </w:r>
      <w:r w:rsidR="00212556" w:rsidRPr="009E050E">
        <w:rPr>
          <w:rFonts w:cs="Arial"/>
        </w:rPr>
        <w:t>years’ experience</w:t>
      </w:r>
      <w:r w:rsidR="0007397A" w:rsidRPr="009E050E">
        <w:rPr>
          <w:rFonts w:cs="Arial"/>
        </w:rPr>
        <w:t xml:space="preserve"> of undertaking evidence reviews on health technologies </w:t>
      </w:r>
      <w:r w:rsidRPr="009E050E">
        <w:rPr>
          <w:rFonts w:cs="Arial"/>
        </w:rPr>
        <w:t>to support the NHS and/or third sector organisation</w:t>
      </w:r>
      <w:r w:rsidR="009574E2" w:rsidRPr="009E050E">
        <w:rPr>
          <w:rFonts w:cs="Arial"/>
        </w:rPr>
        <w:t xml:space="preserve"> </w:t>
      </w:r>
      <w:r w:rsidR="0007397A" w:rsidRPr="009E050E">
        <w:rPr>
          <w:rFonts w:cs="Arial"/>
        </w:rPr>
        <w:t>is required.</w:t>
      </w:r>
    </w:p>
    <w:p w:rsidR="009F715E" w:rsidRPr="009E050E" w:rsidRDefault="00F249FD" w:rsidP="000F01EC">
      <w:pPr>
        <w:pStyle w:val="Heading4"/>
        <w:ind w:left="851" w:hanging="851"/>
        <w:jc w:val="both"/>
        <w:rPr>
          <w:rFonts w:cs="Arial"/>
        </w:rPr>
      </w:pPr>
      <w:r w:rsidRPr="009E050E">
        <w:rPr>
          <w:rFonts w:cs="Arial"/>
        </w:rPr>
        <w:t>Providers</w:t>
      </w:r>
      <w:r w:rsidR="009F715E" w:rsidRPr="009E050E">
        <w:rPr>
          <w:rFonts w:cs="Arial"/>
        </w:rPr>
        <w:t xml:space="preserve"> must undertake </w:t>
      </w:r>
      <w:r w:rsidR="008F01B8" w:rsidRPr="009E050E">
        <w:rPr>
          <w:rFonts w:cs="Arial"/>
        </w:rPr>
        <w:t xml:space="preserve">clinical </w:t>
      </w:r>
      <w:r w:rsidR="009F715E" w:rsidRPr="009E050E">
        <w:rPr>
          <w:rFonts w:cs="Arial"/>
        </w:rPr>
        <w:t>evidence reviews in accordance</w:t>
      </w:r>
      <w:r w:rsidR="00FA571F" w:rsidRPr="009E050E">
        <w:rPr>
          <w:rFonts w:cs="Arial"/>
        </w:rPr>
        <w:t xml:space="preserve"> with</w:t>
      </w:r>
      <w:r w:rsidR="009F715E" w:rsidRPr="009E050E">
        <w:rPr>
          <w:rFonts w:cs="Arial"/>
        </w:rPr>
        <w:t xml:space="preserve"> NHS England’s</w:t>
      </w:r>
      <w:r w:rsidR="00160650" w:rsidRPr="009E050E">
        <w:rPr>
          <w:rFonts w:cs="Arial"/>
        </w:rPr>
        <w:t xml:space="preserve"> clinical</w:t>
      </w:r>
      <w:r w:rsidR="009F715E" w:rsidRPr="009E050E">
        <w:rPr>
          <w:rFonts w:cs="Arial"/>
        </w:rPr>
        <w:t xml:space="preserve"> evidence review guidance</w:t>
      </w:r>
      <w:r w:rsidR="008760D8" w:rsidRPr="009E050E">
        <w:rPr>
          <w:rFonts w:cs="Arial"/>
        </w:rPr>
        <w:t xml:space="preserve"> document (S</w:t>
      </w:r>
      <w:r w:rsidR="0080609E" w:rsidRPr="009E050E">
        <w:rPr>
          <w:rFonts w:cs="Arial"/>
        </w:rPr>
        <w:t>ee A</w:t>
      </w:r>
      <w:r w:rsidR="008760D8" w:rsidRPr="009E050E">
        <w:rPr>
          <w:rFonts w:cs="Arial"/>
        </w:rPr>
        <w:t xml:space="preserve">ppendix </w:t>
      </w:r>
      <w:r w:rsidR="0080609E" w:rsidRPr="009E050E">
        <w:rPr>
          <w:rFonts w:cs="Arial"/>
        </w:rPr>
        <w:t>2</w:t>
      </w:r>
      <w:r w:rsidR="008760D8" w:rsidRPr="009E050E">
        <w:rPr>
          <w:rFonts w:cs="Arial"/>
        </w:rPr>
        <w:t>)</w:t>
      </w:r>
      <w:r w:rsidR="009F715E" w:rsidRPr="009E050E">
        <w:rPr>
          <w:rFonts w:cs="Arial"/>
        </w:rPr>
        <w:t xml:space="preserve">. </w:t>
      </w:r>
    </w:p>
    <w:p w:rsidR="008760D8" w:rsidRPr="009E050E" w:rsidRDefault="00F249FD" w:rsidP="000F01EC">
      <w:pPr>
        <w:pStyle w:val="Heading4"/>
        <w:ind w:left="851" w:hanging="851"/>
        <w:jc w:val="both"/>
        <w:rPr>
          <w:rFonts w:cs="Arial"/>
        </w:rPr>
      </w:pPr>
      <w:r w:rsidRPr="009E050E">
        <w:rPr>
          <w:rFonts w:cs="Arial"/>
        </w:rPr>
        <w:t>Provider</w:t>
      </w:r>
      <w:r w:rsidR="00FA571F" w:rsidRPr="009E050E">
        <w:rPr>
          <w:rFonts w:cs="Arial"/>
        </w:rPr>
        <w:t>s</w:t>
      </w:r>
      <w:r w:rsidR="00195D54" w:rsidRPr="009E050E">
        <w:rPr>
          <w:rFonts w:cs="Arial"/>
        </w:rPr>
        <w:t xml:space="preserve"> must use the methodology </w:t>
      </w:r>
      <w:r w:rsidR="008760D8" w:rsidRPr="009E050E">
        <w:rPr>
          <w:rFonts w:cs="Arial"/>
        </w:rPr>
        <w:t>defined by NHS England</w:t>
      </w:r>
      <w:r w:rsidR="007C55A6" w:rsidRPr="009E050E">
        <w:rPr>
          <w:rFonts w:cs="Arial"/>
        </w:rPr>
        <w:t xml:space="preserve"> to evaluate</w:t>
      </w:r>
      <w:r w:rsidR="00FA571F" w:rsidRPr="009E050E">
        <w:rPr>
          <w:rFonts w:cs="Arial"/>
        </w:rPr>
        <w:t xml:space="preserve"> the evidence</w:t>
      </w:r>
      <w:r w:rsidR="007C55A6" w:rsidRPr="009E050E">
        <w:rPr>
          <w:rFonts w:cs="Arial"/>
        </w:rPr>
        <w:t>.</w:t>
      </w:r>
    </w:p>
    <w:p w:rsidR="00195D54" w:rsidRPr="009E050E" w:rsidRDefault="00F249FD" w:rsidP="000F01EC">
      <w:pPr>
        <w:pStyle w:val="Heading4"/>
        <w:ind w:left="851" w:hanging="851"/>
        <w:jc w:val="both"/>
        <w:rPr>
          <w:rFonts w:cs="Arial"/>
        </w:rPr>
      </w:pPr>
      <w:r w:rsidRPr="009E050E">
        <w:rPr>
          <w:rFonts w:cs="Arial"/>
        </w:rPr>
        <w:t>Provider</w:t>
      </w:r>
      <w:r w:rsidR="008760D8" w:rsidRPr="009E050E">
        <w:rPr>
          <w:rFonts w:cs="Arial"/>
        </w:rPr>
        <w:t xml:space="preserve">s must </w:t>
      </w:r>
      <w:r w:rsidR="00FA571F" w:rsidRPr="009E050E">
        <w:rPr>
          <w:rFonts w:cs="Arial"/>
        </w:rPr>
        <w:t xml:space="preserve">follow all steps defined </w:t>
      </w:r>
      <w:r w:rsidR="006434C8" w:rsidRPr="009E050E">
        <w:rPr>
          <w:rFonts w:cs="Arial"/>
        </w:rPr>
        <w:t xml:space="preserve">and notes provided </w:t>
      </w:r>
      <w:r w:rsidR="00FA571F" w:rsidRPr="009E050E">
        <w:rPr>
          <w:rFonts w:cs="Arial"/>
        </w:rPr>
        <w:t>in the guidance document</w:t>
      </w:r>
      <w:r w:rsidR="00807B89" w:rsidRPr="009E050E">
        <w:rPr>
          <w:rFonts w:cs="Arial"/>
        </w:rPr>
        <w:t xml:space="preserve"> (Appendix 2)</w:t>
      </w:r>
      <w:r w:rsidR="00FA571F" w:rsidRPr="009E050E">
        <w:rPr>
          <w:rFonts w:cs="Arial"/>
        </w:rPr>
        <w:t xml:space="preserve"> in completing</w:t>
      </w:r>
      <w:r w:rsidR="00195D54" w:rsidRPr="009E050E">
        <w:rPr>
          <w:rFonts w:cs="Arial"/>
        </w:rPr>
        <w:t xml:space="preserve"> the </w:t>
      </w:r>
      <w:r w:rsidR="001D2199" w:rsidRPr="009E050E">
        <w:rPr>
          <w:rFonts w:cs="Arial"/>
        </w:rPr>
        <w:t xml:space="preserve">clinical </w:t>
      </w:r>
      <w:r w:rsidR="008760D8" w:rsidRPr="009E050E">
        <w:rPr>
          <w:rFonts w:cs="Arial"/>
        </w:rPr>
        <w:t xml:space="preserve">evidence review </w:t>
      </w:r>
      <w:r w:rsidR="00195D54" w:rsidRPr="009E050E">
        <w:rPr>
          <w:rFonts w:cs="Arial"/>
        </w:rPr>
        <w:t>template</w:t>
      </w:r>
      <w:r w:rsidR="00FA571F" w:rsidRPr="009E050E">
        <w:rPr>
          <w:rFonts w:cs="Arial"/>
        </w:rPr>
        <w:t xml:space="preserve"> (including the tables)</w:t>
      </w:r>
      <w:r w:rsidR="00195D54" w:rsidRPr="009E050E">
        <w:rPr>
          <w:rFonts w:cs="Arial"/>
        </w:rPr>
        <w:t>.</w:t>
      </w:r>
    </w:p>
    <w:p w:rsidR="00FE1477" w:rsidRPr="009E050E" w:rsidRDefault="00FE1477" w:rsidP="000F01EC">
      <w:pPr>
        <w:pStyle w:val="Heading4"/>
        <w:ind w:left="851" w:hanging="851"/>
        <w:jc w:val="both"/>
        <w:rPr>
          <w:rFonts w:cs="Arial"/>
        </w:rPr>
      </w:pPr>
      <w:r w:rsidRPr="009E050E">
        <w:rPr>
          <w:rFonts w:cs="Arial"/>
        </w:rPr>
        <w:lastRenderedPageBreak/>
        <w:t xml:space="preserve">Providers must complete the patient’s benefit section of the </w:t>
      </w:r>
      <w:r w:rsidR="004D063F" w:rsidRPr="009E050E">
        <w:rPr>
          <w:rFonts w:cs="Arial"/>
        </w:rPr>
        <w:t>CPAG summary report</w:t>
      </w:r>
      <w:r w:rsidRPr="009E050E">
        <w:rPr>
          <w:rFonts w:cs="Arial"/>
        </w:rPr>
        <w:t>.</w:t>
      </w:r>
    </w:p>
    <w:p w:rsidR="00486547" w:rsidRPr="009E050E" w:rsidRDefault="00F249FD" w:rsidP="000F01EC">
      <w:pPr>
        <w:pStyle w:val="Heading4"/>
        <w:ind w:left="851" w:hanging="851"/>
        <w:jc w:val="both"/>
        <w:rPr>
          <w:rFonts w:cs="Arial"/>
        </w:rPr>
      </w:pPr>
      <w:r w:rsidRPr="009E050E">
        <w:rPr>
          <w:rFonts w:cs="Arial"/>
        </w:rPr>
        <w:t xml:space="preserve">Providers </w:t>
      </w:r>
      <w:r w:rsidR="00486547" w:rsidRPr="009E050E">
        <w:rPr>
          <w:rFonts w:cs="Arial"/>
        </w:rPr>
        <w:t xml:space="preserve">must be able to provide an audit of undertaking the </w:t>
      </w:r>
      <w:r w:rsidR="001D2199" w:rsidRPr="009E050E">
        <w:rPr>
          <w:rFonts w:cs="Arial"/>
        </w:rPr>
        <w:t xml:space="preserve">clinical </w:t>
      </w:r>
      <w:r w:rsidR="00486547" w:rsidRPr="009E050E">
        <w:rPr>
          <w:rFonts w:cs="Arial"/>
        </w:rPr>
        <w:t>evidence review if required</w:t>
      </w:r>
      <w:r w:rsidR="00A91F1B" w:rsidRPr="009E050E">
        <w:rPr>
          <w:rFonts w:cs="Arial"/>
        </w:rPr>
        <w:t xml:space="preserve"> by NHS England and support in its response to comments and feedback received on the evidence review during public consultation</w:t>
      </w:r>
      <w:r w:rsidR="001D2199" w:rsidRPr="009E050E">
        <w:rPr>
          <w:rFonts w:cs="Arial"/>
        </w:rPr>
        <w:t xml:space="preserve"> that may challenge the review</w:t>
      </w:r>
      <w:r w:rsidR="00A91F1B" w:rsidRPr="009E050E">
        <w:rPr>
          <w:rFonts w:cs="Arial"/>
        </w:rPr>
        <w:t>.</w:t>
      </w:r>
      <w:r w:rsidR="00807B89" w:rsidRPr="009E050E">
        <w:rPr>
          <w:rFonts w:cs="Arial"/>
        </w:rPr>
        <w:t xml:space="preserve"> Audit information requested must be provided to NHS England within 5 working days.</w:t>
      </w:r>
    </w:p>
    <w:p w:rsidR="0080609E" w:rsidRPr="00212556" w:rsidRDefault="00DC5D4C" w:rsidP="00212556">
      <w:pPr>
        <w:pStyle w:val="Heading3"/>
        <w:ind w:left="567" w:hanging="567"/>
        <w:jc w:val="both"/>
        <w:rPr>
          <w:rFonts w:cs="Arial"/>
          <w:b/>
        </w:rPr>
      </w:pPr>
      <w:r w:rsidRPr="00212556" w:rsidDel="00DC5D4C">
        <w:rPr>
          <w:rFonts w:cs="Arial"/>
          <w:b/>
        </w:rPr>
        <w:t xml:space="preserve"> </w:t>
      </w:r>
      <w:r w:rsidR="0080609E" w:rsidRPr="00212556">
        <w:rPr>
          <w:rFonts w:cs="Arial"/>
          <w:b/>
        </w:rPr>
        <w:t>Deliverables</w:t>
      </w:r>
    </w:p>
    <w:p w:rsidR="0080609E" w:rsidRPr="009E050E" w:rsidRDefault="009B36D6" w:rsidP="000F01EC">
      <w:pPr>
        <w:pStyle w:val="Heading4"/>
        <w:ind w:left="851" w:hanging="851"/>
        <w:jc w:val="both"/>
      </w:pPr>
      <w:r w:rsidRPr="009E050E">
        <w:t xml:space="preserve">Deliverable 1 – Completed </w:t>
      </w:r>
      <w:r w:rsidR="0076293B" w:rsidRPr="009E050E">
        <w:t xml:space="preserve">clinical </w:t>
      </w:r>
      <w:r w:rsidRPr="009E050E">
        <w:t xml:space="preserve">evidence review template (all sections including tables) </w:t>
      </w:r>
      <w:r w:rsidR="00B34E0D" w:rsidRPr="009E050E">
        <w:t>in accordance with the guidance provided (Appendix 2) for each proposal.</w:t>
      </w:r>
    </w:p>
    <w:p w:rsidR="00B34E0D" w:rsidRPr="009E050E" w:rsidRDefault="009B36D6" w:rsidP="000F01EC">
      <w:pPr>
        <w:pStyle w:val="Heading4"/>
        <w:ind w:left="851" w:hanging="851"/>
        <w:jc w:val="both"/>
        <w:rPr>
          <w:bCs w:val="0"/>
          <w:iCs w:val="0"/>
        </w:rPr>
      </w:pPr>
      <w:r w:rsidRPr="009E050E">
        <w:t xml:space="preserve">Deliverable 2 </w:t>
      </w:r>
      <w:r w:rsidR="009E050E" w:rsidRPr="009E050E">
        <w:t>–</w:t>
      </w:r>
      <w:r w:rsidRPr="009E050E">
        <w:t xml:space="preserve"> </w:t>
      </w:r>
      <w:r w:rsidR="00B34E0D" w:rsidRPr="009E050E">
        <w:t>Audit</w:t>
      </w:r>
      <w:r w:rsidR="00B34E0D" w:rsidRPr="009E050E">
        <w:rPr>
          <w:bCs w:val="0"/>
          <w:iCs w:val="0"/>
        </w:rPr>
        <w:t xml:space="preserve"> information related to </w:t>
      </w:r>
      <w:r w:rsidR="0076293B" w:rsidRPr="009E050E">
        <w:rPr>
          <w:bCs w:val="0"/>
          <w:iCs w:val="0"/>
        </w:rPr>
        <w:t xml:space="preserve">clinical </w:t>
      </w:r>
      <w:r w:rsidR="00B34E0D" w:rsidRPr="009E050E">
        <w:rPr>
          <w:bCs w:val="0"/>
          <w:iCs w:val="0"/>
        </w:rPr>
        <w:t>evidence reviews where requested</w:t>
      </w:r>
      <w:r w:rsidR="00EC61D4" w:rsidRPr="009E050E">
        <w:rPr>
          <w:bCs w:val="0"/>
          <w:iCs w:val="0"/>
        </w:rPr>
        <w:t>.</w:t>
      </w:r>
    </w:p>
    <w:p w:rsidR="00F10A89" w:rsidRPr="009E050E" w:rsidRDefault="00F10A89" w:rsidP="000F01EC">
      <w:pPr>
        <w:pStyle w:val="Heading4"/>
        <w:ind w:left="851" w:hanging="851"/>
        <w:jc w:val="both"/>
      </w:pPr>
      <w:r w:rsidRPr="009E050E">
        <w:t xml:space="preserve">Deliverable 3 </w:t>
      </w:r>
      <w:r w:rsidR="00EC61D4" w:rsidRPr="009E050E">
        <w:t xml:space="preserve">– Completed </w:t>
      </w:r>
      <w:r w:rsidRPr="009E050E">
        <w:rPr>
          <w:bCs w:val="0"/>
          <w:iCs w:val="0"/>
        </w:rPr>
        <w:t xml:space="preserve">‘The Benefits of the Proposition’ and </w:t>
      </w:r>
      <w:r w:rsidR="00EC61D4" w:rsidRPr="009E050E">
        <w:rPr>
          <w:bCs w:val="0"/>
          <w:iCs w:val="0"/>
        </w:rPr>
        <w:t>‘</w:t>
      </w:r>
      <w:proofErr w:type="gramStart"/>
      <w:r w:rsidRPr="009E050E">
        <w:rPr>
          <w:bCs w:val="0"/>
          <w:iCs w:val="0"/>
        </w:rPr>
        <w:t>Other</w:t>
      </w:r>
      <w:proofErr w:type="gramEnd"/>
      <w:r w:rsidRPr="009E050E">
        <w:rPr>
          <w:bCs w:val="0"/>
          <w:iCs w:val="0"/>
        </w:rPr>
        <w:t xml:space="preserve"> health metrics determined by the evidence review’ sections in the CPAG summary report</w:t>
      </w:r>
      <w:r w:rsidR="004D063F" w:rsidRPr="009E050E">
        <w:rPr>
          <w:bCs w:val="0"/>
          <w:iCs w:val="0"/>
        </w:rPr>
        <w:t xml:space="preserve"> (Appendix 4</w:t>
      </w:r>
      <w:r w:rsidR="00EC61D4" w:rsidRPr="009E050E">
        <w:rPr>
          <w:bCs w:val="0"/>
          <w:iCs w:val="0"/>
        </w:rPr>
        <w:t>)</w:t>
      </w:r>
      <w:r w:rsidR="004D063F" w:rsidRPr="009E050E">
        <w:rPr>
          <w:bCs w:val="0"/>
          <w:iCs w:val="0"/>
        </w:rPr>
        <w:t xml:space="preserve"> </w:t>
      </w:r>
      <w:r w:rsidR="00587A65">
        <w:rPr>
          <w:bCs w:val="0"/>
          <w:iCs w:val="0"/>
        </w:rPr>
        <w:t xml:space="preserve">in plain </w:t>
      </w:r>
      <w:r w:rsidR="004D063F" w:rsidRPr="009E050E">
        <w:rPr>
          <w:bCs w:val="0"/>
          <w:iCs w:val="0"/>
        </w:rPr>
        <w:t>using information from table 9 of Appendix 2</w:t>
      </w:r>
      <w:r w:rsidR="00EC61D4" w:rsidRPr="009E050E">
        <w:rPr>
          <w:bCs w:val="0"/>
          <w:iCs w:val="0"/>
        </w:rPr>
        <w:t>.</w:t>
      </w:r>
    </w:p>
    <w:p w:rsidR="004E6E2A" w:rsidRPr="00212556" w:rsidRDefault="004E6E2A" w:rsidP="00212556">
      <w:pPr>
        <w:pStyle w:val="Heading3"/>
        <w:ind w:left="709" w:hanging="709"/>
        <w:jc w:val="both"/>
        <w:rPr>
          <w:rFonts w:cs="Arial"/>
          <w:b/>
        </w:rPr>
      </w:pPr>
      <w:r w:rsidRPr="00212556">
        <w:rPr>
          <w:rFonts w:cs="Arial"/>
          <w:b/>
        </w:rPr>
        <w:t>Timescales &amp; Implementation</w:t>
      </w:r>
    </w:p>
    <w:p w:rsidR="004E6E2A" w:rsidRPr="009E050E" w:rsidRDefault="00FB3D2E" w:rsidP="000F01EC">
      <w:pPr>
        <w:pStyle w:val="Heading4"/>
        <w:ind w:left="851" w:hanging="851"/>
        <w:jc w:val="both"/>
        <w:rPr>
          <w:rFonts w:cs="Arial"/>
        </w:rPr>
      </w:pPr>
      <w:r w:rsidRPr="009E050E">
        <w:rPr>
          <w:rFonts w:cs="Arial"/>
        </w:rPr>
        <w:t xml:space="preserve">Each </w:t>
      </w:r>
      <w:r w:rsidR="0076293B" w:rsidRPr="009E050E">
        <w:rPr>
          <w:rFonts w:cs="Arial"/>
        </w:rPr>
        <w:t xml:space="preserve">clinical </w:t>
      </w:r>
      <w:r w:rsidR="009E44E4" w:rsidRPr="009E050E">
        <w:rPr>
          <w:rFonts w:cs="Arial"/>
        </w:rPr>
        <w:t>evidence review must be completed</w:t>
      </w:r>
      <w:r w:rsidR="000B674F" w:rsidRPr="009E050E">
        <w:rPr>
          <w:rFonts w:cs="Arial"/>
        </w:rPr>
        <w:t xml:space="preserve"> </w:t>
      </w:r>
      <w:r w:rsidR="009E44E4" w:rsidRPr="009E050E">
        <w:rPr>
          <w:rFonts w:cs="Arial"/>
        </w:rPr>
        <w:t xml:space="preserve">in ten </w:t>
      </w:r>
      <w:r w:rsidR="000B674F" w:rsidRPr="009E050E">
        <w:rPr>
          <w:rFonts w:cs="Arial"/>
        </w:rPr>
        <w:t xml:space="preserve">weeks from the date </w:t>
      </w:r>
      <w:r w:rsidR="00B34E0D" w:rsidRPr="009E050E">
        <w:rPr>
          <w:rFonts w:cs="Arial"/>
        </w:rPr>
        <w:t>a completed</w:t>
      </w:r>
      <w:r w:rsidR="0076293B" w:rsidRPr="009E050E">
        <w:rPr>
          <w:rFonts w:cs="Arial"/>
        </w:rPr>
        <w:t xml:space="preserve"> and signed off ‘Population</w:t>
      </w:r>
      <w:r w:rsidR="00B34E0D" w:rsidRPr="009E050E">
        <w:rPr>
          <w:rFonts w:cs="Arial"/>
        </w:rPr>
        <w:t xml:space="preserve"> </w:t>
      </w:r>
      <w:r w:rsidR="00F249FD" w:rsidRPr="009E050E">
        <w:rPr>
          <w:rFonts w:cs="Arial"/>
        </w:rPr>
        <w:t>I</w:t>
      </w:r>
      <w:r w:rsidR="00B34E0D" w:rsidRPr="009E050E">
        <w:rPr>
          <w:rFonts w:cs="Arial"/>
        </w:rPr>
        <w:t xml:space="preserve">ntervention </w:t>
      </w:r>
      <w:r w:rsidR="00F249FD" w:rsidRPr="009E050E">
        <w:rPr>
          <w:rFonts w:cs="Arial"/>
        </w:rPr>
        <w:t>C</w:t>
      </w:r>
      <w:r w:rsidR="00B34E0D" w:rsidRPr="009E050E">
        <w:rPr>
          <w:rFonts w:cs="Arial"/>
        </w:rPr>
        <w:t xml:space="preserve">omparator and </w:t>
      </w:r>
      <w:r w:rsidR="00F249FD" w:rsidRPr="009E050E">
        <w:rPr>
          <w:rFonts w:cs="Arial"/>
        </w:rPr>
        <w:t>O</w:t>
      </w:r>
      <w:r w:rsidR="00B34E0D" w:rsidRPr="009E050E">
        <w:rPr>
          <w:rFonts w:cs="Arial"/>
        </w:rPr>
        <w:t>utcome</w:t>
      </w:r>
      <w:r w:rsidR="00B634E2" w:rsidRPr="009E050E">
        <w:rPr>
          <w:rFonts w:cs="Arial"/>
        </w:rPr>
        <w:t>’ template</w:t>
      </w:r>
      <w:r w:rsidR="00F249FD" w:rsidRPr="009E050E">
        <w:rPr>
          <w:rFonts w:cs="Arial"/>
        </w:rPr>
        <w:t xml:space="preserve"> </w:t>
      </w:r>
      <w:r w:rsidR="00B34E0D" w:rsidRPr="009E050E">
        <w:rPr>
          <w:rFonts w:cs="Arial"/>
        </w:rPr>
        <w:t xml:space="preserve">for the proposal </w:t>
      </w:r>
      <w:r w:rsidR="00F249FD" w:rsidRPr="009E050E">
        <w:rPr>
          <w:rFonts w:cs="Arial"/>
        </w:rPr>
        <w:t>is sent to the appointed Provider</w:t>
      </w:r>
      <w:r w:rsidRPr="009E050E">
        <w:rPr>
          <w:rFonts w:cs="Arial"/>
        </w:rPr>
        <w:t>.</w:t>
      </w:r>
    </w:p>
    <w:p w:rsidR="000F01EC" w:rsidRDefault="00F249FD" w:rsidP="000F01EC">
      <w:pPr>
        <w:pStyle w:val="Heading4"/>
        <w:ind w:left="851" w:hanging="851"/>
        <w:jc w:val="both"/>
        <w:rPr>
          <w:rFonts w:cs="Arial"/>
        </w:rPr>
      </w:pPr>
      <w:r w:rsidRPr="009E050E">
        <w:rPr>
          <w:rFonts w:cs="Arial"/>
        </w:rPr>
        <w:t>Providers</w:t>
      </w:r>
      <w:r w:rsidR="00FB3D2E" w:rsidRPr="009E050E">
        <w:rPr>
          <w:rFonts w:cs="Arial"/>
        </w:rPr>
        <w:t xml:space="preserve"> must share the final version of the </w:t>
      </w:r>
      <w:r w:rsidR="0037176B" w:rsidRPr="009E050E">
        <w:rPr>
          <w:rFonts w:cs="Arial"/>
        </w:rPr>
        <w:t xml:space="preserve">clinical </w:t>
      </w:r>
      <w:r w:rsidR="00FB3D2E" w:rsidRPr="009E050E">
        <w:rPr>
          <w:rFonts w:cs="Arial"/>
        </w:rPr>
        <w:t>evidence review with the PWG for one week</w:t>
      </w:r>
      <w:r w:rsidR="00486547" w:rsidRPr="009E050E">
        <w:rPr>
          <w:rFonts w:cs="Arial"/>
        </w:rPr>
        <w:t xml:space="preserve"> to give them an opportunity to feedback and provide any</w:t>
      </w:r>
      <w:r w:rsidR="00FB3D2E" w:rsidRPr="009E050E">
        <w:rPr>
          <w:rFonts w:cs="Arial"/>
        </w:rPr>
        <w:t xml:space="preserve"> comments.</w:t>
      </w:r>
      <w:r w:rsidR="00253284" w:rsidRPr="009E050E">
        <w:rPr>
          <w:rFonts w:cs="Arial"/>
        </w:rPr>
        <w:t xml:space="preserve"> The provider is </w:t>
      </w:r>
      <w:r w:rsidR="0042271A" w:rsidRPr="009E050E">
        <w:rPr>
          <w:rFonts w:cs="Arial"/>
        </w:rPr>
        <w:t>required to make the amendments</w:t>
      </w:r>
      <w:r w:rsidR="00253284" w:rsidRPr="009E050E">
        <w:rPr>
          <w:rFonts w:cs="Arial"/>
        </w:rPr>
        <w:t xml:space="preserve"> and return the final evidence review </w:t>
      </w:r>
      <w:r w:rsidR="0042271A" w:rsidRPr="009E050E">
        <w:rPr>
          <w:rFonts w:cs="Arial"/>
        </w:rPr>
        <w:t xml:space="preserve">within </w:t>
      </w:r>
      <w:r w:rsidR="009E44E4" w:rsidRPr="009E050E">
        <w:rPr>
          <w:rFonts w:cs="Arial"/>
        </w:rPr>
        <w:t>one</w:t>
      </w:r>
      <w:r w:rsidR="0042271A" w:rsidRPr="009E050E">
        <w:rPr>
          <w:rFonts w:cs="Arial"/>
        </w:rPr>
        <w:t xml:space="preserve"> week.</w:t>
      </w:r>
    </w:p>
    <w:p w:rsidR="000F01EC" w:rsidRDefault="000F01EC" w:rsidP="000F01EC">
      <w:pPr>
        <w:rPr>
          <w:rFonts w:ascii="Arial" w:eastAsia="Times New Roman" w:hAnsi="Arial"/>
          <w:sz w:val="24"/>
          <w:szCs w:val="24"/>
        </w:rPr>
      </w:pPr>
      <w:r>
        <w:br w:type="page"/>
      </w:r>
    </w:p>
    <w:p w:rsidR="00613B18" w:rsidRPr="00212556" w:rsidRDefault="004E6E2A" w:rsidP="00212556">
      <w:pPr>
        <w:pStyle w:val="Heading3"/>
        <w:ind w:left="567" w:hanging="567"/>
        <w:jc w:val="both"/>
        <w:rPr>
          <w:rFonts w:cs="Arial"/>
          <w:b/>
        </w:rPr>
      </w:pPr>
      <w:r w:rsidRPr="00212556">
        <w:rPr>
          <w:rFonts w:cs="Arial"/>
          <w:b/>
        </w:rPr>
        <w:lastRenderedPageBreak/>
        <w:t>Location</w:t>
      </w:r>
    </w:p>
    <w:p w:rsidR="00656AA7" w:rsidRPr="009E050E" w:rsidRDefault="00521E51" w:rsidP="000F01EC">
      <w:pPr>
        <w:pStyle w:val="Heading4"/>
        <w:ind w:left="709" w:hanging="709"/>
        <w:jc w:val="both"/>
        <w:rPr>
          <w:rFonts w:cs="Arial"/>
        </w:rPr>
      </w:pPr>
      <w:r w:rsidRPr="009E050E">
        <w:rPr>
          <w:rFonts w:cs="Arial"/>
        </w:rPr>
        <w:t xml:space="preserve">It is expected that </w:t>
      </w:r>
      <w:r w:rsidR="00C11986" w:rsidRPr="009E050E">
        <w:rPr>
          <w:rFonts w:cs="Arial"/>
        </w:rPr>
        <w:t>the appointed Providers</w:t>
      </w:r>
      <w:r w:rsidR="00F249FD" w:rsidRPr="009E050E">
        <w:rPr>
          <w:rFonts w:cs="Arial"/>
        </w:rPr>
        <w:t xml:space="preserve"> </w:t>
      </w:r>
      <w:r w:rsidRPr="009E050E">
        <w:rPr>
          <w:rFonts w:cs="Arial"/>
        </w:rPr>
        <w:t xml:space="preserve">would be able to undertake the </w:t>
      </w:r>
      <w:r w:rsidR="00656AA7" w:rsidRPr="009E050E">
        <w:rPr>
          <w:rFonts w:cs="Arial"/>
        </w:rPr>
        <w:t xml:space="preserve">outlined </w:t>
      </w:r>
      <w:r w:rsidRPr="009E050E">
        <w:rPr>
          <w:rFonts w:cs="Arial"/>
        </w:rPr>
        <w:t xml:space="preserve">work remotely </w:t>
      </w:r>
      <w:r w:rsidR="00C50EE1" w:rsidRPr="009E050E">
        <w:rPr>
          <w:rFonts w:cs="Arial"/>
        </w:rPr>
        <w:t>on</w:t>
      </w:r>
      <w:r w:rsidR="00B34E0D" w:rsidRPr="009E050E">
        <w:rPr>
          <w:rFonts w:cs="Arial"/>
        </w:rPr>
        <w:t xml:space="preserve"> their own premises </w:t>
      </w:r>
      <w:r w:rsidR="00564002" w:rsidRPr="009E050E">
        <w:rPr>
          <w:rFonts w:cs="Arial"/>
        </w:rPr>
        <w:t xml:space="preserve">and communicate with NHS England </w:t>
      </w:r>
      <w:r w:rsidRPr="009E050E">
        <w:rPr>
          <w:rFonts w:cs="Arial"/>
        </w:rPr>
        <w:t xml:space="preserve">through means </w:t>
      </w:r>
      <w:r w:rsidR="00656AA7" w:rsidRPr="009E050E">
        <w:rPr>
          <w:rFonts w:cs="Arial"/>
        </w:rPr>
        <w:t xml:space="preserve">such as emails, phone calls, </w:t>
      </w:r>
      <w:r w:rsidRPr="009E050E">
        <w:rPr>
          <w:rFonts w:cs="Arial"/>
        </w:rPr>
        <w:t>WebEx</w:t>
      </w:r>
      <w:r w:rsidR="00656AA7" w:rsidRPr="009E050E">
        <w:rPr>
          <w:rFonts w:cs="Arial"/>
        </w:rPr>
        <w:t xml:space="preserve"> etc.</w:t>
      </w:r>
      <w:r w:rsidRPr="009E050E">
        <w:rPr>
          <w:rFonts w:cs="Arial"/>
        </w:rPr>
        <w:t xml:space="preserve"> </w:t>
      </w:r>
    </w:p>
    <w:p w:rsidR="004E6E2A" w:rsidRPr="009E050E" w:rsidRDefault="00656AA7" w:rsidP="000F01EC">
      <w:pPr>
        <w:pStyle w:val="Heading4"/>
        <w:ind w:left="709" w:hanging="709"/>
        <w:jc w:val="both"/>
        <w:rPr>
          <w:rFonts w:cs="Arial"/>
        </w:rPr>
      </w:pPr>
      <w:r w:rsidRPr="009E050E">
        <w:rPr>
          <w:rFonts w:cs="Arial"/>
        </w:rPr>
        <w:t xml:space="preserve">On rare circumstances </w:t>
      </w:r>
      <w:r w:rsidR="00F249FD" w:rsidRPr="009E050E">
        <w:rPr>
          <w:rFonts w:cs="Arial"/>
        </w:rPr>
        <w:t xml:space="preserve">the </w:t>
      </w:r>
      <w:r w:rsidR="00C11986" w:rsidRPr="009E050E">
        <w:rPr>
          <w:rFonts w:cs="Arial"/>
        </w:rPr>
        <w:t>appointed Providers</w:t>
      </w:r>
      <w:r w:rsidR="00521E51" w:rsidRPr="009E050E">
        <w:rPr>
          <w:rFonts w:cs="Arial"/>
        </w:rPr>
        <w:t xml:space="preserve"> </w:t>
      </w:r>
      <w:r w:rsidRPr="009E050E">
        <w:rPr>
          <w:rFonts w:cs="Arial"/>
        </w:rPr>
        <w:t>may</w:t>
      </w:r>
      <w:r w:rsidR="00C11986" w:rsidRPr="009E050E">
        <w:rPr>
          <w:rFonts w:cs="Arial"/>
        </w:rPr>
        <w:t xml:space="preserve"> </w:t>
      </w:r>
      <w:r w:rsidR="00521E51" w:rsidRPr="009E050E">
        <w:rPr>
          <w:rFonts w:cs="Arial"/>
        </w:rPr>
        <w:t>be required to physically attend meeting</w:t>
      </w:r>
      <w:r w:rsidRPr="009E050E">
        <w:rPr>
          <w:rFonts w:cs="Arial"/>
        </w:rPr>
        <w:t>s.</w:t>
      </w:r>
    </w:p>
    <w:p w:rsidR="00403684" w:rsidRPr="00212556" w:rsidRDefault="00403684" w:rsidP="00212556">
      <w:pPr>
        <w:pStyle w:val="Heading3"/>
        <w:ind w:left="567" w:hanging="567"/>
        <w:jc w:val="both"/>
        <w:rPr>
          <w:rFonts w:cs="Arial"/>
          <w:b/>
        </w:rPr>
      </w:pPr>
      <w:r w:rsidRPr="00212556">
        <w:rPr>
          <w:rFonts w:cs="Arial"/>
          <w:b/>
        </w:rPr>
        <w:t>Roles and Responsibilities</w:t>
      </w:r>
    </w:p>
    <w:p w:rsidR="00E14BBB" w:rsidRPr="009E050E" w:rsidRDefault="00FA5A45" w:rsidP="000F01EC">
      <w:pPr>
        <w:pStyle w:val="Heading4"/>
        <w:ind w:left="709" w:hanging="709"/>
        <w:jc w:val="both"/>
        <w:rPr>
          <w:rFonts w:cs="Arial"/>
        </w:rPr>
      </w:pPr>
      <w:r w:rsidRPr="009E050E">
        <w:rPr>
          <w:rFonts w:cs="Arial"/>
        </w:rPr>
        <w:t xml:space="preserve">As outlined in the </w:t>
      </w:r>
      <w:r w:rsidR="0037176B" w:rsidRPr="009E050E">
        <w:rPr>
          <w:rFonts w:cs="Arial"/>
        </w:rPr>
        <w:t xml:space="preserve">clinical </w:t>
      </w:r>
      <w:r w:rsidRPr="009E050E">
        <w:rPr>
          <w:rFonts w:cs="Arial"/>
        </w:rPr>
        <w:t>evid</w:t>
      </w:r>
      <w:r w:rsidR="00C11986" w:rsidRPr="009E050E">
        <w:rPr>
          <w:rFonts w:cs="Arial"/>
        </w:rPr>
        <w:t>ence review guidance document, P</w:t>
      </w:r>
      <w:r w:rsidR="00E14BBB" w:rsidRPr="009E050E">
        <w:rPr>
          <w:rFonts w:cs="Arial"/>
        </w:rPr>
        <w:t xml:space="preserve">roviders will be required to: </w:t>
      </w:r>
    </w:p>
    <w:p w:rsidR="00E14BBB" w:rsidRPr="009E050E" w:rsidRDefault="00E14BBB" w:rsidP="000F01EC">
      <w:pPr>
        <w:pStyle w:val="Heading4"/>
        <w:numPr>
          <w:ilvl w:val="0"/>
          <w:numId w:val="4"/>
        </w:numPr>
        <w:ind w:left="1134" w:hanging="425"/>
        <w:jc w:val="both"/>
        <w:rPr>
          <w:rFonts w:cs="Arial"/>
        </w:rPr>
      </w:pPr>
      <w:r w:rsidRPr="009E050E">
        <w:rPr>
          <w:rFonts w:cs="Arial"/>
        </w:rPr>
        <w:t>Scope t</w:t>
      </w:r>
      <w:r w:rsidR="0078493A" w:rsidRPr="009E050E">
        <w:rPr>
          <w:rFonts w:cs="Arial"/>
        </w:rPr>
        <w:t xml:space="preserve">he proposal with NHS England’s </w:t>
      </w:r>
      <w:r w:rsidRPr="009E050E">
        <w:rPr>
          <w:rFonts w:cs="Arial"/>
        </w:rPr>
        <w:t>PWG</w:t>
      </w:r>
      <w:r w:rsidR="00D35384" w:rsidRPr="009E050E">
        <w:rPr>
          <w:rFonts w:cs="Arial"/>
        </w:rPr>
        <w:t>s</w:t>
      </w:r>
      <w:r w:rsidRPr="009E050E">
        <w:rPr>
          <w:rFonts w:cs="Arial"/>
        </w:rPr>
        <w:t xml:space="preserve">; </w:t>
      </w:r>
    </w:p>
    <w:p w:rsidR="00E14BBB" w:rsidRPr="009E050E" w:rsidRDefault="00E14BBB" w:rsidP="000F01EC">
      <w:pPr>
        <w:pStyle w:val="Heading4"/>
        <w:numPr>
          <w:ilvl w:val="0"/>
          <w:numId w:val="4"/>
        </w:numPr>
        <w:ind w:left="1134" w:hanging="425"/>
        <w:jc w:val="both"/>
        <w:rPr>
          <w:rFonts w:cs="Arial"/>
        </w:rPr>
      </w:pPr>
      <w:r w:rsidRPr="009E050E">
        <w:rPr>
          <w:rFonts w:cs="Arial"/>
        </w:rPr>
        <w:t xml:space="preserve">Extract data from published literature and assess the quality of evidence; and </w:t>
      </w:r>
    </w:p>
    <w:p w:rsidR="00E14BBB" w:rsidRPr="009E050E" w:rsidRDefault="00E14BBB" w:rsidP="000F01EC">
      <w:pPr>
        <w:pStyle w:val="Heading4"/>
        <w:numPr>
          <w:ilvl w:val="0"/>
          <w:numId w:val="4"/>
        </w:numPr>
        <w:ind w:left="1134" w:hanging="425"/>
        <w:jc w:val="both"/>
        <w:rPr>
          <w:rFonts w:cs="Arial"/>
        </w:rPr>
      </w:pPr>
      <w:r w:rsidRPr="009E050E">
        <w:rPr>
          <w:rFonts w:cs="Arial"/>
        </w:rPr>
        <w:t xml:space="preserve">Submit </w:t>
      </w:r>
      <w:r w:rsidR="006A4AE8" w:rsidRPr="009E050E">
        <w:rPr>
          <w:rFonts w:cs="Arial"/>
        </w:rPr>
        <w:t xml:space="preserve">clinical </w:t>
      </w:r>
      <w:r w:rsidRPr="009E050E">
        <w:rPr>
          <w:rFonts w:cs="Arial"/>
        </w:rPr>
        <w:t xml:space="preserve">evidence reviews to </w:t>
      </w:r>
      <w:r w:rsidR="0078493A" w:rsidRPr="009E050E">
        <w:rPr>
          <w:rFonts w:cs="Arial"/>
        </w:rPr>
        <w:t xml:space="preserve">the </w:t>
      </w:r>
      <w:r w:rsidRPr="009E050E">
        <w:rPr>
          <w:rFonts w:cs="Arial"/>
        </w:rPr>
        <w:t xml:space="preserve">PWG to draft a proposition for consideration by NHS England governance. </w:t>
      </w:r>
    </w:p>
    <w:p w:rsidR="00403684" w:rsidRPr="009E050E" w:rsidRDefault="00FC4105" w:rsidP="000F01EC">
      <w:pPr>
        <w:pStyle w:val="Heading4"/>
        <w:ind w:left="709" w:hanging="709"/>
        <w:jc w:val="both"/>
        <w:rPr>
          <w:rFonts w:cs="Arial"/>
        </w:rPr>
      </w:pPr>
      <w:r w:rsidRPr="009E050E">
        <w:rPr>
          <w:rFonts w:cs="Arial"/>
        </w:rPr>
        <w:t>The C</w:t>
      </w:r>
      <w:r w:rsidR="00FA5A45" w:rsidRPr="009E050E">
        <w:rPr>
          <w:rFonts w:cs="Arial"/>
        </w:rPr>
        <w:t xml:space="preserve">linical </w:t>
      </w:r>
      <w:r w:rsidRPr="009E050E">
        <w:rPr>
          <w:rFonts w:cs="Arial"/>
        </w:rPr>
        <w:t>Effectiveness T</w:t>
      </w:r>
      <w:r w:rsidR="00FA5A45" w:rsidRPr="009E050E">
        <w:rPr>
          <w:rFonts w:cs="Arial"/>
        </w:rPr>
        <w:t>eam will oversee and coord</w:t>
      </w:r>
      <w:r w:rsidR="00F249FD" w:rsidRPr="009E050E">
        <w:rPr>
          <w:rFonts w:cs="Arial"/>
        </w:rPr>
        <w:t>inate the work with the</w:t>
      </w:r>
      <w:r w:rsidR="00C11986" w:rsidRPr="009E050E">
        <w:rPr>
          <w:rFonts w:cs="Arial"/>
        </w:rPr>
        <w:t xml:space="preserve"> appointed</w:t>
      </w:r>
      <w:r w:rsidR="00F249FD" w:rsidRPr="009E050E">
        <w:rPr>
          <w:rFonts w:cs="Arial"/>
        </w:rPr>
        <w:t xml:space="preserve"> </w:t>
      </w:r>
      <w:r w:rsidR="00C11986" w:rsidRPr="009E050E">
        <w:rPr>
          <w:rFonts w:cs="Arial"/>
        </w:rPr>
        <w:t>Providers</w:t>
      </w:r>
      <w:r w:rsidR="00FA5A45" w:rsidRPr="009E050E">
        <w:rPr>
          <w:rFonts w:cs="Arial"/>
        </w:rPr>
        <w:t>.</w:t>
      </w:r>
    </w:p>
    <w:p w:rsidR="00403684" w:rsidRPr="00212556" w:rsidRDefault="002150CE" w:rsidP="00212556">
      <w:pPr>
        <w:pStyle w:val="Heading3"/>
        <w:ind w:left="567" w:hanging="567"/>
        <w:jc w:val="both"/>
        <w:rPr>
          <w:rFonts w:cs="Arial"/>
          <w:b/>
        </w:rPr>
      </w:pPr>
      <w:r w:rsidRPr="00212556">
        <w:rPr>
          <w:rFonts w:cs="Arial"/>
          <w:b/>
        </w:rPr>
        <w:t xml:space="preserve"> </w:t>
      </w:r>
      <w:r w:rsidR="00403684" w:rsidRPr="00212556">
        <w:rPr>
          <w:rFonts w:cs="Arial"/>
          <w:b/>
        </w:rPr>
        <w:t>Management Information &amp; Governance</w:t>
      </w:r>
    </w:p>
    <w:p w:rsidR="00403684" w:rsidRPr="009E050E" w:rsidRDefault="006A4AE8" w:rsidP="000F01EC">
      <w:pPr>
        <w:pStyle w:val="Heading4"/>
        <w:ind w:left="709" w:hanging="709"/>
        <w:jc w:val="both"/>
        <w:rPr>
          <w:rFonts w:cs="Arial"/>
        </w:rPr>
      </w:pPr>
      <w:r w:rsidRPr="009E050E">
        <w:rPr>
          <w:rFonts w:cs="Arial"/>
        </w:rPr>
        <w:t>The Clinical Effectiveness Team will report progress on a monthly basis to</w:t>
      </w:r>
      <w:r w:rsidR="00FC4105" w:rsidRPr="009E050E">
        <w:rPr>
          <w:rFonts w:cs="Arial"/>
        </w:rPr>
        <w:t xml:space="preserve"> the Specialised Commissioning Programme of Care Programme </w:t>
      </w:r>
      <w:r w:rsidRPr="009E050E">
        <w:rPr>
          <w:rFonts w:cs="Arial"/>
        </w:rPr>
        <w:t>Oversight Group</w:t>
      </w:r>
      <w:r w:rsidR="00827065" w:rsidRPr="009E050E">
        <w:rPr>
          <w:rFonts w:cs="Arial"/>
        </w:rPr>
        <w:t>.</w:t>
      </w:r>
    </w:p>
    <w:p w:rsidR="00DC3CA1" w:rsidRPr="009E050E" w:rsidRDefault="009F5241" w:rsidP="000F01EC">
      <w:pPr>
        <w:pStyle w:val="Heading4"/>
        <w:ind w:left="709" w:hanging="709"/>
        <w:jc w:val="both"/>
        <w:rPr>
          <w:rFonts w:cs="Arial"/>
        </w:rPr>
      </w:pPr>
      <w:r w:rsidRPr="009E050E">
        <w:rPr>
          <w:rFonts w:cs="Arial"/>
        </w:rPr>
        <w:t xml:space="preserve">These meetings are attended by the Specialised Commissioning National </w:t>
      </w:r>
      <w:r w:rsidR="00DC3CA1" w:rsidRPr="009E050E">
        <w:rPr>
          <w:rFonts w:cs="Arial"/>
        </w:rPr>
        <w:t xml:space="preserve">Clinical and Deputy Clinical Directors, </w:t>
      </w:r>
      <w:r w:rsidRPr="009E050E">
        <w:rPr>
          <w:rFonts w:cs="Arial"/>
        </w:rPr>
        <w:t>Clinic</w:t>
      </w:r>
      <w:r w:rsidR="00FC4105" w:rsidRPr="009E050E">
        <w:rPr>
          <w:rFonts w:cs="Arial"/>
        </w:rPr>
        <w:t>al Effectiveness Team members, N</w:t>
      </w:r>
      <w:r w:rsidRPr="009E050E">
        <w:rPr>
          <w:rFonts w:cs="Arial"/>
        </w:rPr>
        <w:t>ational Programme of Care Managers</w:t>
      </w:r>
      <w:r w:rsidR="00DC3CA1" w:rsidRPr="009E050E">
        <w:rPr>
          <w:rFonts w:cs="Arial"/>
        </w:rPr>
        <w:t>, Head of Acute Programmes</w:t>
      </w:r>
      <w:r w:rsidR="00827065" w:rsidRPr="009E050E">
        <w:rPr>
          <w:rFonts w:cs="Arial"/>
        </w:rPr>
        <w:t>, Mental Health Programme of Care lead</w:t>
      </w:r>
      <w:r w:rsidR="00DC3CA1" w:rsidRPr="009E050E">
        <w:rPr>
          <w:rFonts w:cs="Arial"/>
        </w:rPr>
        <w:t xml:space="preserve">.  </w:t>
      </w:r>
    </w:p>
    <w:p w:rsidR="00DC3CA1" w:rsidRPr="009E050E" w:rsidRDefault="001C389C" w:rsidP="000F01EC">
      <w:pPr>
        <w:pStyle w:val="Heading4"/>
        <w:ind w:left="709" w:hanging="709"/>
        <w:jc w:val="both"/>
        <w:rPr>
          <w:rFonts w:cs="Arial"/>
        </w:rPr>
      </w:pPr>
      <w:r w:rsidRPr="009E050E">
        <w:rPr>
          <w:rFonts w:cs="Arial"/>
        </w:rPr>
        <w:t>Monthly meetings/webi</w:t>
      </w:r>
      <w:r w:rsidR="00F249FD" w:rsidRPr="009E050E">
        <w:rPr>
          <w:rFonts w:cs="Arial"/>
        </w:rPr>
        <w:t xml:space="preserve">nars will be held with </w:t>
      </w:r>
      <w:r w:rsidR="00C11986" w:rsidRPr="009E050E">
        <w:rPr>
          <w:rFonts w:cs="Arial"/>
        </w:rPr>
        <w:t>the appointed Provider</w:t>
      </w:r>
      <w:r w:rsidR="00F249FD" w:rsidRPr="009E050E">
        <w:rPr>
          <w:rFonts w:cs="Arial"/>
        </w:rPr>
        <w:t>s</w:t>
      </w:r>
      <w:r w:rsidRPr="009E050E">
        <w:rPr>
          <w:rFonts w:cs="Arial"/>
        </w:rPr>
        <w:t xml:space="preserve"> to oversee progress and performance.</w:t>
      </w:r>
    </w:p>
    <w:p w:rsidR="00A05D75" w:rsidRPr="009E050E" w:rsidRDefault="00013B72" w:rsidP="000F01EC">
      <w:pPr>
        <w:pStyle w:val="Heading4"/>
        <w:ind w:left="709" w:hanging="709"/>
        <w:jc w:val="both"/>
        <w:rPr>
          <w:rFonts w:cs="Arial"/>
        </w:rPr>
      </w:pPr>
      <w:r w:rsidRPr="009E050E">
        <w:rPr>
          <w:rFonts w:cs="Arial"/>
        </w:rPr>
        <w:lastRenderedPageBreak/>
        <w:t>Project progress reports will be required on a weekly ba</w:t>
      </w:r>
      <w:r w:rsidR="00F249FD" w:rsidRPr="009E050E">
        <w:rPr>
          <w:rFonts w:cs="Arial"/>
        </w:rPr>
        <w:t xml:space="preserve">sis (every Friday) from </w:t>
      </w:r>
      <w:r w:rsidR="00C11986" w:rsidRPr="009E050E">
        <w:rPr>
          <w:rFonts w:cs="Arial"/>
        </w:rPr>
        <w:t xml:space="preserve">appointed </w:t>
      </w:r>
      <w:r w:rsidR="00F249FD" w:rsidRPr="009E050E">
        <w:rPr>
          <w:rFonts w:cs="Arial"/>
        </w:rPr>
        <w:t>Provider</w:t>
      </w:r>
      <w:r w:rsidRPr="009E050E">
        <w:rPr>
          <w:rFonts w:cs="Arial"/>
        </w:rPr>
        <w:t>s.</w:t>
      </w:r>
      <w:r w:rsidR="00A05D75" w:rsidRPr="009E050E">
        <w:rPr>
          <w:rFonts w:cs="Arial"/>
        </w:rPr>
        <w:t xml:space="preserve"> Reports should as a minimum include the following information – NHS </w:t>
      </w:r>
      <w:r w:rsidR="00FC4105" w:rsidRPr="009E050E">
        <w:rPr>
          <w:rFonts w:cs="Arial"/>
        </w:rPr>
        <w:t xml:space="preserve">unique </w:t>
      </w:r>
      <w:r w:rsidR="00A05D75" w:rsidRPr="009E050E">
        <w:rPr>
          <w:rFonts w:cs="Arial"/>
        </w:rPr>
        <w:t xml:space="preserve">reference number (URN), topic name, </w:t>
      </w:r>
      <w:r w:rsidR="00C55C2F" w:rsidRPr="009E050E">
        <w:rPr>
          <w:rFonts w:cs="Arial"/>
        </w:rPr>
        <w:t xml:space="preserve">date </w:t>
      </w:r>
      <w:r w:rsidR="00A05D75" w:rsidRPr="009E050E">
        <w:rPr>
          <w:rFonts w:cs="Arial"/>
        </w:rPr>
        <w:t>PICO agreed, delivery date of final report, current status, invoicing information</w:t>
      </w:r>
      <w:r w:rsidR="00D35384" w:rsidRPr="009E050E">
        <w:rPr>
          <w:rFonts w:cs="Arial"/>
        </w:rPr>
        <w:t xml:space="preserve">. See example in Appendix </w:t>
      </w:r>
      <w:r w:rsidR="004D063F" w:rsidRPr="009E050E">
        <w:rPr>
          <w:rFonts w:cs="Arial"/>
        </w:rPr>
        <w:t>5</w:t>
      </w:r>
      <w:r w:rsidRPr="009E050E">
        <w:rPr>
          <w:rFonts w:cs="Arial"/>
        </w:rPr>
        <w:t xml:space="preserve"> </w:t>
      </w:r>
      <w:r w:rsidR="00A05D75" w:rsidRPr="009E050E">
        <w:rPr>
          <w:rFonts w:cs="Arial"/>
        </w:rPr>
        <w:t>A</w:t>
      </w:r>
      <w:r w:rsidR="00F249FD" w:rsidRPr="009E050E">
        <w:rPr>
          <w:rFonts w:cs="Arial"/>
        </w:rPr>
        <w:t xml:space="preserve">ll information shared with the </w:t>
      </w:r>
      <w:r w:rsidR="00C11986" w:rsidRPr="009E050E">
        <w:rPr>
          <w:rFonts w:cs="Arial"/>
        </w:rPr>
        <w:t xml:space="preserve">appointed </w:t>
      </w:r>
      <w:r w:rsidR="00F249FD" w:rsidRPr="009E050E">
        <w:rPr>
          <w:rFonts w:cs="Arial"/>
        </w:rPr>
        <w:t>Providers</w:t>
      </w:r>
      <w:r w:rsidR="00A05D75" w:rsidRPr="009E050E">
        <w:rPr>
          <w:rFonts w:cs="Arial"/>
        </w:rPr>
        <w:t xml:space="preserve"> by NHS England must be treated confidentially </w:t>
      </w:r>
    </w:p>
    <w:p w:rsidR="00A05D75" w:rsidRPr="009E050E" w:rsidRDefault="00A05D75" w:rsidP="000F01EC">
      <w:pPr>
        <w:pStyle w:val="Heading4"/>
        <w:ind w:left="709" w:hanging="709"/>
        <w:jc w:val="both"/>
        <w:rPr>
          <w:rFonts w:cs="Arial"/>
        </w:rPr>
      </w:pPr>
      <w:r w:rsidRPr="009E050E">
        <w:rPr>
          <w:rFonts w:cs="Arial"/>
        </w:rPr>
        <w:t xml:space="preserve">NHS England will own intellectual property rights to the </w:t>
      </w:r>
      <w:r w:rsidR="00C55C2F" w:rsidRPr="009E050E">
        <w:rPr>
          <w:rFonts w:cs="Arial"/>
        </w:rPr>
        <w:t xml:space="preserve">clinical </w:t>
      </w:r>
      <w:r w:rsidRPr="009E050E">
        <w:rPr>
          <w:rFonts w:cs="Arial"/>
        </w:rPr>
        <w:t>evidence reviews.</w:t>
      </w:r>
    </w:p>
    <w:p w:rsidR="00C80BDA" w:rsidRPr="00212556" w:rsidRDefault="00C80BDA" w:rsidP="00212556">
      <w:pPr>
        <w:pStyle w:val="Heading3"/>
        <w:ind w:left="567" w:hanging="567"/>
        <w:jc w:val="both"/>
        <w:rPr>
          <w:rFonts w:cs="Arial"/>
          <w:b/>
        </w:rPr>
      </w:pPr>
      <w:r w:rsidRPr="00212556">
        <w:rPr>
          <w:rFonts w:cs="Arial"/>
          <w:b/>
        </w:rPr>
        <w:t>Performance and Measurement</w:t>
      </w:r>
    </w:p>
    <w:p w:rsidR="00C80BDA" w:rsidRPr="009E050E" w:rsidRDefault="00616EC3" w:rsidP="000F01EC">
      <w:pPr>
        <w:pStyle w:val="Heading4"/>
        <w:ind w:left="709" w:hanging="709"/>
        <w:jc w:val="both"/>
        <w:rPr>
          <w:rFonts w:cs="Arial"/>
        </w:rPr>
      </w:pPr>
      <w:r w:rsidRPr="009E050E">
        <w:rPr>
          <w:rFonts w:cs="Arial"/>
        </w:rPr>
        <w:t xml:space="preserve">The structure of performance measurement is </w:t>
      </w:r>
      <w:r w:rsidR="00C55C2F" w:rsidRPr="009E050E">
        <w:rPr>
          <w:rFonts w:cs="Arial"/>
        </w:rPr>
        <w:t>described</w:t>
      </w:r>
      <w:r w:rsidRPr="009E050E">
        <w:rPr>
          <w:rFonts w:cs="Arial"/>
        </w:rPr>
        <w:t xml:space="preserve"> in the table below</w:t>
      </w:r>
      <w:r w:rsidR="00212556">
        <w:rPr>
          <w:rFonts w:cs="Arial"/>
        </w:rPr>
        <w:t>:</w:t>
      </w:r>
    </w:p>
    <w:tbl>
      <w:tblPr>
        <w:tblW w:w="4517" w:type="pct"/>
        <w:tblInd w:w="817" w:type="dxa"/>
        <w:tblCellMar>
          <w:left w:w="0" w:type="dxa"/>
          <w:right w:w="0" w:type="dxa"/>
        </w:tblCellMar>
        <w:tblLook w:val="04A0" w:firstRow="1" w:lastRow="0" w:firstColumn="1" w:lastColumn="0" w:noHBand="0" w:noVBand="1"/>
      </w:tblPr>
      <w:tblGrid>
        <w:gridCol w:w="2278"/>
        <w:gridCol w:w="3553"/>
        <w:gridCol w:w="2540"/>
      </w:tblGrid>
      <w:tr w:rsidR="003C4859" w:rsidRPr="009E050E" w:rsidTr="000F01EC">
        <w:trPr>
          <w:tblHeader/>
        </w:trPr>
        <w:tc>
          <w:tcPr>
            <w:tcW w:w="136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8" w:type="dxa"/>
              <w:bottom w:w="0" w:type="dxa"/>
              <w:right w:w="108" w:type="dxa"/>
            </w:tcMar>
            <w:hideMark/>
          </w:tcPr>
          <w:p w:rsidR="003C4859" w:rsidRPr="009E050E" w:rsidRDefault="003C4859" w:rsidP="00B84869">
            <w:pPr>
              <w:jc w:val="both"/>
              <w:rPr>
                <w:rFonts w:ascii="Arial" w:hAnsi="Arial" w:cs="Arial"/>
                <w:b/>
                <w:iCs/>
                <w:sz w:val="20"/>
                <w:szCs w:val="20"/>
              </w:rPr>
            </w:pPr>
            <w:r w:rsidRPr="009E050E">
              <w:rPr>
                <w:rFonts w:ascii="Arial" w:hAnsi="Arial" w:cs="Arial"/>
                <w:b/>
                <w:iCs/>
                <w:sz w:val="20"/>
                <w:szCs w:val="20"/>
                <w:lang w:eastAsia="en-GB"/>
              </w:rPr>
              <w:t xml:space="preserve"> Key Performance Indicator (KPI)</w:t>
            </w:r>
          </w:p>
        </w:tc>
        <w:tc>
          <w:tcPr>
            <w:tcW w:w="212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8" w:type="dxa"/>
              <w:bottom w:w="0" w:type="dxa"/>
              <w:right w:w="108" w:type="dxa"/>
            </w:tcMar>
            <w:hideMark/>
          </w:tcPr>
          <w:p w:rsidR="003C4859" w:rsidRPr="009E050E" w:rsidRDefault="003C4859" w:rsidP="00B84869">
            <w:pPr>
              <w:jc w:val="both"/>
              <w:rPr>
                <w:rFonts w:ascii="Arial" w:hAnsi="Arial" w:cs="Arial"/>
                <w:b/>
                <w:iCs/>
                <w:sz w:val="20"/>
                <w:szCs w:val="20"/>
              </w:rPr>
            </w:pPr>
            <w:r w:rsidRPr="009E050E">
              <w:rPr>
                <w:rFonts w:ascii="Arial" w:hAnsi="Arial" w:cs="Arial"/>
                <w:b/>
                <w:iCs/>
                <w:sz w:val="20"/>
                <w:szCs w:val="20"/>
                <w:lang w:eastAsia="en-GB"/>
              </w:rPr>
              <w:t>Measurement</w:t>
            </w:r>
          </w:p>
        </w:tc>
        <w:tc>
          <w:tcPr>
            <w:tcW w:w="151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8" w:type="dxa"/>
              <w:bottom w:w="0" w:type="dxa"/>
              <w:right w:w="108" w:type="dxa"/>
            </w:tcMar>
            <w:hideMark/>
          </w:tcPr>
          <w:p w:rsidR="003C4859" w:rsidRPr="009E050E" w:rsidRDefault="003C4859" w:rsidP="00B84869">
            <w:pPr>
              <w:jc w:val="both"/>
              <w:rPr>
                <w:rFonts w:ascii="Arial" w:hAnsi="Arial" w:cs="Arial"/>
                <w:b/>
                <w:iCs/>
                <w:sz w:val="20"/>
                <w:szCs w:val="20"/>
              </w:rPr>
            </w:pPr>
            <w:r w:rsidRPr="009E050E">
              <w:rPr>
                <w:rFonts w:ascii="Arial" w:hAnsi="Arial" w:cs="Arial"/>
                <w:b/>
                <w:iCs/>
                <w:sz w:val="20"/>
                <w:szCs w:val="20"/>
                <w:lang w:eastAsia="en-GB"/>
              </w:rPr>
              <w:t xml:space="preserve">Target </w:t>
            </w:r>
          </w:p>
        </w:tc>
      </w:tr>
      <w:tr w:rsidR="003B3836" w:rsidRPr="009E050E" w:rsidTr="000F01E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3836" w:rsidRPr="009E050E" w:rsidRDefault="003B3836" w:rsidP="00B84869">
            <w:pPr>
              <w:jc w:val="both"/>
              <w:rPr>
                <w:rFonts w:ascii="Arial" w:hAnsi="Arial" w:cs="Arial"/>
                <w:iCs/>
                <w:sz w:val="20"/>
                <w:szCs w:val="20"/>
                <w:lang w:eastAsia="en-GB"/>
              </w:rPr>
            </w:pPr>
            <w:r w:rsidRPr="009E050E">
              <w:rPr>
                <w:rFonts w:ascii="Arial" w:hAnsi="Arial" w:cs="Arial"/>
                <w:iCs/>
                <w:sz w:val="20"/>
                <w:szCs w:val="20"/>
                <w:lang w:eastAsia="en-GB"/>
              </w:rPr>
              <w:t>Deliverable 1 Delivery Timescale</w:t>
            </w:r>
          </w:p>
        </w:tc>
        <w:tc>
          <w:tcPr>
            <w:tcW w:w="21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3836" w:rsidRPr="009E050E" w:rsidRDefault="003B3836" w:rsidP="003C4859">
            <w:pPr>
              <w:jc w:val="both"/>
              <w:rPr>
                <w:rFonts w:ascii="Arial" w:hAnsi="Arial" w:cs="Arial"/>
                <w:iCs/>
                <w:sz w:val="20"/>
                <w:szCs w:val="20"/>
                <w:lang w:eastAsia="en-GB"/>
              </w:rPr>
            </w:pPr>
            <w:r w:rsidRPr="009E050E">
              <w:rPr>
                <w:rFonts w:ascii="Arial" w:hAnsi="Arial" w:cs="Arial"/>
                <w:iCs/>
                <w:sz w:val="20"/>
                <w:szCs w:val="20"/>
                <w:lang w:eastAsia="en-GB"/>
              </w:rPr>
              <w:t xml:space="preserve">The provider must submit the completed </w:t>
            </w:r>
            <w:r w:rsidR="00C55C2F" w:rsidRPr="009E050E">
              <w:rPr>
                <w:rFonts w:ascii="Arial" w:hAnsi="Arial" w:cs="Arial"/>
                <w:iCs/>
                <w:sz w:val="20"/>
                <w:szCs w:val="20"/>
                <w:lang w:eastAsia="en-GB"/>
              </w:rPr>
              <w:t xml:space="preserve">clinical </w:t>
            </w:r>
            <w:r w:rsidRPr="009E050E">
              <w:rPr>
                <w:rFonts w:ascii="Arial" w:hAnsi="Arial" w:cs="Arial"/>
                <w:iCs/>
                <w:sz w:val="20"/>
                <w:szCs w:val="20"/>
                <w:lang w:eastAsia="en-GB"/>
              </w:rPr>
              <w:t xml:space="preserve">evidence review templates within the agreed timescales– </w:t>
            </w:r>
          </w:p>
        </w:tc>
        <w:tc>
          <w:tcPr>
            <w:tcW w:w="151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3836" w:rsidRPr="009E050E" w:rsidRDefault="003B3836" w:rsidP="009B36D6">
            <w:pPr>
              <w:autoSpaceDE w:val="0"/>
              <w:autoSpaceDN w:val="0"/>
              <w:adjustRightInd w:val="0"/>
              <w:rPr>
                <w:rFonts w:ascii="Arial" w:hAnsi="Arial" w:cs="Arial"/>
                <w:iCs/>
                <w:sz w:val="20"/>
                <w:szCs w:val="20"/>
                <w:lang w:eastAsia="en-GB"/>
              </w:rPr>
            </w:pPr>
            <w:r w:rsidRPr="009E050E">
              <w:rPr>
                <w:rFonts w:ascii="Arial" w:hAnsi="Arial" w:cs="Arial"/>
                <w:iCs/>
                <w:sz w:val="20"/>
                <w:szCs w:val="20"/>
                <w:lang w:eastAsia="en-GB"/>
              </w:rPr>
              <w:t xml:space="preserve"> </w:t>
            </w:r>
          </w:p>
          <w:p w:rsidR="003B3836" w:rsidRPr="009E050E" w:rsidRDefault="003B3836" w:rsidP="009B36D6">
            <w:pPr>
              <w:autoSpaceDE w:val="0"/>
              <w:autoSpaceDN w:val="0"/>
              <w:adjustRightInd w:val="0"/>
              <w:rPr>
                <w:rFonts w:ascii="Arial" w:hAnsi="Arial" w:cs="Arial"/>
                <w:sz w:val="20"/>
                <w:szCs w:val="20"/>
              </w:rPr>
            </w:pPr>
            <w:r w:rsidRPr="009E050E">
              <w:rPr>
                <w:rFonts w:ascii="Arial" w:hAnsi="Arial" w:cs="Arial"/>
                <w:sz w:val="20"/>
                <w:szCs w:val="20"/>
              </w:rPr>
              <w:t>Submitted within the timescales specified:</w:t>
            </w:r>
          </w:p>
          <w:p w:rsidR="003B3836" w:rsidRPr="009E050E" w:rsidRDefault="003B3836" w:rsidP="009B36D6">
            <w:pPr>
              <w:autoSpaceDE w:val="0"/>
              <w:autoSpaceDN w:val="0"/>
              <w:adjustRightInd w:val="0"/>
              <w:rPr>
                <w:rFonts w:ascii="Arial" w:hAnsi="Arial" w:cs="Arial"/>
                <w:sz w:val="20"/>
                <w:szCs w:val="20"/>
              </w:rPr>
            </w:pPr>
          </w:p>
          <w:p w:rsidR="009E44E4" w:rsidRPr="009E050E" w:rsidRDefault="009E44E4" w:rsidP="009E44E4">
            <w:pPr>
              <w:autoSpaceDE w:val="0"/>
              <w:autoSpaceDN w:val="0"/>
              <w:adjustRightInd w:val="0"/>
              <w:rPr>
                <w:rFonts w:ascii="Arial" w:hAnsi="Arial" w:cs="Arial"/>
                <w:sz w:val="20"/>
                <w:szCs w:val="20"/>
              </w:rPr>
            </w:pPr>
            <w:r w:rsidRPr="009E050E">
              <w:rPr>
                <w:rFonts w:ascii="Arial" w:hAnsi="Arial" w:cs="Arial"/>
                <w:sz w:val="20"/>
                <w:szCs w:val="20"/>
              </w:rPr>
              <w:t xml:space="preserve">Completed and finalised in </w:t>
            </w:r>
            <w:r w:rsidR="00B30982">
              <w:rPr>
                <w:rFonts w:ascii="Arial" w:hAnsi="Arial" w:cs="Arial"/>
                <w:sz w:val="20"/>
                <w:szCs w:val="20"/>
              </w:rPr>
              <w:t xml:space="preserve">ten </w:t>
            </w:r>
            <w:r w:rsidRPr="009E050E">
              <w:rPr>
                <w:rFonts w:ascii="Arial" w:hAnsi="Arial" w:cs="Arial"/>
                <w:sz w:val="20"/>
                <w:szCs w:val="20"/>
              </w:rPr>
              <w:t>weeks from date a completed and signed off PICO template is submitted to the provider.</w:t>
            </w:r>
          </w:p>
          <w:p w:rsidR="009E44E4" w:rsidRPr="009E050E" w:rsidRDefault="00B30982" w:rsidP="009E44E4">
            <w:pPr>
              <w:pStyle w:val="ListParagraph"/>
              <w:numPr>
                <w:ilvl w:val="0"/>
                <w:numId w:val="4"/>
              </w:numPr>
              <w:autoSpaceDE w:val="0"/>
              <w:autoSpaceDN w:val="0"/>
              <w:adjustRightInd w:val="0"/>
              <w:ind w:left="360"/>
              <w:rPr>
                <w:rFonts w:ascii="Arial" w:hAnsi="Arial" w:cs="Arial"/>
                <w:sz w:val="20"/>
                <w:szCs w:val="20"/>
              </w:rPr>
            </w:pPr>
            <w:r>
              <w:rPr>
                <w:rFonts w:ascii="Arial" w:hAnsi="Arial" w:cs="Arial"/>
                <w:sz w:val="20"/>
                <w:szCs w:val="20"/>
              </w:rPr>
              <w:t>Eight</w:t>
            </w:r>
            <w:r w:rsidR="009E44E4" w:rsidRPr="009E050E">
              <w:rPr>
                <w:rFonts w:ascii="Arial" w:hAnsi="Arial" w:cs="Arial"/>
                <w:sz w:val="20"/>
                <w:szCs w:val="20"/>
              </w:rPr>
              <w:t xml:space="preserve"> weeks to complete the evidence review</w:t>
            </w:r>
          </w:p>
          <w:p w:rsidR="009E44E4" w:rsidRPr="009E050E" w:rsidRDefault="009E44E4" w:rsidP="009E44E4">
            <w:pPr>
              <w:pStyle w:val="ListParagraph"/>
              <w:numPr>
                <w:ilvl w:val="0"/>
                <w:numId w:val="4"/>
              </w:numPr>
              <w:autoSpaceDE w:val="0"/>
              <w:autoSpaceDN w:val="0"/>
              <w:adjustRightInd w:val="0"/>
              <w:ind w:left="360"/>
              <w:rPr>
                <w:rFonts w:ascii="Arial" w:hAnsi="Arial" w:cs="Arial"/>
                <w:sz w:val="20"/>
                <w:szCs w:val="20"/>
              </w:rPr>
            </w:pPr>
            <w:r w:rsidRPr="009E050E">
              <w:rPr>
                <w:rFonts w:ascii="Arial" w:hAnsi="Arial" w:cs="Arial"/>
                <w:sz w:val="20"/>
                <w:szCs w:val="20"/>
              </w:rPr>
              <w:t>One week for PWG to provide feedback</w:t>
            </w:r>
          </w:p>
          <w:p w:rsidR="009E44E4" w:rsidRPr="009E050E" w:rsidRDefault="009E44E4" w:rsidP="009E44E4">
            <w:pPr>
              <w:pStyle w:val="ListParagraph"/>
              <w:numPr>
                <w:ilvl w:val="0"/>
                <w:numId w:val="4"/>
              </w:numPr>
              <w:autoSpaceDE w:val="0"/>
              <w:autoSpaceDN w:val="0"/>
              <w:adjustRightInd w:val="0"/>
              <w:ind w:left="360"/>
              <w:rPr>
                <w:rFonts w:ascii="Arial" w:hAnsi="Arial" w:cs="Arial"/>
                <w:sz w:val="20"/>
                <w:szCs w:val="20"/>
              </w:rPr>
            </w:pPr>
            <w:r w:rsidRPr="009E050E">
              <w:rPr>
                <w:rFonts w:ascii="Arial" w:hAnsi="Arial" w:cs="Arial"/>
                <w:sz w:val="20"/>
                <w:szCs w:val="20"/>
              </w:rPr>
              <w:t>One week to make any amendments necessary</w:t>
            </w:r>
          </w:p>
          <w:p w:rsidR="009E44E4" w:rsidRPr="009E050E" w:rsidRDefault="009E44E4" w:rsidP="009E44E4">
            <w:pPr>
              <w:autoSpaceDE w:val="0"/>
              <w:autoSpaceDN w:val="0"/>
              <w:adjustRightInd w:val="0"/>
              <w:rPr>
                <w:rFonts w:ascii="Arial" w:hAnsi="Arial" w:cs="Arial"/>
                <w:sz w:val="20"/>
                <w:szCs w:val="20"/>
              </w:rPr>
            </w:pPr>
          </w:p>
          <w:p w:rsidR="003B3836" w:rsidRPr="009E050E" w:rsidRDefault="003B3836" w:rsidP="00DC5D4C">
            <w:pPr>
              <w:autoSpaceDE w:val="0"/>
              <w:autoSpaceDN w:val="0"/>
              <w:adjustRightInd w:val="0"/>
              <w:rPr>
                <w:rFonts w:ascii="Arial" w:hAnsi="Arial" w:cs="Arial"/>
                <w:iCs/>
                <w:sz w:val="20"/>
                <w:szCs w:val="20"/>
                <w:lang w:eastAsia="en-GB"/>
              </w:rPr>
            </w:pPr>
          </w:p>
        </w:tc>
      </w:tr>
      <w:tr w:rsidR="003B3836" w:rsidRPr="009E050E" w:rsidTr="000F01EC">
        <w:tc>
          <w:tcPr>
            <w:tcW w:w="1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3836" w:rsidRPr="009E050E" w:rsidRDefault="003B3836" w:rsidP="00B84869">
            <w:pPr>
              <w:jc w:val="both"/>
              <w:rPr>
                <w:rFonts w:ascii="Arial" w:hAnsi="Arial" w:cs="Arial"/>
                <w:iCs/>
                <w:sz w:val="20"/>
                <w:szCs w:val="20"/>
                <w:lang w:eastAsia="en-GB"/>
              </w:rPr>
            </w:pPr>
            <w:r w:rsidRPr="009E050E">
              <w:rPr>
                <w:rFonts w:ascii="Arial" w:hAnsi="Arial" w:cs="Arial"/>
                <w:iCs/>
                <w:sz w:val="20"/>
                <w:szCs w:val="20"/>
                <w:lang w:eastAsia="en-GB"/>
              </w:rPr>
              <w:t>Deliverable 1 - Adherence to evidence review process guidelines</w:t>
            </w:r>
          </w:p>
        </w:tc>
        <w:tc>
          <w:tcPr>
            <w:tcW w:w="21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3836" w:rsidRPr="009E050E" w:rsidRDefault="003B3836" w:rsidP="00B84869">
            <w:pPr>
              <w:jc w:val="both"/>
              <w:rPr>
                <w:rFonts w:ascii="Arial" w:hAnsi="Arial" w:cs="Arial"/>
                <w:iCs/>
                <w:sz w:val="20"/>
                <w:szCs w:val="20"/>
                <w:lang w:eastAsia="en-GB"/>
              </w:rPr>
            </w:pPr>
            <w:r w:rsidRPr="009E050E">
              <w:rPr>
                <w:rFonts w:ascii="Arial" w:hAnsi="Arial" w:cs="Arial"/>
                <w:iCs/>
                <w:sz w:val="20"/>
                <w:szCs w:val="20"/>
                <w:lang w:eastAsia="en-GB"/>
              </w:rPr>
              <w:t>The provider must reassure NHS England that all steps outlined in the evidence review guidance. This includes:</w:t>
            </w:r>
          </w:p>
          <w:p w:rsidR="003B3836" w:rsidRPr="009E050E" w:rsidRDefault="003B3836" w:rsidP="00B84869">
            <w:pPr>
              <w:jc w:val="both"/>
              <w:rPr>
                <w:rFonts w:ascii="Arial" w:hAnsi="Arial" w:cs="Arial"/>
                <w:iCs/>
                <w:sz w:val="20"/>
                <w:szCs w:val="20"/>
                <w:lang w:eastAsia="en-GB"/>
              </w:rPr>
            </w:pPr>
          </w:p>
          <w:p w:rsidR="003B3836" w:rsidRPr="009E050E" w:rsidRDefault="003B3836" w:rsidP="00DC5D4C">
            <w:pPr>
              <w:pStyle w:val="ListParagraph"/>
              <w:numPr>
                <w:ilvl w:val="0"/>
                <w:numId w:val="4"/>
              </w:numPr>
              <w:tabs>
                <w:tab w:val="left" w:pos="318"/>
              </w:tabs>
              <w:ind w:left="318" w:hanging="142"/>
              <w:jc w:val="both"/>
              <w:rPr>
                <w:rFonts w:ascii="Arial" w:hAnsi="Arial" w:cs="Arial"/>
                <w:iCs/>
                <w:sz w:val="20"/>
                <w:szCs w:val="20"/>
                <w:lang w:eastAsia="en-GB"/>
              </w:rPr>
            </w:pPr>
            <w:r w:rsidRPr="009E050E">
              <w:rPr>
                <w:rFonts w:ascii="Arial" w:hAnsi="Arial" w:cs="Arial"/>
                <w:iCs/>
                <w:sz w:val="20"/>
                <w:szCs w:val="20"/>
                <w:lang w:eastAsia="en-GB"/>
              </w:rPr>
              <w:t>Developing the search strategy</w:t>
            </w:r>
          </w:p>
          <w:p w:rsidR="003B3836" w:rsidRPr="009E050E" w:rsidRDefault="003B3836" w:rsidP="00DC5D4C">
            <w:pPr>
              <w:pStyle w:val="ListParagraph"/>
              <w:numPr>
                <w:ilvl w:val="0"/>
                <w:numId w:val="4"/>
              </w:numPr>
              <w:tabs>
                <w:tab w:val="left" w:pos="318"/>
              </w:tabs>
              <w:ind w:left="318" w:hanging="142"/>
              <w:jc w:val="both"/>
              <w:rPr>
                <w:rFonts w:ascii="Arial" w:hAnsi="Arial" w:cs="Arial"/>
                <w:iCs/>
                <w:sz w:val="20"/>
                <w:szCs w:val="20"/>
                <w:lang w:eastAsia="en-GB"/>
              </w:rPr>
            </w:pPr>
            <w:r w:rsidRPr="009E050E">
              <w:rPr>
                <w:rFonts w:ascii="Arial" w:hAnsi="Arial" w:cs="Arial"/>
                <w:iCs/>
                <w:sz w:val="20"/>
                <w:szCs w:val="20"/>
                <w:lang w:eastAsia="en-GB"/>
              </w:rPr>
              <w:t>Screening steps 1 &amp; 2</w:t>
            </w:r>
          </w:p>
          <w:p w:rsidR="003B3836" w:rsidRPr="009E050E" w:rsidRDefault="003B3836" w:rsidP="00DC5D4C">
            <w:pPr>
              <w:pStyle w:val="ListParagraph"/>
              <w:numPr>
                <w:ilvl w:val="0"/>
                <w:numId w:val="4"/>
              </w:numPr>
              <w:tabs>
                <w:tab w:val="left" w:pos="318"/>
              </w:tabs>
              <w:ind w:left="318" w:hanging="142"/>
              <w:jc w:val="both"/>
              <w:rPr>
                <w:rFonts w:ascii="Arial" w:hAnsi="Arial" w:cs="Arial"/>
                <w:iCs/>
                <w:sz w:val="20"/>
                <w:szCs w:val="20"/>
                <w:lang w:eastAsia="en-GB"/>
              </w:rPr>
            </w:pPr>
            <w:r w:rsidRPr="009E050E">
              <w:rPr>
                <w:rFonts w:ascii="Arial" w:hAnsi="Arial" w:cs="Arial"/>
                <w:iCs/>
                <w:sz w:val="20"/>
                <w:szCs w:val="20"/>
                <w:lang w:eastAsia="en-GB"/>
              </w:rPr>
              <w:t>Data extraction</w:t>
            </w:r>
          </w:p>
          <w:p w:rsidR="003B3836" w:rsidRPr="009E050E" w:rsidRDefault="003B3836" w:rsidP="00DC5D4C">
            <w:pPr>
              <w:pStyle w:val="ListParagraph"/>
              <w:numPr>
                <w:ilvl w:val="0"/>
                <w:numId w:val="4"/>
              </w:numPr>
              <w:tabs>
                <w:tab w:val="left" w:pos="318"/>
              </w:tabs>
              <w:ind w:left="318" w:hanging="142"/>
              <w:jc w:val="both"/>
              <w:rPr>
                <w:rFonts w:ascii="Arial" w:hAnsi="Arial" w:cs="Arial"/>
                <w:iCs/>
                <w:sz w:val="20"/>
                <w:szCs w:val="20"/>
                <w:lang w:eastAsia="en-GB"/>
              </w:rPr>
            </w:pPr>
            <w:r w:rsidRPr="009E050E">
              <w:rPr>
                <w:rFonts w:ascii="Arial" w:hAnsi="Arial" w:cs="Arial"/>
                <w:iCs/>
                <w:sz w:val="20"/>
                <w:szCs w:val="20"/>
                <w:lang w:eastAsia="en-GB"/>
              </w:rPr>
              <w:t xml:space="preserve">Assessment of the quality of evidence </w:t>
            </w:r>
          </w:p>
          <w:p w:rsidR="003B3836" w:rsidRPr="009E050E" w:rsidRDefault="003B3836" w:rsidP="00DC5D4C">
            <w:pPr>
              <w:pStyle w:val="ListParagraph"/>
              <w:numPr>
                <w:ilvl w:val="0"/>
                <w:numId w:val="4"/>
              </w:numPr>
              <w:tabs>
                <w:tab w:val="left" w:pos="318"/>
              </w:tabs>
              <w:ind w:left="318" w:hanging="142"/>
              <w:jc w:val="both"/>
              <w:rPr>
                <w:rFonts w:ascii="Arial" w:hAnsi="Arial" w:cs="Arial"/>
                <w:iCs/>
                <w:sz w:val="20"/>
                <w:szCs w:val="20"/>
                <w:lang w:eastAsia="en-GB"/>
              </w:rPr>
            </w:pPr>
            <w:r w:rsidRPr="009E050E">
              <w:rPr>
                <w:rFonts w:ascii="Arial" w:hAnsi="Arial" w:cs="Arial"/>
                <w:iCs/>
                <w:sz w:val="20"/>
                <w:szCs w:val="20"/>
                <w:lang w:eastAsia="en-GB"/>
              </w:rPr>
              <w:t>Reporting the findings of the assessment</w:t>
            </w:r>
          </w:p>
          <w:p w:rsidR="00FC4105" w:rsidRPr="009E050E" w:rsidRDefault="00FC4105" w:rsidP="00FC4105">
            <w:pPr>
              <w:pStyle w:val="ListParagraph"/>
              <w:numPr>
                <w:ilvl w:val="0"/>
                <w:numId w:val="4"/>
              </w:numPr>
              <w:tabs>
                <w:tab w:val="left" w:pos="318"/>
              </w:tabs>
              <w:ind w:left="318" w:hanging="142"/>
              <w:jc w:val="both"/>
              <w:rPr>
                <w:rFonts w:ascii="Arial" w:hAnsi="Arial" w:cs="Arial"/>
                <w:iCs/>
                <w:sz w:val="20"/>
                <w:szCs w:val="20"/>
                <w:lang w:eastAsia="en-GB"/>
              </w:rPr>
            </w:pPr>
            <w:r w:rsidRPr="009E050E">
              <w:rPr>
                <w:rFonts w:ascii="Arial" w:hAnsi="Arial" w:cs="Arial"/>
                <w:iCs/>
                <w:sz w:val="20"/>
                <w:szCs w:val="20"/>
                <w:lang w:eastAsia="en-GB"/>
              </w:rPr>
              <w:t xml:space="preserve">Sharing the draft </w:t>
            </w:r>
            <w:r w:rsidR="007B56EF" w:rsidRPr="009E050E">
              <w:rPr>
                <w:rFonts w:ascii="Arial" w:hAnsi="Arial" w:cs="Arial"/>
                <w:iCs/>
                <w:sz w:val="20"/>
                <w:szCs w:val="20"/>
                <w:lang w:eastAsia="en-GB"/>
              </w:rPr>
              <w:t xml:space="preserve">clinical </w:t>
            </w:r>
            <w:r w:rsidRPr="009E050E">
              <w:rPr>
                <w:rFonts w:ascii="Arial" w:hAnsi="Arial" w:cs="Arial"/>
                <w:iCs/>
                <w:sz w:val="20"/>
                <w:szCs w:val="20"/>
                <w:lang w:eastAsia="en-GB"/>
              </w:rPr>
              <w:t>evidence review with the PWG for comment</w:t>
            </w:r>
          </w:p>
          <w:p w:rsidR="00FE1477" w:rsidRPr="009E050E" w:rsidRDefault="00FE1477" w:rsidP="00FC4105">
            <w:pPr>
              <w:pStyle w:val="ListParagraph"/>
              <w:numPr>
                <w:ilvl w:val="0"/>
                <w:numId w:val="4"/>
              </w:numPr>
              <w:tabs>
                <w:tab w:val="left" w:pos="318"/>
              </w:tabs>
              <w:ind w:left="318" w:hanging="142"/>
              <w:jc w:val="both"/>
              <w:rPr>
                <w:rFonts w:ascii="Arial" w:hAnsi="Arial" w:cs="Arial"/>
                <w:iCs/>
                <w:sz w:val="20"/>
                <w:szCs w:val="20"/>
                <w:lang w:eastAsia="en-GB"/>
              </w:rPr>
            </w:pPr>
            <w:r w:rsidRPr="009E050E">
              <w:rPr>
                <w:rFonts w:ascii="Arial" w:hAnsi="Arial" w:cs="Arial"/>
                <w:iCs/>
                <w:sz w:val="20"/>
                <w:szCs w:val="20"/>
                <w:lang w:eastAsia="en-GB"/>
              </w:rPr>
              <w:t>Making any amendments based on PWG feedback</w:t>
            </w:r>
          </w:p>
          <w:p w:rsidR="003B3836" w:rsidRPr="009E050E" w:rsidRDefault="003B3836" w:rsidP="003B3836">
            <w:pPr>
              <w:tabs>
                <w:tab w:val="left" w:pos="318"/>
              </w:tabs>
              <w:ind w:left="176"/>
              <w:jc w:val="both"/>
              <w:rPr>
                <w:rFonts w:ascii="Arial" w:hAnsi="Arial" w:cs="Arial"/>
                <w:iCs/>
                <w:sz w:val="20"/>
                <w:szCs w:val="20"/>
                <w:lang w:eastAsia="en-GB"/>
              </w:rPr>
            </w:pPr>
          </w:p>
          <w:p w:rsidR="003B3836" w:rsidRPr="009E050E" w:rsidRDefault="003B3836" w:rsidP="003B3836">
            <w:pPr>
              <w:tabs>
                <w:tab w:val="left" w:pos="318"/>
              </w:tabs>
              <w:jc w:val="both"/>
              <w:rPr>
                <w:rFonts w:ascii="Arial" w:hAnsi="Arial" w:cs="Arial"/>
                <w:iCs/>
                <w:sz w:val="20"/>
                <w:szCs w:val="20"/>
                <w:lang w:eastAsia="en-GB"/>
              </w:rPr>
            </w:pPr>
            <w:r w:rsidRPr="009E050E">
              <w:rPr>
                <w:rFonts w:ascii="Arial" w:hAnsi="Arial" w:cs="Arial"/>
                <w:iCs/>
                <w:sz w:val="20"/>
                <w:szCs w:val="20"/>
                <w:lang w:eastAsia="en-GB"/>
              </w:rPr>
              <w:t xml:space="preserve">Include  summary of  steps followed in the methodology section of the </w:t>
            </w:r>
            <w:r w:rsidR="00261E90" w:rsidRPr="009E050E">
              <w:rPr>
                <w:rFonts w:ascii="Arial" w:hAnsi="Arial" w:cs="Arial"/>
                <w:iCs/>
                <w:sz w:val="20"/>
                <w:szCs w:val="20"/>
                <w:lang w:eastAsia="en-GB"/>
              </w:rPr>
              <w:t xml:space="preserve">clinical </w:t>
            </w:r>
            <w:r w:rsidRPr="009E050E">
              <w:rPr>
                <w:rFonts w:ascii="Arial" w:hAnsi="Arial" w:cs="Arial"/>
                <w:iCs/>
                <w:sz w:val="20"/>
                <w:szCs w:val="20"/>
                <w:lang w:eastAsia="en-GB"/>
              </w:rPr>
              <w:t>evidence review  template</w:t>
            </w:r>
          </w:p>
        </w:tc>
        <w:tc>
          <w:tcPr>
            <w:tcW w:w="1517"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3836" w:rsidRPr="009E050E" w:rsidRDefault="003B3836" w:rsidP="00D515F6">
            <w:pPr>
              <w:jc w:val="both"/>
              <w:rPr>
                <w:rFonts w:ascii="Arial" w:hAnsi="Arial" w:cs="Arial"/>
                <w:iCs/>
                <w:sz w:val="20"/>
                <w:szCs w:val="20"/>
                <w:lang w:eastAsia="en-GB"/>
              </w:rPr>
            </w:pPr>
          </w:p>
        </w:tc>
      </w:tr>
      <w:tr w:rsidR="003B3836" w:rsidRPr="009E050E" w:rsidTr="000F01EC">
        <w:tc>
          <w:tcPr>
            <w:tcW w:w="136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3B3836" w:rsidRPr="009E050E" w:rsidRDefault="003B3836" w:rsidP="00B84869">
            <w:pPr>
              <w:jc w:val="both"/>
              <w:rPr>
                <w:rFonts w:ascii="Arial" w:hAnsi="Arial" w:cs="Arial"/>
                <w:iCs/>
                <w:sz w:val="20"/>
                <w:szCs w:val="20"/>
                <w:lang w:eastAsia="en-GB"/>
              </w:rPr>
            </w:pPr>
            <w:r w:rsidRPr="009E050E">
              <w:rPr>
                <w:rFonts w:ascii="Arial" w:hAnsi="Arial" w:cs="Arial"/>
                <w:iCs/>
                <w:sz w:val="20"/>
                <w:szCs w:val="20"/>
                <w:lang w:eastAsia="en-GB"/>
              </w:rPr>
              <w:t>Deliverable 1- Quality of evidence review report content</w:t>
            </w:r>
          </w:p>
        </w:tc>
        <w:tc>
          <w:tcPr>
            <w:tcW w:w="212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3B3836" w:rsidRPr="009E050E" w:rsidRDefault="003B3836" w:rsidP="00D515F6">
            <w:pPr>
              <w:jc w:val="both"/>
              <w:rPr>
                <w:rFonts w:ascii="Arial" w:hAnsi="Arial" w:cs="Arial"/>
                <w:iCs/>
                <w:sz w:val="20"/>
                <w:szCs w:val="20"/>
                <w:lang w:eastAsia="en-GB"/>
              </w:rPr>
            </w:pPr>
            <w:r w:rsidRPr="009E050E">
              <w:rPr>
                <w:rFonts w:ascii="Arial" w:hAnsi="Arial" w:cs="Arial"/>
                <w:iCs/>
                <w:sz w:val="20"/>
                <w:szCs w:val="20"/>
                <w:lang w:eastAsia="en-GB"/>
              </w:rPr>
              <w:t xml:space="preserve">The provider must complete the </w:t>
            </w:r>
            <w:r w:rsidR="00261E90" w:rsidRPr="009E050E">
              <w:rPr>
                <w:rFonts w:ascii="Arial" w:hAnsi="Arial" w:cs="Arial"/>
                <w:iCs/>
                <w:sz w:val="20"/>
                <w:szCs w:val="20"/>
                <w:lang w:eastAsia="en-GB"/>
              </w:rPr>
              <w:t xml:space="preserve">clinical </w:t>
            </w:r>
            <w:r w:rsidRPr="009E050E">
              <w:rPr>
                <w:rFonts w:ascii="Arial" w:hAnsi="Arial" w:cs="Arial"/>
                <w:iCs/>
                <w:sz w:val="20"/>
                <w:szCs w:val="20"/>
                <w:lang w:eastAsia="en-GB"/>
              </w:rPr>
              <w:t xml:space="preserve">evidence review template (all sections including the tables) in a standardised manner using the notes provided </w:t>
            </w:r>
          </w:p>
          <w:p w:rsidR="003B3836" w:rsidRPr="009E050E" w:rsidRDefault="003B3836" w:rsidP="00D515F6">
            <w:pPr>
              <w:jc w:val="both"/>
              <w:rPr>
                <w:rFonts w:ascii="Arial" w:hAnsi="Arial" w:cs="Arial"/>
                <w:iCs/>
                <w:sz w:val="20"/>
                <w:szCs w:val="20"/>
                <w:lang w:eastAsia="en-GB"/>
              </w:rPr>
            </w:pPr>
          </w:p>
          <w:p w:rsidR="003B3836" w:rsidRPr="009E050E" w:rsidRDefault="003B3836" w:rsidP="003B3836">
            <w:pPr>
              <w:jc w:val="both"/>
              <w:rPr>
                <w:rFonts w:ascii="Arial" w:hAnsi="Arial" w:cs="Arial"/>
                <w:iCs/>
                <w:sz w:val="20"/>
                <w:szCs w:val="20"/>
                <w:lang w:eastAsia="en-GB"/>
              </w:rPr>
            </w:pPr>
            <w:r w:rsidRPr="009E050E">
              <w:rPr>
                <w:rFonts w:ascii="Arial" w:hAnsi="Arial" w:cs="Arial"/>
                <w:iCs/>
                <w:sz w:val="20"/>
                <w:szCs w:val="20"/>
                <w:lang w:eastAsia="en-GB"/>
              </w:rPr>
              <w:t>Reports which are:</w:t>
            </w:r>
          </w:p>
          <w:p w:rsidR="00FC4105" w:rsidRPr="009E050E" w:rsidRDefault="003B3836" w:rsidP="003B3836">
            <w:pPr>
              <w:pStyle w:val="ListParagraph"/>
              <w:numPr>
                <w:ilvl w:val="0"/>
                <w:numId w:val="4"/>
              </w:numPr>
              <w:tabs>
                <w:tab w:val="left" w:pos="174"/>
              </w:tabs>
              <w:ind w:left="174" w:hanging="141"/>
              <w:jc w:val="both"/>
              <w:rPr>
                <w:rFonts w:ascii="Arial" w:hAnsi="Arial" w:cs="Arial"/>
                <w:iCs/>
                <w:sz w:val="20"/>
                <w:szCs w:val="20"/>
                <w:lang w:eastAsia="en-GB"/>
              </w:rPr>
            </w:pPr>
            <w:r w:rsidRPr="009E050E">
              <w:rPr>
                <w:rFonts w:ascii="Arial" w:hAnsi="Arial" w:cs="Arial"/>
                <w:iCs/>
                <w:sz w:val="20"/>
                <w:szCs w:val="20"/>
                <w:lang w:eastAsia="en-GB"/>
              </w:rPr>
              <w:t>Well formatted and structured</w:t>
            </w:r>
          </w:p>
          <w:p w:rsidR="003B3836" w:rsidRPr="009E050E" w:rsidRDefault="00FC4105" w:rsidP="00FC4105">
            <w:pPr>
              <w:pStyle w:val="ListParagraph"/>
              <w:numPr>
                <w:ilvl w:val="0"/>
                <w:numId w:val="4"/>
              </w:numPr>
              <w:tabs>
                <w:tab w:val="left" w:pos="174"/>
              </w:tabs>
              <w:ind w:left="174" w:hanging="141"/>
              <w:jc w:val="both"/>
              <w:rPr>
                <w:rFonts w:ascii="Arial" w:hAnsi="Arial" w:cs="Arial"/>
                <w:iCs/>
                <w:sz w:val="20"/>
                <w:szCs w:val="20"/>
                <w:lang w:eastAsia="en-GB"/>
              </w:rPr>
            </w:pPr>
            <w:r w:rsidRPr="009E050E">
              <w:rPr>
                <w:rFonts w:ascii="Arial" w:hAnsi="Arial" w:cs="Arial"/>
                <w:iCs/>
                <w:sz w:val="20"/>
                <w:szCs w:val="20"/>
                <w:lang w:eastAsia="en-GB"/>
              </w:rPr>
              <w:lastRenderedPageBreak/>
              <w:t>Written in c</w:t>
            </w:r>
            <w:r w:rsidR="003B3836" w:rsidRPr="009E050E">
              <w:rPr>
                <w:rFonts w:ascii="Arial" w:hAnsi="Arial" w:cs="Arial"/>
                <w:iCs/>
                <w:sz w:val="20"/>
                <w:szCs w:val="20"/>
                <w:lang w:eastAsia="en-GB"/>
              </w:rPr>
              <w:t xml:space="preserve">lear and understand able language </w:t>
            </w:r>
          </w:p>
        </w:tc>
        <w:tc>
          <w:tcPr>
            <w:tcW w:w="1517" w:type="pct"/>
            <w:vMerge/>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3B3836" w:rsidRPr="009E050E" w:rsidRDefault="003B3836" w:rsidP="00DC5D4C">
            <w:pPr>
              <w:pStyle w:val="ListParagraph"/>
              <w:numPr>
                <w:ilvl w:val="0"/>
                <w:numId w:val="4"/>
              </w:numPr>
              <w:tabs>
                <w:tab w:val="left" w:pos="174"/>
              </w:tabs>
              <w:ind w:left="174" w:hanging="141"/>
              <w:jc w:val="both"/>
              <w:rPr>
                <w:rFonts w:ascii="Arial" w:hAnsi="Arial" w:cs="Arial"/>
                <w:iCs/>
                <w:sz w:val="20"/>
                <w:szCs w:val="20"/>
                <w:lang w:eastAsia="en-GB"/>
              </w:rPr>
            </w:pPr>
          </w:p>
        </w:tc>
      </w:tr>
      <w:tr w:rsidR="003C4859" w:rsidRPr="009E050E" w:rsidTr="000F01EC">
        <w:tc>
          <w:tcPr>
            <w:tcW w:w="13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4859" w:rsidRPr="009E050E" w:rsidRDefault="003C4859" w:rsidP="00FE1477">
            <w:pPr>
              <w:pStyle w:val="Heading4"/>
              <w:numPr>
                <w:ilvl w:val="0"/>
                <w:numId w:val="0"/>
              </w:numPr>
              <w:spacing w:before="0" w:after="0" w:line="240" w:lineRule="auto"/>
              <w:ind w:left="34" w:hanging="34"/>
              <w:jc w:val="both"/>
              <w:rPr>
                <w:rFonts w:eastAsiaTheme="minorHAnsi" w:cs="Arial"/>
                <w:bCs w:val="0"/>
                <w:sz w:val="20"/>
                <w:szCs w:val="20"/>
                <w:lang w:eastAsia="en-GB"/>
              </w:rPr>
            </w:pPr>
            <w:r w:rsidRPr="009E050E">
              <w:rPr>
                <w:rFonts w:cs="Arial"/>
                <w:iCs w:val="0"/>
                <w:sz w:val="20"/>
                <w:szCs w:val="20"/>
                <w:lang w:eastAsia="en-GB"/>
              </w:rPr>
              <w:lastRenderedPageBreak/>
              <w:t xml:space="preserve">Deliverable 2 - </w:t>
            </w:r>
            <w:r w:rsidRPr="009E050E">
              <w:rPr>
                <w:rFonts w:eastAsiaTheme="minorHAnsi" w:cs="Arial"/>
                <w:bCs w:val="0"/>
                <w:sz w:val="20"/>
                <w:szCs w:val="20"/>
                <w:lang w:eastAsia="en-GB"/>
              </w:rPr>
              <w:t>Audit information related to evidence reviews where requested</w:t>
            </w:r>
          </w:p>
          <w:p w:rsidR="003C4859" w:rsidRPr="009E050E" w:rsidRDefault="003C4859" w:rsidP="00B84869">
            <w:pPr>
              <w:jc w:val="both"/>
              <w:rPr>
                <w:rFonts w:ascii="Arial" w:hAnsi="Arial" w:cs="Arial"/>
                <w:iCs/>
                <w:sz w:val="20"/>
                <w:szCs w:val="20"/>
                <w:lang w:eastAsia="en-GB"/>
              </w:rPr>
            </w:pPr>
          </w:p>
        </w:tc>
        <w:tc>
          <w:tcPr>
            <w:tcW w:w="212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4859" w:rsidRPr="009E050E" w:rsidRDefault="00B634E2" w:rsidP="00DC5D4C">
            <w:pPr>
              <w:pStyle w:val="Heading4"/>
              <w:numPr>
                <w:ilvl w:val="0"/>
                <w:numId w:val="0"/>
              </w:numPr>
              <w:spacing w:before="0" w:after="0" w:line="240" w:lineRule="auto"/>
              <w:ind w:left="34" w:hanging="142"/>
              <w:jc w:val="both"/>
              <w:rPr>
                <w:rFonts w:cs="Arial"/>
                <w:sz w:val="20"/>
                <w:szCs w:val="20"/>
                <w:lang w:eastAsia="en-GB"/>
              </w:rPr>
            </w:pPr>
            <w:r w:rsidRPr="009E050E">
              <w:rPr>
                <w:rFonts w:cs="Arial"/>
                <w:iCs w:val="0"/>
                <w:sz w:val="20"/>
                <w:szCs w:val="20"/>
                <w:lang w:eastAsia="en-GB"/>
              </w:rPr>
              <w:t xml:space="preserve">  </w:t>
            </w:r>
            <w:r w:rsidR="003C4859" w:rsidRPr="009E050E">
              <w:rPr>
                <w:rFonts w:cs="Arial"/>
                <w:iCs w:val="0"/>
                <w:sz w:val="20"/>
                <w:szCs w:val="20"/>
                <w:lang w:eastAsia="en-GB"/>
              </w:rPr>
              <w:t xml:space="preserve">The provider must submit the audit information </w:t>
            </w:r>
            <w:r w:rsidRPr="009E050E">
              <w:rPr>
                <w:rFonts w:cs="Arial"/>
                <w:iCs w:val="0"/>
                <w:sz w:val="20"/>
                <w:szCs w:val="20"/>
                <w:lang w:eastAsia="en-GB"/>
              </w:rPr>
              <w:t>within the agreed timescales.</w:t>
            </w:r>
            <w:r w:rsidR="003C4859" w:rsidRPr="009E050E">
              <w:rPr>
                <w:rFonts w:cs="Arial"/>
                <w:iCs w:val="0"/>
                <w:sz w:val="20"/>
                <w:szCs w:val="20"/>
                <w:lang w:eastAsia="en-GB"/>
              </w:rPr>
              <w:t xml:space="preserve"> </w:t>
            </w:r>
          </w:p>
        </w:tc>
        <w:tc>
          <w:tcPr>
            <w:tcW w:w="151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4859" w:rsidRPr="009E050E" w:rsidRDefault="003C4859" w:rsidP="005D6D0E">
            <w:pPr>
              <w:autoSpaceDE w:val="0"/>
              <w:autoSpaceDN w:val="0"/>
              <w:adjustRightInd w:val="0"/>
              <w:rPr>
                <w:rFonts w:ascii="Arial" w:hAnsi="Arial" w:cs="Arial"/>
                <w:iCs/>
                <w:sz w:val="20"/>
                <w:szCs w:val="20"/>
                <w:lang w:eastAsia="en-GB"/>
              </w:rPr>
            </w:pPr>
            <w:r w:rsidRPr="009E050E">
              <w:rPr>
                <w:rFonts w:ascii="Arial" w:hAnsi="Arial" w:cs="Arial"/>
                <w:iCs/>
                <w:sz w:val="20"/>
                <w:szCs w:val="20"/>
                <w:lang w:eastAsia="en-GB"/>
              </w:rPr>
              <w:t xml:space="preserve"> </w:t>
            </w:r>
          </w:p>
          <w:p w:rsidR="003C4859" w:rsidRPr="009E050E" w:rsidRDefault="003C4859" w:rsidP="005D6D0E">
            <w:pPr>
              <w:autoSpaceDE w:val="0"/>
              <w:autoSpaceDN w:val="0"/>
              <w:adjustRightInd w:val="0"/>
              <w:rPr>
                <w:rFonts w:ascii="Arial" w:hAnsi="Arial" w:cs="Arial"/>
                <w:sz w:val="20"/>
                <w:szCs w:val="20"/>
              </w:rPr>
            </w:pPr>
            <w:r w:rsidRPr="009E050E">
              <w:rPr>
                <w:rFonts w:ascii="Arial" w:hAnsi="Arial" w:cs="Arial"/>
                <w:sz w:val="20"/>
                <w:szCs w:val="20"/>
              </w:rPr>
              <w:t>Submitted within the timescales specified:</w:t>
            </w:r>
          </w:p>
          <w:p w:rsidR="003C4859" w:rsidRPr="009E050E" w:rsidRDefault="003C4859" w:rsidP="005D6D0E">
            <w:pPr>
              <w:autoSpaceDE w:val="0"/>
              <w:autoSpaceDN w:val="0"/>
              <w:adjustRightInd w:val="0"/>
              <w:rPr>
                <w:rFonts w:ascii="Arial" w:hAnsi="Arial" w:cs="Arial"/>
                <w:sz w:val="20"/>
                <w:szCs w:val="20"/>
              </w:rPr>
            </w:pPr>
          </w:p>
          <w:p w:rsidR="003C4859" w:rsidRPr="009E050E" w:rsidRDefault="003C4859" w:rsidP="005D6D0E">
            <w:pPr>
              <w:autoSpaceDE w:val="0"/>
              <w:autoSpaceDN w:val="0"/>
              <w:adjustRightInd w:val="0"/>
              <w:rPr>
                <w:rFonts w:ascii="Arial" w:hAnsi="Arial" w:cs="Arial"/>
                <w:sz w:val="20"/>
                <w:szCs w:val="20"/>
              </w:rPr>
            </w:pPr>
            <w:r w:rsidRPr="009E050E">
              <w:rPr>
                <w:rFonts w:ascii="Arial" w:hAnsi="Arial" w:cs="Arial"/>
                <w:sz w:val="20"/>
                <w:szCs w:val="20"/>
              </w:rPr>
              <w:t>5 working days from date requested.</w:t>
            </w:r>
          </w:p>
          <w:p w:rsidR="003C4859" w:rsidRPr="009E050E" w:rsidRDefault="003C4859" w:rsidP="005D6D0E">
            <w:pPr>
              <w:autoSpaceDE w:val="0"/>
              <w:autoSpaceDN w:val="0"/>
              <w:adjustRightInd w:val="0"/>
              <w:rPr>
                <w:rFonts w:ascii="Arial" w:hAnsi="Arial" w:cs="Arial"/>
                <w:sz w:val="20"/>
                <w:szCs w:val="20"/>
              </w:rPr>
            </w:pPr>
          </w:p>
          <w:p w:rsidR="003C4859" w:rsidRPr="009E050E" w:rsidRDefault="003C4859" w:rsidP="00B84869">
            <w:pPr>
              <w:jc w:val="both"/>
              <w:rPr>
                <w:rFonts w:ascii="Arial" w:hAnsi="Arial" w:cs="Arial"/>
                <w:iCs/>
                <w:sz w:val="20"/>
                <w:szCs w:val="20"/>
                <w:lang w:eastAsia="en-GB"/>
              </w:rPr>
            </w:pPr>
          </w:p>
        </w:tc>
      </w:tr>
      <w:tr w:rsidR="00FE1477" w:rsidRPr="009E050E" w:rsidTr="000F01EC">
        <w:tc>
          <w:tcPr>
            <w:tcW w:w="13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E1477" w:rsidRPr="009E050E" w:rsidRDefault="00FE1477" w:rsidP="00D61EF2">
            <w:pPr>
              <w:pStyle w:val="Heading4"/>
              <w:numPr>
                <w:ilvl w:val="0"/>
                <w:numId w:val="0"/>
              </w:numPr>
              <w:spacing w:before="0" w:after="0" w:line="240" w:lineRule="auto"/>
              <w:ind w:left="34" w:hanging="34"/>
              <w:jc w:val="both"/>
              <w:rPr>
                <w:rFonts w:cs="Arial"/>
                <w:iCs w:val="0"/>
                <w:sz w:val="20"/>
                <w:szCs w:val="20"/>
                <w:lang w:eastAsia="en-GB"/>
              </w:rPr>
            </w:pPr>
            <w:r w:rsidRPr="009E050E">
              <w:rPr>
                <w:rFonts w:cs="Arial"/>
                <w:iCs w:val="0"/>
                <w:sz w:val="20"/>
                <w:szCs w:val="20"/>
                <w:lang w:eastAsia="en-GB"/>
              </w:rPr>
              <w:t xml:space="preserve">Deliverable 3 – </w:t>
            </w:r>
            <w:r w:rsidR="00D61EF2">
              <w:rPr>
                <w:rFonts w:cs="Arial"/>
                <w:iCs w:val="0"/>
                <w:sz w:val="20"/>
                <w:szCs w:val="20"/>
                <w:lang w:eastAsia="en-GB"/>
              </w:rPr>
              <w:t xml:space="preserve">Completion of </w:t>
            </w:r>
            <w:r w:rsidR="00D61EF2" w:rsidRPr="00D61EF2">
              <w:rPr>
                <w:rFonts w:cs="Arial"/>
                <w:iCs w:val="0"/>
                <w:sz w:val="20"/>
                <w:szCs w:val="20"/>
                <w:lang w:eastAsia="en-GB"/>
              </w:rPr>
              <w:t>the CPAG summary report</w:t>
            </w:r>
          </w:p>
        </w:tc>
        <w:tc>
          <w:tcPr>
            <w:tcW w:w="212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E1477" w:rsidRPr="009E050E" w:rsidRDefault="00F10A89" w:rsidP="00D61EF2">
            <w:pPr>
              <w:pStyle w:val="Heading4"/>
              <w:numPr>
                <w:ilvl w:val="0"/>
                <w:numId w:val="0"/>
              </w:numPr>
              <w:spacing w:before="0" w:after="0" w:line="240" w:lineRule="auto"/>
              <w:ind w:left="34" w:hanging="142"/>
              <w:jc w:val="both"/>
              <w:rPr>
                <w:rFonts w:cs="Arial"/>
                <w:iCs w:val="0"/>
                <w:sz w:val="20"/>
                <w:szCs w:val="20"/>
                <w:lang w:eastAsia="en-GB"/>
              </w:rPr>
            </w:pPr>
            <w:r w:rsidRPr="009E050E">
              <w:rPr>
                <w:rFonts w:cs="Arial"/>
                <w:iCs w:val="0"/>
                <w:sz w:val="20"/>
                <w:szCs w:val="20"/>
                <w:lang w:eastAsia="en-GB"/>
              </w:rPr>
              <w:t xml:space="preserve"> </w:t>
            </w:r>
            <w:r w:rsidR="00D61EF2">
              <w:rPr>
                <w:rFonts w:cs="Arial"/>
                <w:iCs w:val="0"/>
                <w:sz w:val="20"/>
                <w:szCs w:val="20"/>
                <w:lang w:eastAsia="en-GB"/>
              </w:rPr>
              <w:t xml:space="preserve"> </w:t>
            </w:r>
            <w:r w:rsidR="00D61EF2" w:rsidRPr="009E050E">
              <w:rPr>
                <w:rFonts w:cs="Arial"/>
                <w:iCs w:val="0"/>
                <w:sz w:val="20"/>
                <w:szCs w:val="20"/>
                <w:lang w:eastAsia="en-GB"/>
              </w:rPr>
              <w:t xml:space="preserve">The provider must </w:t>
            </w:r>
            <w:r w:rsidR="00D61EF2">
              <w:rPr>
                <w:rFonts w:cs="Arial"/>
                <w:iCs w:val="0"/>
                <w:sz w:val="20"/>
                <w:szCs w:val="20"/>
                <w:lang w:eastAsia="en-GB"/>
              </w:rPr>
              <w:t xml:space="preserve">complete </w:t>
            </w:r>
            <w:r w:rsidR="00D61EF2" w:rsidRPr="00D61EF2">
              <w:rPr>
                <w:rFonts w:cs="Arial"/>
                <w:iCs w:val="0"/>
                <w:sz w:val="20"/>
                <w:szCs w:val="20"/>
                <w:lang w:eastAsia="en-GB"/>
              </w:rPr>
              <w:t>‘The Benefits of the Proposition’ and ‘</w:t>
            </w:r>
            <w:proofErr w:type="gramStart"/>
            <w:r w:rsidR="00D61EF2" w:rsidRPr="00D61EF2">
              <w:rPr>
                <w:rFonts w:cs="Arial"/>
                <w:iCs w:val="0"/>
                <w:sz w:val="20"/>
                <w:szCs w:val="20"/>
                <w:lang w:eastAsia="en-GB"/>
              </w:rPr>
              <w:t>Other</w:t>
            </w:r>
            <w:proofErr w:type="gramEnd"/>
            <w:r w:rsidR="00D61EF2" w:rsidRPr="00D61EF2">
              <w:rPr>
                <w:rFonts w:cs="Arial"/>
                <w:iCs w:val="0"/>
                <w:sz w:val="20"/>
                <w:szCs w:val="20"/>
                <w:lang w:eastAsia="en-GB"/>
              </w:rPr>
              <w:t xml:space="preserve"> health metrics determined by the evidence review’ sections</w:t>
            </w:r>
            <w:r w:rsidR="00D61EF2">
              <w:rPr>
                <w:rFonts w:cs="Arial"/>
                <w:iCs w:val="0"/>
                <w:sz w:val="20"/>
                <w:szCs w:val="20"/>
                <w:lang w:eastAsia="en-GB"/>
              </w:rPr>
              <w:t xml:space="preserve"> of the </w:t>
            </w:r>
            <w:r w:rsidR="00D61EF2" w:rsidRPr="00D61EF2">
              <w:rPr>
                <w:rFonts w:cs="Arial"/>
                <w:iCs w:val="0"/>
                <w:sz w:val="20"/>
                <w:szCs w:val="20"/>
                <w:lang w:eastAsia="en-GB"/>
              </w:rPr>
              <w:t>CPAG summary report</w:t>
            </w:r>
            <w:r w:rsidR="00587A65">
              <w:rPr>
                <w:rFonts w:cs="Arial"/>
                <w:iCs w:val="0"/>
                <w:sz w:val="20"/>
                <w:szCs w:val="20"/>
                <w:lang w:eastAsia="en-GB"/>
              </w:rPr>
              <w:t xml:space="preserve"> in plain language</w:t>
            </w:r>
          </w:p>
        </w:tc>
        <w:tc>
          <w:tcPr>
            <w:tcW w:w="151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E1477" w:rsidRPr="009E050E" w:rsidRDefault="00F10A89" w:rsidP="005D6D0E">
            <w:pPr>
              <w:autoSpaceDE w:val="0"/>
              <w:autoSpaceDN w:val="0"/>
              <w:adjustRightInd w:val="0"/>
              <w:rPr>
                <w:rFonts w:ascii="Arial" w:hAnsi="Arial" w:cs="Arial"/>
                <w:iCs/>
                <w:sz w:val="20"/>
                <w:szCs w:val="20"/>
                <w:lang w:eastAsia="en-GB"/>
              </w:rPr>
            </w:pPr>
            <w:r w:rsidRPr="009E050E">
              <w:rPr>
                <w:rFonts w:ascii="Arial" w:hAnsi="Arial" w:cs="Arial"/>
                <w:iCs/>
                <w:sz w:val="20"/>
                <w:szCs w:val="20"/>
                <w:lang w:eastAsia="en-GB"/>
              </w:rPr>
              <w:t>As per deliverable 1</w:t>
            </w:r>
          </w:p>
        </w:tc>
      </w:tr>
    </w:tbl>
    <w:p w:rsidR="00C80BDA" w:rsidRPr="009E050E" w:rsidRDefault="00C80BDA" w:rsidP="00B84869">
      <w:pPr>
        <w:jc w:val="both"/>
        <w:rPr>
          <w:rFonts w:ascii="Arial" w:hAnsi="Arial" w:cs="Arial"/>
        </w:rPr>
      </w:pPr>
    </w:p>
    <w:p w:rsidR="00613B18" w:rsidRPr="000F01EC" w:rsidRDefault="00613B18" w:rsidP="000F01EC">
      <w:pPr>
        <w:pStyle w:val="Heading3"/>
        <w:ind w:left="567" w:hanging="567"/>
        <w:jc w:val="both"/>
        <w:rPr>
          <w:rFonts w:cs="Arial"/>
          <w:b/>
        </w:rPr>
      </w:pPr>
      <w:r w:rsidRPr="000F01EC">
        <w:rPr>
          <w:rFonts w:cs="Arial"/>
          <w:b/>
        </w:rPr>
        <w:t xml:space="preserve">Contract Term </w:t>
      </w:r>
    </w:p>
    <w:p w:rsidR="00BC5B98" w:rsidRPr="009E050E" w:rsidRDefault="00564002" w:rsidP="000F01EC">
      <w:pPr>
        <w:pStyle w:val="Heading4"/>
        <w:ind w:left="709" w:hanging="709"/>
        <w:jc w:val="both"/>
        <w:rPr>
          <w:rFonts w:cs="Arial"/>
        </w:rPr>
      </w:pPr>
      <w:r w:rsidRPr="009E050E">
        <w:rPr>
          <w:rFonts w:cs="Arial"/>
        </w:rPr>
        <w:t>The contract term is set at 3 years i.e. 36 months from the date of award</w:t>
      </w:r>
      <w:r w:rsidR="00BC5B98" w:rsidRPr="009E050E">
        <w:rPr>
          <w:rFonts w:cs="Arial"/>
        </w:rPr>
        <w:t>.</w:t>
      </w:r>
    </w:p>
    <w:p w:rsidR="00BC5B98" w:rsidRPr="009E050E" w:rsidRDefault="00BC5B98" w:rsidP="000F01EC">
      <w:pPr>
        <w:pStyle w:val="Heading4"/>
        <w:ind w:left="709" w:hanging="709"/>
        <w:jc w:val="both"/>
        <w:rPr>
          <w:rFonts w:cs="Arial"/>
        </w:rPr>
      </w:pPr>
      <w:r w:rsidRPr="009E050E">
        <w:rPr>
          <w:rFonts w:cs="Arial"/>
        </w:rPr>
        <w:t>NHS England reserves the right to extend the Call-Off Contract for a maximum period of up to 12 months, subject to appropriate budget approvals being in place.</w:t>
      </w:r>
    </w:p>
    <w:p w:rsidR="00BC5B98" w:rsidRPr="009E050E" w:rsidRDefault="00BC5B98" w:rsidP="000F01EC">
      <w:pPr>
        <w:pStyle w:val="Heading4"/>
        <w:ind w:left="709" w:hanging="709"/>
        <w:jc w:val="both"/>
        <w:rPr>
          <w:rFonts w:cs="Arial"/>
        </w:rPr>
      </w:pPr>
      <w:r w:rsidRPr="009E050E">
        <w:rPr>
          <w:rFonts w:cs="Arial"/>
        </w:rPr>
        <w:t xml:space="preserve">NHS England may elect to extend or request additional deliverables beyond those captured in the original Call-Off Contract provided that: </w:t>
      </w:r>
    </w:p>
    <w:p w:rsidR="00BC5B98" w:rsidRPr="009E050E" w:rsidRDefault="00BC5B98" w:rsidP="000F01EC">
      <w:pPr>
        <w:pStyle w:val="Heading4"/>
        <w:numPr>
          <w:ilvl w:val="4"/>
          <w:numId w:val="28"/>
        </w:numPr>
        <w:ind w:left="1134" w:hanging="425"/>
        <w:jc w:val="both"/>
        <w:rPr>
          <w:rFonts w:cs="Arial"/>
        </w:rPr>
      </w:pPr>
      <w:r w:rsidRPr="009E050E">
        <w:rPr>
          <w:rFonts w:cs="Arial"/>
        </w:rPr>
        <w:t xml:space="preserve">The value of the extended or additional work does not exceed more than 10% of the original contract value; </w:t>
      </w:r>
    </w:p>
    <w:p w:rsidR="00BC5B98" w:rsidRPr="009E050E" w:rsidRDefault="00BC5B98" w:rsidP="000F01EC">
      <w:pPr>
        <w:pStyle w:val="Heading4"/>
        <w:numPr>
          <w:ilvl w:val="4"/>
          <w:numId w:val="28"/>
        </w:numPr>
        <w:ind w:left="1134" w:hanging="425"/>
        <w:jc w:val="both"/>
        <w:rPr>
          <w:rFonts w:cs="Arial"/>
        </w:rPr>
      </w:pPr>
      <w:r w:rsidRPr="009E050E">
        <w:rPr>
          <w:rFonts w:cs="Arial"/>
        </w:rPr>
        <w:t xml:space="preserve">The extended and/or additional deliverables are within the statement of requirements scope outlined in section 3 of this document; </w:t>
      </w:r>
    </w:p>
    <w:p w:rsidR="00BC5B98" w:rsidRPr="009E050E" w:rsidRDefault="00BC5B98" w:rsidP="000F01EC">
      <w:pPr>
        <w:pStyle w:val="Heading4"/>
        <w:numPr>
          <w:ilvl w:val="4"/>
          <w:numId w:val="28"/>
        </w:numPr>
        <w:ind w:left="1134" w:hanging="425"/>
        <w:jc w:val="both"/>
        <w:rPr>
          <w:rFonts w:cs="Arial"/>
        </w:rPr>
      </w:pPr>
      <w:r w:rsidRPr="009E050E">
        <w:rPr>
          <w:rFonts w:cs="Arial"/>
        </w:rPr>
        <w:t>The extended and/or additional deliverables are delivered by the appointed Providers in accordance with the agreed Fixed Price Rate Cards (including any Discounts) negotiated as part of this procurement process that resulted in the agreed final Call-Off Contract; and</w:t>
      </w:r>
    </w:p>
    <w:p w:rsidR="00BC5B98" w:rsidRPr="009E050E" w:rsidRDefault="00BC5B98" w:rsidP="000F01EC">
      <w:pPr>
        <w:pStyle w:val="Heading4"/>
        <w:numPr>
          <w:ilvl w:val="4"/>
          <w:numId w:val="28"/>
        </w:numPr>
        <w:ind w:left="1134" w:hanging="425"/>
        <w:jc w:val="both"/>
        <w:rPr>
          <w:rFonts w:cs="Arial"/>
        </w:rPr>
      </w:pPr>
      <w:r w:rsidRPr="009E050E">
        <w:rPr>
          <w:rFonts w:cs="Arial"/>
        </w:rPr>
        <w:lastRenderedPageBreak/>
        <w:t>Appropriate NHS England approvals have been sought and confirmed ahead of the extended deliverables and/or additional works have been commissioned by the NHS England Contract Manager.</w:t>
      </w:r>
    </w:p>
    <w:p w:rsidR="00541448" w:rsidRPr="000F01EC" w:rsidRDefault="00541448" w:rsidP="000F01EC">
      <w:pPr>
        <w:pStyle w:val="Heading3"/>
        <w:ind w:left="567" w:hanging="567"/>
        <w:jc w:val="both"/>
        <w:rPr>
          <w:rFonts w:cs="Arial"/>
          <w:b/>
        </w:rPr>
      </w:pPr>
      <w:r w:rsidRPr="000F01EC">
        <w:rPr>
          <w:rFonts w:cs="Arial"/>
          <w:b/>
        </w:rPr>
        <w:t>Pricing</w:t>
      </w:r>
    </w:p>
    <w:p w:rsidR="00541448" w:rsidRPr="009E050E" w:rsidRDefault="00541448" w:rsidP="000F01EC">
      <w:pPr>
        <w:pStyle w:val="Heading4"/>
        <w:ind w:left="709" w:hanging="709"/>
        <w:jc w:val="both"/>
      </w:pPr>
      <w:r w:rsidRPr="009E050E">
        <w:t>Pricing will be based on the following</w:t>
      </w:r>
      <w:r w:rsidR="000F01EC">
        <w:t>:</w:t>
      </w:r>
    </w:p>
    <w:p w:rsidR="00541448" w:rsidRPr="009E050E" w:rsidRDefault="00541448" w:rsidP="000F01EC">
      <w:pPr>
        <w:pStyle w:val="Heading4"/>
        <w:numPr>
          <w:ilvl w:val="3"/>
          <w:numId w:val="3"/>
        </w:numPr>
        <w:ind w:left="1701" w:hanging="992"/>
        <w:jc w:val="both"/>
      </w:pPr>
      <w:r w:rsidRPr="009E050E">
        <w:t xml:space="preserve">Base day rate per specialist role; and </w:t>
      </w:r>
    </w:p>
    <w:p w:rsidR="00541448" w:rsidRPr="009E050E" w:rsidRDefault="00541448" w:rsidP="000F01EC">
      <w:pPr>
        <w:pStyle w:val="Heading4"/>
        <w:numPr>
          <w:ilvl w:val="3"/>
          <w:numId w:val="3"/>
        </w:numPr>
        <w:ind w:left="1701" w:hanging="992"/>
        <w:jc w:val="both"/>
      </w:pPr>
      <w:r w:rsidRPr="009E050E">
        <w:t xml:space="preserve">Fixed discount rates against the base day rate/specialist role based on the following bandings: </w:t>
      </w:r>
    </w:p>
    <w:p w:rsidR="00541448" w:rsidRPr="009E050E" w:rsidRDefault="00541448" w:rsidP="000F01EC">
      <w:pPr>
        <w:pStyle w:val="Heading4"/>
        <w:numPr>
          <w:ilvl w:val="4"/>
          <w:numId w:val="29"/>
        </w:numPr>
        <w:ind w:left="2127" w:hanging="426"/>
        <w:jc w:val="both"/>
      </w:pPr>
      <w:r w:rsidRPr="009E050E">
        <w:t>Band 1: 1-20 Proposals per 12 month period</w:t>
      </w:r>
      <w:r w:rsidR="000F01EC">
        <w:t>;</w:t>
      </w:r>
      <w:r w:rsidRPr="009E050E">
        <w:t xml:space="preserve"> </w:t>
      </w:r>
    </w:p>
    <w:p w:rsidR="00541448" w:rsidRPr="009E050E" w:rsidRDefault="00541448" w:rsidP="000F01EC">
      <w:pPr>
        <w:pStyle w:val="Heading4"/>
        <w:numPr>
          <w:ilvl w:val="4"/>
          <w:numId w:val="29"/>
        </w:numPr>
        <w:ind w:left="2127" w:hanging="426"/>
        <w:jc w:val="both"/>
      </w:pPr>
      <w:r w:rsidRPr="009E050E">
        <w:t>Band 2: 21-40 Proposals per 12 month period</w:t>
      </w:r>
      <w:r w:rsidR="000F01EC">
        <w:t>;</w:t>
      </w:r>
      <w:r w:rsidRPr="009E050E">
        <w:t xml:space="preserve"> </w:t>
      </w:r>
    </w:p>
    <w:p w:rsidR="00541448" w:rsidRPr="009E050E" w:rsidRDefault="00541448" w:rsidP="000F01EC">
      <w:pPr>
        <w:pStyle w:val="Heading4"/>
        <w:numPr>
          <w:ilvl w:val="4"/>
          <w:numId w:val="29"/>
        </w:numPr>
        <w:ind w:left="2127" w:hanging="426"/>
        <w:jc w:val="both"/>
      </w:pPr>
      <w:r w:rsidRPr="009E050E">
        <w:t>Band 3: 41-60 Proposals per 12 month period</w:t>
      </w:r>
      <w:r w:rsidR="000F01EC">
        <w:t>; and</w:t>
      </w:r>
      <w:r w:rsidRPr="009E050E">
        <w:t xml:space="preserve"> </w:t>
      </w:r>
    </w:p>
    <w:p w:rsidR="00541448" w:rsidRPr="009E050E" w:rsidRDefault="00541448" w:rsidP="000F01EC">
      <w:pPr>
        <w:pStyle w:val="Heading4"/>
        <w:numPr>
          <w:ilvl w:val="4"/>
          <w:numId w:val="29"/>
        </w:numPr>
        <w:ind w:left="2127" w:hanging="426"/>
        <w:jc w:val="both"/>
      </w:pPr>
      <w:r w:rsidRPr="009E050E">
        <w:t>Band 4: Single Provider Rate</w:t>
      </w:r>
      <w:r w:rsidR="000F01EC">
        <w:t>.</w:t>
      </w:r>
      <w:r w:rsidRPr="009E050E">
        <w:t xml:space="preserve">  </w:t>
      </w:r>
    </w:p>
    <w:p w:rsidR="00541448" w:rsidRPr="009E050E" w:rsidRDefault="00541448" w:rsidP="000F01EC">
      <w:pPr>
        <w:pStyle w:val="Heading4"/>
        <w:ind w:left="709" w:hanging="709"/>
        <w:jc w:val="both"/>
      </w:pPr>
      <w:r w:rsidRPr="009E050E">
        <w:t>All Pricing negotiated as part of the process that resulted in the agreed Final Call-Off Contract (including Fixed Day Rates and any Discounts) will remain fixed during the Contract Term and for any extension agreed between NHS England and the appointed Providers.</w:t>
      </w:r>
    </w:p>
    <w:p w:rsidR="00541448" w:rsidRPr="009E050E" w:rsidRDefault="00BC5B98" w:rsidP="000F01EC">
      <w:pPr>
        <w:pStyle w:val="Heading4"/>
        <w:ind w:left="709" w:hanging="709"/>
        <w:jc w:val="both"/>
      </w:pPr>
      <w:r w:rsidRPr="009E050E">
        <w:t xml:space="preserve">Whilst it is anticipated that NHS England will commission up to 60 evidence reviews for specifications/policies during a 12-month period, payment to the appointed Providers will be on a case-by-case basis upon completion of the evidence review and in accordance with the fixed budget in place for these requirements (which is not being disclosed to the Providers).  </w:t>
      </w:r>
    </w:p>
    <w:p w:rsidR="000F01EC" w:rsidRDefault="000F01EC">
      <w:pPr>
        <w:spacing w:after="200" w:line="276" w:lineRule="auto"/>
        <w:rPr>
          <w:rFonts w:ascii="Arial" w:eastAsia="Times New Roman" w:hAnsi="Arial" w:cs="Arial"/>
          <w:b/>
          <w:bCs/>
          <w:iCs/>
          <w:sz w:val="28"/>
          <w:szCs w:val="28"/>
        </w:rPr>
      </w:pPr>
      <w:bookmarkStart w:id="6" w:name="_Toc448914371"/>
      <w:r>
        <w:rPr>
          <w:rFonts w:cs="Arial"/>
        </w:rPr>
        <w:br w:type="page"/>
      </w:r>
    </w:p>
    <w:p w:rsidR="00C80BDA" w:rsidRPr="009E050E" w:rsidRDefault="00C80BDA" w:rsidP="00B84869">
      <w:pPr>
        <w:pStyle w:val="Heading2"/>
        <w:ind w:left="567" w:hanging="709"/>
        <w:jc w:val="both"/>
        <w:rPr>
          <w:rFonts w:cs="Arial"/>
        </w:rPr>
      </w:pPr>
      <w:r w:rsidRPr="009E050E">
        <w:rPr>
          <w:rFonts w:cs="Arial"/>
        </w:rPr>
        <w:lastRenderedPageBreak/>
        <w:t>Appendices</w:t>
      </w:r>
      <w:bookmarkEnd w:id="6"/>
    </w:p>
    <w:p w:rsidR="00BC5B98" w:rsidRPr="000F01EC" w:rsidRDefault="00BC5B98" w:rsidP="000F01EC">
      <w:pPr>
        <w:pStyle w:val="Heading3"/>
        <w:ind w:left="567" w:hanging="709"/>
        <w:jc w:val="both"/>
        <w:rPr>
          <w:rFonts w:cs="Arial"/>
          <w:b/>
        </w:rPr>
      </w:pPr>
      <w:r w:rsidRPr="000F01EC">
        <w:rPr>
          <w:rFonts w:cs="Arial"/>
          <w:b/>
        </w:rPr>
        <w:t xml:space="preserve">Appendix 1: </w:t>
      </w:r>
      <w:r w:rsidR="00B84869" w:rsidRPr="000F01EC">
        <w:rPr>
          <w:rFonts w:cs="Arial"/>
          <w:b/>
        </w:rPr>
        <w:t>LPF Briefing – 23</w:t>
      </w:r>
      <w:r w:rsidR="00B84869" w:rsidRPr="000F01EC">
        <w:rPr>
          <w:rFonts w:cs="Arial"/>
          <w:b/>
          <w:vertAlign w:val="superscript"/>
        </w:rPr>
        <w:t>rd</w:t>
      </w:r>
      <w:r w:rsidR="00B84869" w:rsidRPr="000F01EC">
        <w:rPr>
          <w:rFonts w:cs="Arial"/>
          <w:b/>
        </w:rPr>
        <w:t xml:space="preserve"> June 2016: </w:t>
      </w:r>
      <w:r w:rsidRPr="000F01EC">
        <w:rPr>
          <w:rFonts w:cs="Arial"/>
          <w:b/>
        </w:rPr>
        <w:t xml:space="preserve"> </w:t>
      </w:r>
    </w:p>
    <w:p w:rsidR="0080609E" w:rsidRPr="009E050E" w:rsidRDefault="00364584" w:rsidP="000F01EC">
      <w:pPr>
        <w:ind w:left="567"/>
        <w:jc w:val="both"/>
      </w:pPr>
      <w:r w:rsidRPr="009E050E">
        <w:object w:dxaOrig="1551" w:dyaOrig="1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85pt;height:50.25pt" o:ole="">
            <v:imagedata r:id="rId9" o:title=""/>
          </v:shape>
          <o:OLEObject Type="Embed" ProgID="AcroExch.Document.11" ShapeID="_x0000_i1025" DrawAspect="Icon" ObjectID="_1537595107" r:id="rId10"/>
        </w:object>
      </w:r>
    </w:p>
    <w:p w:rsidR="00EC61D4" w:rsidRPr="009E050E" w:rsidRDefault="00EC61D4" w:rsidP="00EC61D4"/>
    <w:p w:rsidR="00C80BDA" w:rsidRPr="000F01EC" w:rsidRDefault="00EC61D4" w:rsidP="000F01EC">
      <w:pPr>
        <w:pStyle w:val="Heading3"/>
        <w:ind w:left="567" w:hanging="709"/>
        <w:jc w:val="both"/>
        <w:rPr>
          <w:rFonts w:cs="Arial"/>
          <w:b/>
        </w:rPr>
      </w:pPr>
      <w:r w:rsidRPr="000F01EC">
        <w:rPr>
          <w:rFonts w:cs="Arial"/>
          <w:b/>
        </w:rPr>
        <w:t xml:space="preserve">Appendix </w:t>
      </w:r>
      <w:r w:rsidR="004D063F" w:rsidRPr="000F01EC">
        <w:rPr>
          <w:rFonts w:cs="Arial"/>
          <w:b/>
        </w:rPr>
        <w:t>2</w:t>
      </w:r>
      <w:r w:rsidR="00197430" w:rsidRPr="000F01EC">
        <w:rPr>
          <w:rFonts w:cs="Arial"/>
          <w:b/>
        </w:rPr>
        <w:t>: Evidence review guidance</w:t>
      </w:r>
    </w:p>
    <w:bookmarkStart w:id="7" w:name="_MON_1536139552"/>
    <w:bookmarkEnd w:id="7"/>
    <w:p w:rsidR="007E79D4" w:rsidRDefault="007D2D04" w:rsidP="000F01EC">
      <w:pPr>
        <w:ind w:left="709"/>
      </w:pPr>
      <w:r>
        <w:object w:dxaOrig="1551" w:dyaOrig="1004">
          <v:shape id="_x0000_i1026" type="#_x0000_t75" style="width:77.85pt;height:50.25pt" o:ole="">
            <v:imagedata r:id="rId11" o:title=""/>
          </v:shape>
          <o:OLEObject Type="Embed" ProgID="Word.Document.12" ShapeID="_x0000_i1026" DrawAspect="Icon" ObjectID="_1537595108" r:id="rId12">
            <o:FieldCodes>\s</o:FieldCodes>
          </o:OLEObject>
        </w:object>
      </w:r>
    </w:p>
    <w:p w:rsidR="007E79D4" w:rsidRDefault="007E79D4" w:rsidP="007E79D4">
      <w:pPr>
        <w:spacing w:after="200" w:line="276" w:lineRule="auto"/>
        <w:rPr>
          <w:rFonts w:cs="Arial"/>
          <w:b/>
        </w:rPr>
      </w:pPr>
    </w:p>
    <w:p w:rsidR="00DC6283" w:rsidRPr="000F01EC" w:rsidRDefault="00DC6283" w:rsidP="007E79D4">
      <w:pPr>
        <w:pStyle w:val="Heading3"/>
        <w:ind w:left="567" w:hanging="709"/>
        <w:jc w:val="both"/>
        <w:rPr>
          <w:rFonts w:cs="Arial"/>
          <w:b/>
        </w:rPr>
      </w:pPr>
      <w:r w:rsidRPr="000F01EC">
        <w:rPr>
          <w:rFonts w:cs="Arial"/>
          <w:b/>
        </w:rPr>
        <w:t xml:space="preserve">Appendix </w:t>
      </w:r>
      <w:r w:rsidR="004D063F" w:rsidRPr="000F01EC">
        <w:rPr>
          <w:rFonts w:cs="Arial"/>
          <w:b/>
        </w:rPr>
        <w:t>3</w:t>
      </w:r>
      <w:r w:rsidRPr="000F01EC">
        <w:rPr>
          <w:rFonts w:cs="Arial"/>
          <w:b/>
        </w:rPr>
        <w:t>: PWG terms of reference</w:t>
      </w:r>
    </w:p>
    <w:bookmarkStart w:id="8" w:name="_MON_1531747093"/>
    <w:bookmarkEnd w:id="8"/>
    <w:p w:rsidR="005123C8" w:rsidRPr="009E050E" w:rsidRDefault="00807B89" w:rsidP="000F01EC">
      <w:pPr>
        <w:pStyle w:val="Heading3"/>
        <w:numPr>
          <w:ilvl w:val="0"/>
          <w:numId w:val="0"/>
        </w:numPr>
        <w:ind w:left="567"/>
        <w:rPr>
          <w:rFonts w:cs="Arial"/>
        </w:rPr>
      </w:pPr>
      <w:r w:rsidRPr="009E050E">
        <w:rPr>
          <w:rFonts w:cs="Arial"/>
        </w:rPr>
        <w:object w:dxaOrig="1551" w:dyaOrig="1004">
          <v:shape id="_x0000_i1027" type="#_x0000_t75" style="width:77.85pt;height:50.25pt" o:ole="">
            <v:imagedata r:id="rId13" o:title=""/>
          </v:shape>
          <o:OLEObject Type="Embed" ProgID="Word.Document.12" ShapeID="_x0000_i1027" DrawAspect="Icon" ObjectID="_1537595109" r:id="rId14">
            <o:FieldCodes>\s</o:FieldCodes>
          </o:OLEObject>
        </w:object>
      </w:r>
    </w:p>
    <w:p w:rsidR="004D063F" w:rsidRPr="000F01EC" w:rsidRDefault="004D063F" w:rsidP="000F01EC">
      <w:pPr>
        <w:pStyle w:val="Heading3"/>
        <w:ind w:left="567" w:hanging="709"/>
        <w:jc w:val="both"/>
        <w:rPr>
          <w:rFonts w:cs="Arial"/>
          <w:b/>
        </w:rPr>
      </w:pPr>
      <w:r w:rsidRPr="000F01EC">
        <w:rPr>
          <w:rFonts w:cs="Arial"/>
          <w:b/>
        </w:rPr>
        <w:t>Appendix 4: CPAG Summary Report</w:t>
      </w:r>
    </w:p>
    <w:p w:rsidR="004D063F" w:rsidRPr="009E050E" w:rsidRDefault="004D063F" w:rsidP="004D063F">
      <w:r w:rsidRPr="009E050E">
        <w:t xml:space="preserve">             </w:t>
      </w:r>
      <w:bookmarkStart w:id="9" w:name="_MON_1533379202"/>
      <w:bookmarkEnd w:id="9"/>
      <w:r w:rsidR="000F01EC" w:rsidRPr="009E050E">
        <w:object w:dxaOrig="1551" w:dyaOrig="1004">
          <v:shape id="_x0000_i1028" type="#_x0000_t75" style="width:77pt;height:50.25pt" o:ole="">
            <v:imagedata r:id="rId15" o:title=""/>
          </v:shape>
          <o:OLEObject Type="Embed" ProgID="Word.Document.12" ShapeID="_x0000_i1028" DrawAspect="Icon" ObjectID="_1537595110" r:id="rId16">
            <o:FieldCodes>\s</o:FieldCodes>
          </o:OLEObject>
        </w:object>
      </w:r>
      <w:r w:rsidRPr="009E050E">
        <w:t xml:space="preserve">    </w:t>
      </w:r>
    </w:p>
    <w:p w:rsidR="004D063F" w:rsidRPr="009E050E" w:rsidRDefault="004D063F" w:rsidP="004D063F"/>
    <w:p w:rsidR="00B224E8" w:rsidRPr="000F01EC" w:rsidRDefault="00B224E8" w:rsidP="000F01EC">
      <w:pPr>
        <w:pStyle w:val="Heading3"/>
        <w:ind w:left="567" w:hanging="567"/>
        <w:jc w:val="both"/>
        <w:rPr>
          <w:rFonts w:cs="Arial"/>
          <w:b/>
        </w:rPr>
      </w:pPr>
      <w:r w:rsidRPr="000F01EC">
        <w:rPr>
          <w:rFonts w:cs="Arial"/>
          <w:b/>
        </w:rPr>
        <w:t xml:space="preserve">Appendix </w:t>
      </w:r>
      <w:r w:rsidR="00EC61D4" w:rsidRPr="000F01EC">
        <w:rPr>
          <w:rFonts w:cs="Arial"/>
          <w:b/>
        </w:rPr>
        <w:t>5</w:t>
      </w:r>
      <w:r w:rsidRPr="000F01EC">
        <w:rPr>
          <w:rFonts w:cs="Arial"/>
          <w:b/>
        </w:rPr>
        <w:t>: Progress Report</w:t>
      </w:r>
    </w:p>
    <w:p w:rsidR="00B224E8" w:rsidRPr="00B224E8" w:rsidRDefault="00B30982" w:rsidP="000F01EC">
      <w:pPr>
        <w:ind w:left="567"/>
      </w:pPr>
      <w:r w:rsidRPr="009E050E">
        <w:object w:dxaOrig="1551" w:dyaOrig="1004">
          <v:shape id="_x0000_i1029" type="#_x0000_t75" style="width:77.85pt;height:50.25pt" o:ole="">
            <v:imagedata r:id="rId17" o:title=""/>
          </v:shape>
          <o:OLEObject Type="Embed" ProgID="Excel.Sheet.12" ShapeID="_x0000_i1029" DrawAspect="Icon" ObjectID="_1537595111" r:id="rId18"/>
        </w:object>
      </w:r>
    </w:p>
    <w:sectPr w:rsidR="00B224E8" w:rsidRPr="00B224E8" w:rsidSect="00212556">
      <w:headerReference w:type="default" r:id="rId19"/>
      <w:footerReference w:type="default" r:id="rId20"/>
      <w:pgSz w:w="11906" w:h="16838"/>
      <w:pgMar w:top="1440" w:right="141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362" w:rsidRDefault="00C85362" w:rsidP="006415AA">
      <w:r>
        <w:separator/>
      </w:r>
    </w:p>
  </w:endnote>
  <w:endnote w:type="continuationSeparator" w:id="0">
    <w:p w:rsidR="00C85362" w:rsidRDefault="00C85362" w:rsidP="00641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HGSMinchoE">
    <w:altName w:val="MS P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9973811"/>
      <w:docPartObj>
        <w:docPartGallery w:val="Page Numbers (Bottom of Page)"/>
        <w:docPartUnique/>
      </w:docPartObj>
    </w:sdtPr>
    <w:sdtEndPr>
      <w:rPr>
        <w:noProof/>
      </w:rPr>
    </w:sdtEndPr>
    <w:sdtContent>
      <w:p w:rsidR="006415AA" w:rsidRDefault="006415AA" w:rsidP="00364584">
        <w:pPr>
          <w:pStyle w:val="Footer"/>
          <w:tabs>
            <w:tab w:val="clear" w:pos="9026"/>
            <w:tab w:val="right" w:pos="9214"/>
          </w:tabs>
        </w:pPr>
        <w:r>
          <w:t xml:space="preserve">Statement of Requirements                                   </w:t>
        </w:r>
        <w:r>
          <w:fldChar w:fldCharType="begin"/>
        </w:r>
        <w:r>
          <w:instrText xml:space="preserve"> PAGE   \* MERGEFORMAT </w:instrText>
        </w:r>
        <w:r>
          <w:fldChar w:fldCharType="separate"/>
        </w:r>
        <w:r w:rsidR="00C9556D">
          <w:rPr>
            <w:noProof/>
          </w:rPr>
          <w:t>15</w:t>
        </w:r>
        <w:r>
          <w:rPr>
            <w:noProof/>
          </w:rPr>
          <w:fldChar w:fldCharType="end"/>
        </w:r>
        <w:r w:rsidR="00616EC3">
          <w:rPr>
            <w:noProof/>
          </w:rPr>
          <w:t xml:space="preserve">      </w:t>
        </w:r>
        <w:r>
          <w:rPr>
            <w:noProof/>
          </w:rPr>
          <w:t xml:space="preserve"> </w:t>
        </w:r>
        <w:r w:rsidR="00616EC3" w:rsidRPr="00616EC3">
          <w:rPr>
            <w:noProof/>
          </w:rPr>
          <w:t>Rapid Evidence Reviews</w:t>
        </w:r>
        <w:r w:rsidR="00616EC3">
          <w:rPr>
            <w:noProof/>
          </w:rPr>
          <w:t xml:space="preserve"> for  Specialised </w:t>
        </w:r>
        <w:r w:rsidR="00364584">
          <w:rPr>
            <w:noProof/>
          </w:rPr>
          <w:t xml:space="preserve"> S</w:t>
        </w:r>
        <w:r w:rsidR="00616EC3">
          <w:rPr>
            <w:noProof/>
          </w:rPr>
          <w:t>ervices</w:t>
        </w:r>
      </w:p>
    </w:sdtContent>
  </w:sdt>
  <w:p w:rsidR="006415AA" w:rsidRDefault="006415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362" w:rsidRDefault="00C85362" w:rsidP="006415AA">
      <w:r>
        <w:separator/>
      </w:r>
    </w:p>
  </w:footnote>
  <w:footnote w:type="continuationSeparator" w:id="0">
    <w:p w:rsidR="00C85362" w:rsidRDefault="00C85362" w:rsidP="006415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5AA" w:rsidRDefault="006415AA" w:rsidP="006415AA">
    <w:pPr>
      <w:pStyle w:val="Header"/>
      <w:jc w:val="right"/>
    </w:pPr>
    <w:r>
      <w:rPr>
        <w:rFonts w:cs="Arial"/>
        <w:noProof/>
        <w:lang w:eastAsia="en-GB"/>
      </w:rPr>
      <w:drawing>
        <wp:inline distT="0" distB="0" distL="0" distR="0" wp14:anchorId="29029DF0" wp14:editId="6471C199">
          <wp:extent cx="1400175"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1887" cy="820152"/>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766ED"/>
    <w:multiLevelType w:val="multilevel"/>
    <w:tmpl w:val="E23E059C"/>
    <w:lvl w:ilvl="0">
      <w:start w:val="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lvlText w:val="%4."/>
      <w:lvlJc w:val="left"/>
      <w:pPr>
        <w:ind w:left="1701" w:hanging="720"/>
      </w:pPr>
      <w:rPr>
        <w:rFonts w:hint="default"/>
      </w:rPr>
    </w:lvl>
    <w:lvl w:ilvl="4">
      <w:start w:val="1"/>
      <w:numFmt w:val="bullet"/>
      <w:lvlText w:val="­"/>
      <w:lvlJc w:val="left"/>
      <w:pPr>
        <w:ind w:left="2268" w:hanging="1080"/>
      </w:pPr>
      <w:rPr>
        <w:rFonts w:ascii="Courier New" w:hAnsi="Courier New"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
    <w:nsid w:val="09E6671B"/>
    <w:multiLevelType w:val="hybridMultilevel"/>
    <w:tmpl w:val="870C6DA8"/>
    <w:lvl w:ilvl="0" w:tplc="EBEEB884">
      <w:start w:val="1"/>
      <w:numFmt w:val="bullet"/>
      <w:lvlText w:val="−"/>
      <w:lvlJc w:val="left"/>
      <w:pPr>
        <w:ind w:left="2008" w:hanging="360"/>
      </w:pPr>
      <w:rPr>
        <w:rFonts w:ascii="Arial" w:hAnsi="Arial" w:hint="default"/>
      </w:rPr>
    </w:lvl>
    <w:lvl w:ilvl="1" w:tplc="08090003" w:tentative="1">
      <w:start w:val="1"/>
      <w:numFmt w:val="bullet"/>
      <w:lvlText w:val="o"/>
      <w:lvlJc w:val="left"/>
      <w:pPr>
        <w:ind w:left="2728" w:hanging="360"/>
      </w:pPr>
      <w:rPr>
        <w:rFonts w:ascii="Courier New" w:hAnsi="Courier New" w:cs="Courier New" w:hint="default"/>
      </w:rPr>
    </w:lvl>
    <w:lvl w:ilvl="2" w:tplc="08090005" w:tentative="1">
      <w:start w:val="1"/>
      <w:numFmt w:val="bullet"/>
      <w:lvlText w:val=""/>
      <w:lvlJc w:val="left"/>
      <w:pPr>
        <w:ind w:left="3448" w:hanging="360"/>
      </w:pPr>
      <w:rPr>
        <w:rFonts w:ascii="Wingdings" w:hAnsi="Wingdings" w:hint="default"/>
      </w:rPr>
    </w:lvl>
    <w:lvl w:ilvl="3" w:tplc="08090001" w:tentative="1">
      <w:start w:val="1"/>
      <w:numFmt w:val="bullet"/>
      <w:lvlText w:val=""/>
      <w:lvlJc w:val="left"/>
      <w:pPr>
        <w:ind w:left="4168" w:hanging="360"/>
      </w:pPr>
      <w:rPr>
        <w:rFonts w:ascii="Symbol" w:hAnsi="Symbol" w:hint="default"/>
      </w:rPr>
    </w:lvl>
    <w:lvl w:ilvl="4" w:tplc="08090003" w:tentative="1">
      <w:start w:val="1"/>
      <w:numFmt w:val="bullet"/>
      <w:lvlText w:val="o"/>
      <w:lvlJc w:val="left"/>
      <w:pPr>
        <w:ind w:left="4888" w:hanging="360"/>
      </w:pPr>
      <w:rPr>
        <w:rFonts w:ascii="Courier New" w:hAnsi="Courier New" w:cs="Courier New" w:hint="default"/>
      </w:rPr>
    </w:lvl>
    <w:lvl w:ilvl="5" w:tplc="08090005" w:tentative="1">
      <w:start w:val="1"/>
      <w:numFmt w:val="bullet"/>
      <w:lvlText w:val=""/>
      <w:lvlJc w:val="left"/>
      <w:pPr>
        <w:ind w:left="5608" w:hanging="360"/>
      </w:pPr>
      <w:rPr>
        <w:rFonts w:ascii="Wingdings" w:hAnsi="Wingdings" w:hint="default"/>
      </w:rPr>
    </w:lvl>
    <w:lvl w:ilvl="6" w:tplc="08090001" w:tentative="1">
      <w:start w:val="1"/>
      <w:numFmt w:val="bullet"/>
      <w:lvlText w:val=""/>
      <w:lvlJc w:val="left"/>
      <w:pPr>
        <w:ind w:left="6328" w:hanging="360"/>
      </w:pPr>
      <w:rPr>
        <w:rFonts w:ascii="Symbol" w:hAnsi="Symbol" w:hint="default"/>
      </w:rPr>
    </w:lvl>
    <w:lvl w:ilvl="7" w:tplc="08090003" w:tentative="1">
      <w:start w:val="1"/>
      <w:numFmt w:val="bullet"/>
      <w:lvlText w:val="o"/>
      <w:lvlJc w:val="left"/>
      <w:pPr>
        <w:ind w:left="7048" w:hanging="360"/>
      </w:pPr>
      <w:rPr>
        <w:rFonts w:ascii="Courier New" w:hAnsi="Courier New" w:cs="Courier New" w:hint="default"/>
      </w:rPr>
    </w:lvl>
    <w:lvl w:ilvl="8" w:tplc="08090005" w:tentative="1">
      <w:start w:val="1"/>
      <w:numFmt w:val="bullet"/>
      <w:lvlText w:val=""/>
      <w:lvlJc w:val="left"/>
      <w:pPr>
        <w:ind w:left="7768" w:hanging="360"/>
      </w:pPr>
      <w:rPr>
        <w:rFonts w:ascii="Wingdings" w:hAnsi="Wingdings" w:hint="default"/>
      </w:rPr>
    </w:lvl>
  </w:abstractNum>
  <w:abstractNum w:abstractNumId="2">
    <w:nsid w:val="0C443B89"/>
    <w:multiLevelType w:val="hybridMultilevel"/>
    <w:tmpl w:val="651668D0"/>
    <w:lvl w:ilvl="0" w:tplc="AF12E202">
      <w:numFmt w:val="bullet"/>
      <w:lvlText w:val="-"/>
      <w:lvlJc w:val="left"/>
      <w:pPr>
        <w:ind w:left="2291" w:hanging="360"/>
      </w:pPr>
      <w:rPr>
        <w:rFonts w:ascii="Arial" w:eastAsia="Times New Roman" w:hAnsi="Arial" w:cs="Arial" w:hint="default"/>
      </w:rPr>
    </w:lvl>
    <w:lvl w:ilvl="1" w:tplc="08090003" w:tentative="1">
      <w:start w:val="1"/>
      <w:numFmt w:val="bullet"/>
      <w:lvlText w:val="o"/>
      <w:lvlJc w:val="left"/>
      <w:pPr>
        <w:ind w:left="3011" w:hanging="360"/>
      </w:pPr>
      <w:rPr>
        <w:rFonts w:ascii="Courier New" w:hAnsi="Courier New" w:cs="Courier New" w:hint="default"/>
      </w:rPr>
    </w:lvl>
    <w:lvl w:ilvl="2" w:tplc="08090005" w:tentative="1">
      <w:start w:val="1"/>
      <w:numFmt w:val="bullet"/>
      <w:lvlText w:val=""/>
      <w:lvlJc w:val="left"/>
      <w:pPr>
        <w:ind w:left="3731" w:hanging="360"/>
      </w:pPr>
      <w:rPr>
        <w:rFonts w:ascii="Wingdings" w:hAnsi="Wingdings" w:hint="default"/>
      </w:rPr>
    </w:lvl>
    <w:lvl w:ilvl="3" w:tplc="08090001" w:tentative="1">
      <w:start w:val="1"/>
      <w:numFmt w:val="bullet"/>
      <w:lvlText w:val=""/>
      <w:lvlJc w:val="left"/>
      <w:pPr>
        <w:ind w:left="4451" w:hanging="360"/>
      </w:pPr>
      <w:rPr>
        <w:rFonts w:ascii="Symbol" w:hAnsi="Symbol" w:hint="default"/>
      </w:rPr>
    </w:lvl>
    <w:lvl w:ilvl="4" w:tplc="08090003" w:tentative="1">
      <w:start w:val="1"/>
      <w:numFmt w:val="bullet"/>
      <w:lvlText w:val="o"/>
      <w:lvlJc w:val="left"/>
      <w:pPr>
        <w:ind w:left="5171" w:hanging="360"/>
      </w:pPr>
      <w:rPr>
        <w:rFonts w:ascii="Courier New" w:hAnsi="Courier New" w:cs="Courier New" w:hint="default"/>
      </w:rPr>
    </w:lvl>
    <w:lvl w:ilvl="5" w:tplc="08090005" w:tentative="1">
      <w:start w:val="1"/>
      <w:numFmt w:val="bullet"/>
      <w:lvlText w:val=""/>
      <w:lvlJc w:val="left"/>
      <w:pPr>
        <w:ind w:left="5891" w:hanging="360"/>
      </w:pPr>
      <w:rPr>
        <w:rFonts w:ascii="Wingdings" w:hAnsi="Wingdings" w:hint="default"/>
      </w:rPr>
    </w:lvl>
    <w:lvl w:ilvl="6" w:tplc="08090001" w:tentative="1">
      <w:start w:val="1"/>
      <w:numFmt w:val="bullet"/>
      <w:lvlText w:val=""/>
      <w:lvlJc w:val="left"/>
      <w:pPr>
        <w:ind w:left="6611" w:hanging="360"/>
      </w:pPr>
      <w:rPr>
        <w:rFonts w:ascii="Symbol" w:hAnsi="Symbol" w:hint="default"/>
      </w:rPr>
    </w:lvl>
    <w:lvl w:ilvl="7" w:tplc="08090003" w:tentative="1">
      <w:start w:val="1"/>
      <w:numFmt w:val="bullet"/>
      <w:lvlText w:val="o"/>
      <w:lvlJc w:val="left"/>
      <w:pPr>
        <w:ind w:left="7331" w:hanging="360"/>
      </w:pPr>
      <w:rPr>
        <w:rFonts w:ascii="Courier New" w:hAnsi="Courier New" w:cs="Courier New" w:hint="default"/>
      </w:rPr>
    </w:lvl>
    <w:lvl w:ilvl="8" w:tplc="08090005" w:tentative="1">
      <w:start w:val="1"/>
      <w:numFmt w:val="bullet"/>
      <w:lvlText w:val=""/>
      <w:lvlJc w:val="left"/>
      <w:pPr>
        <w:ind w:left="8051" w:hanging="360"/>
      </w:pPr>
      <w:rPr>
        <w:rFonts w:ascii="Wingdings" w:hAnsi="Wingdings" w:hint="default"/>
      </w:rPr>
    </w:lvl>
  </w:abstractNum>
  <w:abstractNum w:abstractNumId="3">
    <w:nsid w:val="0D551B93"/>
    <w:multiLevelType w:val="hybridMultilevel"/>
    <w:tmpl w:val="DCD8F0EA"/>
    <w:lvl w:ilvl="0" w:tplc="CC74015E">
      <w:start w:val="1"/>
      <w:numFmt w:val="bullet"/>
      <w:lvlText w:val=""/>
      <w:lvlJc w:val="left"/>
      <w:pPr>
        <w:ind w:left="720" w:hanging="360"/>
      </w:pPr>
      <w:rPr>
        <w:rFonts w:ascii="Wingdings" w:hAnsi="Wingdings" w:hint="default"/>
        <w:b/>
        <w:color w:val="C0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44E0BD9"/>
    <w:multiLevelType w:val="multilevel"/>
    <w:tmpl w:val="B242358E"/>
    <w:lvl w:ilvl="0">
      <w:start w:val="1"/>
      <w:numFmt w:val="decimal"/>
      <w:lvlText w:val="%1"/>
      <w:lvlJc w:val="left"/>
      <w:pPr>
        <w:ind w:left="789" w:hanging="432"/>
      </w:pPr>
      <w:rPr>
        <w:rFonts w:cs="Times New Roman"/>
        <w:b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cs="Times New Roman"/>
        <w:b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3"/>
      <w:numFmt w:val="decimal"/>
      <w:lvlText w:val="%1.%2.1"/>
      <w:lvlJc w:val="left"/>
      <w:pPr>
        <w:ind w:left="1434" w:hanging="720"/>
      </w:pPr>
      <w:rPr>
        <w:rFonts w:cs="Times New Roman"/>
        <w:b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color w:val="000000" w:themeColor="text1"/>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nsid w:val="3C194DE7"/>
    <w:multiLevelType w:val="multilevel"/>
    <w:tmpl w:val="0A6081D4"/>
    <w:lvl w:ilvl="0">
      <w:start w:val="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lvlText w:val="%4."/>
      <w:lvlJc w:val="left"/>
      <w:pPr>
        <w:ind w:left="1701" w:hanging="720"/>
      </w:pPr>
      <w:rPr>
        <w:rFonts w:hint="default"/>
      </w:rPr>
    </w:lvl>
    <w:lvl w:ilvl="4">
      <w:start w:val="1"/>
      <w:numFmt w:val="bullet"/>
      <w:lvlText w:val=""/>
      <w:lvlJc w:val="left"/>
      <w:pPr>
        <w:ind w:left="2268" w:hanging="1080"/>
      </w:pPr>
      <w:rPr>
        <w:rFonts w:ascii="Symbol" w:hAnsi="Symbol"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6">
    <w:nsid w:val="47DD273E"/>
    <w:multiLevelType w:val="hybridMultilevel"/>
    <w:tmpl w:val="479CA52A"/>
    <w:lvl w:ilvl="0" w:tplc="EBEEB88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9877296"/>
    <w:multiLevelType w:val="multilevel"/>
    <w:tmpl w:val="6BA29F2C"/>
    <w:lvl w:ilvl="0">
      <w:start w:val="1"/>
      <w:numFmt w:val="decimal"/>
      <w:pStyle w:val="Heading2"/>
      <w:lvlText w:val="%1."/>
      <w:lvlJc w:val="left"/>
      <w:pPr>
        <w:ind w:left="720" w:hanging="360"/>
      </w:pPr>
      <w:rPr>
        <w:rFonts w:cs="Times New Roman"/>
        <w:b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3"/>
      <w:isLgl/>
      <w:lvlText w:val="%1.%2."/>
      <w:lvlJc w:val="left"/>
      <w:pPr>
        <w:ind w:left="1296" w:hanging="720"/>
      </w:pPr>
      <w:rPr>
        <w:rFonts w:hint="default"/>
      </w:rPr>
    </w:lvl>
    <w:lvl w:ilvl="2">
      <w:start w:val="1"/>
      <w:numFmt w:val="decimal"/>
      <w:pStyle w:val="Heading4"/>
      <w:isLgl/>
      <w:lvlText w:val="%1.%2.%3."/>
      <w:lvlJc w:val="left"/>
      <w:pPr>
        <w:ind w:left="1571" w:hanging="720"/>
      </w:pPr>
      <w:rPr>
        <w:rFonts w:cs="Times New Roman"/>
        <w:b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2088" w:hanging="1080"/>
      </w:pPr>
      <w:rPr>
        <w:rFonts w:hint="default"/>
        <w:b w:val="0"/>
        <w:color w:val="auto"/>
        <w:sz w:val="24"/>
        <w:szCs w:val="24"/>
      </w:rPr>
    </w:lvl>
    <w:lvl w:ilvl="4">
      <w:start w:val="1"/>
      <w:numFmt w:val="bullet"/>
      <w:lvlText w:val=""/>
      <w:lvlJc w:val="left"/>
      <w:pPr>
        <w:ind w:left="2664" w:hanging="1440"/>
      </w:pPr>
      <w:rPr>
        <w:rFonts w:ascii="Symbol" w:hAnsi="Symbol" w:hint="default"/>
      </w:rPr>
    </w:lvl>
    <w:lvl w:ilvl="5">
      <w:start w:val="1"/>
      <w:numFmt w:val="decimal"/>
      <w:isLgl/>
      <w:lvlText w:val="%1.%2.%3.%4.%5.%6."/>
      <w:lvlJc w:val="left"/>
      <w:pPr>
        <w:ind w:left="2880" w:hanging="1440"/>
      </w:pPr>
      <w:rPr>
        <w:rFonts w:hint="default"/>
      </w:rPr>
    </w:lvl>
    <w:lvl w:ilvl="6">
      <w:start w:val="1"/>
      <w:numFmt w:val="bullet"/>
      <w:lvlText w:val=""/>
      <w:lvlJc w:val="left"/>
      <w:pPr>
        <w:ind w:left="3456" w:hanging="1800"/>
      </w:pPr>
      <w:rPr>
        <w:rFonts w:ascii="Symbol" w:hAnsi="Symbol" w:hint="default"/>
      </w:rPr>
    </w:lvl>
    <w:lvl w:ilvl="7">
      <w:start w:val="1"/>
      <w:numFmt w:val="decimal"/>
      <w:isLgl/>
      <w:lvlText w:val="%1.%2.%3.%4.%5.%6.%7.%8."/>
      <w:lvlJc w:val="left"/>
      <w:pPr>
        <w:ind w:left="4032" w:hanging="2160"/>
      </w:pPr>
      <w:rPr>
        <w:rFonts w:hint="default"/>
      </w:rPr>
    </w:lvl>
    <w:lvl w:ilvl="8">
      <w:start w:val="1"/>
      <w:numFmt w:val="decimal"/>
      <w:isLgl/>
      <w:lvlText w:val="%1.%2.%3.%4.%5.%6.%7.%8.%9."/>
      <w:lvlJc w:val="left"/>
      <w:pPr>
        <w:ind w:left="4248" w:hanging="2160"/>
      </w:pPr>
      <w:rPr>
        <w:rFonts w:hint="default"/>
      </w:rPr>
    </w:lvl>
  </w:abstractNum>
  <w:abstractNum w:abstractNumId="8">
    <w:nsid w:val="4ADF1411"/>
    <w:multiLevelType w:val="multilevel"/>
    <w:tmpl w:val="190C6648"/>
    <w:lvl w:ilvl="0">
      <w:start w:val="1"/>
      <w:numFmt w:val="decimal"/>
      <w:lvlText w:val="%1."/>
      <w:lvlJc w:val="left"/>
      <w:pPr>
        <w:ind w:left="720" w:hanging="360"/>
      </w:pPr>
      <w:rPr>
        <w:rFonts w:cs="Times New Roman"/>
        <w:b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296" w:hanging="720"/>
      </w:pPr>
      <w:rPr>
        <w:rFonts w:hint="default"/>
      </w:rPr>
    </w:lvl>
    <w:lvl w:ilvl="2">
      <w:start w:val="1"/>
      <w:numFmt w:val="decimal"/>
      <w:isLgl/>
      <w:lvlText w:val="%1.%2.%3."/>
      <w:lvlJc w:val="left"/>
      <w:pPr>
        <w:ind w:left="1571" w:hanging="720"/>
      </w:pPr>
      <w:rPr>
        <w:rFonts w:cs="Times New Roman"/>
        <w:b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2088" w:hanging="1080"/>
      </w:pPr>
      <w:rPr>
        <w:rFonts w:hint="default"/>
        <w:b w:val="0"/>
        <w:color w:val="auto"/>
        <w:sz w:val="24"/>
        <w:szCs w:val="24"/>
      </w:rPr>
    </w:lvl>
    <w:lvl w:ilvl="4">
      <w:start w:val="1"/>
      <w:numFmt w:val="bullet"/>
      <w:lvlText w:val="­"/>
      <w:lvlJc w:val="left"/>
      <w:pPr>
        <w:ind w:left="2664" w:hanging="1440"/>
      </w:pPr>
      <w:rPr>
        <w:rFonts w:ascii="Courier New" w:hAnsi="Courier New" w:hint="default"/>
      </w:rPr>
    </w:lvl>
    <w:lvl w:ilvl="5">
      <w:start w:val="1"/>
      <w:numFmt w:val="decimal"/>
      <w:isLgl/>
      <w:lvlText w:val="%1.%2.%3.%4.%5.%6."/>
      <w:lvlJc w:val="left"/>
      <w:pPr>
        <w:ind w:left="2880" w:hanging="1440"/>
      </w:pPr>
      <w:rPr>
        <w:rFonts w:hint="default"/>
      </w:rPr>
    </w:lvl>
    <w:lvl w:ilvl="6">
      <w:start w:val="1"/>
      <w:numFmt w:val="bullet"/>
      <w:lvlText w:val=""/>
      <w:lvlJc w:val="left"/>
      <w:pPr>
        <w:ind w:left="3456" w:hanging="1800"/>
      </w:pPr>
      <w:rPr>
        <w:rFonts w:ascii="Symbol" w:hAnsi="Symbol" w:hint="default"/>
      </w:rPr>
    </w:lvl>
    <w:lvl w:ilvl="7">
      <w:start w:val="1"/>
      <w:numFmt w:val="decimal"/>
      <w:isLgl/>
      <w:lvlText w:val="%1.%2.%3.%4.%5.%6.%7.%8."/>
      <w:lvlJc w:val="left"/>
      <w:pPr>
        <w:ind w:left="4032" w:hanging="2160"/>
      </w:pPr>
      <w:rPr>
        <w:rFonts w:hint="default"/>
      </w:rPr>
    </w:lvl>
    <w:lvl w:ilvl="8">
      <w:start w:val="1"/>
      <w:numFmt w:val="decimal"/>
      <w:isLgl/>
      <w:lvlText w:val="%1.%2.%3.%4.%5.%6.%7.%8.%9."/>
      <w:lvlJc w:val="left"/>
      <w:pPr>
        <w:ind w:left="4248" w:hanging="2160"/>
      </w:pPr>
      <w:rPr>
        <w:rFonts w:hint="default"/>
      </w:rPr>
    </w:lvl>
  </w:abstractNum>
  <w:abstractNum w:abstractNumId="9">
    <w:nsid w:val="67125998"/>
    <w:multiLevelType w:val="hybridMultilevel"/>
    <w:tmpl w:val="B478EA7C"/>
    <w:lvl w:ilvl="0" w:tplc="EBEEB884">
      <w:start w:val="1"/>
      <w:numFmt w:val="bullet"/>
      <w:lvlText w:val="−"/>
      <w:lvlJc w:val="left"/>
      <w:pPr>
        <w:ind w:left="1571" w:hanging="360"/>
      </w:pPr>
      <w:rPr>
        <w:rFonts w:ascii="Arial" w:hAnsi="Aria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nsid w:val="7D66170C"/>
    <w:multiLevelType w:val="hybridMultilevel"/>
    <w:tmpl w:val="E318A126"/>
    <w:lvl w:ilvl="0" w:tplc="AF12E202">
      <w:numFmt w:val="bullet"/>
      <w:lvlText w:val="-"/>
      <w:lvlJc w:val="left"/>
      <w:pPr>
        <w:ind w:left="1494" w:hanging="360"/>
      </w:pPr>
      <w:rPr>
        <w:rFonts w:ascii="Arial" w:eastAsia="Times New Roman" w:hAnsi="Arial" w:cs="Aria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num w:numId="1">
    <w:abstractNumId w:val="4"/>
  </w:num>
  <w:num w:numId="2">
    <w:abstractNumId w:val="3"/>
  </w:num>
  <w:num w:numId="3">
    <w:abstractNumId w:val="7"/>
  </w:num>
  <w:num w:numId="4">
    <w:abstractNumId w:val="10"/>
  </w:num>
  <w:num w:numId="5">
    <w:abstractNumId w:val="6"/>
  </w:num>
  <w:num w:numId="6">
    <w:abstractNumId w:val="7"/>
  </w:num>
  <w:num w:numId="7">
    <w:abstractNumId w:val="7"/>
  </w:num>
  <w:num w:numId="8">
    <w:abstractNumId w:val="1"/>
  </w:num>
  <w:num w:numId="9">
    <w:abstractNumId w:val="7"/>
  </w:num>
  <w:num w:numId="10">
    <w:abstractNumId w:val="7"/>
  </w:num>
  <w:num w:numId="11">
    <w:abstractNumId w:val="9"/>
  </w:num>
  <w:num w:numId="12">
    <w:abstractNumId w:val="7"/>
  </w:num>
  <w:num w:numId="13">
    <w:abstractNumId w:val="7"/>
  </w:num>
  <w:num w:numId="14">
    <w:abstractNumId w:val="2"/>
  </w:num>
  <w:num w:numId="15">
    <w:abstractNumId w:val="7"/>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7"/>
  </w:num>
  <w:num w:numId="28">
    <w:abstractNumId w:val="0"/>
  </w:num>
  <w:num w:numId="29">
    <w:abstractNumId w:val="8"/>
  </w:num>
  <w:num w:numId="3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B18"/>
    <w:rsid w:val="00006320"/>
    <w:rsid w:val="00013B72"/>
    <w:rsid w:val="00017D75"/>
    <w:rsid w:val="000201D4"/>
    <w:rsid w:val="0006038F"/>
    <w:rsid w:val="0006713F"/>
    <w:rsid w:val="00067591"/>
    <w:rsid w:val="0007397A"/>
    <w:rsid w:val="00082A6E"/>
    <w:rsid w:val="000941F8"/>
    <w:rsid w:val="000B4181"/>
    <w:rsid w:val="000B674F"/>
    <w:rsid w:val="000D0ADA"/>
    <w:rsid w:val="000F01EC"/>
    <w:rsid w:val="000F2A39"/>
    <w:rsid w:val="000F348F"/>
    <w:rsid w:val="00105874"/>
    <w:rsid w:val="00116002"/>
    <w:rsid w:val="00120677"/>
    <w:rsid w:val="0012798A"/>
    <w:rsid w:val="00133374"/>
    <w:rsid w:val="0013587F"/>
    <w:rsid w:val="001407E1"/>
    <w:rsid w:val="001573DC"/>
    <w:rsid w:val="00160650"/>
    <w:rsid w:val="0017787F"/>
    <w:rsid w:val="00195D54"/>
    <w:rsid w:val="00197430"/>
    <w:rsid w:val="001C066E"/>
    <w:rsid w:val="001C1DDD"/>
    <w:rsid w:val="001C389C"/>
    <w:rsid w:val="001C6FC4"/>
    <w:rsid w:val="001D2199"/>
    <w:rsid w:val="001D5CC6"/>
    <w:rsid w:val="00211547"/>
    <w:rsid w:val="00212556"/>
    <w:rsid w:val="002150CE"/>
    <w:rsid w:val="00217D9C"/>
    <w:rsid w:val="00223D23"/>
    <w:rsid w:val="002433CB"/>
    <w:rsid w:val="00253284"/>
    <w:rsid w:val="00261E90"/>
    <w:rsid w:val="00266388"/>
    <w:rsid w:val="002665C5"/>
    <w:rsid w:val="00266C58"/>
    <w:rsid w:val="00272222"/>
    <w:rsid w:val="00280098"/>
    <w:rsid w:val="002D3185"/>
    <w:rsid w:val="002E3F6F"/>
    <w:rsid w:val="00324D05"/>
    <w:rsid w:val="0034360A"/>
    <w:rsid w:val="00346360"/>
    <w:rsid w:val="00351140"/>
    <w:rsid w:val="003539A0"/>
    <w:rsid w:val="00364584"/>
    <w:rsid w:val="0037176B"/>
    <w:rsid w:val="00375FE4"/>
    <w:rsid w:val="00383DE2"/>
    <w:rsid w:val="00390A54"/>
    <w:rsid w:val="00390E69"/>
    <w:rsid w:val="00395F2C"/>
    <w:rsid w:val="003B3836"/>
    <w:rsid w:val="003C4859"/>
    <w:rsid w:val="00403684"/>
    <w:rsid w:val="00406643"/>
    <w:rsid w:val="0042271A"/>
    <w:rsid w:val="004237EE"/>
    <w:rsid w:val="00477FAF"/>
    <w:rsid w:val="004807C6"/>
    <w:rsid w:val="00486547"/>
    <w:rsid w:val="004B2F8C"/>
    <w:rsid w:val="004C1F0A"/>
    <w:rsid w:val="004C66FA"/>
    <w:rsid w:val="004D063F"/>
    <w:rsid w:val="004D3D19"/>
    <w:rsid w:val="004E2F75"/>
    <w:rsid w:val="004E6E2A"/>
    <w:rsid w:val="005123C8"/>
    <w:rsid w:val="00521E51"/>
    <w:rsid w:val="00535E82"/>
    <w:rsid w:val="00541448"/>
    <w:rsid w:val="00542F72"/>
    <w:rsid w:val="00550FAA"/>
    <w:rsid w:val="0056349A"/>
    <w:rsid w:val="00564002"/>
    <w:rsid w:val="00567F06"/>
    <w:rsid w:val="00571467"/>
    <w:rsid w:val="00586322"/>
    <w:rsid w:val="00587A65"/>
    <w:rsid w:val="005E1FF9"/>
    <w:rsid w:val="005F4E19"/>
    <w:rsid w:val="00613B18"/>
    <w:rsid w:val="00616EC3"/>
    <w:rsid w:val="00621033"/>
    <w:rsid w:val="00627431"/>
    <w:rsid w:val="006331C0"/>
    <w:rsid w:val="006415AA"/>
    <w:rsid w:val="00642A83"/>
    <w:rsid w:val="006434C8"/>
    <w:rsid w:val="00654696"/>
    <w:rsid w:val="00654BAB"/>
    <w:rsid w:val="00656AA7"/>
    <w:rsid w:val="006A4AE8"/>
    <w:rsid w:val="006D32B0"/>
    <w:rsid w:val="0070060C"/>
    <w:rsid w:val="00737216"/>
    <w:rsid w:val="0076293B"/>
    <w:rsid w:val="007774A9"/>
    <w:rsid w:val="00782D63"/>
    <w:rsid w:val="0078493A"/>
    <w:rsid w:val="007B56EF"/>
    <w:rsid w:val="007B6CAD"/>
    <w:rsid w:val="007C29D1"/>
    <w:rsid w:val="007C2F0E"/>
    <w:rsid w:val="007C55A6"/>
    <w:rsid w:val="007C69EE"/>
    <w:rsid w:val="007D28D1"/>
    <w:rsid w:val="007D2D04"/>
    <w:rsid w:val="007D4FF9"/>
    <w:rsid w:val="007E0B37"/>
    <w:rsid w:val="007E0F67"/>
    <w:rsid w:val="007E79D4"/>
    <w:rsid w:val="007F267B"/>
    <w:rsid w:val="007F6A50"/>
    <w:rsid w:val="00802FE8"/>
    <w:rsid w:val="00803A9A"/>
    <w:rsid w:val="0080609E"/>
    <w:rsid w:val="00807B89"/>
    <w:rsid w:val="00816191"/>
    <w:rsid w:val="00827065"/>
    <w:rsid w:val="00831595"/>
    <w:rsid w:val="008349A7"/>
    <w:rsid w:val="008372C3"/>
    <w:rsid w:val="00837EBE"/>
    <w:rsid w:val="008466DA"/>
    <w:rsid w:val="008760D8"/>
    <w:rsid w:val="008B6902"/>
    <w:rsid w:val="008B6C95"/>
    <w:rsid w:val="008D509B"/>
    <w:rsid w:val="008D6FAA"/>
    <w:rsid w:val="008F01B8"/>
    <w:rsid w:val="008F164D"/>
    <w:rsid w:val="008F4D2D"/>
    <w:rsid w:val="00912CCD"/>
    <w:rsid w:val="009271AD"/>
    <w:rsid w:val="00932E05"/>
    <w:rsid w:val="009574E2"/>
    <w:rsid w:val="0096247D"/>
    <w:rsid w:val="009B36D6"/>
    <w:rsid w:val="009D3059"/>
    <w:rsid w:val="009E050E"/>
    <w:rsid w:val="009E44E4"/>
    <w:rsid w:val="009F5241"/>
    <w:rsid w:val="009F715E"/>
    <w:rsid w:val="00A05D75"/>
    <w:rsid w:val="00A200D0"/>
    <w:rsid w:val="00A73C98"/>
    <w:rsid w:val="00A91F1B"/>
    <w:rsid w:val="00A9243D"/>
    <w:rsid w:val="00AB6FE9"/>
    <w:rsid w:val="00AF20B9"/>
    <w:rsid w:val="00B0354D"/>
    <w:rsid w:val="00B224E8"/>
    <w:rsid w:val="00B27849"/>
    <w:rsid w:val="00B304B8"/>
    <w:rsid w:val="00B30982"/>
    <w:rsid w:val="00B34E0D"/>
    <w:rsid w:val="00B37EFE"/>
    <w:rsid w:val="00B458CD"/>
    <w:rsid w:val="00B634E2"/>
    <w:rsid w:val="00B72FC3"/>
    <w:rsid w:val="00B84869"/>
    <w:rsid w:val="00B957F1"/>
    <w:rsid w:val="00BA0C07"/>
    <w:rsid w:val="00BB0D02"/>
    <w:rsid w:val="00BB600A"/>
    <w:rsid w:val="00BC5B98"/>
    <w:rsid w:val="00C058FD"/>
    <w:rsid w:val="00C11294"/>
    <w:rsid w:val="00C11986"/>
    <w:rsid w:val="00C170B9"/>
    <w:rsid w:val="00C22824"/>
    <w:rsid w:val="00C50EE1"/>
    <w:rsid w:val="00C55C2F"/>
    <w:rsid w:val="00C60A1E"/>
    <w:rsid w:val="00C80BDA"/>
    <w:rsid w:val="00C85362"/>
    <w:rsid w:val="00C87FD4"/>
    <w:rsid w:val="00C9538E"/>
    <w:rsid w:val="00C9556D"/>
    <w:rsid w:val="00C9705D"/>
    <w:rsid w:val="00CA5DAF"/>
    <w:rsid w:val="00CB0D1A"/>
    <w:rsid w:val="00CD55A1"/>
    <w:rsid w:val="00D06BEA"/>
    <w:rsid w:val="00D140E2"/>
    <w:rsid w:val="00D21E5A"/>
    <w:rsid w:val="00D30CF5"/>
    <w:rsid w:val="00D35384"/>
    <w:rsid w:val="00D515F6"/>
    <w:rsid w:val="00D61EF2"/>
    <w:rsid w:val="00D632DC"/>
    <w:rsid w:val="00D85319"/>
    <w:rsid w:val="00D97FE8"/>
    <w:rsid w:val="00DA0326"/>
    <w:rsid w:val="00DB48DF"/>
    <w:rsid w:val="00DB7C21"/>
    <w:rsid w:val="00DC3CA1"/>
    <w:rsid w:val="00DC5D4C"/>
    <w:rsid w:val="00DC6283"/>
    <w:rsid w:val="00DD1F6B"/>
    <w:rsid w:val="00DE6429"/>
    <w:rsid w:val="00DF4681"/>
    <w:rsid w:val="00E002CA"/>
    <w:rsid w:val="00E14BBB"/>
    <w:rsid w:val="00E14D9B"/>
    <w:rsid w:val="00E22752"/>
    <w:rsid w:val="00E233A9"/>
    <w:rsid w:val="00E333E5"/>
    <w:rsid w:val="00E51454"/>
    <w:rsid w:val="00E54A57"/>
    <w:rsid w:val="00E56781"/>
    <w:rsid w:val="00E82DB2"/>
    <w:rsid w:val="00E9005A"/>
    <w:rsid w:val="00E93387"/>
    <w:rsid w:val="00E95F31"/>
    <w:rsid w:val="00EA42CC"/>
    <w:rsid w:val="00EB1703"/>
    <w:rsid w:val="00EC61D4"/>
    <w:rsid w:val="00ED2B9D"/>
    <w:rsid w:val="00ED4181"/>
    <w:rsid w:val="00EE261C"/>
    <w:rsid w:val="00EE58D3"/>
    <w:rsid w:val="00F06050"/>
    <w:rsid w:val="00F10A89"/>
    <w:rsid w:val="00F14938"/>
    <w:rsid w:val="00F249FD"/>
    <w:rsid w:val="00F41E3A"/>
    <w:rsid w:val="00F5204C"/>
    <w:rsid w:val="00F85D75"/>
    <w:rsid w:val="00F90663"/>
    <w:rsid w:val="00F92C98"/>
    <w:rsid w:val="00FA1CEC"/>
    <w:rsid w:val="00FA571F"/>
    <w:rsid w:val="00FA5A45"/>
    <w:rsid w:val="00FB3975"/>
    <w:rsid w:val="00FB3D2E"/>
    <w:rsid w:val="00FC25B1"/>
    <w:rsid w:val="00FC4105"/>
    <w:rsid w:val="00FE14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B18"/>
    <w:pPr>
      <w:spacing w:after="0" w:line="240" w:lineRule="auto"/>
    </w:pPr>
    <w:rPr>
      <w:rFonts w:ascii="Calibri" w:hAnsi="Calibri" w:cs="Calibri"/>
    </w:rPr>
  </w:style>
  <w:style w:type="paragraph" w:styleId="Heading1">
    <w:name w:val="heading 1"/>
    <w:basedOn w:val="Normal"/>
    <w:next w:val="Normal"/>
    <w:link w:val="Heading1Char"/>
    <w:uiPriority w:val="9"/>
    <w:qFormat/>
    <w:rsid w:val="008466DA"/>
    <w:pPr>
      <w:spacing w:before="240" w:after="240" w:line="276" w:lineRule="auto"/>
      <w:ind w:left="-142"/>
      <w:outlineLvl w:val="0"/>
    </w:pPr>
    <w:rPr>
      <w:rFonts w:ascii="Arial" w:eastAsia="BatangChe" w:hAnsi="Arial" w:cs="Arial"/>
      <w:b/>
      <w:bCs/>
      <w:color w:val="0072C6"/>
      <w:kern w:val="32"/>
      <w:sz w:val="32"/>
      <w:szCs w:val="32"/>
    </w:rPr>
  </w:style>
  <w:style w:type="paragraph" w:styleId="Heading2">
    <w:name w:val="heading 2"/>
    <w:basedOn w:val="Normal"/>
    <w:next w:val="Normal"/>
    <w:link w:val="Heading2Char"/>
    <w:uiPriority w:val="9"/>
    <w:unhideWhenUsed/>
    <w:qFormat/>
    <w:rsid w:val="00017D75"/>
    <w:pPr>
      <w:numPr>
        <w:numId w:val="3"/>
      </w:numPr>
      <w:spacing w:before="240" w:after="240" w:line="360" w:lineRule="auto"/>
      <w:outlineLvl w:val="1"/>
    </w:pPr>
    <w:rPr>
      <w:rFonts w:ascii="Arial" w:eastAsia="Times New Roman" w:hAnsi="Arial" w:cs="Times New Roman"/>
      <w:b/>
      <w:bCs/>
      <w:iCs/>
      <w:sz w:val="28"/>
      <w:szCs w:val="28"/>
    </w:rPr>
  </w:style>
  <w:style w:type="paragraph" w:styleId="Heading3">
    <w:name w:val="heading 3"/>
    <w:basedOn w:val="Heading2"/>
    <w:next w:val="Normal"/>
    <w:link w:val="Heading3Char"/>
    <w:uiPriority w:val="9"/>
    <w:unhideWhenUsed/>
    <w:qFormat/>
    <w:rsid w:val="00E14D9B"/>
    <w:pPr>
      <w:numPr>
        <w:ilvl w:val="1"/>
      </w:numPr>
      <w:outlineLvl w:val="2"/>
    </w:pPr>
    <w:rPr>
      <w:b w:val="0"/>
      <w:sz w:val="24"/>
      <w:szCs w:val="24"/>
    </w:rPr>
  </w:style>
  <w:style w:type="paragraph" w:styleId="Heading4">
    <w:name w:val="heading 4"/>
    <w:basedOn w:val="Heading2"/>
    <w:next w:val="Normal"/>
    <w:link w:val="Heading4Char"/>
    <w:unhideWhenUsed/>
    <w:qFormat/>
    <w:rsid w:val="00C80BDA"/>
    <w:pPr>
      <w:numPr>
        <w:ilvl w:val="2"/>
      </w:numPr>
      <w:outlineLvl w:val="3"/>
    </w:pPr>
    <w:rPr>
      <w:b w:val="0"/>
      <w:sz w:val="24"/>
      <w:szCs w:val="24"/>
    </w:rPr>
  </w:style>
  <w:style w:type="paragraph" w:styleId="Heading5">
    <w:name w:val="heading 5"/>
    <w:basedOn w:val="Normal"/>
    <w:next w:val="Normal"/>
    <w:link w:val="Heading5Char"/>
    <w:unhideWhenUsed/>
    <w:qFormat/>
    <w:rsid w:val="00390E69"/>
    <w:pPr>
      <w:keepNext/>
      <w:keepLines/>
      <w:numPr>
        <w:ilvl w:val="4"/>
        <w:numId w:val="1"/>
      </w:numPr>
      <w:spacing w:before="200"/>
      <w:outlineLvl w:val="4"/>
    </w:pPr>
    <w:rPr>
      <w:rFonts w:asciiTheme="majorHAnsi" w:eastAsiaTheme="majorEastAsia" w:hAnsiTheme="majorHAnsi" w:cstheme="majorBidi"/>
      <w:bCs/>
      <w:color w:val="243F60" w:themeColor="accent1" w:themeShade="7F"/>
      <w:sz w:val="24"/>
      <w:szCs w:val="26"/>
    </w:rPr>
  </w:style>
  <w:style w:type="paragraph" w:styleId="Heading6">
    <w:name w:val="heading 6"/>
    <w:basedOn w:val="Normal"/>
    <w:next w:val="Normal"/>
    <w:link w:val="Heading6Char"/>
    <w:unhideWhenUsed/>
    <w:qFormat/>
    <w:rsid w:val="00390E69"/>
    <w:pPr>
      <w:keepNext/>
      <w:keepLines/>
      <w:numPr>
        <w:ilvl w:val="5"/>
        <w:numId w:val="1"/>
      </w:numPr>
      <w:spacing w:before="200"/>
      <w:outlineLvl w:val="5"/>
    </w:pPr>
    <w:rPr>
      <w:rFonts w:asciiTheme="majorHAnsi" w:eastAsiaTheme="majorEastAsia" w:hAnsiTheme="majorHAnsi" w:cstheme="majorBidi"/>
      <w:bCs/>
      <w:i/>
      <w:iCs/>
      <w:color w:val="243F60" w:themeColor="accent1" w:themeShade="7F"/>
      <w:sz w:val="24"/>
      <w:szCs w:val="26"/>
    </w:rPr>
  </w:style>
  <w:style w:type="paragraph" w:styleId="Heading7">
    <w:name w:val="heading 7"/>
    <w:basedOn w:val="Normal"/>
    <w:next w:val="Normal"/>
    <w:link w:val="Heading7Char"/>
    <w:unhideWhenUsed/>
    <w:qFormat/>
    <w:rsid w:val="00390E69"/>
    <w:pPr>
      <w:keepNext/>
      <w:keepLines/>
      <w:numPr>
        <w:ilvl w:val="6"/>
        <w:numId w:val="1"/>
      </w:numPr>
      <w:spacing w:before="200"/>
      <w:outlineLvl w:val="6"/>
    </w:pPr>
    <w:rPr>
      <w:rFonts w:asciiTheme="majorHAnsi" w:eastAsiaTheme="majorEastAsia" w:hAnsiTheme="majorHAnsi" w:cstheme="majorBidi"/>
      <w:bCs/>
      <w:i/>
      <w:iCs/>
      <w:color w:val="404040" w:themeColor="text1" w:themeTint="BF"/>
      <w:sz w:val="24"/>
      <w:szCs w:val="26"/>
    </w:rPr>
  </w:style>
  <w:style w:type="paragraph" w:styleId="Heading8">
    <w:name w:val="heading 8"/>
    <w:basedOn w:val="Normal"/>
    <w:next w:val="Normal"/>
    <w:link w:val="Heading8Char"/>
    <w:unhideWhenUsed/>
    <w:qFormat/>
    <w:rsid w:val="00390E69"/>
    <w:pPr>
      <w:keepNext/>
      <w:keepLines/>
      <w:numPr>
        <w:ilvl w:val="7"/>
        <w:numId w:val="1"/>
      </w:numPr>
      <w:spacing w:before="200"/>
      <w:outlineLvl w:val="7"/>
    </w:pPr>
    <w:rPr>
      <w:rFonts w:asciiTheme="majorHAnsi" w:eastAsiaTheme="majorEastAsia" w:hAnsiTheme="majorHAnsi" w:cstheme="majorBidi"/>
      <w:bCs/>
      <w:color w:val="404040" w:themeColor="text1" w:themeTint="BF"/>
      <w:sz w:val="20"/>
      <w:szCs w:val="20"/>
    </w:rPr>
  </w:style>
  <w:style w:type="paragraph" w:styleId="Heading9">
    <w:name w:val="heading 9"/>
    <w:basedOn w:val="Normal"/>
    <w:next w:val="Normal"/>
    <w:link w:val="Heading9Char"/>
    <w:unhideWhenUsed/>
    <w:qFormat/>
    <w:rsid w:val="00390E69"/>
    <w:pPr>
      <w:keepNext/>
      <w:keepLines/>
      <w:numPr>
        <w:ilvl w:val="8"/>
        <w:numId w:val="1"/>
      </w:numPr>
      <w:spacing w:before="200"/>
      <w:outlineLvl w:val="8"/>
    </w:pPr>
    <w:rPr>
      <w:rFonts w:asciiTheme="majorHAnsi" w:eastAsiaTheme="majorEastAsia" w:hAnsiTheme="majorHAnsi" w:cstheme="majorBidi"/>
      <w:bCs/>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ext bullets 1"/>
    <w:basedOn w:val="Normal"/>
    <w:link w:val="ListParagraphChar"/>
    <w:uiPriority w:val="99"/>
    <w:qFormat/>
    <w:rsid w:val="00613B18"/>
    <w:pPr>
      <w:ind w:left="720"/>
    </w:pPr>
  </w:style>
  <w:style w:type="paragraph" w:styleId="Title">
    <w:name w:val="Title"/>
    <w:basedOn w:val="Normal"/>
    <w:next w:val="Normal"/>
    <w:link w:val="TitleChar"/>
    <w:qFormat/>
    <w:rsid w:val="00390E69"/>
    <w:rPr>
      <w:rFonts w:ascii="Arial" w:eastAsia="Times New Roman" w:hAnsi="Arial" w:cs="Times New Roman"/>
      <w:b/>
      <w:bCs/>
      <w:color w:val="1F497D" w:themeColor="text2"/>
      <w:sz w:val="80"/>
      <w:szCs w:val="80"/>
    </w:rPr>
  </w:style>
  <w:style w:type="character" w:customStyle="1" w:styleId="TitleChar">
    <w:name w:val="Title Char"/>
    <w:basedOn w:val="DefaultParagraphFont"/>
    <w:link w:val="Title"/>
    <w:rsid w:val="00390E69"/>
    <w:rPr>
      <w:rFonts w:ascii="Arial" w:eastAsia="Times New Roman" w:hAnsi="Arial" w:cs="Times New Roman"/>
      <w:b/>
      <w:bCs/>
      <w:color w:val="1F497D" w:themeColor="text2"/>
      <w:sz w:val="80"/>
      <w:szCs w:val="80"/>
    </w:rPr>
  </w:style>
  <w:style w:type="character" w:customStyle="1" w:styleId="Heading1Char">
    <w:name w:val="Heading 1 Char"/>
    <w:basedOn w:val="DefaultParagraphFont"/>
    <w:link w:val="Heading1"/>
    <w:uiPriority w:val="9"/>
    <w:rsid w:val="008466DA"/>
    <w:rPr>
      <w:rFonts w:ascii="Arial" w:eastAsia="BatangChe" w:hAnsi="Arial" w:cs="Arial"/>
      <w:b/>
      <w:bCs/>
      <w:color w:val="0072C6"/>
      <w:kern w:val="32"/>
      <w:sz w:val="32"/>
      <w:szCs w:val="32"/>
    </w:rPr>
  </w:style>
  <w:style w:type="character" w:customStyle="1" w:styleId="Heading2Char">
    <w:name w:val="Heading 2 Char"/>
    <w:basedOn w:val="DefaultParagraphFont"/>
    <w:link w:val="Heading2"/>
    <w:uiPriority w:val="9"/>
    <w:rsid w:val="00017D75"/>
    <w:rPr>
      <w:rFonts w:ascii="Arial" w:eastAsia="Times New Roman" w:hAnsi="Arial" w:cs="Times New Roman"/>
      <w:b/>
      <w:bCs/>
      <w:iCs/>
      <w:sz w:val="28"/>
      <w:szCs w:val="28"/>
    </w:rPr>
  </w:style>
  <w:style w:type="character" w:customStyle="1" w:styleId="Heading4Char">
    <w:name w:val="Heading 4 Char"/>
    <w:basedOn w:val="DefaultParagraphFont"/>
    <w:link w:val="Heading4"/>
    <w:rsid w:val="00C80BDA"/>
    <w:rPr>
      <w:rFonts w:ascii="Arial" w:eastAsia="Times New Roman" w:hAnsi="Arial" w:cs="Times New Roman"/>
      <w:bCs/>
      <w:iCs/>
      <w:sz w:val="24"/>
      <w:szCs w:val="24"/>
    </w:rPr>
  </w:style>
  <w:style w:type="character" w:customStyle="1" w:styleId="Heading5Char">
    <w:name w:val="Heading 5 Char"/>
    <w:basedOn w:val="DefaultParagraphFont"/>
    <w:link w:val="Heading5"/>
    <w:rsid w:val="00390E69"/>
    <w:rPr>
      <w:rFonts w:asciiTheme="majorHAnsi" w:eastAsiaTheme="majorEastAsia" w:hAnsiTheme="majorHAnsi" w:cstheme="majorBidi"/>
      <w:bCs/>
      <w:color w:val="243F60" w:themeColor="accent1" w:themeShade="7F"/>
      <w:sz w:val="24"/>
      <w:szCs w:val="26"/>
    </w:rPr>
  </w:style>
  <w:style w:type="character" w:customStyle="1" w:styleId="Heading6Char">
    <w:name w:val="Heading 6 Char"/>
    <w:basedOn w:val="DefaultParagraphFont"/>
    <w:link w:val="Heading6"/>
    <w:rsid w:val="00390E69"/>
    <w:rPr>
      <w:rFonts w:asciiTheme="majorHAnsi" w:eastAsiaTheme="majorEastAsia" w:hAnsiTheme="majorHAnsi" w:cstheme="majorBidi"/>
      <w:bCs/>
      <w:i/>
      <w:iCs/>
      <w:color w:val="243F60" w:themeColor="accent1" w:themeShade="7F"/>
      <w:sz w:val="24"/>
      <w:szCs w:val="26"/>
    </w:rPr>
  </w:style>
  <w:style w:type="character" w:customStyle="1" w:styleId="Heading7Char">
    <w:name w:val="Heading 7 Char"/>
    <w:basedOn w:val="DefaultParagraphFont"/>
    <w:link w:val="Heading7"/>
    <w:rsid w:val="00390E69"/>
    <w:rPr>
      <w:rFonts w:asciiTheme="majorHAnsi" w:eastAsiaTheme="majorEastAsia" w:hAnsiTheme="majorHAnsi" w:cstheme="majorBidi"/>
      <w:bCs/>
      <w:i/>
      <w:iCs/>
      <w:color w:val="404040" w:themeColor="text1" w:themeTint="BF"/>
      <w:sz w:val="24"/>
      <w:szCs w:val="26"/>
    </w:rPr>
  </w:style>
  <w:style w:type="character" w:customStyle="1" w:styleId="Heading8Char">
    <w:name w:val="Heading 8 Char"/>
    <w:basedOn w:val="DefaultParagraphFont"/>
    <w:link w:val="Heading8"/>
    <w:rsid w:val="00390E69"/>
    <w:rPr>
      <w:rFonts w:asciiTheme="majorHAnsi" w:eastAsiaTheme="majorEastAsia" w:hAnsiTheme="majorHAnsi" w:cstheme="majorBidi"/>
      <w:bCs/>
      <w:color w:val="404040" w:themeColor="text1" w:themeTint="BF"/>
      <w:sz w:val="20"/>
      <w:szCs w:val="20"/>
    </w:rPr>
  </w:style>
  <w:style w:type="character" w:customStyle="1" w:styleId="Heading9Char">
    <w:name w:val="Heading 9 Char"/>
    <w:basedOn w:val="DefaultParagraphFont"/>
    <w:link w:val="Heading9"/>
    <w:rsid w:val="00390E69"/>
    <w:rPr>
      <w:rFonts w:asciiTheme="majorHAnsi" w:eastAsiaTheme="majorEastAsia" w:hAnsiTheme="majorHAnsi" w:cstheme="majorBidi"/>
      <w:bCs/>
      <w:i/>
      <w:iCs/>
      <w:color w:val="404040" w:themeColor="text1" w:themeTint="BF"/>
      <w:sz w:val="20"/>
      <w:szCs w:val="20"/>
    </w:rPr>
  </w:style>
  <w:style w:type="character" w:customStyle="1" w:styleId="Heading3Char">
    <w:name w:val="Heading 3 Char"/>
    <w:basedOn w:val="DefaultParagraphFont"/>
    <w:link w:val="Heading3"/>
    <w:uiPriority w:val="9"/>
    <w:rsid w:val="00E14D9B"/>
    <w:rPr>
      <w:rFonts w:ascii="Arial" w:eastAsia="Times New Roman" w:hAnsi="Arial" w:cs="Times New Roman"/>
      <w:bCs/>
      <w:iCs/>
      <w:sz w:val="24"/>
      <w:szCs w:val="24"/>
    </w:rPr>
  </w:style>
  <w:style w:type="paragraph" w:styleId="NormalWeb">
    <w:name w:val="Normal (Web)"/>
    <w:basedOn w:val="Normal"/>
    <w:uiPriority w:val="99"/>
    <w:unhideWhenUsed/>
    <w:rsid w:val="00E93387"/>
    <w:pPr>
      <w:spacing w:before="100" w:beforeAutospacing="1" w:after="100" w:afterAutospacing="1"/>
    </w:pPr>
    <w:rPr>
      <w:rFonts w:ascii="Times New Roman" w:eastAsia="Times New Roman" w:hAnsi="Times New Roman" w:cs="Times New Roman"/>
      <w:sz w:val="24"/>
      <w:szCs w:val="24"/>
      <w:lang w:eastAsia="en-GB"/>
    </w:rPr>
  </w:style>
  <w:style w:type="paragraph" w:styleId="Subtitle">
    <w:name w:val="Subtitle"/>
    <w:basedOn w:val="Normal"/>
    <w:next w:val="Normal"/>
    <w:link w:val="SubtitleChar"/>
    <w:uiPriority w:val="11"/>
    <w:qFormat/>
    <w:rsid w:val="0040368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03684"/>
    <w:rPr>
      <w:rFonts w:asciiTheme="majorHAnsi" w:eastAsiaTheme="majorEastAsia" w:hAnsiTheme="majorHAnsi" w:cstheme="majorBidi"/>
      <w:i/>
      <w:iCs/>
      <w:color w:val="4F81BD" w:themeColor="accent1"/>
      <w:spacing w:val="15"/>
      <w:sz w:val="24"/>
      <w:szCs w:val="24"/>
    </w:rPr>
  </w:style>
  <w:style w:type="paragraph" w:styleId="BodyTextIndent">
    <w:name w:val="Body Text Indent"/>
    <w:basedOn w:val="Normal"/>
    <w:link w:val="BodyTextIndentChar"/>
    <w:rsid w:val="00C80BDA"/>
    <w:pPr>
      <w:tabs>
        <w:tab w:val="left" w:pos="0"/>
        <w:tab w:val="left" w:pos="720"/>
      </w:tabs>
      <w:suppressAutoHyphens/>
      <w:overflowPunct w:val="0"/>
      <w:autoSpaceDE w:val="0"/>
      <w:autoSpaceDN w:val="0"/>
      <w:adjustRightInd w:val="0"/>
      <w:spacing w:line="240" w:lineRule="atLeast"/>
      <w:ind w:left="1440" w:hanging="1440"/>
      <w:textAlignment w:val="baseline"/>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C80BDA"/>
    <w:rPr>
      <w:rFonts w:ascii="Times New Roman" w:eastAsia="Times New Roman" w:hAnsi="Times New Roman" w:cs="Times New Roman"/>
      <w:szCs w:val="20"/>
    </w:rPr>
  </w:style>
  <w:style w:type="paragraph" w:customStyle="1" w:styleId="DefaultParagraphFontParaCharCharCharCharCharCharCharCharCharCharCharCharCharCharCharCharCharChar">
    <w:name w:val="Default Paragraph Font Para Char Char Char Char Char Char Char Char Char Char Char Char Char Char Char Char Char Char"/>
    <w:basedOn w:val="Normal"/>
    <w:rsid w:val="00C80BDA"/>
    <w:pPr>
      <w:spacing w:after="160" w:line="240" w:lineRule="exact"/>
    </w:pPr>
    <w:rPr>
      <w:rFonts w:ascii="Verdana" w:eastAsia="Times New Roman" w:hAnsi="Verdana" w:cs="Times New Roman"/>
      <w:sz w:val="20"/>
      <w:szCs w:val="20"/>
      <w:lang w:val="en-US"/>
    </w:rPr>
  </w:style>
  <w:style w:type="paragraph" w:styleId="TOC1">
    <w:name w:val="toc 1"/>
    <w:basedOn w:val="Normal"/>
    <w:next w:val="Normal"/>
    <w:autoRedefine/>
    <w:uiPriority w:val="39"/>
    <w:unhideWhenUsed/>
    <w:rsid w:val="00C80BDA"/>
    <w:pPr>
      <w:spacing w:after="100"/>
    </w:pPr>
  </w:style>
  <w:style w:type="paragraph" w:styleId="TOC2">
    <w:name w:val="toc 2"/>
    <w:basedOn w:val="Normal"/>
    <w:next w:val="Normal"/>
    <w:autoRedefine/>
    <w:uiPriority w:val="39"/>
    <w:unhideWhenUsed/>
    <w:rsid w:val="00C80BDA"/>
    <w:pPr>
      <w:spacing w:after="100"/>
      <w:ind w:left="220"/>
    </w:pPr>
  </w:style>
  <w:style w:type="character" w:styleId="Hyperlink">
    <w:name w:val="Hyperlink"/>
    <w:basedOn w:val="DefaultParagraphFont"/>
    <w:uiPriority w:val="99"/>
    <w:unhideWhenUsed/>
    <w:rsid w:val="00C80BDA"/>
    <w:rPr>
      <w:color w:val="0000FF" w:themeColor="hyperlink"/>
      <w:u w:val="single"/>
    </w:rPr>
  </w:style>
  <w:style w:type="paragraph" w:styleId="Header">
    <w:name w:val="header"/>
    <w:basedOn w:val="Normal"/>
    <w:link w:val="HeaderChar"/>
    <w:uiPriority w:val="99"/>
    <w:unhideWhenUsed/>
    <w:rsid w:val="006415AA"/>
    <w:pPr>
      <w:tabs>
        <w:tab w:val="center" w:pos="4513"/>
        <w:tab w:val="right" w:pos="9026"/>
      </w:tabs>
    </w:pPr>
  </w:style>
  <w:style w:type="character" w:customStyle="1" w:styleId="HeaderChar">
    <w:name w:val="Header Char"/>
    <w:basedOn w:val="DefaultParagraphFont"/>
    <w:link w:val="Header"/>
    <w:uiPriority w:val="99"/>
    <w:rsid w:val="006415AA"/>
    <w:rPr>
      <w:rFonts w:ascii="Calibri" w:hAnsi="Calibri" w:cs="Calibri"/>
    </w:rPr>
  </w:style>
  <w:style w:type="paragraph" w:styleId="Footer">
    <w:name w:val="footer"/>
    <w:basedOn w:val="Normal"/>
    <w:link w:val="FooterChar"/>
    <w:uiPriority w:val="99"/>
    <w:unhideWhenUsed/>
    <w:rsid w:val="006415AA"/>
    <w:pPr>
      <w:tabs>
        <w:tab w:val="center" w:pos="4513"/>
        <w:tab w:val="right" w:pos="9026"/>
      </w:tabs>
    </w:pPr>
  </w:style>
  <w:style w:type="character" w:customStyle="1" w:styleId="FooterChar">
    <w:name w:val="Footer Char"/>
    <w:basedOn w:val="DefaultParagraphFont"/>
    <w:link w:val="Footer"/>
    <w:uiPriority w:val="99"/>
    <w:rsid w:val="006415AA"/>
    <w:rPr>
      <w:rFonts w:ascii="Calibri" w:hAnsi="Calibri" w:cs="Calibri"/>
    </w:rPr>
  </w:style>
  <w:style w:type="paragraph" w:styleId="BalloonText">
    <w:name w:val="Balloon Text"/>
    <w:basedOn w:val="Normal"/>
    <w:link w:val="BalloonTextChar"/>
    <w:uiPriority w:val="99"/>
    <w:semiHidden/>
    <w:unhideWhenUsed/>
    <w:rsid w:val="006415AA"/>
    <w:rPr>
      <w:rFonts w:ascii="Tahoma" w:hAnsi="Tahoma" w:cs="Tahoma"/>
      <w:sz w:val="16"/>
      <w:szCs w:val="16"/>
    </w:rPr>
  </w:style>
  <w:style w:type="character" w:customStyle="1" w:styleId="BalloonTextChar">
    <w:name w:val="Balloon Text Char"/>
    <w:basedOn w:val="DefaultParagraphFont"/>
    <w:link w:val="BalloonText"/>
    <w:uiPriority w:val="99"/>
    <w:semiHidden/>
    <w:rsid w:val="006415AA"/>
    <w:rPr>
      <w:rFonts w:ascii="Tahoma" w:hAnsi="Tahoma" w:cs="Tahoma"/>
      <w:sz w:val="16"/>
      <w:szCs w:val="16"/>
    </w:rPr>
  </w:style>
  <w:style w:type="table" w:styleId="TableGrid">
    <w:name w:val="Table Grid"/>
    <w:basedOn w:val="TableNormal"/>
    <w:uiPriority w:val="59"/>
    <w:rsid w:val="00017D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33374"/>
    <w:pPr>
      <w:autoSpaceDE w:val="0"/>
      <w:autoSpaceDN w:val="0"/>
      <w:adjustRightInd w:val="0"/>
      <w:spacing w:after="0" w:line="240" w:lineRule="auto"/>
    </w:pPr>
    <w:rPr>
      <w:rFonts w:ascii="Arial" w:eastAsia="HGSMinchoE" w:hAnsi="Arial" w:cs="Arial"/>
      <w:color w:val="000000"/>
      <w:sz w:val="24"/>
      <w:szCs w:val="24"/>
      <w:lang w:eastAsia="en-GB"/>
    </w:rPr>
  </w:style>
  <w:style w:type="character" w:styleId="CommentReference">
    <w:name w:val="annotation reference"/>
    <w:basedOn w:val="DefaultParagraphFont"/>
    <w:uiPriority w:val="99"/>
    <w:semiHidden/>
    <w:unhideWhenUsed/>
    <w:rsid w:val="00DD1F6B"/>
    <w:rPr>
      <w:sz w:val="16"/>
      <w:szCs w:val="16"/>
    </w:rPr>
  </w:style>
  <w:style w:type="paragraph" w:styleId="CommentText">
    <w:name w:val="annotation text"/>
    <w:basedOn w:val="Normal"/>
    <w:link w:val="CommentTextChar"/>
    <w:uiPriority w:val="99"/>
    <w:semiHidden/>
    <w:unhideWhenUsed/>
    <w:rsid w:val="00DD1F6B"/>
    <w:rPr>
      <w:sz w:val="20"/>
      <w:szCs w:val="20"/>
    </w:rPr>
  </w:style>
  <w:style w:type="character" w:customStyle="1" w:styleId="CommentTextChar">
    <w:name w:val="Comment Text Char"/>
    <w:basedOn w:val="DefaultParagraphFont"/>
    <w:link w:val="CommentText"/>
    <w:uiPriority w:val="99"/>
    <w:semiHidden/>
    <w:rsid w:val="00DD1F6B"/>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D1F6B"/>
    <w:rPr>
      <w:b/>
      <w:bCs/>
    </w:rPr>
  </w:style>
  <w:style w:type="character" w:customStyle="1" w:styleId="CommentSubjectChar">
    <w:name w:val="Comment Subject Char"/>
    <w:basedOn w:val="CommentTextChar"/>
    <w:link w:val="CommentSubject"/>
    <w:uiPriority w:val="99"/>
    <w:semiHidden/>
    <w:rsid w:val="00DD1F6B"/>
    <w:rPr>
      <w:rFonts w:ascii="Calibri" w:hAnsi="Calibri" w:cs="Calibri"/>
      <w:b/>
      <w:bCs/>
      <w:sz w:val="20"/>
      <w:szCs w:val="20"/>
    </w:rPr>
  </w:style>
  <w:style w:type="character" w:customStyle="1" w:styleId="ListParagraphChar">
    <w:name w:val="List Paragraph Char"/>
    <w:aliases w:val="Text bullets 1 Char"/>
    <w:basedOn w:val="DefaultParagraphFont"/>
    <w:link w:val="ListParagraph"/>
    <w:uiPriority w:val="99"/>
    <w:rsid w:val="009E44E4"/>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B18"/>
    <w:pPr>
      <w:spacing w:after="0" w:line="240" w:lineRule="auto"/>
    </w:pPr>
    <w:rPr>
      <w:rFonts w:ascii="Calibri" w:hAnsi="Calibri" w:cs="Calibri"/>
    </w:rPr>
  </w:style>
  <w:style w:type="paragraph" w:styleId="Heading1">
    <w:name w:val="heading 1"/>
    <w:basedOn w:val="Normal"/>
    <w:next w:val="Normal"/>
    <w:link w:val="Heading1Char"/>
    <w:uiPriority w:val="9"/>
    <w:qFormat/>
    <w:rsid w:val="008466DA"/>
    <w:pPr>
      <w:spacing w:before="240" w:after="240" w:line="276" w:lineRule="auto"/>
      <w:ind w:left="-142"/>
      <w:outlineLvl w:val="0"/>
    </w:pPr>
    <w:rPr>
      <w:rFonts w:ascii="Arial" w:eastAsia="BatangChe" w:hAnsi="Arial" w:cs="Arial"/>
      <w:b/>
      <w:bCs/>
      <w:color w:val="0072C6"/>
      <w:kern w:val="32"/>
      <w:sz w:val="32"/>
      <w:szCs w:val="32"/>
    </w:rPr>
  </w:style>
  <w:style w:type="paragraph" w:styleId="Heading2">
    <w:name w:val="heading 2"/>
    <w:basedOn w:val="Normal"/>
    <w:next w:val="Normal"/>
    <w:link w:val="Heading2Char"/>
    <w:uiPriority w:val="9"/>
    <w:unhideWhenUsed/>
    <w:qFormat/>
    <w:rsid w:val="00017D75"/>
    <w:pPr>
      <w:numPr>
        <w:numId w:val="3"/>
      </w:numPr>
      <w:spacing w:before="240" w:after="240" w:line="360" w:lineRule="auto"/>
      <w:outlineLvl w:val="1"/>
    </w:pPr>
    <w:rPr>
      <w:rFonts w:ascii="Arial" w:eastAsia="Times New Roman" w:hAnsi="Arial" w:cs="Times New Roman"/>
      <w:b/>
      <w:bCs/>
      <w:iCs/>
      <w:sz w:val="28"/>
      <w:szCs w:val="28"/>
    </w:rPr>
  </w:style>
  <w:style w:type="paragraph" w:styleId="Heading3">
    <w:name w:val="heading 3"/>
    <w:basedOn w:val="Heading2"/>
    <w:next w:val="Normal"/>
    <w:link w:val="Heading3Char"/>
    <w:uiPriority w:val="9"/>
    <w:unhideWhenUsed/>
    <w:qFormat/>
    <w:rsid w:val="00E14D9B"/>
    <w:pPr>
      <w:numPr>
        <w:ilvl w:val="1"/>
      </w:numPr>
      <w:outlineLvl w:val="2"/>
    </w:pPr>
    <w:rPr>
      <w:b w:val="0"/>
      <w:sz w:val="24"/>
      <w:szCs w:val="24"/>
    </w:rPr>
  </w:style>
  <w:style w:type="paragraph" w:styleId="Heading4">
    <w:name w:val="heading 4"/>
    <w:basedOn w:val="Heading2"/>
    <w:next w:val="Normal"/>
    <w:link w:val="Heading4Char"/>
    <w:unhideWhenUsed/>
    <w:qFormat/>
    <w:rsid w:val="00C80BDA"/>
    <w:pPr>
      <w:numPr>
        <w:ilvl w:val="2"/>
      </w:numPr>
      <w:outlineLvl w:val="3"/>
    </w:pPr>
    <w:rPr>
      <w:b w:val="0"/>
      <w:sz w:val="24"/>
      <w:szCs w:val="24"/>
    </w:rPr>
  </w:style>
  <w:style w:type="paragraph" w:styleId="Heading5">
    <w:name w:val="heading 5"/>
    <w:basedOn w:val="Normal"/>
    <w:next w:val="Normal"/>
    <w:link w:val="Heading5Char"/>
    <w:unhideWhenUsed/>
    <w:qFormat/>
    <w:rsid w:val="00390E69"/>
    <w:pPr>
      <w:keepNext/>
      <w:keepLines/>
      <w:numPr>
        <w:ilvl w:val="4"/>
        <w:numId w:val="1"/>
      </w:numPr>
      <w:spacing w:before="200"/>
      <w:outlineLvl w:val="4"/>
    </w:pPr>
    <w:rPr>
      <w:rFonts w:asciiTheme="majorHAnsi" w:eastAsiaTheme="majorEastAsia" w:hAnsiTheme="majorHAnsi" w:cstheme="majorBidi"/>
      <w:bCs/>
      <w:color w:val="243F60" w:themeColor="accent1" w:themeShade="7F"/>
      <w:sz w:val="24"/>
      <w:szCs w:val="26"/>
    </w:rPr>
  </w:style>
  <w:style w:type="paragraph" w:styleId="Heading6">
    <w:name w:val="heading 6"/>
    <w:basedOn w:val="Normal"/>
    <w:next w:val="Normal"/>
    <w:link w:val="Heading6Char"/>
    <w:unhideWhenUsed/>
    <w:qFormat/>
    <w:rsid w:val="00390E69"/>
    <w:pPr>
      <w:keepNext/>
      <w:keepLines/>
      <w:numPr>
        <w:ilvl w:val="5"/>
        <w:numId w:val="1"/>
      </w:numPr>
      <w:spacing w:before="200"/>
      <w:outlineLvl w:val="5"/>
    </w:pPr>
    <w:rPr>
      <w:rFonts w:asciiTheme="majorHAnsi" w:eastAsiaTheme="majorEastAsia" w:hAnsiTheme="majorHAnsi" w:cstheme="majorBidi"/>
      <w:bCs/>
      <w:i/>
      <w:iCs/>
      <w:color w:val="243F60" w:themeColor="accent1" w:themeShade="7F"/>
      <w:sz w:val="24"/>
      <w:szCs w:val="26"/>
    </w:rPr>
  </w:style>
  <w:style w:type="paragraph" w:styleId="Heading7">
    <w:name w:val="heading 7"/>
    <w:basedOn w:val="Normal"/>
    <w:next w:val="Normal"/>
    <w:link w:val="Heading7Char"/>
    <w:unhideWhenUsed/>
    <w:qFormat/>
    <w:rsid w:val="00390E69"/>
    <w:pPr>
      <w:keepNext/>
      <w:keepLines/>
      <w:numPr>
        <w:ilvl w:val="6"/>
        <w:numId w:val="1"/>
      </w:numPr>
      <w:spacing w:before="200"/>
      <w:outlineLvl w:val="6"/>
    </w:pPr>
    <w:rPr>
      <w:rFonts w:asciiTheme="majorHAnsi" w:eastAsiaTheme="majorEastAsia" w:hAnsiTheme="majorHAnsi" w:cstheme="majorBidi"/>
      <w:bCs/>
      <w:i/>
      <w:iCs/>
      <w:color w:val="404040" w:themeColor="text1" w:themeTint="BF"/>
      <w:sz w:val="24"/>
      <w:szCs w:val="26"/>
    </w:rPr>
  </w:style>
  <w:style w:type="paragraph" w:styleId="Heading8">
    <w:name w:val="heading 8"/>
    <w:basedOn w:val="Normal"/>
    <w:next w:val="Normal"/>
    <w:link w:val="Heading8Char"/>
    <w:unhideWhenUsed/>
    <w:qFormat/>
    <w:rsid w:val="00390E69"/>
    <w:pPr>
      <w:keepNext/>
      <w:keepLines/>
      <w:numPr>
        <w:ilvl w:val="7"/>
        <w:numId w:val="1"/>
      </w:numPr>
      <w:spacing w:before="200"/>
      <w:outlineLvl w:val="7"/>
    </w:pPr>
    <w:rPr>
      <w:rFonts w:asciiTheme="majorHAnsi" w:eastAsiaTheme="majorEastAsia" w:hAnsiTheme="majorHAnsi" w:cstheme="majorBidi"/>
      <w:bCs/>
      <w:color w:val="404040" w:themeColor="text1" w:themeTint="BF"/>
      <w:sz w:val="20"/>
      <w:szCs w:val="20"/>
    </w:rPr>
  </w:style>
  <w:style w:type="paragraph" w:styleId="Heading9">
    <w:name w:val="heading 9"/>
    <w:basedOn w:val="Normal"/>
    <w:next w:val="Normal"/>
    <w:link w:val="Heading9Char"/>
    <w:unhideWhenUsed/>
    <w:qFormat/>
    <w:rsid w:val="00390E69"/>
    <w:pPr>
      <w:keepNext/>
      <w:keepLines/>
      <w:numPr>
        <w:ilvl w:val="8"/>
        <w:numId w:val="1"/>
      </w:numPr>
      <w:spacing w:before="200"/>
      <w:outlineLvl w:val="8"/>
    </w:pPr>
    <w:rPr>
      <w:rFonts w:asciiTheme="majorHAnsi" w:eastAsiaTheme="majorEastAsia" w:hAnsiTheme="majorHAnsi" w:cstheme="majorBidi"/>
      <w:bCs/>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ext bullets 1"/>
    <w:basedOn w:val="Normal"/>
    <w:link w:val="ListParagraphChar"/>
    <w:uiPriority w:val="99"/>
    <w:qFormat/>
    <w:rsid w:val="00613B18"/>
    <w:pPr>
      <w:ind w:left="720"/>
    </w:pPr>
  </w:style>
  <w:style w:type="paragraph" w:styleId="Title">
    <w:name w:val="Title"/>
    <w:basedOn w:val="Normal"/>
    <w:next w:val="Normal"/>
    <w:link w:val="TitleChar"/>
    <w:qFormat/>
    <w:rsid w:val="00390E69"/>
    <w:rPr>
      <w:rFonts w:ascii="Arial" w:eastAsia="Times New Roman" w:hAnsi="Arial" w:cs="Times New Roman"/>
      <w:b/>
      <w:bCs/>
      <w:color w:val="1F497D" w:themeColor="text2"/>
      <w:sz w:val="80"/>
      <w:szCs w:val="80"/>
    </w:rPr>
  </w:style>
  <w:style w:type="character" w:customStyle="1" w:styleId="TitleChar">
    <w:name w:val="Title Char"/>
    <w:basedOn w:val="DefaultParagraphFont"/>
    <w:link w:val="Title"/>
    <w:rsid w:val="00390E69"/>
    <w:rPr>
      <w:rFonts w:ascii="Arial" w:eastAsia="Times New Roman" w:hAnsi="Arial" w:cs="Times New Roman"/>
      <w:b/>
      <w:bCs/>
      <w:color w:val="1F497D" w:themeColor="text2"/>
      <w:sz w:val="80"/>
      <w:szCs w:val="80"/>
    </w:rPr>
  </w:style>
  <w:style w:type="character" w:customStyle="1" w:styleId="Heading1Char">
    <w:name w:val="Heading 1 Char"/>
    <w:basedOn w:val="DefaultParagraphFont"/>
    <w:link w:val="Heading1"/>
    <w:uiPriority w:val="9"/>
    <w:rsid w:val="008466DA"/>
    <w:rPr>
      <w:rFonts w:ascii="Arial" w:eastAsia="BatangChe" w:hAnsi="Arial" w:cs="Arial"/>
      <w:b/>
      <w:bCs/>
      <w:color w:val="0072C6"/>
      <w:kern w:val="32"/>
      <w:sz w:val="32"/>
      <w:szCs w:val="32"/>
    </w:rPr>
  </w:style>
  <w:style w:type="character" w:customStyle="1" w:styleId="Heading2Char">
    <w:name w:val="Heading 2 Char"/>
    <w:basedOn w:val="DefaultParagraphFont"/>
    <w:link w:val="Heading2"/>
    <w:uiPriority w:val="9"/>
    <w:rsid w:val="00017D75"/>
    <w:rPr>
      <w:rFonts w:ascii="Arial" w:eastAsia="Times New Roman" w:hAnsi="Arial" w:cs="Times New Roman"/>
      <w:b/>
      <w:bCs/>
      <w:iCs/>
      <w:sz w:val="28"/>
      <w:szCs w:val="28"/>
    </w:rPr>
  </w:style>
  <w:style w:type="character" w:customStyle="1" w:styleId="Heading4Char">
    <w:name w:val="Heading 4 Char"/>
    <w:basedOn w:val="DefaultParagraphFont"/>
    <w:link w:val="Heading4"/>
    <w:rsid w:val="00C80BDA"/>
    <w:rPr>
      <w:rFonts w:ascii="Arial" w:eastAsia="Times New Roman" w:hAnsi="Arial" w:cs="Times New Roman"/>
      <w:bCs/>
      <w:iCs/>
      <w:sz w:val="24"/>
      <w:szCs w:val="24"/>
    </w:rPr>
  </w:style>
  <w:style w:type="character" w:customStyle="1" w:styleId="Heading5Char">
    <w:name w:val="Heading 5 Char"/>
    <w:basedOn w:val="DefaultParagraphFont"/>
    <w:link w:val="Heading5"/>
    <w:rsid w:val="00390E69"/>
    <w:rPr>
      <w:rFonts w:asciiTheme="majorHAnsi" w:eastAsiaTheme="majorEastAsia" w:hAnsiTheme="majorHAnsi" w:cstheme="majorBidi"/>
      <w:bCs/>
      <w:color w:val="243F60" w:themeColor="accent1" w:themeShade="7F"/>
      <w:sz w:val="24"/>
      <w:szCs w:val="26"/>
    </w:rPr>
  </w:style>
  <w:style w:type="character" w:customStyle="1" w:styleId="Heading6Char">
    <w:name w:val="Heading 6 Char"/>
    <w:basedOn w:val="DefaultParagraphFont"/>
    <w:link w:val="Heading6"/>
    <w:rsid w:val="00390E69"/>
    <w:rPr>
      <w:rFonts w:asciiTheme="majorHAnsi" w:eastAsiaTheme="majorEastAsia" w:hAnsiTheme="majorHAnsi" w:cstheme="majorBidi"/>
      <w:bCs/>
      <w:i/>
      <w:iCs/>
      <w:color w:val="243F60" w:themeColor="accent1" w:themeShade="7F"/>
      <w:sz w:val="24"/>
      <w:szCs w:val="26"/>
    </w:rPr>
  </w:style>
  <w:style w:type="character" w:customStyle="1" w:styleId="Heading7Char">
    <w:name w:val="Heading 7 Char"/>
    <w:basedOn w:val="DefaultParagraphFont"/>
    <w:link w:val="Heading7"/>
    <w:rsid w:val="00390E69"/>
    <w:rPr>
      <w:rFonts w:asciiTheme="majorHAnsi" w:eastAsiaTheme="majorEastAsia" w:hAnsiTheme="majorHAnsi" w:cstheme="majorBidi"/>
      <w:bCs/>
      <w:i/>
      <w:iCs/>
      <w:color w:val="404040" w:themeColor="text1" w:themeTint="BF"/>
      <w:sz w:val="24"/>
      <w:szCs w:val="26"/>
    </w:rPr>
  </w:style>
  <w:style w:type="character" w:customStyle="1" w:styleId="Heading8Char">
    <w:name w:val="Heading 8 Char"/>
    <w:basedOn w:val="DefaultParagraphFont"/>
    <w:link w:val="Heading8"/>
    <w:rsid w:val="00390E69"/>
    <w:rPr>
      <w:rFonts w:asciiTheme="majorHAnsi" w:eastAsiaTheme="majorEastAsia" w:hAnsiTheme="majorHAnsi" w:cstheme="majorBidi"/>
      <w:bCs/>
      <w:color w:val="404040" w:themeColor="text1" w:themeTint="BF"/>
      <w:sz w:val="20"/>
      <w:szCs w:val="20"/>
    </w:rPr>
  </w:style>
  <w:style w:type="character" w:customStyle="1" w:styleId="Heading9Char">
    <w:name w:val="Heading 9 Char"/>
    <w:basedOn w:val="DefaultParagraphFont"/>
    <w:link w:val="Heading9"/>
    <w:rsid w:val="00390E69"/>
    <w:rPr>
      <w:rFonts w:asciiTheme="majorHAnsi" w:eastAsiaTheme="majorEastAsia" w:hAnsiTheme="majorHAnsi" w:cstheme="majorBidi"/>
      <w:bCs/>
      <w:i/>
      <w:iCs/>
      <w:color w:val="404040" w:themeColor="text1" w:themeTint="BF"/>
      <w:sz w:val="20"/>
      <w:szCs w:val="20"/>
    </w:rPr>
  </w:style>
  <w:style w:type="character" w:customStyle="1" w:styleId="Heading3Char">
    <w:name w:val="Heading 3 Char"/>
    <w:basedOn w:val="DefaultParagraphFont"/>
    <w:link w:val="Heading3"/>
    <w:uiPriority w:val="9"/>
    <w:rsid w:val="00E14D9B"/>
    <w:rPr>
      <w:rFonts w:ascii="Arial" w:eastAsia="Times New Roman" w:hAnsi="Arial" w:cs="Times New Roman"/>
      <w:bCs/>
      <w:iCs/>
      <w:sz w:val="24"/>
      <w:szCs w:val="24"/>
    </w:rPr>
  </w:style>
  <w:style w:type="paragraph" w:styleId="NormalWeb">
    <w:name w:val="Normal (Web)"/>
    <w:basedOn w:val="Normal"/>
    <w:uiPriority w:val="99"/>
    <w:unhideWhenUsed/>
    <w:rsid w:val="00E93387"/>
    <w:pPr>
      <w:spacing w:before="100" w:beforeAutospacing="1" w:after="100" w:afterAutospacing="1"/>
    </w:pPr>
    <w:rPr>
      <w:rFonts w:ascii="Times New Roman" w:eastAsia="Times New Roman" w:hAnsi="Times New Roman" w:cs="Times New Roman"/>
      <w:sz w:val="24"/>
      <w:szCs w:val="24"/>
      <w:lang w:eastAsia="en-GB"/>
    </w:rPr>
  </w:style>
  <w:style w:type="paragraph" w:styleId="Subtitle">
    <w:name w:val="Subtitle"/>
    <w:basedOn w:val="Normal"/>
    <w:next w:val="Normal"/>
    <w:link w:val="SubtitleChar"/>
    <w:uiPriority w:val="11"/>
    <w:qFormat/>
    <w:rsid w:val="0040368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03684"/>
    <w:rPr>
      <w:rFonts w:asciiTheme="majorHAnsi" w:eastAsiaTheme="majorEastAsia" w:hAnsiTheme="majorHAnsi" w:cstheme="majorBidi"/>
      <w:i/>
      <w:iCs/>
      <w:color w:val="4F81BD" w:themeColor="accent1"/>
      <w:spacing w:val="15"/>
      <w:sz w:val="24"/>
      <w:szCs w:val="24"/>
    </w:rPr>
  </w:style>
  <w:style w:type="paragraph" w:styleId="BodyTextIndent">
    <w:name w:val="Body Text Indent"/>
    <w:basedOn w:val="Normal"/>
    <w:link w:val="BodyTextIndentChar"/>
    <w:rsid w:val="00C80BDA"/>
    <w:pPr>
      <w:tabs>
        <w:tab w:val="left" w:pos="0"/>
        <w:tab w:val="left" w:pos="720"/>
      </w:tabs>
      <w:suppressAutoHyphens/>
      <w:overflowPunct w:val="0"/>
      <w:autoSpaceDE w:val="0"/>
      <w:autoSpaceDN w:val="0"/>
      <w:adjustRightInd w:val="0"/>
      <w:spacing w:line="240" w:lineRule="atLeast"/>
      <w:ind w:left="1440" w:hanging="1440"/>
      <w:textAlignment w:val="baseline"/>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C80BDA"/>
    <w:rPr>
      <w:rFonts w:ascii="Times New Roman" w:eastAsia="Times New Roman" w:hAnsi="Times New Roman" w:cs="Times New Roman"/>
      <w:szCs w:val="20"/>
    </w:rPr>
  </w:style>
  <w:style w:type="paragraph" w:customStyle="1" w:styleId="DefaultParagraphFontParaCharCharCharCharCharCharCharCharCharCharCharCharCharCharCharCharCharChar">
    <w:name w:val="Default Paragraph Font Para Char Char Char Char Char Char Char Char Char Char Char Char Char Char Char Char Char Char"/>
    <w:basedOn w:val="Normal"/>
    <w:rsid w:val="00C80BDA"/>
    <w:pPr>
      <w:spacing w:after="160" w:line="240" w:lineRule="exact"/>
    </w:pPr>
    <w:rPr>
      <w:rFonts w:ascii="Verdana" w:eastAsia="Times New Roman" w:hAnsi="Verdana" w:cs="Times New Roman"/>
      <w:sz w:val="20"/>
      <w:szCs w:val="20"/>
      <w:lang w:val="en-US"/>
    </w:rPr>
  </w:style>
  <w:style w:type="paragraph" w:styleId="TOC1">
    <w:name w:val="toc 1"/>
    <w:basedOn w:val="Normal"/>
    <w:next w:val="Normal"/>
    <w:autoRedefine/>
    <w:uiPriority w:val="39"/>
    <w:unhideWhenUsed/>
    <w:rsid w:val="00C80BDA"/>
    <w:pPr>
      <w:spacing w:after="100"/>
    </w:pPr>
  </w:style>
  <w:style w:type="paragraph" w:styleId="TOC2">
    <w:name w:val="toc 2"/>
    <w:basedOn w:val="Normal"/>
    <w:next w:val="Normal"/>
    <w:autoRedefine/>
    <w:uiPriority w:val="39"/>
    <w:unhideWhenUsed/>
    <w:rsid w:val="00C80BDA"/>
    <w:pPr>
      <w:spacing w:after="100"/>
      <w:ind w:left="220"/>
    </w:pPr>
  </w:style>
  <w:style w:type="character" w:styleId="Hyperlink">
    <w:name w:val="Hyperlink"/>
    <w:basedOn w:val="DefaultParagraphFont"/>
    <w:uiPriority w:val="99"/>
    <w:unhideWhenUsed/>
    <w:rsid w:val="00C80BDA"/>
    <w:rPr>
      <w:color w:val="0000FF" w:themeColor="hyperlink"/>
      <w:u w:val="single"/>
    </w:rPr>
  </w:style>
  <w:style w:type="paragraph" w:styleId="Header">
    <w:name w:val="header"/>
    <w:basedOn w:val="Normal"/>
    <w:link w:val="HeaderChar"/>
    <w:uiPriority w:val="99"/>
    <w:unhideWhenUsed/>
    <w:rsid w:val="006415AA"/>
    <w:pPr>
      <w:tabs>
        <w:tab w:val="center" w:pos="4513"/>
        <w:tab w:val="right" w:pos="9026"/>
      </w:tabs>
    </w:pPr>
  </w:style>
  <w:style w:type="character" w:customStyle="1" w:styleId="HeaderChar">
    <w:name w:val="Header Char"/>
    <w:basedOn w:val="DefaultParagraphFont"/>
    <w:link w:val="Header"/>
    <w:uiPriority w:val="99"/>
    <w:rsid w:val="006415AA"/>
    <w:rPr>
      <w:rFonts w:ascii="Calibri" w:hAnsi="Calibri" w:cs="Calibri"/>
    </w:rPr>
  </w:style>
  <w:style w:type="paragraph" w:styleId="Footer">
    <w:name w:val="footer"/>
    <w:basedOn w:val="Normal"/>
    <w:link w:val="FooterChar"/>
    <w:uiPriority w:val="99"/>
    <w:unhideWhenUsed/>
    <w:rsid w:val="006415AA"/>
    <w:pPr>
      <w:tabs>
        <w:tab w:val="center" w:pos="4513"/>
        <w:tab w:val="right" w:pos="9026"/>
      </w:tabs>
    </w:pPr>
  </w:style>
  <w:style w:type="character" w:customStyle="1" w:styleId="FooterChar">
    <w:name w:val="Footer Char"/>
    <w:basedOn w:val="DefaultParagraphFont"/>
    <w:link w:val="Footer"/>
    <w:uiPriority w:val="99"/>
    <w:rsid w:val="006415AA"/>
    <w:rPr>
      <w:rFonts w:ascii="Calibri" w:hAnsi="Calibri" w:cs="Calibri"/>
    </w:rPr>
  </w:style>
  <w:style w:type="paragraph" w:styleId="BalloonText">
    <w:name w:val="Balloon Text"/>
    <w:basedOn w:val="Normal"/>
    <w:link w:val="BalloonTextChar"/>
    <w:uiPriority w:val="99"/>
    <w:semiHidden/>
    <w:unhideWhenUsed/>
    <w:rsid w:val="006415AA"/>
    <w:rPr>
      <w:rFonts w:ascii="Tahoma" w:hAnsi="Tahoma" w:cs="Tahoma"/>
      <w:sz w:val="16"/>
      <w:szCs w:val="16"/>
    </w:rPr>
  </w:style>
  <w:style w:type="character" w:customStyle="1" w:styleId="BalloonTextChar">
    <w:name w:val="Balloon Text Char"/>
    <w:basedOn w:val="DefaultParagraphFont"/>
    <w:link w:val="BalloonText"/>
    <w:uiPriority w:val="99"/>
    <w:semiHidden/>
    <w:rsid w:val="006415AA"/>
    <w:rPr>
      <w:rFonts w:ascii="Tahoma" w:hAnsi="Tahoma" w:cs="Tahoma"/>
      <w:sz w:val="16"/>
      <w:szCs w:val="16"/>
    </w:rPr>
  </w:style>
  <w:style w:type="table" w:styleId="TableGrid">
    <w:name w:val="Table Grid"/>
    <w:basedOn w:val="TableNormal"/>
    <w:uiPriority w:val="59"/>
    <w:rsid w:val="00017D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33374"/>
    <w:pPr>
      <w:autoSpaceDE w:val="0"/>
      <w:autoSpaceDN w:val="0"/>
      <w:adjustRightInd w:val="0"/>
      <w:spacing w:after="0" w:line="240" w:lineRule="auto"/>
    </w:pPr>
    <w:rPr>
      <w:rFonts w:ascii="Arial" w:eastAsia="HGSMinchoE" w:hAnsi="Arial" w:cs="Arial"/>
      <w:color w:val="000000"/>
      <w:sz w:val="24"/>
      <w:szCs w:val="24"/>
      <w:lang w:eastAsia="en-GB"/>
    </w:rPr>
  </w:style>
  <w:style w:type="character" w:styleId="CommentReference">
    <w:name w:val="annotation reference"/>
    <w:basedOn w:val="DefaultParagraphFont"/>
    <w:uiPriority w:val="99"/>
    <w:semiHidden/>
    <w:unhideWhenUsed/>
    <w:rsid w:val="00DD1F6B"/>
    <w:rPr>
      <w:sz w:val="16"/>
      <w:szCs w:val="16"/>
    </w:rPr>
  </w:style>
  <w:style w:type="paragraph" w:styleId="CommentText">
    <w:name w:val="annotation text"/>
    <w:basedOn w:val="Normal"/>
    <w:link w:val="CommentTextChar"/>
    <w:uiPriority w:val="99"/>
    <w:semiHidden/>
    <w:unhideWhenUsed/>
    <w:rsid w:val="00DD1F6B"/>
    <w:rPr>
      <w:sz w:val="20"/>
      <w:szCs w:val="20"/>
    </w:rPr>
  </w:style>
  <w:style w:type="character" w:customStyle="1" w:styleId="CommentTextChar">
    <w:name w:val="Comment Text Char"/>
    <w:basedOn w:val="DefaultParagraphFont"/>
    <w:link w:val="CommentText"/>
    <w:uiPriority w:val="99"/>
    <w:semiHidden/>
    <w:rsid w:val="00DD1F6B"/>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D1F6B"/>
    <w:rPr>
      <w:b/>
      <w:bCs/>
    </w:rPr>
  </w:style>
  <w:style w:type="character" w:customStyle="1" w:styleId="CommentSubjectChar">
    <w:name w:val="Comment Subject Char"/>
    <w:basedOn w:val="CommentTextChar"/>
    <w:link w:val="CommentSubject"/>
    <w:uiPriority w:val="99"/>
    <w:semiHidden/>
    <w:rsid w:val="00DD1F6B"/>
    <w:rPr>
      <w:rFonts w:ascii="Calibri" w:hAnsi="Calibri" w:cs="Calibri"/>
      <w:b/>
      <w:bCs/>
      <w:sz w:val="20"/>
      <w:szCs w:val="20"/>
    </w:rPr>
  </w:style>
  <w:style w:type="character" w:customStyle="1" w:styleId="ListParagraphChar">
    <w:name w:val="List Paragraph Char"/>
    <w:aliases w:val="Text bullets 1 Char"/>
    <w:basedOn w:val="DefaultParagraphFont"/>
    <w:link w:val="ListParagraph"/>
    <w:uiPriority w:val="99"/>
    <w:rsid w:val="009E44E4"/>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714">
      <w:bodyDiv w:val="1"/>
      <w:marLeft w:val="0"/>
      <w:marRight w:val="0"/>
      <w:marTop w:val="0"/>
      <w:marBottom w:val="0"/>
      <w:divBdr>
        <w:top w:val="none" w:sz="0" w:space="0" w:color="auto"/>
        <w:left w:val="none" w:sz="0" w:space="0" w:color="auto"/>
        <w:bottom w:val="none" w:sz="0" w:space="0" w:color="auto"/>
        <w:right w:val="none" w:sz="0" w:space="0" w:color="auto"/>
      </w:divBdr>
    </w:div>
    <w:div w:id="12077178">
      <w:bodyDiv w:val="1"/>
      <w:marLeft w:val="0"/>
      <w:marRight w:val="0"/>
      <w:marTop w:val="0"/>
      <w:marBottom w:val="0"/>
      <w:divBdr>
        <w:top w:val="none" w:sz="0" w:space="0" w:color="auto"/>
        <w:left w:val="none" w:sz="0" w:space="0" w:color="auto"/>
        <w:bottom w:val="none" w:sz="0" w:space="0" w:color="auto"/>
        <w:right w:val="none" w:sz="0" w:space="0" w:color="auto"/>
      </w:divBdr>
    </w:div>
    <w:div w:id="41297147">
      <w:bodyDiv w:val="1"/>
      <w:marLeft w:val="0"/>
      <w:marRight w:val="0"/>
      <w:marTop w:val="0"/>
      <w:marBottom w:val="0"/>
      <w:divBdr>
        <w:top w:val="none" w:sz="0" w:space="0" w:color="auto"/>
        <w:left w:val="none" w:sz="0" w:space="0" w:color="auto"/>
        <w:bottom w:val="none" w:sz="0" w:space="0" w:color="auto"/>
        <w:right w:val="none" w:sz="0" w:space="0" w:color="auto"/>
      </w:divBdr>
    </w:div>
    <w:div w:id="222106502">
      <w:bodyDiv w:val="1"/>
      <w:marLeft w:val="0"/>
      <w:marRight w:val="0"/>
      <w:marTop w:val="0"/>
      <w:marBottom w:val="0"/>
      <w:divBdr>
        <w:top w:val="none" w:sz="0" w:space="0" w:color="auto"/>
        <w:left w:val="none" w:sz="0" w:space="0" w:color="auto"/>
        <w:bottom w:val="none" w:sz="0" w:space="0" w:color="auto"/>
        <w:right w:val="none" w:sz="0" w:space="0" w:color="auto"/>
      </w:divBdr>
    </w:div>
    <w:div w:id="591469922">
      <w:bodyDiv w:val="1"/>
      <w:marLeft w:val="0"/>
      <w:marRight w:val="0"/>
      <w:marTop w:val="0"/>
      <w:marBottom w:val="0"/>
      <w:divBdr>
        <w:top w:val="none" w:sz="0" w:space="0" w:color="auto"/>
        <w:left w:val="none" w:sz="0" w:space="0" w:color="auto"/>
        <w:bottom w:val="none" w:sz="0" w:space="0" w:color="auto"/>
        <w:right w:val="none" w:sz="0" w:space="0" w:color="auto"/>
      </w:divBdr>
    </w:div>
    <w:div w:id="649331370">
      <w:bodyDiv w:val="1"/>
      <w:marLeft w:val="0"/>
      <w:marRight w:val="0"/>
      <w:marTop w:val="0"/>
      <w:marBottom w:val="0"/>
      <w:divBdr>
        <w:top w:val="none" w:sz="0" w:space="0" w:color="auto"/>
        <w:left w:val="none" w:sz="0" w:space="0" w:color="auto"/>
        <w:bottom w:val="none" w:sz="0" w:space="0" w:color="auto"/>
        <w:right w:val="none" w:sz="0" w:space="0" w:color="auto"/>
      </w:divBdr>
    </w:div>
    <w:div w:id="856038986">
      <w:bodyDiv w:val="1"/>
      <w:marLeft w:val="0"/>
      <w:marRight w:val="0"/>
      <w:marTop w:val="0"/>
      <w:marBottom w:val="0"/>
      <w:divBdr>
        <w:top w:val="none" w:sz="0" w:space="0" w:color="auto"/>
        <w:left w:val="none" w:sz="0" w:space="0" w:color="auto"/>
        <w:bottom w:val="none" w:sz="0" w:space="0" w:color="auto"/>
        <w:right w:val="none" w:sz="0" w:space="0" w:color="auto"/>
      </w:divBdr>
    </w:div>
    <w:div w:id="903492244">
      <w:bodyDiv w:val="1"/>
      <w:marLeft w:val="0"/>
      <w:marRight w:val="0"/>
      <w:marTop w:val="0"/>
      <w:marBottom w:val="0"/>
      <w:divBdr>
        <w:top w:val="none" w:sz="0" w:space="0" w:color="auto"/>
        <w:left w:val="none" w:sz="0" w:space="0" w:color="auto"/>
        <w:bottom w:val="none" w:sz="0" w:space="0" w:color="auto"/>
        <w:right w:val="none" w:sz="0" w:space="0" w:color="auto"/>
      </w:divBdr>
    </w:div>
    <w:div w:id="1052466911">
      <w:bodyDiv w:val="1"/>
      <w:marLeft w:val="0"/>
      <w:marRight w:val="0"/>
      <w:marTop w:val="0"/>
      <w:marBottom w:val="0"/>
      <w:divBdr>
        <w:top w:val="none" w:sz="0" w:space="0" w:color="auto"/>
        <w:left w:val="none" w:sz="0" w:space="0" w:color="auto"/>
        <w:bottom w:val="none" w:sz="0" w:space="0" w:color="auto"/>
        <w:right w:val="none" w:sz="0" w:space="0" w:color="auto"/>
      </w:divBdr>
    </w:div>
    <w:div w:id="1441417138">
      <w:bodyDiv w:val="1"/>
      <w:marLeft w:val="0"/>
      <w:marRight w:val="0"/>
      <w:marTop w:val="0"/>
      <w:marBottom w:val="0"/>
      <w:divBdr>
        <w:top w:val="none" w:sz="0" w:space="0" w:color="auto"/>
        <w:left w:val="none" w:sz="0" w:space="0" w:color="auto"/>
        <w:bottom w:val="none" w:sz="0" w:space="0" w:color="auto"/>
        <w:right w:val="none" w:sz="0" w:space="0" w:color="auto"/>
      </w:divBdr>
    </w:div>
    <w:div w:id="1718897266">
      <w:bodyDiv w:val="1"/>
      <w:marLeft w:val="0"/>
      <w:marRight w:val="0"/>
      <w:marTop w:val="0"/>
      <w:marBottom w:val="0"/>
      <w:divBdr>
        <w:top w:val="none" w:sz="0" w:space="0" w:color="auto"/>
        <w:left w:val="none" w:sz="0" w:space="0" w:color="auto"/>
        <w:bottom w:val="none" w:sz="0" w:space="0" w:color="auto"/>
        <w:right w:val="none" w:sz="0" w:space="0" w:color="auto"/>
      </w:divBdr>
    </w:div>
    <w:div w:id="212206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Excel_Worksheet4.xlsx"/><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package" Target="embeddings/Microsoft_Word_Document1.docx"/><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package" Target="embeddings/Microsoft_Word_Document3.docx"/><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oleObject" Target="embeddings/oleObject1.bin"/><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package" Target="embeddings/Microsoft_Word_Document2.docx"/><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10804-EAE3-49BC-9586-2B9825EDD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15</Pages>
  <Words>2995</Words>
  <Characters>17075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20030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Paddy Howlin</dc:creator>
  <cp:lastModifiedBy>Paddy Howlin</cp:lastModifiedBy>
  <cp:revision>7</cp:revision>
  <cp:lastPrinted>2016-08-25T11:35:00Z</cp:lastPrinted>
  <dcterms:created xsi:type="dcterms:W3CDTF">2016-09-23T10:47:00Z</dcterms:created>
  <dcterms:modified xsi:type="dcterms:W3CDTF">2016-10-10T07:59:00Z</dcterms:modified>
</cp:coreProperties>
</file>