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3">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63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A">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B">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C">
      <w:pPr>
        <w:pStyle w:val="Heading2"/>
        <w:keepNext w:val="1"/>
        <w:numPr>
          <w:ilvl w:val="2"/>
          <w:numId w:val="4"/>
        </w:numPr>
        <w:ind w:left="1800" w:hanging="108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D">
      <w:pPr>
        <w:pStyle w:val="Heading3"/>
        <w:numPr>
          <w:ilvl w:val="3"/>
          <w:numId w:val="4"/>
        </w:numPr>
        <w:ind w:left="2694" w:hanging="864"/>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0E">
      <w:pPr>
        <w:pStyle w:val="Heading3"/>
        <w:numPr>
          <w:ilvl w:val="3"/>
          <w:numId w:val="4"/>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0F">
      <w:pPr>
        <w:pStyle w:val="Heading2"/>
        <w:numPr>
          <w:ilvl w:val="2"/>
          <w:numId w:val="4"/>
        </w:numPr>
        <w:ind w:left="1797" w:hanging="1077"/>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0">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1">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2">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3">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4">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5">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6">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7">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8">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9">
      <w:pPr>
        <w:pStyle w:val="Heading3"/>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A">
      <w:pPr>
        <w:pStyle w:val="Heading2"/>
        <w:keepNext w:val="1"/>
        <w:numPr>
          <w:ilvl w:val="1"/>
          <w:numId w:val="4"/>
        </w:numPr>
        <w:ind w:left="709"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B">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C">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D">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1E">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1F">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0">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1">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2">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3">
      <w:pPr>
        <w:pStyle w:val="Heading3"/>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4">
      <w:pPr>
        <w:spacing w:after="200" w:line="276" w:lineRule="auto"/>
        <w:jc w:val="left"/>
        <w:rPr>
          <w:rFonts w:ascii="Arial" w:cs="Arial" w:eastAsia="Arial" w:hAnsi="Arial"/>
          <w:b w:val="1"/>
          <w:smallCaps w:val="1"/>
          <w:sz w:val="24"/>
          <w:szCs w:val="24"/>
          <w:highlight w:val="green"/>
        </w:rPr>
      </w:pPr>
      <w:r w:rsidDel="00000000" w:rsidR="00000000" w:rsidRPr="00000000">
        <w:rPr>
          <w:rtl w:val="0"/>
        </w:rPr>
      </w:r>
    </w:p>
    <w:p w:rsidR="00000000" w:rsidDel="00000000" w:rsidP="00000000" w:rsidRDefault="00000000" w:rsidRPr="00000000" w14:paraId="00000025">
      <w:pPr>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sz w:val="24"/>
          <w:szCs w:val="24"/>
          <w:highlight w:val="yellow"/>
        </w:rPr>
      </w:pPr>
      <w:r w:rsidDel="00000000" w:rsidR="00000000" w:rsidRPr="00000000">
        <w:rPr>
          <w:rFonts w:ascii="Arial" w:cs="Arial" w:eastAsia="Arial" w:hAnsi="Arial"/>
          <w:b w:val="1"/>
          <w:smallCaps w:val="1"/>
          <w:color w:val="000000"/>
          <w:sz w:val="24"/>
          <w:szCs w:val="24"/>
          <w:highlight w:val="yellow"/>
          <w:rtl w:val="0"/>
        </w:rPr>
        <w:t xml:space="preserve"> </w:t>
      </w: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p w:rsidR="00000000" w:rsidDel="00000000" w:rsidP="00000000" w:rsidRDefault="00000000" w:rsidRPr="00000000" w14:paraId="0000002C">
      <w:pPr>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2E">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w:t>
      </w: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F">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0">
      <w:pPr>
        <w:tabs>
          <w:tab w:val="left" w:leader="none" w:pos="2257"/>
        </w:tabs>
        <w:spacing w:after="0" w:line="259" w:lineRule="auto"/>
        <w:jc w:val="left"/>
        <w:rPr>
          <w:rFonts w:ascii="Arial" w:cs="Arial" w:eastAsia="Arial" w:hAnsi="Arial"/>
          <w:color w:val="ffffff"/>
          <w:sz w:val="24"/>
          <w:szCs w:val="24"/>
          <w:highlight w:val="black"/>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p>
    <w:p w:rsidR="00000000" w:rsidDel="00000000" w:rsidP="00000000" w:rsidRDefault="00000000" w:rsidRPr="00000000" w14:paraId="00000031">
      <w:pPr>
        <w:tabs>
          <w:tab w:val="left" w:leader="none" w:pos="2257"/>
        </w:tabs>
        <w:spacing w:after="0" w:line="259" w:lineRule="auto"/>
        <w:jc w:val="left"/>
        <w:rPr>
          <w:rFonts w:ascii="Arial" w:cs="Arial" w:eastAsia="Arial" w:hAnsi="Arial"/>
          <w:color w:val="ffffff"/>
          <w:sz w:val="24"/>
          <w:szCs w:val="24"/>
          <w:highlight w:val="black"/>
        </w:rPr>
      </w:pPr>
      <w:r w:rsidDel="00000000" w:rsidR="00000000" w:rsidRPr="00000000">
        <w:rPr>
          <w:rtl w:val="0"/>
        </w:rPr>
      </w:r>
    </w:p>
    <w:p w:rsidR="00000000" w:rsidDel="00000000" w:rsidP="00000000" w:rsidRDefault="00000000" w:rsidRPr="00000000" w14:paraId="00000032">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3">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4">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5">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6">
      <w:pPr>
        <w:pStyle w:val="Heading1"/>
        <w:numPr>
          <w:ilvl w:val="0"/>
          <w:numId w:val="1"/>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8">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tl w:val="0"/>
        </w:rPr>
      </w:r>
    </w:p>
    <w:tbl>
      <w:tblPr>
        <w:tblStyle w:val="Table2"/>
        <w:tblW w:w="8778.0" w:type="dxa"/>
        <w:jc w:val="left"/>
        <w:tblInd w:w="828.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sz w:val="24"/>
                <w:szCs w:val="24"/>
                <w:rtl w:val="0"/>
              </w:rPr>
              <w:t xml:space="preserve">The Home Office </w:t>
            </w:r>
            <w:r w:rsidDel="00000000" w:rsidR="00000000" w:rsidRPr="00000000">
              <w:rPr>
                <w:rFonts w:ascii="Arial" w:cs="Arial" w:eastAsia="Arial" w:hAnsi="Arial"/>
                <w:color w:val="000000"/>
                <w:sz w:val="24"/>
                <w:szCs w:val="24"/>
                <w:rtl w:val="0"/>
              </w:rPr>
              <w:t xml:space="preserve">and "Beneficiaries" shall be construed accordingly;</w:t>
            </w:r>
          </w:p>
        </w:tc>
      </w:tr>
      <w:tr>
        <w:trPr>
          <w:cantSplit w:val="0"/>
          <w:tblHeader w:val="0"/>
        </w:trPr>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sz w:val="24"/>
                <w:szCs w:val="24"/>
                <w:rtl w:val="0"/>
              </w:rPr>
              <w:t xml:space="preserve">RM6217 Travel and Venue Solutions </w:t>
            </w:r>
            <w:r w:rsidDel="00000000" w:rsidR="00000000" w:rsidRPr="00000000">
              <w:rPr>
                <w:rFonts w:ascii="Arial" w:cs="Arial" w:eastAsia="Arial" w:hAnsi="Arial"/>
                <w:color w:val="000000"/>
                <w:sz w:val="24"/>
                <w:szCs w:val="24"/>
                <w:rtl w:val="0"/>
              </w:rPr>
              <w:t xml:space="preserve">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2">
            <w:pPr>
              <w:tabs>
                <w:tab w:val="left" w:leader="none" w:pos="2257"/>
              </w:tabs>
              <w:spacing w:line="259" w:lineRule="auto"/>
              <w:jc w:val="left"/>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means Clarity Travel Managment</w:t>
            </w:r>
            <w:r w:rsidDel="00000000" w:rsidR="00000000" w:rsidRPr="00000000">
              <w:rPr>
                <w:rFonts w:ascii="Arial" w:cs="Arial" w:eastAsia="Arial" w:hAnsi="Arial"/>
                <w:sz w:val="24"/>
                <w:szCs w:val="24"/>
                <w:rtl w:val="0"/>
              </w:rPr>
              <w:t xml:space="preserve">, 4th Floor, Broadhurst House, 56 Oxford Street, Manchester, M1 6EU and registration number 7413801</w:t>
            </w:r>
            <w:r w:rsidDel="00000000" w:rsidR="00000000" w:rsidRPr="00000000">
              <w:rPr>
                <w:rtl w:val="0"/>
              </w:rPr>
            </w:r>
          </w:p>
        </w:tc>
      </w:tr>
    </w:tbl>
    <w:p w:rsidR="00000000" w:rsidDel="00000000" w:rsidP="00000000" w:rsidRDefault="00000000" w:rsidRPr="00000000" w14:paraId="00000047">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8">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9">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A">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4B">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4C">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4D">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4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4F">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0">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1">
      <w:pPr>
        <w:pStyle w:val="Heading2"/>
        <w:numPr>
          <w:ilvl w:val="1"/>
          <w:numId w:val="1"/>
        </w:numPr>
        <w:ind w:left="1429" w:hanging="72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3">
      <w:pPr>
        <w:pStyle w:val="Heading2"/>
        <w:numPr>
          <w:ilvl w:val="1"/>
          <w:numId w:val="1"/>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4">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5">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6">
      <w:pPr>
        <w:pStyle w:val="Heading2"/>
        <w:numPr>
          <w:ilvl w:val="1"/>
          <w:numId w:val="1"/>
        </w:numPr>
        <w:ind w:left="1429" w:hanging="72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7">
      <w:pPr>
        <w:pStyle w:val="Heading1"/>
        <w:numPr>
          <w:ilvl w:val="0"/>
          <w:numId w:val="1"/>
        </w:numPr>
        <w:ind w:left="720"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bookmark=id.2s8eyo1" w:id="9"/>
      <w:bookmarkEnd w:id="9"/>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9">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5A">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5B">
      <w:pPr>
        <w:tabs>
          <w:tab w:val="left" w:leader="none" w:pos="2257"/>
        </w:tabs>
        <w:spacing w:after="0" w:line="259" w:lineRule="auto"/>
        <w:jc w:val="left"/>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5D">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5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5F">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0">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1">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3">
      <w:pPr>
        <w:pStyle w:val="Heading1"/>
        <w:numPr>
          <w:ilvl w:val="0"/>
          <w:numId w:val="1"/>
        </w:numPr>
        <w:ind w:left="720" w:hanging="720"/>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7">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8">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69">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6A">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6B">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6C">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6D">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6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6F">
      <w:pPr>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0">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2">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3">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4">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5">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78">
      <w:pPr>
        <w:pStyle w:val="Heading1"/>
        <w:numPr>
          <w:ilvl w:val="0"/>
          <w:numId w:val="1"/>
        </w:numPr>
        <w:ind w:left="720" w:hanging="720"/>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7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7A">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7B">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7C">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7D">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7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7F">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0">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1">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2">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3">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4">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5">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6">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7">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88">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89">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8A">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8B">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8C">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8D">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8E">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0">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1">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2">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3">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5">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7">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99">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9A">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9B">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9C">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9D">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r w:rsidDel="00000000" w:rsidR="00000000" w:rsidRPr="00000000">
        <w:rPr>
          <w:rtl w:val="0"/>
        </w:rPr>
      </w:r>
    </w:p>
    <w:p w:rsidR="00000000" w:rsidDel="00000000" w:rsidP="00000000" w:rsidRDefault="00000000" w:rsidRPr="00000000" w14:paraId="0000009E">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irrevocably designates, appoints and empowers Clarity Travel Management as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2">
      <w:pPr>
        <w:tabs>
          <w:tab w:val="left" w:leader="none" w:pos="2257"/>
        </w:tabs>
        <w:spacing w:after="0" w:line="259" w:lineRule="auto"/>
        <w:jc w:val="left"/>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p w:rsidR="00000000" w:rsidDel="00000000" w:rsidP="00000000" w:rsidRDefault="00000000" w:rsidRPr="00000000" w14:paraId="000000A3">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5">
      <w:pPr>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issued this Letter of Intent to Guarantee in consideration of CCS entering into the Framework Contract with the Supplier.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it is a condition of the Framework Contract that:</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provide this Letter of Intent to Guarantee to CCS (paragraph 2.1.1 of Joint Schedule 8 of the Framework Contract); and</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confirm that:</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undertake to provide each Guarantee in accordance with the Framework Contract; and</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understand that CCS may terminate the Framework Contract with the Supplier as a material Default of the Framework Contract if:</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withdraw or revoke this Letter of Intent to Guarantee in whole or in part for any reason whatsoever;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refuse to enter into a Guarantee in accordance paragraph 2.1.2 of Joint Schedule 8 of the Framework Contract; or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Insolvency Event occurs in respect of the Guarantor.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tabs>
          <w:tab w:val="left" w:leader="none" w:pos="3402"/>
        </w:tabs>
        <w:spacing w:after="22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D9">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D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tab/>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bookmarkStart w:colFirst="0" w:colLast="0" w:name="_heading=h.2s8eyo1" w:id="12"/>
    <w:bookmarkEnd w:id="12"/>
    <w:r w:rsidDel="00000000" w:rsidR="00000000" w:rsidRPr="00000000">
      <w:rPr>
        <w:rFonts w:ascii="Arial" w:cs="Arial" w:eastAsia="Arial" w:hAnsi="Arial"/>
        <w:color w:val="000000"/>
        <w:sz w:val="20"/>
        <w:szCs w:val="20"/>
        <w:rtl w:val="0"/>
      </w:rPr>
      <w:t xml:space="preserve">Crown Copyright 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120"/>
      <w:ind w:left="360" w:hanging="360"/>
      <w:outlineLvl w:val="0"/>
    </w:pPr>
    <w:rPr>
      <w:b w:val="1"/>
    </w:rPr>
  </w:style>
  <w:style w:type="paragraph" w:styleId="Heading2">
    <w:name w:val="heading 2"/>
    <w:basedOn w:val="Normal"/>
    <w:next w:val="Normal"/>
    <w:uiPriority w:val="9"/>
    <w:unhideWhenUsed w:val="1"/>
    <w:qFormat w:val="1"/>
    <w:pPr>
      <w:spacing w:after="120" w:before="120"/>
      <w:ind w:left="936" w:hanging="576"/>
      <w:outlineLvl w:val="1"/>
    </w:pPr>
  </w:style>
  <w:style w:type="paragraph" w:styleId="Heading3">
    <w:name w:val="heading 3"/>
    <w:basedOn w:val="Normal"/>
    <w:next w:val="Normal"/>
    <w:uiPriority w:val="9"/>
    <w:unhideWhenUsed w:val="1"/>
    <w:qFormat w:val="1"/>
    <w:pPr>
      <w:spacing w:after="120" w:before="120"/>
      <w:ind w:left="1656" w:hanging="720"/>
      <w:outlineLvl w:val="2"/>
    </w:pPr>
  </w:style>
  <w:style w:type="paragraph" w:styleId="Heading4">
    <w:name w:val="heading 4"/>
    <w:basedOn w:val="Normal"/>
    <w:next w:val="Normal"/>
    <w:uiPriority w:val="9"/>
    <w:semiHidden w:val="1"/>
    <w:unhideWhenUsed w:val="1"/>
    <w:qFormat w:val="1"/>
    <w:pPr>
      <w:spacing w:after="120" w:before="120"/>
      <w:ind w:left="2592" w:hanging="936"/>
      <w:outlineLvl w:val="3"/>
    </w:pPr>
  </w:style>
  <w:style w:type="paragraph" w:styleId="Heading5">
    <w:name w:val="heading 5"/>
    <w:basedOn w:val="Normal"/>
    <w:next w:val="Normal"/>
    <w:uiPriority w:val="9"/>
    <w:semiHidden w:val="1"/>
    <w:unhideWhenUsed w:val="1"/>
    <w:qFormat w:val="1"/>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uiPriority w:val="9"/>
    <w:semiHidden w:val="1"/>
    <w:unhideWhenUsed w:val="1"/>
    <w:qFormat w:val="1"/>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table" w:styleId="a1" w:customStyle="1">
    <w:basedOn w:val="TableNormal"/>
    <w:pPr>
      <w:spacing w:after="0"/>
    </w:pPr>
    <w:tblPr>
      <w:tblStyleRowBandSize w:val="1"/>
      <w:tblStyleColBandSize w:val="1"/>
      <w:tblCellMar>
        <w:left w:w="115.0" w:type="dxa"/>
        <w:right w:w="115.0" w:type="dxa"/>
      </w:tblCellMar>
    </w:tblPr>
  </w:style>
  <w:style w:type="table" w:styleId="a2" w:customStyle="1">
    <w:basedOn w:val="TableNormal"/>
    <w:pPr>
      <w:spacing w:after="0"/>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Pj99v4EcZl6d/E+htUQl457KQ==">CgMxLjAyCGguZ2pkZ3hzMgloLjMwajB6bGwyCWguMWZvYjl0ZTIJaC4zem55c2g3MgloLjJldDkycDAyCGgudHlqY3d0MgloLjNkeTZ2a20yCWguMXQzaDVzZjIJaC40ZDM0b2c4MgppZC4yczhleW8xMgloLjE3ZHA4dnUyCWguM3JkY3JqbjIJaC4yczhleW8xOAByITFza0QyTi1IRWJaZFd0eWc4OWZfeklkTlNjeXpwNTduQg==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2022-08-18T10:19:00Z</dcterms:created>
  <dc:creator>David Tinkler</dc:creator>
</cp:coreProperties>
</file>