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484D" w14:textId="3C6D0ECE" w:rsidR="00BA1602" w:rsidRPr="00BA1602" w:rsidRDefault="004366AD" w:rsidP="003E76A4">
      <w:pPr>
        <w:pStyle w:val="Norma"/>
        <w:spacing w:after="120" w:line="264" w:lineRule="auto"/>
        <w:ind w:left="0"/>
        <w:rPr>
          <w:rFonts w:ascii="Century Gothic" w:hAnsi="Century Gothic"/>
          <w:b/>
          <w:bCs w:val="0"/>
          <w:color w:val="7142FF"/>
          <w:sz w:val="22"/>
          <w:szCs w:val="22"/>
        </w:rPr>
      </w:pPr>
      <w:r>
        <w:rPr>
          <w:rFonts w:ascii="Century Gothic" w:hAnsi="Century Gothic"/>
          <w:b/>
          <w:bCs w:val="0"/>
          <w:color w:val="7142FF"/>
          <w:sz w:val="22"/>
          <w:szCs w:val="22"/>
        </w:rPr>
        <w:t xml:space="preserve">Early engagement notice – </w:t>
      </w:r>
      <w:r w:rsidR="00BA1602" w:rsidRPr="00BA1602">
        <w:rPr>
          <w:rFonts w:ascii="Century Gothic" w:hAnsi="Century Gothic"/>
          <w:b/>
          <w:bCs w:val="0"/>
          <w:color w:val="7142FF"/>
          <w:sz w:val="22"/>
          <w:szCs w:val="22"/>
        </w:rPr>
        <w:t xml:space="preserve">The distribution of </w:t>
      </w:r>
      <w:r w:rsidR="00BA1602">
        <w:rPr>
          <w:rFonts w:ascii="Century Gothic" w:hAnsi="Century Gothic"/>
          <w:b/>
          <w:bCs w:val="0"/>
          <w:color w:val="7142FF"/>
          <w:sz w:val="22"/>
          <w:szCs w:val="22"/>
        </w:rPr>
        <w:t>Net Zero co-benefits</w:t>
      </w:r>
    </w:p>
    <w:p w14:paraId="7691C759" w14:textId="4CF5B1B4" w:rsidR="00E2596C" w:rsidRDefault="00E2596C" w:rsidP="003E76A4">
      <w:pPr>
        <w:pStyle w:val="Norma"/>
        <w:spacing w:after="120" w:line="264" w:lineRule="auto"/>
        <w:ind w:left="0"/>
        <w:rPr>
          <w:rFonts w:ascii="Century Gothic" w:hAnsi="Century Gothic"/>
          <w:sz w:val="22"/>
          <w:szCs w:val="22"/>
        </w:rPr>
      </w:pPr>
      <w:r w:rsidRPr="00E2596C">
        <w:rPr>
          <w:rFonts w:ascii="Century Gothic" w:hAnsi="Century Gothic"/>
          <w:sz w:val="22"/>
          <w:szCs w:val="22"/>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6C8CA6E0" w14:textId="0C5DC5F9" w:rsidR="00533C16" w:rsidRDefault="00E2596C" w:rsidP="003E76A4">
      <w:pPr>
        <w:pStyle w:val="Norma"/>
        <w:spacing w:after="120" w:line="264" w:lineRule="auto"/>
        <w:ind w:left="0"/>
        <w:rPr>
          <w:rFonts w:ascii="Century Gothic" w:hAnsi="Century Gothic"/>
          <w:sz w:val="22"/>
          <w:szCs w:val="22"/>
        </w:rPr>
      </w:pPr>
      <w:r>
        <w:rPr>
          <w:rFonts w:ascii="Century Gothic" w:hAnsi="Century Gothic"/>
          <w:sz w:val="22"/>
          <w:szCs w:val="22"/>
        </w:rPr>
        <w:t xml:space="preserve">The CCC’s </w:t>
      </w:r>
      <w:r w:rsidR="00533C16" w:rsidRPr="00533C16">
        <w:rPr>
          <w:rFonts w:ascii="Century Gothic" w:hAnsi="Century Gothic"/>
          <w:sz w:val="22"/>
          <w:szCs w:val="22"/>
        </w:rPr>
        <w:t>Sixth Carbon Budget</w:t>
      </w:r>
      <w:r>
        <w:rPr>
          <w:rStyle w:val="FootnoteReference"/>
          <w:rFonts w:ascii="Century Gothic" w:hAnsi="Century Gothic"/>
          <w:sz w:val="22"/>
          <w:szCs w:val="22"/>
        </w:rPr>
        <w:footnoteReference w:id="1"/>
      </w:r>
      <w:r w:rsidR="00533C16" w:rsidRPr="00533C16">
        <w:rPr>
          <w:rFonts w:ascii="Century Gothic" w:hAnsi="Century Gothic"/>
          <w:sz w:val="22"/>
          <w:szCs w:val="22"/>
        </w:rPr>
        <w:t xml:space="preserve"> scenarios imply growing and enduring savings in operating costs, alongside a major investment programme. To 2030</w:t>
      </w:r>
      <w:r w:rsidR="005A4989">
        <w:rPr>
          <w:rFonts w:ascii="Century Gothic" w:hAnsi="Century Gothic"/>
          <w:sz w:val="22"/>
          <w:szCs w:val="22"/>
        </w:rPr>
        <w:t>,</w:t>
      </w:r>
      <w:r w:rsidR="00533C16" w:rsidRPr="00533C16">
        <w:rPr>
          <w:rFonts w:ascii="Century Gothic" w:hAnsi="Century Gothic"/>
          <w:sz w:val="22"/>
          <w:szCs w:val="22"/>
        </w:rPr>
        <w:t xml:space="preserve"> the largest cost increases affecting households are for decarbonising buildings.</w:t>
      </w:r>
      <w:r w:rsidR="00533C16">
        <w:rPr>
          <w:rFonts w:ascii="Century Gothic" w:hAnsi="Century Gothic"/>
          <w:sz w:val="22"/>
          <w:szCs w:val="22"/>
        </w:rPr>
        <w:t xml:space="preserve"> </w:t>
      </w:r>
      <w:r w:rsidR="00533C16" w:rsidRPr="00533C16">
        <w:rPr>
          <w:rFonts w:ascii="Century Gothic" w:hAnsi="Century Gothic"/>
          <w:sz w:val="22"/>
          <w:szCs w:val="22"/>
        </w:rPr>
        <w:t>Large savings are available for households in other areas, most notably in transport from the shift to electric cars</w:t>
      </w:r>
      <w:r w:rsidR="00533C16">
        <w:rPr>
          <w:rFonts w:ascii="Century Gothic" w:hAnsi="Century Gothic"/>
          <w:sz w:val="22"/>
          <w:szCs w:val="22"/>
        </w:rPr>
        <w:t xml:space="preserve">. </w:t>
      </w:r>
      <w:r w:rsidR="00533C16" w:rsidRPr="00533C16">
        <w:rPr>
          <w:rFonts w:ascii="Century Gothic" w:hAnsi="Century Gothic"/>
          <w:sz w:val="22"/>
          <w:szCs w:val="22"/>
        </w:rPr>
        <w:t>However, even in areas where costs are likely to fall relative to today, the distribution of costs and savings could create both ‘winners’ and ‘losers’ during the transition.</w:t>
      </w:r>
    </w:p>
    <w:p w14:paraId="1D0E3EF3" w14:textId="3FA6A3E9" w:rsidR="006B69A7" w:rsidRPr="006B69A7" w:rsidRDefault="006B69A7" w:rsidP="003E76A4">
      <w:pPr>
        <w:pStyle w:val="Norma"/>
        <w:spacing w:after="120" w:line="264" w:lineRule="auto"/>
        <w:ind w:left="0"/>
        <w:rPr>
          <w:rFonts w:ascii="Century Gothic" w:hAnsi="Century Gothic"/>
          <w:sz w:val="22"/>
          <w:szCs w:val="22"/>
        </w:rPr>
      </w:pPr>
      <w:r w:rsidRPr="006B69A7">
        <w:rPr>
          <w:rFonts w:ascii="Century Gothic" w:hAnsi="Century Gothic"/>
          <w:sz w:val="22"/>
          <w:szCs w:val="22"/>
        </w:rPr>
        <w:t xml:space="preserve">Achieving </w:t>
      </w:r>
      <w:r>
        <w:rPr>
          <w:rFonts w:ascii="Century Gothic" w:hAnsi="Century Gothic"/>
          <w:sz w:val="22"/>
          <w:szCs w:val="22"/>
        </w:rPr>
        <w:t>Net Zero</w:t>
      </w:r>
      <w:r w:rsidRPr="006B69A7">
        <w:rPr>
          <w:rFonts w:ascii="Century Gothic" w:hAnsi="Century Gothic"/>
          <w:sz w:val="22"/>
          <w:szCs w:val="22"/>
        </w:rPr>
        <w:t xml:space="preserve"> in the UK will </w:t>
      </w:r>
      <w:r w:rsidR="00533C16">
        <w:rPr>
          <w:rFonts w:ascii="Century Gothic" w:hAnsi="Century Gothic"/>
          <w:sz w:val="22"/>
          <w:szCs w:val="22"/>
        </w:rPr>
        <w:t xml:space="preserve">also </w:t>
      </w:r>
      <w:r w:rsidRPr="006B69A7">
        <w:rPr>
          <w:rFonts w:ascii="Century Gothic" w:hAnsi="Century Gothic"/>
          <w:sz w:val="22"/>
          <w:szCs w:val="22"/>
        </w:rPr>
        <w:t>result in significant benefits to human health from better air quality, less noise, more active travel and a shift to healthier diets. Changes to land use and farming practices that cut emissions can also improve air quality and water quality and benefit biodiversity, resilience to climate change and bring recreational benefits. Benefits could partially or fully offset costs.</w:t>
      </w:r>
    </w:p>
    <w:p w14:paraId="4627056A" w14:textId="7EC6B251" w:rsidR="00D15D5D" w:rsidRDefault="006B69A7" w:rsidP="003E76A4">
      <w:pPr>
        <w:pStyle w:val="Norma"/>
        <w:spacing w:after="120" w:line="264" w:lineRule="auto"/>
        <w:ind w:left="0"/>
        <w:rPr>
          <w:rFonts w:ascii="Century Gothic" w:hAnsi="Century Gothic"/>
          <w:sz w:val="22"/>
          <w:szCs w:val="22"/>
        </w:rPr>
      </w:pPr>
      <w:r w:rsidRPr="006B69A7">
        <w:rPr>
          <w:rFonts w:ascii="Century Gothic" w:hAnsi="Century Gothic"/>
          <w:sz w:val="22"/>
          <w:szCs w:val="22"/>
        </w:rPr>
        <w:t xml:space="preserve">As set out in the CCC’s Sixth Carbon Budget advice, a key challenge on the path to Net Zero is how to spread the costs and benefits of the transition across the economy: for households, businesses and the Exchequer. </w:t>
      </w:r>
      <w:r w:rsidR="00533C16">
        <w:rPr>
          <w:rFonts w:ascii="Century Gothic" w:hAnsi="Century Gothic"/>
          <w:sz w:val="22"/>
          <w:szCs w:val="22"/>
        </w:rPr>
        <w:t xml:space="preserve">The CCC recently commissioned </w:t>
      </w:r>
      <w:r w:rsidR="00D15D5D">
        <w:rPr>
          <w:rFonts w:ascii="Century Gothic" w:hAnsi="Century Gothic"/>
          <w:sz w:val="22"/>
          <w:szCs w:val="22"/>
        </w:rPr>
        <w:t>Frontier Economics to</w:t>
      </w:r>
      <w:r w:rsidR="00533C16">
        <w:rPr>
          <w:rFonts w:ascii="Century Gothic" w:hAnsi="Century Gothic"/>
          <w:sz w:val="22"/>
          <w:szCs w:val="22"/>
        </w:rPr>
        <w:t xml:space="preserve"> develop a set of household archetypes</w:t>
      </w:r>
      <w:r w:rsidR="00BA1602">
        <w:rPr>
          <w:rFonts w:ascii="Century Gothic" w:hAnsi="Century Gothic"/>
          <w:sz w:val="22"/>
          <w:szCs w:val="22"/>
        </w:rPr>
        <w:t xml:space="preserve"> (using Ofgem’s archetypes</w:t>
      </w:r>
      <w:r w:rsidR="00BA1602">
        <w:rPr>
          <w:rStyle w:val="FootnoteReference"/>
          <w:rFonts w:ascii="Century Gothic" w:hAnsi="Century Gothic"/>
          <w:sz w:val="22"/>
          <w:szCs w:val="22"/>
        </w:rPr>
        <w:footnoteReference w:id="2"/>
      </w:r>
      <w:r w:rsidR="00BA1602">
        <w:rPr>
          <w:rFonts w:ascii="Century Gothic" w:hAnsi="Century Gothic"/>
          <w:sz w:val="22"/>
          <w:szCs w:val="22"/>
        </w:rPr>
        <w:t xml:space="preserve"> as a starting point)</w:t>
      </w:r>
      <w:r w:rsidR="00533C16">
        <w:rPr>
          <w:rFonts w:ascii="Century Gothic" w:hAnsi="Century Gothic"/>
          <w:sz w:val="22"/>
          <w:szCs w:val="22"/>
        </w:rPr>
        <w:t xml:space="preserve"> and a distributional impacts model, to explore the costs faced by households from decarbonising homes and transport. </w:t>
      </w:r>
      <w:r w:rsidR="00D15D5D">
        <w:rPr>
          <w:rFonts w:ascii="Century Gothic" w:hAnsi="Century Gothic"/>
          <w:sz w:val="22"/>
          <w:szCs w:val="22"/>
        </w:rPr>
        <w:t>The archetypes developed are</w:t>
      </w:r>
      <w:r w:rsidR="00BA1602">
        <w:rPr>
          <w:rFonts w:ascii="Century Gothic" w:hAnsi="Century Gothic"/>
          <w:sz w:val="22"/>
          <w:szCs w:val="22"/>
        </w:rPr>
        <w:t xml:space="preserve"> shown in Table 1.</w:t>
      </w:r>
    </w:p>
    <w:p w14:paraId="38549C84" w14:textId="77777777" w:rsidR="001C79BB" w:rsidRDefault="00E2596C" w:rsidP="003E76A4">
      <w:pPr>
        <w:pStyle w:val="Norma"/>
        <w:spacing w:after="120" w:line="264" w:lineRule="auto"/>
        <w:ind w:left="0"/>
        <w:rPr>
          <w:rFonts w:ascii="Century Gothic" w:hAnsi="Century Gothic"/>
          <w:sz w:val="22"/>
          <w:szCs w:val="22"/>
        </w:rPr>
      </w:pPr>
      <w:r>
        <w:rPr>
          <w:rFonts w:ascii="Century Gothic" w:hAnsi="Century Gothic"/>
          <w:sz w:val="22"/>
          <w:szCs w:val="22"/>
        </w:rPr>
        <w:t xml:space="preserve">This analysis </w:t>
      </w:r>
      <w:r w:rsidR="00B07574">
        <w:rPr>
          <w:rFonts w:ascii="Century Gothic" w:hAnsi="Century Gothic"/>
          <w:sz w:val="22"/>
          <w:szCs w:val="22"/>
        </w:rPr>
        <w:t xml:space="preserve">will </w:t>
      </w:r>
      <w:r>
        <w:rPr>
          <w:rFonts w:ascii="Century Gothic" w:hAnsi="Century Gothic"/>
          <w:sz w:val="22"/>
          <w:szCs w:val="22"/>
        </w:rPr>
        <w:t xml:space="preserve">only tell part of the story, as it does not yet incorporate the co-benefits enjoyed by households alongside any direct financial costs or savings. We are therefore interested in exploring the co-benefits of our Sixth Carbon Budget scenarios that the 15 archetypes developed by Frontier could face. </w:t>
      </w:r>
    </w:p>
    <w:p w14:paraId="5309A3A7" w14:textId="5551183C" w:rsidR="00E2596C" w:rsidRDefault="00E2596C" w:rsidP="003E76A4">
      <w:pPr>
        <w:pStyle w:val="Norma"/>
        <w:spacing w:after="120" w:line="264" w:lineRule="auto"/>
        <w:ind w:left="0"/>
        <w:rPr>
          <w:rFonts w:ascii="Century Gothic" w:hAnsi="Century Gothic"/>
          <w:sz w:val="22"/>
          <w:szCs w:val="22"/>
        </w:rPr>
      </w:pPr>
      <w:r>
        <w:rPr>
          <w:rFonts w:ascii="Century Gothic" w:hAnsi="Century Gothic"/>
          <w:sz w:val="22"/>
          <w:szCs w:val="22"/>
        </w:rPr>
        <w:t xml:space="preserve">We are inviting feedback on early procurement ideas for this, to gauge the feasibility of undertaking credible and robust analysis in this space, before deciding whether to put out a project to tender. We are open to suggestions on the appropriate methodology for undertaking this work, but envisage that it could include </w:t>
      </w:r>
      <w:r w:rsidR="00EC16DC">
        <w:rPr>
          <w:rFonts w:ascii="Century Gothic" w:hAnsi="Century Gothic"/>
          <w:sz w:val="22"/>
          <w:szCs w:val="22"/>
        </w:rPr>
        <w:t xml:space="preserve">some (or all) of </w:t>
      </w:r>
      <w:r>
        <w:rPr>
          <w:rFonts w:ascii="Century Gothic" w:hAnsi="Century Gothic"/>
          <w:sz w:val="22"/>
          <w:szCs w:val="22"/>
        </w:rPr>
        <w:t>the following steps:</w:t>
      </w:r>
    </w:p>
    <w:p w14:paraId="33D82C7D" w14:textId="77777777" w:rsidR="00E2596C" w:rsidRDefault="00E2596C" w:rsidP="003E76A4">
      <w:pPr>
        <w:pStyle w:val="Norma"/>
        <w:numPr>
          <w:ilvl w:val="0"/>
          <w:numId w:val="2"/>
        </w:numPr>
        <w:spacing w:after="120" w:line="264" w:lineRule="auto"/>
        <w:rPr>
          <w:rFonts w:ascii="Century Gothic" w:hAnsi="Century Gothic"/>
          <w:sz w:val="22"/>
          <w:szCs w:val="22"/>
        </w:rPr>
      </w:pPr>
      <w:r>
        <w:rPr>
          <w:rFonts w:ascii="Century Gothic" w:hAnsi="Century Gothic"/>
          <w:sz w:val="22"/>
          <w:szCs w:val="22"/>
        </w:rPr>
        <w:t>Qualitatively identifying the co-benefits linked to our Sixth Carbon Budget scenarios, particularly from changes occurring in homes and transport, potentially expanding to other sectors (e.g. agriculture and land use). The CCC have highlighted these in our Net Zero</w:t>
      </w:r>
      <w:r>
        <w:rPr>
          <w:rStyle w:val="FootnoteReference"/>
          <w:rFonts w:ascii="Century Gothic" w:hAnsi="Century Gothic"/>
          <w:sz w:val="22"/>
          <w:szCs w:val="22"/>
        </w:rPr>
        <w:footnoteReference w:id="3"/>
      </w:r>
      <w:r>
        <w:rPr>
          <w:rFonts w:ascii="Century Gothic" w:hAnsi="Century Gothic"/>
          <w:sz w:val="22"/>
          <w:szCs w:val="22"/>
        </w:rPr>
        <w:t xml:space="preserve"> and Sixth Carbon Budget reports.</w:t>
      </w:r>
    </w:p>
    <w:p w14:paraId="072F83B1" w14:textId="4BBECE01" w:rsidR="00E2596C" w:rsidRDefault="00E2596C" w:rsidP="003E76A4">
      <w:pPr>
        <w:pStyle w:val="Norma"/>
        <w:numPr>
          <w:ilvl w:val="0"/>
          <w:numId w:val="2"/>
        </w:numPr>
        <w:spacing w:after="120" w:line="264" w:lineRule="auto"/>
        <w:rPr>
          <w:rFonts w:ascii="Century Gothic" w:hAnsi="Century Gothic"/>
          <w:sz w:val="22"/>
          <w:szCs w:val="22"/>
        </w:rPr>
      </w:pPr>
      <w:r>
        <w:rPr>
          <w:rFonts w:ascii="Century Gothic" w:hAnsi="Century Gothic"/>
          <w:sz w:val="22"/>
          <w:szCs w:val="22"/>
        </w:rPr>
        <w:lastRenderedPageBreak/>
        <w:t>Linking co-benefits to particular characteristics of household archetypes which could include whether they live in rural/urban area, income, household size, age, car ownership, cycling/walking. There is also the potential to use data-matching or allocation rules to determine characteristics for the archetypes which we have not explored in our work to date (e.g. health benefits from shifting to healthier, less meat and dairy-intensive diets).</w:t>
      </w:r>
    </w:p>
    <w:p w14:paraId="42F334F0" w14:textId="77777777" w:rsidR="00C73FDD" w:rsidRDefault="00E2596C" w:rsidP="003E76A4">
      <w:pPr>
        <w:pStyle w:val="Norma"/>
        <w:numPr>
          <w:ilvl w:val="0"/>
          <w:numId w:val="2"/>
        </w:numPr>
        <w:spacing w:after="120" w:line="264" w:lineRule="auto"/>
        <w:rPr>
          <w:rFonts w:ascii="Century Gothic" w:hAnsi="Century Gothic"/>
          <w:sz w:val="22"/>
          <w:szCs w:val="22"/>
        </w:rPr>
      </w:pPr>
      <w:r>
        <w:rPr>
          <w:rFonts w:ascii="Century Gothic" w:hAnsi="Century Gothic"/>
          <w:sz w:val="22"/>
          <w:szCs w:val="22"/>
        </w:rPr>
        <w:t>Quantifying, and monetising, co-benefits for the pathways and archetypes in question. This could be through standard techniques for valuing costs and benefits (as set out in the Government’s Green Book guidance</w:t>
      </w:r>
      <w:r>
        <w:rPr>
          <w:rStyle w:val="FootnoteReference"/>
          <w:rFonts w:ascii="Century Gothic" w:hAnsi="Century Gothic"/>
          <w:sz w:val="22"/>
          <w:szCs w:val="22"/>
        </w:rPr>
        <w:footnoteReference w:id="4"/>
      </w:r>
      <w:r>
        <w:rPr>
          <w:rFonts w:ascii="Century Gothic" w:hAnsi="Century Gothic"/>
          <w:sz w:val="22"/>
          <w:szCs w:val="22"/>
        </w:rPr>
        <w:t>), or through alternative methods (e.g. reduced costs to the NHS from better health and wellbeing). Work undertaken for the CCC by Ricardo in 2013</w:t>
      </w:r>
      <w:r>
        <w:rPr>
          <w:rStyle w:val="FootnoteReference"/>
          <w:rFonts w:ascii="Century Gothic" w:hAnsi="Century Gothic"/>
          <w:sz w:val="22"/>
          <w:szCs w:val="22"/>
        </w:rPr>
        <w:footnoteReference w:id="5"/>
      </w:r>
      <w:r>
        <w:rPr>
          <w:rFonts w:ascii="Century Gothic" w:hAnsi="Century Gothic"/>
          <w:sz w:val="22"/>
          <w:szCs w:val="22"/>
        </w:rPr>
        <w:t xml:space="preserve"> could be used as a starting point. </w:t>
      </w:r>
    </w:p>
    <w:p w14:paraId="44DBCD54" w14:textId="342208A8" w:rsidR="00E2596C" w:rsidRPr="00AB69F5" w:rsidRDefault="00C73FDD" w:rsidP="00C73FDD">
      <w:pPr>
        <w:pStyle w:val="Norma"/>
        <w:spacing w:after="120" w:line="264" w:lineRule="auto"/>
        <w:ind w:left="0"/>
        <w:rPr>
          <w:rFonts w:ascii="Century Gothic" w:hAnsi="Century Gothic"/>
          <w:b/>
          <w:bCs w:val="0"/>
          <w:sz w:val="22"/>
          <w:szCs w:val="22"/>
        </w:rPr>
      </w:pPr>
      <w:r w:rsidRPr="00AB69F5">
        <w:rPr>
          <w:rFonts w:ascii="Century Gothic" w:hAnsi="Century Gothic"/>
          <w:b/>
          <w:bCs w:val="0"/>
          <w:sz w:val="22"/>
          <w:szCs w:val="22"/>
        </w:rPr>
        <w:t xml:space="preserve">We are inviting suppliers who may be interested in this project, have ideas on how to </w:t>
      </w:r>
      <w:r w:rsidR="00AF6546" w:rsidRPr="00AB69F5">
        <w:rPr>
          <w:rFonts w:ascii="Century Gothic" w:hAnsi="Century Gothic"/>
          <w:b/>
          <w:bCs w:val="0"/>
          <w:sz w:val="22"/>
          <w:szCs w:val="22"/>
        </w:rPr>
        <w:t>refine or tighten it</w:t>
      </w:r>
      <w:r w:rsidR="00AB69F5" w:rsidRPr="00AB69F5">
        <w:rPr>
          <w:rFonts w:ascii="Century Gothic" w:hAnsi="Century Gothic"/>
          <w:b/>
          <w:bCs w:val="0"/>
          <w:sz w:val="22"/>
          <w:szCs w:val="22"/>
        </w:rPr>
        <w:t>s scope</w:t>
      </w:r>
      <w:r w:rsidR="00AF6546" w:rsidRPr="00AB69F5">
        <w:rPr>
          <w:rFonts w:ascii="Century Gothic" w:hAnsi="Century Gothic"/>
          <w:b/>
          <w:bCs w:val="0"/>
          <w:sz w:val="22"/>
          <w:szCs w:val="22"/>
        </w:rPr>
        <w:t>, or want further information to get in touch with Bianca de Farias Letti (</w:t>
      </w:r>
      <w:hyperlink r:id="rId12" w:history="1">
        <w:r w:rsidR="00AF6546" w:rsidRPr="00AB69F5">
          <w:rPr>
            <w:rStyle w:val="Hyperlink"/>
            <w:rFonts w:ascii="Century Gothic" w:hAnsi="Century Gothic"/>
            <w:b/>
            <w:bCs w:val="0"/>
            <w:sz w:val="22"/>
            <w:szCs w:val="22"/>
          </w:rPr>
          <w:t>bianca.letti@theccc.org.uk</w:t>
        </w:r>
      </w:hyperlink>
      <w:r w:rsidR="00AF6546" w:rsidRPr="00AB69F5">
        <w:rPr>
          <w:rFonts w:ascii="Century Gothic" w:hAnsi="Century Gothic"/>
          <w:b/>
          <w:bCs w:val="0"/>
          <w:sz w:val="22"/>
          <w:szCs w:val="22"/>
        </w:rPr>
        <w:t>) and Chloe Nemo Ramirez (</w:t>
      </w:r>
      <w:hyperlink r:id="rId13" w:history="1">
        <w:r w:rsidR="00AF6546" w:rsidRPr="00AB69F5">
          <w:rPr>
            <w:rStyle w:val="Hyperlink"/>
            <w:rFonts w:ascii="Century Gothic" w:hAnsi="Century Gothic"/>
            <w:b/>
            <w:bCs w:val="0"/>
            <w:sz w:val="22"/>
            <w:szCs w:val="22"/>
          </w:rPr>
          <w:t>chloe.nemo@theccc.org.uk</w:t>
        </w:r>
      </w:hyperlink>
      <w:r w:rsidR="00AF6546" w:rsidRPr="00AB69F5">
        <w:rPr>
          <w:rFonts w:ascii="Century Gothic" w:hAnsi="Century Gothic"/>
          <w:b/>
          <w:bCs w:val="0"/>
          <w:sz w:val="22"/>
          <w:szCs w:val="22"/>
        </w:rPr>
        <w:t>)</w:t>
      </w:r>
      <w:r w:rsidR="00AB69F5">
        <w:rPr>
          <w:rFonts w:ascii="Century Gothic" w:hAnsi="Century Gothic"/>
          <w:b/>
          <w:bCs w:val="0"/>
          <w:sz w:val="22"/>
          <w:szCs w:val="22"/>
        </w:rPr>
        <w:t xml:space="preserve"> by </w:t>
      </w:r>
      <w:r w:rsidR="00D71C2D">
        <w:rPr>
          <w:rFonts w:ascii="Century Gothic" w:hAnsi="Century Gothic"/>
          <w:b/>
          <w:bCs w:val="0"/>
          <w:sz w:val="22"/>
          <w:szCs w:val="22"/>
        </w:rPr>
        <w:t>25</w:t>
      </w:r>
      <w:r w:rsidR="00D71C2D" w:rsidRPr="00D71C2D">
        <w:rPr>
          <w:rFonts w:ascii="Century Gothic" w:hAnsi="Century Gothic"/>
          <w:b/>
          <w:bCs w:val="0"/>
          <w:sz w:val="22"/>
          <w:szCs w:val="22"/>
          <w:vertAlign w:val="superscript"/>
        </w:rPr>
        <w:t>th</w:t>
      </w:r>
      <w:r w:rsidR="00D71C2D">
        <w:rPr>
          <w:rFonts w:ascii="Century Gothic" w:hAnsi="Century Gothic"/>
          <w:b/>
          <w:bCs w:val="0"/>
          <w:sz w:val="22"/>
          <w:szCs w:val="22"/>
        </w:rPr>
        <w:t xml:space="preserve"> September 2022.</w:t>
      </w:r>
    </w:p>
    <w:p w14:paraId="49136CD1" w14:textId="5935CABA" w:rsidR="00BA1602" w:rsidRPr="00BA1602" w:rsidRDefault="00BA1602" w:rsidP="00AB69F5">
      <w:pPr>
        <w:pStyle w:val="Norma"/>
        <w:spacing w:before="240" w:after="120" w:line="264" w:lineRule="auto"/>
        <w:ind w:left="0"/>
        <w:rPr>
          <w:rFonts w:ascii="Century Gothic" w:hAnsi="Century Gothic"/>
          <w:color w:val="7142FF"/>
          <w:sz w:val="22"/>
          <w:szCs w:val="22"/>
        </w:rPr>
      </w:pPr>
      <w:r w:rsidRPr="00BA1602">
        <w:rPr>
          <w:rFonts w:ascii="Century Gothic" w:hAnsi="Century Gothic"/>
          <w:color w:val="7142FF"/>
          <w:sz w:val="22"/>
          <w:szCs w:val="22"/>
        </w:rPr>
        <w:t>Table 1 – Summary of archetype starting characteristics</w:t>
      </w:r>
    </w:p>
    <w:p w14:paraId="55E3C13C" w14:textId="0E83B2C0" w:rsidR="00BA1602" w:rsidRDefault="00BA1602" w:rsidP="003E76A4">
      <w:pPr>
        <w:pStyle w:val="Norma"/>
        <w:spacing w:after="120" w:line="264" w:lineRule="auto"/>
        <w:ind w:left="0"/>
        <w:rPr>
          <w:rFonts w:ascii="Century Gothic" w:hAnsi="Century Gothic"/>
          <w:sz w:val="22"/>
          <w:szCs w:val="22"/>
        </w:rPr>
      </w:pPr>
      <w:r>
        <w:rPr>
          <w:noProof/>
        </w:rPr>
        <w:drawing>
          <wp:inline distT="0" distB="0" distL="0" distR="0" wp14:anchorId="6D6D2911" wp14:editId="35D0110F">
            <wp:extent cx="5731510" cy="3673282"/>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73282"/>
                    </a:xfrm>
                    <a:prstGeom prst="rect">
                      <a:avLst/>
                    </a:prstGeom>
                    <a:noFill/>
                    <a:ln>
                      <a:noFill/>
                    </a:ln>
                  </pic:spPr>
                </pic:pic>
              </a:graphicData>
            </a:graphic>
          </wp:inline>
        </w:drawing>
      </w:r>
    </w:p>
    <w:sectPr w:rsidR="00BA1602" w:rsidSect="00AB69F5">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C432" w14:textId="77777777" w:rsidR="009A36CA" w:rsidRDefault="009A36CA" w:rsidP="006B69A7">
      <w:pPr>
        <w:spacing w:after="0" w:line="240" w:lineRule="auto"/>
      </w:pPr>
      <w:r>
        <w:separator/>
      </w:r>
    </w:p>
  </w:endnote>
  <w:endnote w:type="continuationSeparator" w:id="0">
    <w:p w14:paraId="15BCE17D" w14:textId="77777777" w:rsidR="009A36CA" w:rsidRDefault="009A36CA" w:rsidP="006B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Malgun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Bright">
    <w:altName w:val="Lucida Bright"/>
    <w:charset w:val="00"/>
    <w:family w:val="roman"/>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icrosoft JhengHei UI Light">
    <w:panose1 w:val="020B0304030504040204"/>
    <w:charset w:val="88"/>
    <w:family w:val="swiss"/>
    <w:pitch w:val="variable"/>
    <w:sig w:usb0="800002A7" w:usb1="28CF4400" w:usb2="00000016" w:usb3="00000000" w:csb0="00100009"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46460"/>
      <w:docPartObj>
        <w:docPartGallery w:val="Page Numbers (Bottom of Page)"/>
        <w:docPartUnique/>
      </w:docPartObj>
    </w:sdtPr>
    <w:sdtEndPr>
      <w:rPr>
        <w:rFonts w:ascii="Century Gothic" w:hAnsi="Century Gothic"/>
        <w:noProof/>
        <w:sz w:val="20"/>
        <w:szCs w:val="20"/>
      </w:rPr>
    </w:sdtEndPr>
    <w:sdtContent>
      <w:p w14:paraId="6555A0EF" w14:textId="5EC37266" w:rsidR="00BA1602" w:rsidRPr="00BA1602" w:rsidRDefault="00BA1602">
        <w:pPr>
          <w:pStyle w:val="Footer"/>
          <w:jc w:val="center"/>
          <w:rPr>
            <w:rFonts w:ascii="Century Gothic" w:hAnsi="Century Gothic"/>
            <w:sz w:val="20"/>
            <w:szCs w:val="20"/>
          </w:rPr>
        </w:pPr>
        <w:r w:rsidRPr="00BA1602">
          <w:rPr>
            <w:rFonts w:ascii="Century Gothic" w:hAnsi="Century Gothic"/>
            <w:sz w:val="20"/>
            <w:szCs w:val="20"/>
          </w:rPr>
          <w:fldChar w:fldCharType="begin"/>
        </w:r>
        <w:r w:rsidRPr="00BA1602">
          <w:rPr>
            <w:rFonts w:ascii="Century Gothic" w:hAnsi="Century Gothic"/>
            <w:sz w:val="20"/>
            <w:szCs w:val="20"/>
          </w:rPr>
          <w:instrText xml:space="preserve"> PAGE   \* MERGEFORMAT </w:instrText>
        </w:r>
        <w:r w:rsidRPr="00BA1602">
          <w:rPr>
            <w:rFonts w:ascii="Century Gothic" w:hAnsi="Century Gothic"/>
            <w:sz w:val="20"/>
            <w:szCs w:val="20"/>
          </w:rPr>
          <w:fldChar w:fldCharType="separate"/>
        </w:r>
        <w:r w:rsidRPr="00BA1602">
          <w:rPr>
            <w:rFonts w:ascii="Century Gothic" w:hAnsi="Century Gothic"/>
            <w:noProof/>
            <w:sz w:val="20"/>
            <w:szCs w:val="20"/>
          </w:rPr>
          <w:t>2</w:t>
        </w:r>
        <w:r w:rsidRPr="00BA1602">
          <w:rPr>
            <w:rFonts w:ascii="Century Gothic" w:hAnsi="Century Gothic"/>
            <w:noProof/>
            <w:sz w:val="20"/>
            <w:szCs w:val="20"/>
          </w:rPr>
          <w:fldChar w:fldCharType="end"/>
        </w:r>
      </w:p>
    </w:sdtContent>
  </w:sdt>
  <w:p w14:paraId="1DA16558" w14:textId="77777777" w:rsidR="00BA1602" w:rsidRDefault="00BA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6B2A8" w14:textId="77777777" w:rsidR="009A36CA" w:rsidRDefault="009A36CA" w:rsidP="006B69A7">
      <w:pPr>
        <w:spacing w:after="0" w:line="240" w:lineRule="auto"/>
      </w:pPr>
      <w:r>
        <w:separator/>
      </w:r>
    </w:p>
  </w:footnote>
  <w:footnote w:type="continuationSeparator" w:id="0">
    <w:p w14:paraId="3AD7EC50" w14:textId="77777777" w:rsidR="009A36CA" w:rsidRDefault="009A36CA" w:rsidP="006B69A7">
      <w:pPr>
        <w:spacing w:after="0" w:line="240" w:lineRule="auto"/>
      </w:pPr>
      <w:r>
        <w:continuationSeparator/>
      </w:r>
    </w:p>
  </w:footnote>
  <w:footnote w:id="1">
    <w:p w14:paraId="47E0C4BA" w14:textId="77777777" w:rsidR="00E2596C" w:rsidRDefault="00E2596C">
      <w:pPr>
        <w:pStyle w:val="FootnoteText"/>
        <w:rPr>
          <w:rFonts w:ascii="Century Gothic" w:hAnsi="Century Gothic"/>
        </w:rPr>
      </w:pPr>
    </w:p>
    <w:p w14:paraId="2B1B8572" w14:textId="7DDAA45F" w:rsidR="00E2596C" w:rsidRPr="00E2596C" w:rsidRDefault="00E2596C">
      <w:pPr>
        <w:pStyle w:val="FootnoteText"/>
        <w:rPr>
          <w:rFonts w:ascii="Century Gothic" w:hAnsi="Century Gothic"/>
          <w:sz w:val="16"/>
          <w:szCs w:val="16"/>
        </w:rPr>
      </w:pPr>
      <w:r w:rsidRPr="00E2596C">
        <w:rPr>
          <w:rStyle w:val="FootnoteReference"/>
          <w:rFonts w:ascii="Century Gothic" w:hAnsi="Century Gothic"/>
        </w:rPr>
        <w:footnoteRef/>
      </w:r>
      <w:r w:rsidRPr="00E2596C">
        <w:rPr>
          <w:rFonts w:ascii="Century Gothic" w:hAnsi="Century Gothic"/>
        </w:rPr>
        <w:t xml:space="preserve"> </w:t>
      </w:r>
      <w:r w:rsidRPr="00E2596C">
        <w:rPr>
          <w:rFonts w:ascii="Century Gothic" w:hAnsi="Century Gothic"/>
          <w:sz w:val="16"/>
          <w:szCs w:val="16"/>
        </w:rPr>
        <w:t>CCC (20</w:t>
      </w:r>
      <w:r>
        <w:rPr>
          <w:rFonts w:ascii="Century Gothic" w:hAnsi="Century Gothic"/>
          <w:sz w:val="16"/>
          <w:szCs w:val="16"/>
        </w:rPr>
        <w:t>20</w:t>
      </w:r>
      <w:r w:rsidRPr="00E2596C">
        <w:rPr>
          <w:rFonts w:ascii="Century Gothic" w:hAnsi="Century Gothic"/>
          <w:sz w:val="16"/>
          <w:szCs w:val="16"/>
        </w:rPr>
        <w:t>) Net Zero – The UK’s contribution to stopping global warming: https://www.theccc.org.uk/publication/net-zero-the-uks-contribution-to-stopping-global-warming/</w:t>
      </w:r>
    </w:p>
  </w:footnote>
  <w:footnote w:id="2">
    <w:p w14:paraId="12151D20" w14:textId="1A4B896C" w:rsidR="00BA1602" w:rsidRPr="00E2596C" w:rsidRDefault="00BA1602">
      <w:pPr>
        <w:pStyle w:val="FootnoteText"/>
        <w:rPr>
          <w:rFonts w:ascii="Century Gothic" w:hAnsi="Century Gothic"/>
          <w:sz w:val="16"/>
          <w:szCs w:val="16"/>
        </w:rPr>
      </w:pPr>
      <w:r w:rsidRPr="00BA1602">
        <w:rPr>
          <w:rStyle w:val="FootnoteReference"/>
          <w:rFonts w:ascii="Century Gothic" w:hAnsi="Century Gothic"/>
          <w:sz w:val="16"/>
          <w:szCs w:val="16"/>
        </w:rPr>
        <w:footnoteRef/>
      </w:r>
      <w:r w:rsidRPr="00BA1602">
        <w:rPr>
          <w:rFonts w:ascii="Century Gothic" w:hAnsi="Century Gothic"/>
          <w:sz w:val="16"/>
          <w:szCs w:val="16"/>
        </w:rPr>
        <w:t xml:space="preserve"> CSE (2020)</w:t>
      </w:r>
      <w:r w:rsidR="00E2596C">
        <w:rPr>
          <w:rFonts w:ascii="Century Gothic" w:hAnsi="Century Gothic"/>
          <w:sz w:val="16"/>
          <w:szCs w:val="16"/>
        </w:rPr>
        <w:t xml:space="preserve"> </w:t>
      </w:r>
      <w:r w:rsidRPr="00E2596C">
        <w:rPr>
          <w:rFonts w:ascii="Century Gothic" w:hAnsi="Century Gothic"/>
          <w:sz w:val="16"/>
          <w:szCs w:val="16"/>
        </w:rPr>
        <w:t>Ofgem energy consumer archetypes, https://www.ofgem.gov.uk/sites/default/files/docs/2020/05/ofgem_energy_consumer_archetypes_-_final_report_0.pdf</w:t>
      </w:r>
    </w:p>
  </w:footnote>
  <w:footnote w:id="3">
    <w:p w14:paraId="3F60F9EA" w14:textId="77777777" w:rsidR="00E2596C" w:rsidRPr="00E2596C" w:rsidRDefault="00E2596C" w:rsidP="00E2596C">
      <w:pPr>
        <w:pStyle w:val="FootnoteText"/>
        <w:rPr>
          <w:rFonts w:ascii="Century Gothic" w:hAnsi="Century Gothic"/>
          <w:sz w:val="16"/>
          <w:szCs w:val="16"/>
        </w:rPr>
      </w:pPr>
      <w:r w:rsidRPr="00E2596C">
        <w:rPr>
          <w:rStyle w:val="FootnoteReference"/>
          <w:rFonts w:ascii="Century Gothic" w:hAnsi="Century Gothic"/>
          <w:sz w:val="16"/>
          <w:szCs w:val="16"/>
        </w:rPr>
        <w:footnoteRef/>
      </w:r>
      <w:r w:rsidRPr="00E2596C">
        <w:rPr>
          <w:rFonts w:ascii="Century Gothic" w:hAnsi="Century Gothic"/>
          <w:sz w:val="16"/>
          <w:szCs w:val="16"/>
        </w:rPr>
        <w:t xml:space="preserve"> CCC (2019) Net Zero – The UK's contribution to stopping global warming, https://www.theccc.org.uk/publication/net-zero-the-uks-contribution-to-stopping-global-warming/</w:t>
      </w:r>
    </w:p>
  </w:footnote>
  <w:footnote w:id="4">
    <w:p w14:paraId="06605D27" w14:textId="77777777" w:rsidR="00E2596C" w:rsidRPr="008C76AE" w:rsidRDefault="00E2596C" w:rsidP="00E2596C">
      <w:pPr>
        <w:pStyle w:val="FootnoteText"/>
        <w:rPr>
          <w:rFonts w:ascii="Century Gothic" w:hAnsi="Century Gothic"/>
          <w:b/>
          <w:bCs/>
          <w:sz w:val="16"/>
          <w:szCs w:val="16"/>
        </w:rPr>
      </w:pPr>
      <w:r w:rsidRPr="008C76AE">
        <w:rPr>
          <w:rStyle w:val="FootnoteReference"/>
          <w:rFonts w:ascii="Century Gothic" w:hAnsi="Century Gothic"/>
          <w:sz w:val="16"/>
          <w:szCs w:val="16"/>
        </w:rPr>
        <w:footnoteRef/>
      </w:r>
      <w:r w:rsidRPr="008C76AE">
        <w:rPr>
          <w:rFonts w:ascii="Century Gothic" w:hAnsi="Century Gothic"/>
          <w:sz w:val="16"/>
          <w:szCs w:val="16"/>
        </w:rPr>
        <w:t xml:space="preserve"> HM Treasury (2022) The Green Book, https://www.gov.uk/government/publications/the-green-book-appraisal-and-evaluation-in-central-governent/the-green-book-2020#valuation-of-costs-and-benefits</w:t>
      </w:r>
    </w:p>
  </w:footnote>
  <w:footnote w:id="5">
    <w:p w14:paraId="39E25E29" w14:textId="77777777" w:rsidR="00E2596C" w:rsidRPr="00485CF7" w:rsidRDefault="00E2596C" w:rsidP="00E2596C">
      <w:pPr>
        <w:pStyle w:val="FootnoteText"/>
        <w:rPr>
          <w:rFonts w:ascii="Century Gothic" w:hAnsi="Century Gothic"/>
          <w:sz w:val="16"/>
          <w:szCs w:val="16"/>
        </w:rPr>
      </w:pPr>
      <w:r w:rsidRPr="00485CF7">
        <w:rPr>
          <w:rStyle w:val="FootnoteReference"/>
          <w:rFonts w:ascii="Century Gothic" w:hAnsi="Century Gothic"/>
          <w:sz w:val="16"/>
          <w:szCs w:val="16"/>
        </w:rPr>
        <w:footnoteRef/>
      </w:r>
      <w:r w:rsidRPr="00485CF7">
        <w:rPr>
          <w:rFonts w:ascii="Century Gothic" w:hAnsi="Century Gothic"/>
          <w:sz w:val="16"/>
          <w:szCs w:val="16"/>
        </w:rPr>
        <w:t xml:space="preserve"> Ricardo AEA (2013) Review of the impacts of carbon budget measures on human health and the environment, https://www.theccc.org.uk/publication/review-of-the-impacts-of-carbon-budget-measures-on-human-health-and-the-environment-by-ricardo-aea/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6AE"/>
    <w:multiLevelType w:val="hybridMultilevel"/>
    <w:tmpl w:val="7CD687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B946233"/>
    <w:multiLevelType w:val="hybridMultilevel"/>
    <w:tmpl w:val="0974F9C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5894FC3"/>
    <w:multiLevelType w:val="hybridMultilevel"/>
    <w:tmpl w:val="3DB4B7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740BE"/>
    <w:multiLevelType w:val="hybridMultilevel"/>
    <w:tmpl w:val="BAACD924"/>
    <w:lvl w:ilvl="0" w:tplc="AB683EE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43AB0"/>
    <w:multiLevelType w:val="hybridMultilevel"/>
    <w:tmpl w:val="6588837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B2663D5"/>
    <w:multiLevelType w:val="hybridMultilevel"/>
    <w:tmpl w:val="81F2A8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A7"/>
    <w:rsid w:val="000F4B3B"/>
    <w:rsid w:val="001C79BB"/>
    <w:rsid w:val="00254DC7"/>
    <w:rsid w:val="00280224"/>
    <w:rsid w:val="002B39C6"/>
    <w:rsid w:val="003E0EA9"/>
    <w:rsid w:val="003E76A4"/>
    <w:rsid w:val="004366AD"/>
    <w:rsid w:val="00485CF7"/>
    <w:rsid w:val="004A39A6"/>
    <w:rsid w:val="00533C16"/>
    <w:rsid w:val="00557674"/>
    <w:rsid w:val="005A4989"/>
    <w:rsid w:val="00631C20"/>
    <w:rsid w:val="006B12AD"/>
    <w:rsid w:val="006B69A7"/>
    <w:rsid w:val="007827F3"/>
    <w:rsid w:val="008403C4"/>
    <w:rsid w:val="00877398"/>
    <w:rsid w:val="008C76AE"/>
    <w:rsid w:val="00985825"/>
    <w:rsid w:val="009A36CA"/>
    <w:rsid w:val="00A20FEC"/>
    <w:rsid w:val="00AB69F5"/>
    <w:rsid w:val="00AF6546"/>
    <w:rsid w:val="00B07574"/>
    <w:rsid w:val="00BA0A44"/>
    <w:rsid w:val="00BA1602"/>
    <w:rsid w:val="00C73FDD"/>
    <w:rsid w:val="00D15D5D"/>
    <w:rsid w:val="00D71C2D"/>
    <w:rsid w:val="00DB766F"/>
    <w:rsid w:val="00E111B9"/>
    <w:rsid w:val="00E2596C"/>
    <w:rsid w:val="00EC16DC"/>
    <w:rsid w:val="00F24A10"/>
    <w:rsid w:val="00F7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1B07"/>
  <w15:chartTrackingRefBased/>
  <w15:docId w15:val="{7D1BEEBC-4F2A-46A9-B7D4-822F53E0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rsid w:val="006B69A7"/>
    <w:pPr>
      <w:spacing w:after="0" w:line="240" w:lineRule="auto"/>
      <w:ind w:left="720"/>
    </w:pPr>
    <w:rPr>
      <w:rFonts w:eastAsia="Times New Roman" w:cs="Times New Roman"/>
      <w:bCs/>
      <w:sz w:val="20"/>
      <w:szCs w:val="20"/>
    </w:rPr>
  </w:style>
  <w:style w:type="paragraph" w:styleId="FootnoteText">
    <w:name w:val="footnote text"/>
    <w:basedOn w:val="Normal"/>
    <w:link w:val="FootnoteTextChar"/>
    <w:uiPriority w:val="99"/>
    <w:unhideWhenUsed/>
    <w:rsid w:val="006B69A7"/>
    <w:pPr>
      <w:spacing w:after="120" w:line="240" w:lineRule="auto"/>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6B69A7"/>
    <w:rPr>
      <w:rFonts w:ascii="Myriad Pro" w:eastAsia="Times New Roman" w:hAnsi="Myriad Pro" w:cs="Times New Roman"/>
      <w:sz w:val="20"/>
      <w:szCs w:val="20"/>
    </w:rPr>
  </w:style>
  <w:style w:type="character" w:styleId="FootnoteReference">
    <w:name w:val="footnote reference"/>
    <w:basedOn w:val="DefaultParagraphFont"/>
    <w:uiPriority w:val="99"/>
    <w:rsid w:val="006B69A7"/>
    <w:rPr>
      <w:vertAlign w:val="superscript"/>
    </w:rPr>
  </w:style>
  <w:style w:type="paragraph" w:customStyle="1" w:styleId="BodyTableText">
    <w:name w:val="Body Table Text"/>
    <w:basedOn w:val="BodyText"/>
    <w:link w:val="BodyTableTextChar"/>
    <w:uiPriority w:val="1"/>
    <w:qFormat/>
    <w:rsid w:val="00BA1602"/>
    <w:pPr>
      <w:spacing w:before="60" w:after="60" w:line="300" w:lineRule="auto"/>
    </w:pPr>
    <w:rPr>
      <w:rFonts w:ascii="Lucida Bright" w:hAnsi="Lucida Bright"/>
      <w:sz w:val="20"/>
    </w:rPr>
  </w:style>
  <w:style w:type="character" w:customStyle="1" w:styleId="BodyTableTextChar">
    <w:name w:val="Body Table Text Char"/>
    <w:basedOn w:val="BodyTextChar"/>
    <w:link w:val="BodyTableText"/>
    <w:uiPriority w:val="1"/>
    <w:rsid w:val="00BA1602"/>
    <w:rPr>
      <w:rFonts w:ascii="Lucida Bright" w:hAnsi="Lucida Bright"/>
      <w:sz w:val="20"/>
    </w:rPr>
  </w:style>
  <w:style w:type="paragraph" w:customStyle="1" w:styleId="TableHeader">
    <w:name w:val="Table Header"/>
    <w:basedOn w:val="BodyTableText"/>
    <w:uiPriority w:val="29"/>
    <w:semiHidden/>
    <w:qFormat/>
    <w:rsid w:val="00BA1602"/>
    <w:rPr>
      <w:rFonts w:ascii="Franklin Gothic Medium Cond" w:hAnsi="Franklin Gothic Medium Cond"/>
      <w:caps/>
      <w:color w:val="4472C4" w:themeColor="accent1"/>
      <w:sz w:val="22"/>
    </w:rPr>
  </w:style>
  <w:style w:type="table" w:customStyle="1" w:styleId="TextTableOption2">
    <w:name w:val="Text Table Option 2"/>
    <w:basedOn w:val="TableNormal"/>
    <w:uiPriority w:val="99"/>
    <w:rsid w:val="00BA1602"/>
    <w:pPr>
      <w:spacing w:before="60" w:after="0" w:line="240" w:lineRule="auto"/>
    </w:pPr>
    <w:rPr>
      <w:rFonts w:ascii="Lucida Bright" w:hAnsi="Lucida Bright"/>
      <w:color w:val="4472C4" w:themeColor="accent1"/>
      <w:sz w:val="20"/>
    </w:rPr>
    <w:tblPr>
      <w:tblStyleRowBandSize w:val="1"/>
      <w:tblStyleColBandSize w:val="1"/>
      <w:tblInd w:w="0" w:type="nil"/>
      <w:tblBorders>
        <w:bottom w:val="single" w:sz="4" w:space="0" w:color="70AD47" w:themeColor="accent6"/>
      </w:tblBorders>
    </w:tblPr>
    <w:tblStylePr w:type="firstRow">
      <w:pPr>
        <w:wordWrap/>
        <w:spacing w:beforeLines="0" w:before="100" w:beforeAutospacing="1" w:afterLines="0" w:after="100" w:afterAutospacing="1"/>
      </w:pPr>
      <w:rPr>
        <w:rFonts w:ascii="Microsoft JhengHei UI Light" w:eastAsia="Microsoft JhengHei UI Light" w:hAnsi="Microsoft JhengHei UI Light" w:hint="eastAsia"/>
        <w:b w:val="0"/>
        <w:caps/>
        <w:smallCaps w:val="0"/>
        <w:color w:val="4472C4" w:themeColor="accent1"/>
        <w:sz w:val="22"/>
        <w:szCs w:val="22"/>
      </w:rPr>
      <w:tblPr/>
      <w:tcPr>
        <w:tcBorders>
          <w:top w:val="single" w:sz="4" w:space="0" w:color="70AD47" w:themeColor="accent6"/>
          <w:left w:val="nil"/>
          <w:bottom w:val="single" w:sz="4" w:space="0" w:color="70AD47" w:themeColor="accent6"/>
          <w:right w:val="nil"/>
          <w:insideH w:val="nil"/>
          <w:insideV w:val="nil"/>
        </w:tcBorders>
      </w:tcPr>
    </w:tblStylePr>
    <w:tblStylePr w:type="lastRow">
      <w:rPr>
        <w:rFonts w:ascii="Times New Roman Bold" w:hAnsi="Times New Roman Bold" w:hint="default"/>
        <w:i/>
        <w:color w:val="4472C4" w:themeColor="accent1"/>
        <w:sz w:val="14"/>
        <w:szCs w:val="14"/>
      </w:rPr>
      <w:tblPr/>
      <w:tcPr>
        <w:tcBorders>
          <w:top w:val="single" w:sz="4" w:space="0" w:color="E83F35"/>
          <w:left w:val="nil"/>
          <w:bottom w:val="nil"/>
          <w:right w:val="nil"/>
          <w:insideH w:val="nil"/>
          <w:insideV w:val="nil"/>
        </w:tcBorders>
      </w:tcPr>
    </w:tblStylePr>
    <w:tblStylePr w:type="band1Horz">
      <w:rPr>
        <w:rFonts w:ascii="Times New Roman Bold" w:hAnsi="Times New Roman Bold" w:hint="default"/>
        <w:color w:val="70AD47" w:themeColor="accent6"/>
        <w:sz w:val="17"/>
        <w:szCs w:val="17"/>
      </w:rPr>
      <w:tblPr/>
      <w:tcPr>
        <w:tcBorders>
          <w:top w:val="single" w:sz="4" w:space="0" w:color="E7E6E6" w:themeColor="background2"/>
        </w:tcBorders>
        <w:shd w:val="clear" w:color="auto" w:fill="F2F2F2"/>
      </w:tcPr>
    </w:tblStylePr>
    <w:tblStylePr w:type="band2Horz">
      <w:rPr>
        <w:rFonts w:ascii="Times New Roman Bold" w:hAnsi="Times New Roman Bold" w:hint="default"/>
        <w:color w:val="70AD47" w:themeColor="accent6"/>
        <w:sz w:val="17"/>
        <w:szCs w:val="17"/>
      </w:rPr>
      <w:tblPr/>
      <w:tcPr>
        <w:tcBorders>
          <w:top w:val="single" w:sz="4" w:space="0" w:color="C1C1C1"/>
          <w:left w:val="nil"/>
          <w:bottom w:val="single" w:sz="4" w:space="0" w:color="C1C1C1"/>
          <w:right w:val="nil"/>
          <w:insideH w:val="nil"/>
          <w:insideV w:val="nil"/>
        </w:tcBorders>
      </w:tcPr>
    </w:tblStylePr>
  </w:style>
  <w:style w:type="paragraph" w:styleId="BodyText">
    <w:name w:val="Body Text"/>
    <w:basedOn w:val="Normal"/>
    <w:link w:val="BodyTextChar"/>
    <w:uiPriority w:val="99"/>
    <w:semiHidden/>
    <w:unhideWhenUsed/>
    <w:rsid w:val="00BA1602"/>
    <w:pPr>
      <w:spacing w:after="120"/>
    </w:pPr>
  </w:style>
  <w:style w:type="character" w:customStyle="1" w:styleId="BodyTextChar">
    <w:name w:val="Body Text Char"/>
    <w:basedOn w:val="DefaultParagraphFont"/>
    <w:link w:val="BodyText"/>
    <w:uiPriority w:val="99"/>
    <w:semiHidden/>
    <w:rsid w:val="00BA1602"/>
  </w:style>
  <w:style w:type="paragraph" w:styleId="Header">
    <w:name w:val="header"/>
    <w:basedOn w:val="Normal"/>
    <w:link w:val="HeaderChar"/>
    <w:uiPriority w:val="99"/>
    <w:unhideWhenUsed/>
    <w:rsid w:val="00BA1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602"/>
  </w:style>
  <w:style w:type="paragraph" w:styleId="Footer">
    <w:name w:val="footer"/>
    <w:basedOn w:val="Normal"/>
    <w:link w:val="FooterChar"/>
    <w:uiPriority w:val="99"/>
    <w:unhideWhenUsed/>
    <w:rsid w:val="00BA1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602"/>
  </w:style>
  <w:style w:type="character" w:styleId="CommentReference">
    <w:name w:val="annotation reference"/>
    <w:basedOn w:val="DefaultParagraphFont"/>
    <w:uiPriority w:val="99"/>
    <w:semiHidden/>
    <w:unhideWhenUsed/>
    <w:rsid w:val="00BA0A44"/>
    <w:rPr>
      <w:sz w:val="16"/>
      <w:szCs w:val="16"/>
    </w:rPr>
  </w:style>
  <w:style w:type="paragraph" w:styleId="CommentText">
    <w:name w:val="annotation text"/>
    <w:basedOn w:val="Normal"/>
    <w:link w:val="CommentTextChar"/>
    <w:uiPriority w:val="99"/>
    <w:semiHidden/>
    <w:unhideWhenUsed/>
    <w:rsid w:val="00BA0A44"/>
    <w:pPr>
      <w:spacing w:line="240" w:lineRule="auto"/>
    </w:pPr>
    <w:rPr>
      <w:sz w:val="20"/>
      <w:szCs w:val="20"/>
    </w:rPr>
  </w:style>
  <w:style w:type="character" w:customStyle="1" w:styleId="CommentTextChar">
    <w:name w:val="Comment Text Char"/>
    <w:basedOn w:val="DefaultParagraphFont"/>
    <w:link w:val="CommentText"/>
    <w:uiPriority w:val="99"/>
    <w:semiHidden/>
    <w:rsid w:val="00BA0A44"/>
    <w:rPr>
      <w:sz w:val="20"/>
      <w:szCs w:val="20"/>
    </w:rPr>
  </w:style>
  <w:style w:type="paragraph" w:styleId="CommentSubject">
    <w:name w:val="annotation subject"/>
    <w:basedOn w:val="CommentText"/>
    <w:next w:val="CommentText"/>
    <w:link w:val="CommentSubjectChar"/>
    <w:uiPriority w:val="99"/>
    <w:semiHidden/>
    <w:unhideWhenUsed/>
    <w:rsid w:val="00BA0A44"/>
    <w:rPr>
      <w:b/>
      <w:bCs/>
    </w:rPr>
  </w:style>
  <w:style w:type="character" w:customStyle="1" w:styleId="CommentSubjectChar">
    <w:name w:val="Comment Subject Char"/>
    <w:basedOn w:val="CommentTextChar"/>
    <w:link w:val="CommentSubject"/>
    <w:uiPriority w:val="99"/>
    <w:semiHidden/>
    <w:rsid w:val="00BA0A44"/>
    <w:rPr>
      <w:b/>
      <w:bCs/>
      <w:sz w:val="20"/>
      <w:szCs w:val="20"/>
    </w:rPr>
  </w:style>
  <w:style w:type="character" w:styleId="Hyperlink">
    <w:name w:val="Hyperlink"/>
    <w:basedOn w:val="DefaultParagraphFont"/>
    <w:uiPriority w:val="99"/>
    <w:unhideWhenUsed/>
    <w:rsid w:val="00AF6546"/>
    <w:rPr>
      <w:color w:val="0563C1" w:themeColor="hyperlink"/>
      <w:u w:val="single"/>
    </w:rPr>
  </w:style>
  <w:style w:type="character" w:styleId="UnresolvedMention">
    <w:name w:val="Unresolved Mention"/>
    <w:basedOn w:val="DefaultParagraphFont"/>
    <w:uiPriority w:val="99"/>
    <w:semiHidden/>
    <w:unhideWhenUsed/>
    <w:rsid w:val="00AF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loe.nemo@theccc.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anca.letti@thecc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7a4ed3e5-8539-4056-add8-8824f7d44d37">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11C5E-4D35-487F-8609-A6D1DF18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0A327-A067-4515-9C0B-5EF2F550D3A4}">
  <ds:schemaRefs>
    <ds:schemaRef ds:uri="Microsoft.SharePoint.Taxonomy.ContentTypeSync"/>
  </ds:schemaRefs>
</ds:datastoreItem>
</file>

<file path=customXml/itemProps3.xml><?xml version="1.0" encoding="utf-8"?>
<ds:datastoreItem xmlns:ds="http://schemas.openxmlformats.org/officeDocument/2006/customXml" ds:itemID="{4FFB940F-6086-4C5A-AB82-196B42F78F04}">
  <ds:schemaRefs>
    <ds:schemaRef ds:uri="http://schemas.microsoft.com/sharepoint/v3/contenttype/forms"/>
  </ds:schemaRefs>
</ds:datastoreItem>
</file>

<file path=customXml/itemProps4.xml><?xml version="1.0" encoding="utf-8"?>
<ds:datastoreItem xmlns:ds="http://schemas.openxmlformats.org/officeDocument/2006/customXml" ds:itemID="{7F6A9D3F-4DEB-4099-A677-02BB6360B6D4}">
  <ds:schemaRefs>
    <ds:schemaRef ds:uri="3964904f-5f85-4184-bdfc-bbe062de5a69"/>
    <ds:schemaRef ds:uri="http://purl.org/dc/elements/1.1/"/>
    <ds:schemaRef ds:uri="http://schemas.microsoft.com/office/2006/documentManagement/types"/>
    <ds:schemaRef ds:uri="7a4ed3e5-8539-4056-add8-8824f7d44d37"/>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662745e8-e224-48e8-a2e3-254862b8c2f5"/>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0026C61D-65F5-4FE4-AE26-F52E94FA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Farias Letti, Bianca</dc:creator>
  <cp:keywords/>
  <dc:description/>
  <cp:lastModifiedBy>Taylor, Sean</cp:lastModifiedBy>
  <cp:revision>2</cp:revision>
  <dcterms:created xsi:type="dcterms:W3CDTF">2022-09-01T10:30:00Z</dcterms:created>
  <dcterms:modified xsi:type="dcterms:W3CDTF">2022-09-01T10:30:00Z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8;#CCC|56fb4ae0-68c5-4508-b0e5-c5babc6316fa</vt:lpwstr>
  </property>
</Properties>
</file>