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3684" w14:textId="6968A9C9" w:rsidR="004B1A24" w:rsidRDefault="00A217CE" w:rsidP="00EE5EB0">
      <w:pPr>
        <w:jc w:val="center"/>
        <w:rPr>
          <w:b/>
        </w:rPr>
      </w:pPr>
      <w:r>
        <w:rPr>
          <w:noProof/>
          <w:lang w:eastAsia="en-GB"/>
        </w:rPr>
        <w:drawing>
          <wp:anchor distT="0" distB="0" distL="114300" distR="114300" simplePos="0" relativeHeight="251749376" behindDoc="1" locked="0" layoutInCell="1" allowOverlap="1" wp14:anchorId="45489C94" wp14:editId="110E9CD1">
            <wp:simplePos x="0" y="0"/>
            <wp:positionH relativeFrom="column">
              <wp:posOffset>-997392</wp:posOffset>
            </wp:positionH>
            <wp:positionV relativeFrom="paragraph">
              <wp:posOffset>-937260</wp:posOffset>
            </wp:positionV>
            <wp:extent cx="7586345" cy="107276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6345" cy="10727690"/>
                    </a:xfrm>
                    <a:prstGeom prst="rect">
                      <a:avLst/>
                    </a:prstGeom>
                  </pic:spPr>
                </pic:pic>
              </a:graphicData>
            </a:graphic>
            <wp14:sizeRelH relativeFrom="page">
              <wp14:pctWidth>0</wp14:pctWidth>
            </wp14:sizeRelH>
            <wp14:sizeRelV relativeFrom="page">
              <wp14:pctHeight>0</wp14:pctHeight>
            </wp14:sizeRelV>
          </wp:anchor>
        </w:drawing>
      </w:r>
    </w:p>
    <w:p w14:paraId="20C737F7" w14:textId="43D59A30" w:rsidR="00200E60" w:rsidRDefault="00200E60" w:rsidP="00AD0C96">
      <w:pPr>
        <w:pStyle w:val="Heading2"/>
        <w:numPr>
          <w:ilvl w:val="0"/>
          <w:numId w:val="0"/>
        </w:numPr>
        <w:jc w:val="center"/>
      </w:pPr>
    </w:p>
    <w:p w14:paraId="20C737F8" w14:textId="77777777" w:rsidR="00200E60" w:rsidRDefault="00200E60" w:rsidP="00200E60">
      <w:pPr>
        <w:pStyle w:val="Heading2"/>
        <w:numPr>
          <w:ilvl w:val="0"/>
          <w:numId w:val="0"/>
        </w:numPr>
        <w:jc w:val="center"/>
      </w:pPr>
    </w:p>
    <w:p w14:paraId="20C737F9" w14:textId="77777777" w:rsidR="00200E60" w:rsidRDefault="00200E60" w:rsidP="00200E60">
      <w:pPr>
        <w:pStyle w:val="Heading2"/>
        <w:numPr>
          <w:ilvl w:val="0"/>
          <w:numId w:val="0"/>
        </w:numPr>
        <w:jc w:val="center"/>
      </w:pPr>
    </w:p>
    <w:p w14:paraId="20C737FA" w14:textId="648626FE" w:rsidR="00200E60" w:rsidRDefault="00FB0F12" w:rsidP="00200E60">
      <w:pPr>
        <w:pStyle w:val="Heading2"/>
        <w:numPr>
          <w:ilvl w:val="0"/>
          <w:numId w:val="0"/>
        </w:numPr>
        <w:jc w:val="center"/>
      </w:pPr>
      <w:r>
        <w:t>University Hospitals Birmingham NHSFT</w:t>
      </w:r>
    </w:p>
    <w:p w14:paraId="20C737FB" w14:textId="77777777" w:rsidR="00200E60" w:rsidRDefault="00200E60" w:rsidP="00200E60">
      <w:pPr>
        <w:pStyle w:val="Heading2"/>
        <w:numPr>
          <w:ilvl w:val="0"/>
          <w:numId w:val="0"/>
        </w:numPr>
        <w:jc w:val="center"/>
      </w:pPr>
    </w:p>
    <w:p w14:paraId="20C737FC" w14:textId="77777777" w:rsidR="00B45130" w:rsidRDefault="00B45130" w:rsidP="00200E60">
      <w:pPr>
        <w:pStyle w:val="Heading2"/>
        <w:numPr>
          <w:ilvl w:val="0"/>
          <w:numId w:val="0"/>
        </w:numPr>
        <w:jc w:val="center"/>
      </w:pPr>
    </w:p>
    <w:p w14:paraId="6AD24702" w14:textId="1145E0B4" w:rsidR="00781C9C" w:rsidRPr="00CF43C1" w:rsidRDefault="00781C9C" w:rsidP="00781C9C">
      <w:pPr>
        <w:pStyle w:val="Heading2"/>
        <w:numPr>
          <w:ilvl w:val="0"/>
          <w:numId w:val="0"/>
        </w:numPr>
        <w:jc w:val="center"/>
      </w:pPr>
      <w:r w:rsidRPr="0038521C">
        <w:t>Invitation to</w:t>
      </w:r>
      <w:r w:rsidR="00EE6E3A">
        <w:t xml:space="preserve"> </w:t>
      </w:r>
      <w:r w:rsidR="00447D19">
        <w:t xml:space="preserve">tender Restricted Procedure - </w:t>
      </w:r>
      <w:r w:rsidR="00EE6E3A">
        <w:t>Express Interest and Pre-Qualification Questions response</w:t>
      </w:r>
      <w:r w:rsidR="00D2555F">
        <w:t xml:space="preserve"> </w:t>
      </w:r>
      <w:r w:rsidRPr="0038521C">
        <w:t>for</w:t>
      </w:r>
      <w:r>
        <w:t xml:space="preserve"> </w:t>
      </w:r>
      <w:r w:rsidR="00072B64" w:rsidRPr="00072B64">
        <w:rPr>
          <w:b/>
        </w:rPr>
        <w:t>PET Centre Enabling Scheme - QE</w:t>
      </w:r>
      <w:r w:rsidR="00EE6E3A">
        <w:rPr>
          <w:b/>
        </w:rPr>
        <w:t>H</w:t>
      </w:r>
    </w:p>
    <w:p w14:paraId="1FFB12D6" w14:textId="77777777" w:rsidR="00781C9C" w:rsidRDefault="00781C9C" w:rsidP="00781C9C">
      <w:pPr>
        <w:jc w:val="center"/>
      </w:pPr>
      <w:r>
        <w:t xml:space="preserve">.  </w:t>
      </w:r>
    </w:p>
    <w:p w14:paraId="7E0E6000" w14:textId="77777777" w:rsidR="00781C9C" w:rsidRDefault="00781C9C" w:rsidP="00781C9C">
      <w:pPr>
        <w:pStyle w:val="Heading2"/>
        <w:numPr>
          <w:ilvl w:val="0"/>
          <w:numId w:val="0"/>
        </w:numPr>
        <w:jc w:val="center"/>
      </w:pPr>
    </w:p>
    <w:p w14:paraId="0885CC0D" w14:textId="1FDDF6A3" w:rsidR="00781C9C" w:rsidRDefault="00B81375" w:rsidP="00781C9C">
      <w:pPr>
        <w:pStyle w:val="Heading2"/>
        <w:numPr>
          <w:ilvl w:val="0"/>
          <w:numId w:val="0"/>
        </w:numPr>
        <w:jc w:val="center"/>
      </w:pPr>
      <w:r>
        <w:t>PQQ</w:t>
      </w:r>
      <w:r w:rsidR="00781C9C">
        <w:t xml:space="preserve"> Ref Number: itt_</w:t>
      </w:r>
      <w:r>
        <w:t>C163030</w:t>
      </w:r>
    </w:p>
    <w:p w14:paraId="0FF1BF81" w14:textId="5D235B22" w:rsidR="00781C9C" w:rsidRDefault="00B81375" w:rsidP="00781C9C">
      <w:pPr>
        <w:pStyle w:val="Heading2"/>
        <w:numPr>
          <w:ilvl w:val="0"/>
          <w:numId w:val="0"/>
        </w:numPr>
        <w:jc w:val="center"/>
      </w:pPr>
      <w:r>
        <w:rPr>
          <w:b/>
        </w:rPr>
        <w:t>(</w:t>
      </w:r>
      <w:r w:rsidR="00781C9C" w:rsidRPr="009D004A">
        <w:t>PROC.</w:t>
      </w:r>
      <w:r w:rsidR="00D2555F">
        <w:t>04.02</w:t>
      </w:r>
      <w:r w:rsidR="00072B64">
        <w:t>02</w:t>
      </w:r>
      <w:r>
        <w:t>)</w:t>
      </w:r>
    </w:p>
    <w:p w14:paraId="484C74DB" w14:textId="77777777" w:rsidR="00781C9C" w:rsidRDefault="00781C9C" w:rsidP="00781C9C">
      <w:pPr>
        <w:pStyle w:val="Heading2"/>
        <w:numPr>
          <w:ilvl w:val="0"/>
          <w:numId w:val="0"/>
        </w:numPr>
        <w:jc w:val="center"/>
      </w:pPr>
    </w:p>
    <w:p w14:paraId="382BC9DB" w14:textId="6559A23E" w:rsidR="00781C9C" w:rsidRDefault="00781C9C" w:rsidP="00781C9C">
      <w:pPr>
        <w:pStyle w:val="Heading2"/>
        <w:numPr>
          <w:ilvl w:val="0"/>
          <w:numId w:val="0"/>
        </w:numPr>
        <w:jc w:val="center"/>
      </w:pPr>
      <w:r>
        <w:t xml:space="preserve">Deadline for </w:t>
      </w:r>
      <w:r w:rsidR="00B81375">
        <w:t>Responses and Express of Interest</w:t>
      </w:r>
      <w:r>
        <w:t xml:space="preserve"> to be received</w:t>
      </w:r>
      <w:r w:rsidRPr="00835878">
        <w:t xml:space="preserve">:  </w:t>
      </w:r>
      <w:r w:rsidR="00E41F1B" w:rsidRPr="00835878">
        <w:rPr>
          <w:b/>
        </w:rPr>
        <w:t>1</w:t>
      </w:r>
      <w:r w:rsidR="00B81375">
        <w:rPr>
          <w:b/>
        </w:rPr>
        <w:t>6.05</w:t>
      </w:r>
      <w:r w:rsidR="000477E9" w:rsidRPr="00835878">
        <w:rPr>
          <w:b/>
        </w:rPr>
        <w:t>.202</w:t>
      </w:r>
      <w:r w:rsidR="00F962EA" w:rsidRPr="00835878">
        <w:rPr>
          <w:b/>
        </w:rPr>
        <w:t>2</w:t>
      </w:r>
      <w:r w:rsidRPr="0038789F">
        <w:rPr>
          <w:b/>
        </w:rPr>
        <w:t xml:space="preserve"> at 1</w:t>
      </w:r>
      <w:r w:rsidR="00D2555F">
        <w:rPr>
          <w:b/>
        </w:rPr>
        <w:t>2</w:t>
      </w:r>
      <w:r w:rsidRPr="0038789F">
        <w:rPr>
          <w:b/>
        </w:rPr>
        <w:t>:00</w:t>
      </w:r>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71D3399B" w14:textId="77777777" w:rsidR="00FB0F12" w:rsidRDefault="00FB0F12" w:rsidP="00200E60">
      <w:pPr>
        <w:pStyle w:val="Heading2"/>
        <w:numPr>
          <w:ilvl w:val="0"/>
          <w:numId w:val="0"/>
        </w:numPr>
        <w:jc w:val="center"/>
      </w:pPr>
    </w:p>
    <w:p w14:paraId="4F55EA87" w14:textId="77777777" w:rsidR="00FB0F12" w:rsidRDefault="00FB0F12" w:rsidP="00200E60">
      <w:pPr>
        <w:pStyle w:val="Heading2"/>
        <w:numPr>
          <w:ilvl w:val="0"/>
          <w:numId w:val="0"/>
        </w:numPr>
        <w:jc w:val="center"/>
      </w:pPr>
    </w:p>
    <w:p w14:paraId="2E131EFA" w14:textId="77777777" w:rsidR="00FB0F12" w:rsidRDefault="00FB0F12" w:rsidP="00200E60">
      <w:pPr>
        <w:pStyle w:val="Heading2"/>
        <w:numPr>
          <w:ilvl w:val="0"/>
          <w:numId w:val="0"/>
        </w:numPr>
        <w:jc w:val="center"/>
      </w:pPr>
    </w:p>
    <w:p w14:paraId="2E981FCF" w14:textId="77777777" w:rsidR="00FB0F12" w:rsidRDefault="00FB0F12" w:rsidP="00200E60">
      <w:pPr>
        <w:pStyle w:val="Heading2"/>
        <w:numPr>
          <w:ilvl w:val="0"/>
          <w:numId w:val="0"/>
        </w:numPr>
        <w:jc w:val="center"/>
      </w:pPr>
    </w:p>
    <w:p w14:paraId="1D090A83" w14:textId="77777777" w:rsidR="00FB0F12" w:rsidRDefault="00FB0F12" w:rsidP="00200E60">
      <w:pPr>
        <w:pStyle w:val="Heading2"/>
        <w:numPr>
          <w:ilvl w:val="0"/>
          <w:numId w:val="0"/>
        </w:numPr>
        <w:jc w:val="center"/>
      </w:pPr>
    </w:p>
    <w:p w14:paraId="7EE513E9" w14:textId="77777777" w:rsidR="00FB0F12" w:rsidRDefault="00FB0F12" w:rsidP="00200E60">
      <w:pPr>
        <w:pStyle w:val="Heading2"/>
        <w:numPr>
          <w:ilvl w:val="0"/>
          <w:numId w:val="0"/>
        </w:numPr>
        <w:jc w:val="center"/>
      </w:pPr>
    </w:p>
    <w:p w14:paraId="3539C70F" w14:textId="77777777" w:rsidR="00FB0F12" w:rsidRDefault="00FB0F12" w:rsidP="00200E60">
      <w:pPr>
        <w:pStyle w:val="Heading2"/>
        <w:numPr>
          <w:ilvl w:val="0"/>
          <w:numId w:val="0"/>
        </w:numPr>
        <w:jc w:val="center"/>
      </w:pPr>
    </w:p>
    <w:p w14:paraId="04965635" w14:textId="77777777" w:rsidR="00FB0F12" w:rsidRDefault="00FB0F12" w:rsidP="00200E60">
      <w:pPr>
        <w:pStyle w:val="Heading2"/>
        <w:numPr>
          <w:ilvl w:val="0"/>
          <w:numId w:val="0"/>
        </w:numPr>
        <w:jc w:val="center"/>
      </w:pPr>
    </w:p>
    <w:p w14:paraId="1675D4DF" w14:textId="77777777" w:rsidR="00FB0F12" w:rsidRDefault="00FB0F12" w:rsidP="00200E60">
      <w:pPr>
        <w:pStyle w:val="Heading2"/>
        <w:numPr>
          <w:ilvl w:val="0"/>
          <w:numId w:val="0"/>
        </w:numPr>
        <w:jc w:val="center"/>
      </w:pPr>
    </w:p>
    <w:p w14:paraId="41742988" w14:textId="77777777" w:rsidR="00FB0F12" w:rsidRDefault="00FB0F12" w:rsidP="00200E60">
      <w:pPr>
        <w:pStyle w:val="Heading2"/>
        <w:numPr>
          <w:ilvl w:val="0"/>
          <w:numId w:val="0"/>
        </w:numPr>
        <w:jc w:val="center"/>
      </w:pPr>
    </w:p>
    <w:p w14:paraId="206A1AED" w14:textId="77777777" w:rsidR="00FB0F12" w:rsidRDefault="00FB0F12" w:rsidP="00200E60">
      <w:pPr>
        <w:pStyle w:val="Heading2"/>
        <w:numPr>
          <w:ilvl w:val="0"/>
          <w:numId w:val="0"/>
        </w:numPr>
        <w:jc w:val="center"/>
      </w:pPr>
    </w:p>
    <w:p w14:paraId="2197CBBE" w14:textId="77777777" w:rsidR="00FB0F12" w:rsidRDefault="00FB0F12" w:rsidP="00200E60">
      <w:pPr>
        <w:pStyle w:val="Heading2"/>
        <w:numPr>
          <w:ilvl w:val="0"/>
          <w:numId w:val="0"/>
        </w:numPr>
        <w:jc w:val="center"/>
      </w:pPr>
    </w:p>
    <w:p w14:paraId="5770031A" w14:textId="77777777" w:rsidR="00FB0F12" w:rsidRDefault="00FB0F12" w:rsidP="00200E60">
      <w:pPr>
        <w:pStyle w:val="Heading2"/>
        <w:numPr>
          <w:ilvl w:val="0"/>
          <w:numId w:val="0"/>
        </w:numPr>
        <w:jc w:val="center"/>
      </w:pPr>
    </w:p>
    <w:p w14:paraId="7F33D66E" w14:textId="77777777" w:rsidR="00FB0F12" w:rsidRDefault="00FB0F12" w:rsidP="00200E60">
      <w:pPr>
        <w:pStyle w:val="Heading2"/>
        <w:numPr>
          <w:ilvl w:val="0"/>
          <w:numId w:val="0"/>
        </w:numPr>
        <w:jc w:val="center"/>
      </w:pPr>
    </w:p>
    <w:p w14:paraId="02B63FF0" w14:textId="77777777" w:rsidR="00FB0F12" w:rsidRDefault="00FB0F12" w:rsidP="00200E60">
      <w:pPr>
        <w:pStyle w:val="Heading2"/>
        <w:numPr>
          <w:ilvl w:val="0"/>
          <w:numId w:val="0"/>
        </w:numPr>
        <w:jc w:val="center"/>
      </w:pPr>
    </w:p>
    <w:p w14:paraId="7493F0B2" w14:textId="77777777" w:rsidR="00FB0F12" w:rsidRDefault="00FB0F12" w:rsidP="00200E60">
      <w:pPr>
        <w:pStyle w:val="Heading2"/>
        <w:numPr>
          <w:ilvl w:val="0"/>
          <w:numId w:val="0"/>
        </w:numPr>
        <w:jc w:val="center"/>
      </w:pPr>
    </w:p>
    <w:p w14:paraId="3572F755" w14:textId="77777777" w:rsidR="00FB0F12" w:rsidRDefault="00AD0C96" w:rsidP="00FB0F12">
      <w:pPr>
        <w:pStyle w:val="Heading2"/>
        <w:numPr>
          <w:ilvl w:val="0"/>
          <w:numId w:val="0"/>
        </w:numPr>
        <w:jc w:val="center"/>
        <w:rPr>
          <w:b/>
        </w:rPr>
      </w:pPr>
      <w:r>
        <w:rPr>
          <w:b/>
        </w:rPr>
        <w:t>SECTION</w:t>
      </w:r>
      <w:r w:rsidR="00B45130">
        <w:rPr>
          <w:b/>
        </w:rPr>
        <w:t xml:space="preserve"> A – INSTRUCTIONS </w:t>
      </w:r>
      <w:r w:rsidR="00647144">
        <w:rPr>
          <w:b/>
        </w:rPr>
        <w:t>AND INFORMATION</w:t>
      </w:r>
    </w:p>
    <w:p w14:paraId="20C73809" w14:textId="16873B9E" w:rsidR="005B59B7" w:rsidRPr="00BC122D" w:rsidRDefault="005B59B7" w:rsidP="00FB0F12">
      <w:pPr>
        <w:pStyle w:val="Heading2"/>
        <w:numPr>
          <w:ilvl w:val="0"/>
          <w:numId w:val="0"/>
        </w:numPr>
        <w:jc w:val="center"/>
        <w:rPr>
          <w:b/>
        </w:rPr>
      </w:pPr>
      <w:r w:rsidRPr="00BC122D">
        <w:t>TABLE OF CONTENTS</w:t>
      </w:r>
    </w:p>
    <w:p w14:paraId="20C7380A" w14:textId="77777777" w:rsidR="00520787" w:rsidRPr="00D230EF" w:rsidRDefault="00520787" w:rsidP="000410D8">
      <w:pPr>
        <w:pStyle w:val="TOC1"/>
        <w:rPr>
          <w:rFonts w:asciiTheme="minorHAnsi" w:eastAsiaTheme="minorEastAsia" w:hAnsiTheme="minorHAnsi" w:cstheme="minorBidi"/>
          <w:color w:val="auto"/>
          <w:sz w:val="22"/>
          <w:szCs w:val="22"/>
        </w:rPr>
      </w:pPr>
      <w:r w:rsidRPr="00BC122D">
        <w:fldChar w:fldCharType="begin"/>
      </w:r>
      <w:r w:rsidRPr="00BC122D">
        <w:instrText xml:space="preserve"> TOC \h \z \t "Main Heading,1,M&amp;R Numbered Heading 1,1" </w:instrText>
      </w:r>
      <w:r w:rsidRPr="00BC122D">
        <w:fldChar w:fldCharType="separate"/>
      </w:r>
      <w:hyperlink w:anchor="_Toc412715221" w:history="1">
        <w:r w:rsidRPr="00D230EF">
          <w:rPr>
            <w:rStyle w:val="Hyperlink"/>
            <w:b w:val="0"/>
            <w14:scene3d>
              <w14:camera w14:prst="orthographicFront"/>
              <w14:lightRig w14:rig="threePt" w14:dir="t">
                <w14:rot w14:lat="0" w14:lon="0" w14:rev="0"/>
              </w14:lightRig>
            </w14:scene3d>
          </w:rPr>
          <w:t>1</w:t>
        </w:r>
        <w:r w:rsidRPr="00D230EF">
          <w:rPr>
            <w:rFonts w:asciiTheme="minorHAnsi" w:eastAsiaTheme="minorEastAsia" w:hAnsiTheme="minorHAnsi" w:cstheme="minorBidi"/>
            <w:color w:val="auto"/>
            <w:sz w:val="22"/>
            <w:szCs w:val="22"/>
          </w:rPr>
          <w:tab/>
        </w:r>
        <w:r w:rsidRPr="00D230EF">
          <w:rPr>
            <w:rStyle w:val="Hyperlink"/>
            <w:b w:val="0"/>
          </w:rPr>
          <w:t>INTRODUCTION AND BACKGROUND</w:t>
        </w:r>
        <w:r w:rsidRPr="00D230EF">
          <w:rPr>
            <w:webHidden/>
          </w:rPr>
          <w:tab/>
        </w:r>
        <w:r w:rsidRPr="00D230EF">
          <w:rPr>
            <w:webHidden/>
          </w:rPr>
          <w:fldChar w:fldCharType="begin"/>
        </w:r>
        <w:r w:rsidRPr="00D230EF">
          <w:rPr>
            <w:webHidden/>
          </w:rPr>
          <w:instrText xml:space="preserve"> PAGEREF _Toc412715221 \h </w:instrText>
        </w:r>
        <w:r w:rsidRPr="00D230EF">
          <w:rPr>
            <w:webHidden/>
          </w:rPr>
        </w:r>
        <w:r w:rsidRPr="00D230EF">
          <w:rPr>
            <w:webHidden/>
          </w:rPr>
          <w:fldChar w:fldCharType="separate"/>
        </w:r>
        <w:r w:rsidR="002752E5" w:rsidRPr="00D230EF">
          <w:rPr>
            <w:webHidden/>
          </w:rPr>
          <w:t>1</w:t>
        </w:r>
        <w:r w:rsidRPr="00D230EF">
          <w:rPr>
            <w:webHidden/>
          </w:rPr>
          <w:fldChar w:fldCharType="end"/>
        </w:r>
      </w:hyperlink>
    </w:p>
    <w:p w14:paraId="20C7380B" w14:textId="4DA9A710" w:rsidR="00520787" w:rsidRPr="00D230EF" w:rsidRDefault="004660D0" w:rsidP="000410D8">
      <w:pPr>
        <w:pStyle w:val="TOC1"/>
        <w:rPr>
          <w:rFonts w:asciiTheme="minorHAnsi" w:eastAsiaTheme="minorEastAsia" w:hAnsiTheme="minorHAnsi" w:cstheme="minorBidi"/>
          <w:color w:val="auto"/>
          <w:sz w:val="22"/>
          <w:szCs w:val="22"/>
        </w:rPr>
      </w:pPr>
      <w:hyperlink w:anchor="_Toc412715222" w:history="1">
        <w:r w:rsidR="00520787" w:rsidRPr="00D230EF">
          <w:rPr>
            <w:rStyle w:val="Hyperlink"/>
            <w:b w:val="0"/>
            <w14:scene3d>
              <w14:camera w14:prst="orthographicFront"/>
              <w14:lightRig w14:rig="threePt" w14:dir="t">
                <w14:rot w14:lat="0" w14:lon="0" w14:rev="0"/>
              </w14:lightRig>
            </w14:scene3d>
          </w:rPr>
          <w:t>2</w:t>
        </w:r>
        <w:r w:rsidR="00520787" w:rsidRPr="00D230EF">
          <w:rPr>
            <w:rFonts w:asciiTheme="minorHAnsi" w:eastAsiaTheme="minorEastAsia" w:hAnsiTheme="minorHAnsi" w:cstheme="minorBidi"/>
            <w:color w:val="auto"/>
            <w:sz w:val="22"/>
            <w:szCs w:val="22"/>
          </w:rPr>
          <w:tab/>
        </w:r>
        <w:r w:rsidR="00520787" w:rsidRPr="00D230EF">
          <w:rPr>
            <w:rStyle w:val="Hyperlink"/>
            <w:b w:val="0"/>
          </w:rPr>
          <w:t>TENDER TIMETABLE</w:t>
        </w:r>
        <w:r w:rsidR="00520787" w:rsidRPr="00D230EF">
          <w:rPr>
            <w:webHidden/>
          </w:rPr>
          <w:tab/>
        </w:r>
        <w:r w:rsidR="00756EB7">
          <w:rPr>
            <w:webHidden/>
          </w:rPr>
          <w:t>4</w:t>
        </w:r>
      </w:hyperlink>
    </w:p>
    <w:p w14:paraId="20C7380C" w14:textId="07698ABE" w:rsidR="00520787" w:rsidRPr="00D230EF" w:rsidRDefault="004660D0" w:rsidP="000410D8">
      <w:pPr>
        <w:pStyle w:val="TOC1"/>
        <w:rPr>
          <w:rFonts w:asciiTheme="minorHAnsi" w:eastAsiaTheme="minorEastAsia" w:hAnsiTheme="minorHAnsi" w:cstheme="minorBidi"/>
          <w:color w:val="auto"/>
          <w:sz w:val="22"/>
          <w:szCs w:val="22"/>
        </w:rPr>
      </w:pPr>
      <w:hyperlink w:anchor="_Toc412715223" w:history="1">
        <w:r w:rsidR="00520787" w:rsidRPr="00D230EF">
          <w:rPr>
            <w:rStyle w:val="Hyperlink"/>
            <w:b w:val="0"/>
            <w14:scene3d>
              <w14:camera w14:prst="orthographicFront"/>
              <w14:lightRig w14:rig="threePt" w14:dir="t">
                <w14:rot w14:lat="0" w14:lon="0" w14:rev="0"/>
              </w14:lightRig>
            </w14:scene3d>
          </w:rPr>
          <w:t>3</w:t>
        </w:r>
        <w:r w:rsidR="00520787" w:rsidRPr="00D230EF">
          <w:rPr>
            <w:rFonts w:asciiTheme="minorHAnsi" w:eastAsiaTheme="minorEastAsia" w:hAnsiTheme="minorHAnsi" w:cstheme="minorBidi"/>
            <w:color w:val="auto"/>
            <w:sz w:val="22"/>
            <w:szCs w:val="22"/>
          </w:rPr>
          <w:tab/>
        </w:r>
        <w:r w:rsidR="00520787" w:rsidRPr="00D230EF">
          <w:rPr>
            <w:rStyle w:val="Hyperlink"/>
            <w:b w:val="0"/>
          </w:rPr>
          <w:t>INSTRUCTIONS TO BIDDERS</w:t>
        </w:r>
        <w:r w:rsidR="00520787" w:rsidRPr="00D230EF">
          <w:rPr>
            <w:webHidden/>
          </w:rPr>
          <w:tab/>
        </w:r>
        <w:r w:rsidR="00756EB7">
          <w:rPr>
            <w:webHidden/>
          </w:rPr>
          <w:t>6</w:t>
        </w:r>
      </w:hyperlink>
    </w:p>
    <w:p w14:paraId="20C7380D" w14:textId="16B1F23D" w:rsidR="00520787" w:rsidRPr="00EB2045" w:rsidRDefault="004660D0" w:rsidP="000410D8">
      <w:pPr>
        <w:pStyle w:val="TOC1"/>
        <w:rPr>
          <w:rFonts w:asciiTheme="minorHAnsi" w:eastAsiaTheme="minorEastAsia" w:hAnsiTheme="minorHAnsi" w:cstheme="minorBidi"/>
          <w:color w:val="auto"/>
          <w:sz w:val="22"/>
          <w:szCs w:val="22"/>
        </w:rPr>
      </w:pPr>
      <w:hyperlink w:anchor="_Toc412715224" w:history="1">
        <w:r w:rsidR="00520787" w:rsidRPr="00D230EF">
          <w:rPr>
            <w:rStyle w:val="Hyperlink"/>
            <w:b w:val="0"/>
            <w14:scene3d>
              <w14:camera w14:prst="orthographicFront"/>
              <w14:lightRig w14:rig="threePt" w14:dir="t">
                <w14:rot w14:lat="0" w14:lon="0" w14:rev="0"/>
              </w14:lightRig>
            </w14:scene3d>
          </w:rPr>
          <w:t>4</w:t>
        </w:r>
        <w:r w:rsidR="00520787" w:rsidRPr="00D230EF">
          <w:rPr>
            <w:rFonts w:asciiTheme="minorHAnsi" w:eastAsiaTheme="minorEastAsia" w:hAnsiTheme="minorHAnsi" w:cstheme="minorBidi"/>
            <w:color w:val="auto"/>
            <w:sz w:val="22"/>
            <w:szCs w:val="22"/>
          </w:rPr>
          <w:tab/>
        </w:r>
        <w:r w:rsidR="00F4559E">
          <w:rPr>
            <w:rStyle w:val="Hyperlink"/>
            <w:b w:val="0"/>
          </w:rPr>
          <w:t>PQQ</w:t>
        </w:r>
        <w:r w:rsidR="00520787" w:rsidRPr="00D230EF">
          <w:rPr>
            <w:rStyle w:val="Hyperlink"/>
            <w:b w:val="0"/>
          </w:rPr>
          <w:t xml:space="preserve"> EVALUATION METHODOLOGY AND CRITERIA</w:t>
        </w:r>
        <w:r w:rsidR="00520787" w:rsidRPr="00D230EF">
          <w:rPr>
            <w:webHidden/>
          </w:rPr>
          <w:tab/>
        </w:r>
        <w:r w:rsidR="007D40C6">
          <w:rPr>
            <w:webHidden/>
          </w:rPr>
          <w:t>1</w:t>
        </w:r>
        <w:r w:rsidR="00756EB7">
          <w:rPr>
            <w:webHidden/>
          </w:rPr>
          <w:t>1</w:t>
        </w:r>
      </w:hyperlink>
    </w:p>
    <w:p w14:paraId="20C7380E" w14:textId="54380DAB" w:rsidR="00520787" w:rsidRPr="00EB2045" w:rsidRDefault="00520787" w:rsidP="000410D8">
      <w:pPr>
        <w:pStyle w:val="TOC1"/>
        <w:rPr>
          <w:rFonts w:eastAsiaTheme="minorEastAsia"/>
        </w:rPr>
      </w:pPr>
    </w:p>
    <w:p w14:paraId="3F6C1EA1" w14:textId="3BD404C7" w:rsidR="0023313D" w:rsidRPr="00BC122D" w:rsidRDefault="004660D0" w:rsidP="0023313D">
      <w:pPr>
        <w:pStyle w:val="TOC1"/>
        <w:rPr>
          <w:rStyle w:val="Hyperlink"/>
        </w:rPr>
      </w:pPr>
      <w:hyperlink w:anchor="_Toc412715226" w:history="1">
        <w:r w:rsidR="00E41F1B">
          <w:rPr>
            <w:rStyle w:val="Hyperlink"/>
            <w:b w:val="0"/>
          </w:rPr>
          <w:t>ANNEX A1</w:t>
        </w:r>
        <w:r w:rsidR="00E41F1B" w:rsidRPr="00E41F1B">
          <w:t xml:space="preserve"> </w:t>
        </w:r>
        <w:r w:rsidR="00E073C3" w:rsidRPr="00E073C3">
          <w:rPr>
            <w:rStyle w:val="Hyperlink"/>
            <w:b w:val="0"/>
          </w:rPr>
          <w:t>JCT Standard Form with Contractors Design</w:t>
        </w:r>
        <w:r w:rsidR="0023313D" w:rsidRPr="00EB2045">
          <w:rPr>
            <w:rStyle w:val="Hyperlink"/>
            <w:b w:val="0"/>
            <w:webHidden/>
          </w:rPr>
          <w:tab/>
        </w:r>
        <w:r w:rsidR="0023313D" w:rsidRPr="00EB2045">
          <w:rPr>
            <w:rStyle w:val="Hyperlink"/>
            <w:b w:val="0"/>
            <w:webHidden/>
          </w:rPr>
          <w:fldChar w:fldCharType="begin"/>
        </w:r>
        <w:r w:rsidR="0023313D" w:rsidRPr="00EB2045">
          <w:rPr>
            <w:rStyle w:val="Hyperlink"/>
            <w:b w:val="0"/>
            <w:webHidden/>
          </w:rPr>
          <w:instrText xml:space="preserve"> PAGEREF _Toc412715226 \h </w:instrText>
        </w:r>
        <w:r w:rsidR="0023313D" w:rsidRPr="00EB2045">
          <w:rPr>
            <w:rStyle w:val="Hyperlink"/>
            <w:b w:val="0"/>
            <w:webHidden/>
          </w:rPr>
        </w:r>
        <w:r w:rsidR="0023313D" w:rsidRPr="00EB2045">
          <w:rPr>
            <w:rStyle w:val="Hyperlink"/>
            <w:b w:val="0"/>
            <w:webHidden/>
          </w:rPr>
          <w:fldChar w:fldCharType="separate"/>
        </w:r>
        <w:r w:rsidR="0023313D" w:rsidRPr="00EB2045">
          <w:rPr>
            <w:rStyle w:val="Hyperlink"/>
            <w:b w:val="0"/>
            <w:webHidden/>
          </w:rPr>
          <w:t>1</w:t>
        </w:r>
        <w:r w:rsidR="00756EB7">
          <w:rPr>
            <w:rStyle w:val="Hyperlink"/>
            <w:b w:val="0"/>
            <w:webHidden/>
          </w:rPr>
          <w:t>6</w:t>
        </w:r>
        <w:r w:rsidR="0023313D" w:rsidRPr="00EB2045">
          <w:rPr>
            <w:rStyle w:val="Hyperlink"/>
            <w:b w:val="0"/>
            <w:webHidden/>
          </w:rPr>
          <w:fldChar w:fldCharType="end"/>
        </w:r>
      </w:hyperlink>
    </w:p>
    <w:p w14:paraId="24145EF7" w14:textId="77777777" w:rsidR="009A00BA" w:rsidRPr="00BC122D" w:rsidRDefault="009A00BA" w:rsidP="000410D8">
      <w:pPr>
        <w:pStyle w:val="TOC1"/>
        <w:rPr>
          <w:rStyle w:val="Hyperlink"/>
        </w:rPr>
      </w:pPr>
    </w:p>
    <w:p w14:paraId="20C73810" w14:textId="11105B17" w:rsidR="00520787" w:rsidRPr="00BC122D" w:rsidRDefault="00520787" w:rsidP="000410D8">
      <w:pPr>
        <w:pStyle w:val="TOC1"/>
        <w:rPr>
          <w:rFonts w:eastAsiaTheme="minorEastAsia"/>
        </w:rPr>
      </w:pPr>
    </w:p>
    <w:p w14:paraId="20C73811" w14:textId="77777777" w:rsidR="00AD0C96" w:rsidRPr="001F110F" w:rsidRDefault="00520787" w:rsidP="008A00B3">
      <w:pPr>
        <w:pStyle w:val="Heading2"/>
        <w:numPr>
          <w:ilvl w:val="0"/>
          <w:numId w:val="0"/>
        </w:numPr>
        <w:spacing w:line="240" w:lineRule="atLeast"/>
      </w:pPr>
      <w:r w:rsidRPr="00BC122D">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0"/>
          <w:footerReference w:type="first" r:id="rId11"/>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numPr>
          <w:ilvl w:val="0"/>
          <w:numId w:val="24"/>
        </w:numPr>
        <w:ind w:hanging="798"/>
        <w:jc w:val="both"/>
        <w:rPr>
          <w:sz w:val="20"/>
          <w:szCs w:val="20"/>
        </w:rPr>
      </w:pPr>
      <w:bookmarkStart w:id="0" w:name="_Toc403556501"/>
      <w:bookmarkStart w:id="1" w:name="_Toc403556506"/>
      <w:bookmarkStart w:id="2" w:name="_Toc406674969"/>
      <w:bookmarkStart w:id="3" w:name="_Toc412621211"/>
      <w:bookmarkStart w:id="4" w:name="_Toc412715221"/>
      <w:r w:rsidRPr="008F3D2C">
        <w:rPr>
          <w:sz w:val="20"/>
          <w:szCs w:val="20"/>
        </w:rPr>
        <w:lastRenderedPageBreak/>
        <w:t>INTRODUCTION AND BACKGROUND</w:t>
      </w:r>
      <w:bookmarkEnd w:id="0"/>
      <w:bookmarkEnd w:id="1"/>
      <w:bookmarkEnd w:id="2"/>
      <w:bookmarkEnd w:id="3"/>
      <w:bookmarkEnd w:id="4"/>
    </w:p>
    <w:p w14:paraId="43F00832" w14:textId="15823B2E" w:rsidR="00835878" w:rsidRDefault="003E3276" w:rsidP="00835878">
      <w:pPr>
        <w:pStyle w:val="MRNumberedHeading2"/>
      </w:pPr>
      <w:bookmarkStart w:id="5" w:name="_Toc403555077"/>
      <w:r w:rsidRPr="007724D1">
        <w:t xml:space="preserve">The </w:t>
      </w:r>
      <w:r w:rsidR="0071620F">
        <w:t>University Hospitals Birmingham NHSFT</w:t>
      </w:r>
      <w:r w:rsidRPr="007724D1">
        <w:t xml:space="preserve"> (the "</w:t>
      </w:r>
      <w:r w:rsidRPr="007724D1">
        <w:rPr>
          <w:b/>
        </w:rPr>
        <w:t>Authority</w:t>
      </w:r>
      <w:r w:rsidR="004F02F9">
        <w:t xml:space="preserve">") is issuing this invitation to </w:t>
      </w:r>
      <w:r w:rsidR="00EE6E3A">
        <w:t xml:space="preserve">Pre-Qualification Questions selection process </w:t>
      </w:r>
      <w:r w:rsidRPr="007724D1">
        <w:t>("</w:t>
      </w:r>
      <w:r w:rsidR="00EE6E3A">
        <w:rPr>
          <w:b/>
        </w:rPr>
        <w:t>PQQ</w:t>
      </w:r>
      <w:r w:rsidR="00447D19">
        <w:t xml:space="preserve">") in connection with the competitive </w:t>
      </w:r>
      <w:r w:rsidRPr="007724D1">
        <w:t xml:space="preserve">procurement </w:t>
      </w:r>
      <w:bookmarkEnd w:id="5"/>
      <w:r w:rsidR="00447D19">
        <w:t xml:space="preserve">– Restricted Procedure - </w:t>
      </w:r>
      <w:r w:rsidR="00835878">
        <w:t>for New Pet Scanner Facility, Old QE Building, Queen Elizabeth Hospital.</w:t>
      </w:r>
    </w:p>
    <w:p w14:paraId="1C6C6CD0" w14:textId="22B1B900" w:rsidR="00E41F1B" w:rsidRDefault="00835878" w:rsidP="00835878">
      <w:pPr>
        <w:pStyle w:val="MRNumberedHeading2"/>
        <w:numPr>
          <w:ilvl w:val="0"/>
          <w:numId w:val="0"/>
        </w:numPr>
        <w:tabs>
          <w:tab w:val="num" w:pos="851"/>
        </w:tabs>
        <w:ind w:left="851"/>
      </w:pPr>
      <w:r>
        <w:t xml:space="preserve">The works comprise the refurbishment of the Old Kitchen facility in the old QE Building, primarily on the lower ground floor to accommodate a Pet Scanner Facility with supporting accommodation. </w:t>
      </w:r>
      <w:r w:rsidR="00651873" w:rsidRPr="00651873">
        <w:t>Surrounding the site the buildings are 7 storey’s including the lower ground. The proposal for the PET Scanner Suite has been designed by the Trusts appointed design team.</w:t>
      </w:r>
    </w:p>
    <w:p w14:paraId="7C56081C" w14:textId="4FABACE5" w:rsidR="00651873" w:rsidRDefault="00651873" w:rsidP="00651873">
      <w:pPr>
        <w:pStyle w:val="MRNumberedHeading2"/>
        <w:numPr>
          <w:ilvl w:val="0"/>
          <w:numId w:val="0"/>
        </w:numPr>
        <w:ind w:left="851"/>
      </w:pPr>
      <w:r>
        <w:t xml:space="preserve">The project is considered by the Trust to be complex. </w:t>
      </w:r>
    </w:p>
    <w:p w14:paraId="17E1B625" w14:textId="50DA80B1" w:rsidR="00651873" w:rsidRDefault="00651873" w:rsidP="00651873">
      <w:pPr>
        <w:pStyle w:val="MRNumberedHeading2"/>
        <w:numPr>
          <w:ilvl w:val="0"/>
          <w:numId w:val="0"/>
        </w:numPr>
        <w:ind w:left="851"/>
      </w:pPr>
      <w:r>
        <w:t>The Works site is fully enclosed by ongoing hospital activities, which are also ongoing in all the building storeys surrounding it.</w:t>
      </w:r>
    </w:p>
    <w:p w14:paraId="53F39108" w14:textId="092A6D83" w:rsidR="00651873" w:rsidRDefault="00651873" w:rsidP="00651873">
      <w:pPr>
        <w:pStyle w:val="MRNumberedHeading2"/>
        <w:numPr>
          <w:ilvl w:val="0"/>
          <w:numId w:val="0"/>
        </w:numPr>
        <w:ind w:left="851"/>
      </w:pPr>
      <w:r>
        <w:t xml:space="preserve">Despite an extensive asbestos strip out there is always the risk of undiscovered asbestos. </w:t>
      </w:r>
    </w:p>
    <w:p w14:paraId="741E5A79" w14:textId="22A99D78" w:rsidR="00651873" w:rsidRDefault="00651873" w:rsidP="00651873">
      <w:pPr>
        <w:pStyle w:val="MRNumberedHeading2"/>
        <w:numPr>
          <w:ilvl w:val="0"/>
          <w:numId w:val="0"/>
        </w:numPr>
        <w:ind w:left="851"/>
      </w:pPr>
      <w:r>
        <w:t>The Project is technically complex requiring a high level of Contractor management to co-ordinate both building trades and the specialist requirements of constructing a combined X-Ray and Nuclear Medicine facility.</w:t>
      </w:r>
    </w:p>
    <w:p w14:paraId="4D7BA8D0" w14:textId="51A7587A" w:rsidR="00651873" w:rsidRDefault="00651873" w:rsidP="00651873">
      <w:pPr>
        <w:pStyle w:val="MRNumberedHeading2"/>
        <w:numPr>
          <w:ilvl w:val="0"/>
          <w:numId w:val="0"/>
        </w:numPr>
        <w:ind w:left="851"/>
      </w:pPr>
      <w:r>
        <w:t xml:space="preserve">Externally the hospital and road network must continue to function, within the rules agreed for site establishment, and vehicular movement. </w:t>
      </w:r>
    </w:p>
    <w:p w14:paraId="7C501614" w14:textId="7B75AA84" w:rsidR="00651873" w:rsidRDefault="00651873" w:rsidP="00651873">
      <w:pPr>
        <w:pStyle w:val="MRNumberedHeading2"/>
        <w:numPr>
          <w:ilvl w:val="0"/>
          <w:numId w:val="0"/>
        </w:numPr>
        <w:ind w:left="851"/>
      </w:pPr>
      <w:r>
        <w:t>Included is the construction of a new lifts and stairway enclosure serving four floors.  The enclosure does not extend up to the remaining three floors. This is currently designed using pre-cast concrete sections lifted into position over the building.</w:t>
      </w:r>
    </w:p>
    <w:p w14:paraId="17130686" w14:textId="0C88323B" w:rsidR="00651873" w:rsidRPr="00C50786" w:rsidRDefault="00651873" w:rsidP="00651873">
      <w:pPr>
        <w:pStyle w:val="MRNumberedHeading2"/>
        <w:numPr>
          <w:ilvl w:val="0"/>
          <w:numId w:val="0"/>
        </w:numPr>
        <w:tabs>
          <w:tab w:val="num" w:pos="851"/>
        </w:tabs>
        <w:ind w:left="851"/>
        <w:rPr>
          <w:highlight w:val="yellow"/>
        </w:rPr>
      </w:pPr>
      <w:r>
        <w:t>Flat roofing – the entire flat roof over the PET Scanner is to be re-roofed, including other flat roofs over adjoining single storey buildings within the curtiladge of the quad.  This forms a part of this project, using a roofing Contractor named on Bauder ‘approved’ list, to achieve a 25 year warranty.</w:t>
      </w:r>
    </w:p>
    <w:p w14:paraId="37D28FC7" w14:textId="29E984D0" w:rsidR="00835878" w:rsidRDefault="00835878" w:rsidP="00835878">
      <w:pPr>
        <w:pStyle w:val="MRNumberedHeading2"/>
        <w:numPr>
          <w:ilvl w:val="0"/>
          <w:numId w:val="0"/>
        </w:numPr>
        <w:ind w:left="851"/>
      </w:pPr>
      <w:r>
        <w:t>The contractors are advised that the Trust have several incumbent sub-contractors who are responsible for installing and maintaining a number of the specialist systems. The contractors are referred to the Services Engineer’s Specification for further details. The Works are within a live working department, which must continue to function without disruption from these works. This is particularly relevant when cutting into/breaking into the existing structure. Works of this nature must be undertaken in agreement with the Trust, which means working outside of the standard construction working hours. The contractors are further advised that access for the works will involve cranage. Aside of obtaining the requisite licences/clearance, the contractor is also required to allow for any cranage works being undertaken at weekends.</w:t>
      </w:r>
    </w:p>
    <w:p w14:paraId="3F6BB3FD" w14:textId="77777777" w:rsidR="005E4053" w:rsidRDefault="005E4053" w:rsidP="005E4053">
      <w:pPr>
        <w:pStyle w:val="MRNumberedHeading2"/>
        <w:numPr>
          <w:ilvl w:val="0"/>
          <w:numId w:val="0"/>
        </w:numPr>
        <w:ind w:left="851"/>
      </w:pPr>
      <w:r>
        <w:t>The Architect, RPS, has prepared a site plan showing a proposed site establishment and the area around the site, drawing number 0077/S3/P02.  This is attached, and also a loaded floor plan of the proposal, drawing number 0013/S3/P22.</w:t>
      </w:r>
    </w:p>
    <w:p w14:paraId="7E98F3A1" w14:textId="645BE518" w:rsidR="00651873" w:rsidRDefault="005E4053" w:rsidP="005E4053">
      <w:pPr>
        <w:pStyle w:val="MRNumberedHeading2"/>
        <w:numPr>
          <w:ilvl w:val="0"/>
          <w:numId w:val="0"/>
        </w:numPr>
        <w:ind w:left="851"/>
      </w:pPr>
      <w:r>
        <w:t>Also attached is a draft programme prepared by the Architect dated 4th April 2023 ref: 0901-P02.</w:t>
      </w:r>
    </w:p>
    <w:p w14:paraId="472FACF9" w14:textId="2DB88FAB" w:rsidR="009D22F2" w:rsidRPr="007724D1" w:rsidRDefault="009D22F2" w:rsidP="00E41F1B">
      <w:pPr>
        <w:pStyle w:val="MRNumberedHeading2"/>
        <w:numPr>
          <w:ilvl w:val="0"/>
          <w:numId w:val="0"/>
        </w:numPr>
        <w:ind w:left="851"/>
      </w:pPr>
    </w:p>
    <w:p w14:paraId="20C7381A" w14:textId="77777777" w:rsidR="003E3276" w:rsidRPr="007724D1" w:rsidRDefault="003E3276" w:rsidP="004270D9">
      <w:pPr>
        <w:pStyle w:val="MRNumberedHeading2"/>
      </w:pPr>
      <w:bookmarkStart w:id="6" w:name="_Toc403555078"/>
      <w:r w:rsidRPr="007724D1">
        <w:t xml:space="preserve">This ITT Section A contains further </w:t>
      </w:r>
      <w:r w:rsidRPr="003E3276">
        <w:t>information</w:t>
      </w:r>
      <w:r w:rsidRPr="007724D1">
        <w:t xml:space="preserve"> about the procurement process.</w:t>
      </w:r>
      <w:bookmarkEnd w:id="6"/>
      <w:r w:rsidRPr="007724D1">
        <w:t xml:space="preserve">  </w:t>
      </w:r>
    </w:p>
    <w:p w14:paraId="20C7381C" w14:textId="62EDC3D3" w:rsidR="003E3276" w:rsidRPr="00FB2FE9" w:rsidRDefault="0034181A" w:rsidP="004270D9">
      <w:pPr>
        <w:pStyle w:val="MRNumberedHeading2"/>
      </w:pPr>
      <w:bookmarkStart w:id="7" w:name="_Toc403555080"/>
      <w:r>
        <w:t xml:space="preserve">All </w:t>
      </w:r>
      <w:r w:rsidR="005E4053">
        <w:t xml:space="preserve">PQQ responses and Expression of Interest </w:t>
      </w:r>
      <w:r w:rsidR="003E3276">
        <w:t>must be returned no later tha</w:t>
      </w:r>
      <w:r>
        <w:t xml:space="preserve">n the deadline for receipt of </w:t>
      </w:r>
      <w:r w:rsidR="005E4053">
        <w:t>PQQ</w:t>
      </w:r>
      <w:r w:rsidR="003E3276">
        <w:t xml:space="preserve"> specified on the front cover of this </w:t>
      </w:r>
      <w:r w:rsidR="005E4053">
        <w:t>document</w:t>
      </w:r>
      <w:r w:rsidR="003E3276">
        <w:t>.</w:t>
      </w:r>
      <w:bookmarkEnd w:id="7"/>
    </w:p>
    <w:p w14:paraId="20C7381E" w14:textId="6D8F8A3C" w:rsidR="00247F0F" w:rsidRPr="003E3276" w:rsidRDefault="00247F0F" w:rsidP="004270D9">
      <w:pPr>
        <w:pStyle w:val="Heading1"/>
        <w:spacing w:before="240" w:after="0"/>
        <w:ind w:left="851"/>
        <w:rPr>
          <w:rFonts w:eastAsiaTheme="minorHAnsi"/>
        </w:rPr>
      </w:pPr>
      <w:bookmarkStart w:id="8" w:name="_Toc403555082"/>
      <w:r w:rsidRPr="003E3276">
        <w:rPr>
          <w:rFonts w:eastAsiaTheme="minorHAnsi"/>
        </w:rPr>
        <w:lastRenderedPageBreak/>
        <w:t xml:space="preserve">Contents of the </w:t>
      </w:r>
      <w:bookmarkEnd w:id="8"/>
      <w:r w:rsidR="00EE6E3A">
        <w:rPr>
          <w:rFonts w:eastAsiaTheme="minorHAnsi"/>
        </w:rPr>
        <w:t>PQQ</w:t>
      </w:r>
      <w:r w:rsidRPr="003E3276">
        <w:rPr>
          <w:rFonts w:eastAsiaTheme="minorHAnsi"/>
        </w:rPr>
        <w:t xml:space="preserve"> </w:t>
      </w:r>
    </w:p>
    <w:p w14:paraId="20C7381F" w14:textId="1B828E6B" w:rsidR="00AD3446" w:rsidRPr="003E3276" w:rsidRDefault="00AD3446" w:rsidP="004270D9">
      <w:pPr>
        <w:pStyle w:val="MRNumberedHeading2"/>
        <w:rPr>
          <w:b/>
        </w:rPr>
      </w:pPr>
      <w:bookmarkStart w:id="9" w:name="_Toc403555083"/>
      <w:bookmarkStart w:id="10" w:name="_Ref405452631"/>
      <w:r>
        <w:t xml:space="preserve">This </w:t>
      </w:r>
      <w:r w:rsidR="00EE6E3A">
        <w:t>PQQ</w:t>
      </w:r>
      <w:r>
        <w:t xml:space="preserve"> document consists of:</w:t>
      </w:r>
      <w:bookmarkEnd w:id="9"/>
      <w:bookmarkEnd w:id="10"/>
    </w:p>
    <w:p w14:paraId="20C73820" w14:textId="77777777" w:rsidR="003E3276" w:rsidRPr="00951656" w:rsidRDefault="003E3276" w:rsidP="006B54D6">
      <w:pPr>
        <w:pStyle w:val="MRNumberedHeading2"/>
        <w:numPr>
          <w:ilvl w:val="0"/>
          <w:numId w:val="0"/>
        </w:numPr>
        <w:ind w:left="720"/>
      </w:pPr>
    </w:p>
    <w:tbl>
      <w:tblPr>
        <w:tblStyle w:val="TableGrid"/>
        <w:tblW w:w="10044" w:type="dxa"/>
        <w:tblInd w:w="250" w:type="dxa"/>
        <w:tblLook w:val="04A0" w:firstRow="1" w:lastRow="0" w:firstColumn="1" w:lastColumn="0" w:noHBand="0" w:noVBand="1"/>
      </w:tblPr>
      <w:tblGrid>
        <w:gridCol w:w="1766"/>
        <w:gridCol w:w="77"/>
        <w:gridCol w:w="7070"/>
        <w:gridCol w:w="286"/>
        <w:gridCol w:w="845"/>
      </w:tblGrid>
      <w:tr w:rsidR="00653DCC" w14:paraId="20C73822" w14:textId="77777777" w:rsidTr="00193C4A">
        <w:trPr>
          <w:gridAfter w:val="1"/>
          <w:wAfter w:w="845" w:type="dxa"/>
          <w:trHeight w:val="234"/>
        </w:trPr>
        <w:tc>
          <w:tcPr>
            <w:tcW w:w="9199" w:type="dxa"/>
            <w:gridSpan w:val="4"/>
            <w:shd w:val="clear" w:color="auto" w:fill="BFBFBF" w:themeFill="background1" w:themeFillShade="BF"/>
          </w:tcPr>
          <w:p w14:paraId="20C73821" w14:textId="77777777"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20C73826" w14:textId="77777777" w:rsidTr="00193C4A">
        <w:trPr>
          <w:gridAfter w:val="1"/>
          <w:wAfter w:w="845" w:type="dxa"/>
          <w:trHeight w:val="234"/>
        </w:trPr>
        <w:tc>
          <w:tcPr>
            <w:tcW w:w="1766" w:type="dxa"/>
          </w:tcPr>
          <w:p w14:paraId="20C73823" w14:textId="77777777" w:rsidR="00653DCC" w:rsidRDefault="00653DCC" w:rsidP="00AD3446">
            <w:pPr>
              <w:pStyle w:val="Heading2"/>
              <w:numPr>
                <w:ilvl w:val="0"/>
                <w:numId w:val="0"/>
              </w:numPr>
              <w:jc w:val="center"/>
              <w:outlineLvl w:val="1"/>
            </w:pPr>
            <w:r>
              <w:t>1</w:t>
            </w:r>
          </w:p>
        </w:tc>
        <w:tc>
          <w:tcPr>
            <w:tcW w:w="7433" w:type="dxa"/>
            <w:gridSpan w:val="3"/>
          </w:tcPr>
          <w:p w14:paraId="20C73825" w14:textId="2088AE3E" w:rsidR="009464EA" w:rsidRDefault="00653DCC" w:rsidP="00AD3446">
            <w:pPr>
              <w:pStyle w:val="Heading2"/>
              <w:numPr>
                <w:ilvl w:val="0"/>
                <w:numId w:val="0"/>
              </w:numPr>
              <w:outlineLvl w:val="1"/>
            </w:pPr>
            <w:r>
              <w:t>Introduction and background</w:t>
            </w:r>
          </w:p>
        </w:tc>
      </w:tr>
      <w:tr w:rsidR="00653DCC" w14:paraId="20C7382A" w14:textId="77777777" w:rsidTr="00193C4A">
        <w:trPr>
          <w:gridAfter w:val="1"/>
          <w:wAfter w:w="845" w:type="dxa"/>
          <w:trHeight w:val="234"/>
        </w:trPr>
        <w:tc>
          <w:tcPr>
            <w:tcW w:w="1766" w:type="dxa"/>
          </w:tcPr>
          <w:p w14:paraId="20C73827" w14:textId="77777777" w:rsidR="00653DCC" w:rsidRDefault="00653DCC" w:rsidP="00AD3446">
            <w:pPr>
              <w:pStyle w:val="Heading2"/>
              <w:numPr>
                <w:ilvl w:val="0"/>
                <w:numId w:val="0"/>
              </w:numPr>
              <w:jc w:val="center"/>
              <w:outlineLvl w:val="1"/>
            </w:pPr>
            <w:r>
              <w:t>2</w:t>
            </w:r>
          </w:p>
        </w:tc>
        <w:tc>
          <w:tcPr>
            <w:tcW w:w="7433" w:type="dxa"/>
            <w:gridSpan w:val="3"/>
          </w:tcPr>
          <w:p w14:paraId="20C73829" w14:textId="4C4DD4BD" w:rsidR="009464EA" w:rsidRDefault="00653DCC" w:rsidP="00AD3446">
            <w:pPr>
              <w:pStyle w:val="Heading2"/>
              <w:numPr>
                <w:ilvl w:val="0"/>
                <w:numId w:val="0"/>
              </w:numPr>
              <w:outlineLvl w:val="1"/>
            </w:pPr>
            <w:r>
              <w:t>Tender timetable</w:t>
            </w:r>
            <w:r w:rsidR="00A57D02">
              <w:t xml:space="preserve"> </w:t>
            </w:r>
          </w:p>
        </w:tc>
      </w:tr>
      <w:tr w:rsidR="00653DCC" w14:paraId="20C7382E" w14:textId="77777777" w:rsidTr="00193C4A">
        <w:trPr>
          <w:gridAfter w:val="1"/>
          <w:wAfter w:w="845" w:type="dxa"/>
          <w:trHeight w:val="248"/>
        </w:trPr>
        <w:tc>
          <w:tcPr>
            <w:tcW w:w="1766" w:type="dxa"/>
          </w:tcPr>
          <w:p w14:paraId="20C7382B" w14:textId="77777777" w:rsidR="00653DCC" w:rsidRDefault="00653DCC" w:rsidP="00AD3446">
            <w:pPr>
              <w:pStyle w:val="Heading2"/>
              <w:numPr>
                <w:ilvl w:val="0"/>
                <w:numId w:val="0"/>
              </w:numPr>
              <w:jc w:val="center"/>
              <w:outlineLvl w:val="1"/>
            </w:pPr>
            <w:r>
              <w:t>3</w:t>
            </w:r>
          </w:p>
        </w:tc>
        <w:tc>
          <w:tcPr>
            <w:tcW w:w="7433" w:type="dxa"/>
            <w:gridSpan w:val="3"/>
          </w:tcPr>
          <w:p w14:paraId="20C7382D" w14:textId="14D0CA0D" w:rsidR="009464EA" w:rsidRDefault="00223555" w:rsidP="00AD3446">
            <w:pPr>
              <w:pStyle w:val="Heading2"/>
              <w:numPr>
                <w:ilvl w:val="0"/>
                <w:numId w:val="0"/>
              </w:numPr>
              <w:outlineLvl w:val="1"/>
            </w:pPr>
            <w:r>
              <w:t xml:space="preserve">Instructions to </w:t>
            </w:r>
            <w:r w:rsidR="00E7163F">
              <w:t>Bidders</w:t>
            </w:r>
            <w:r>
              <w:t xml:space="preserve"> </w:t>
            </w:r>
          </w:p>
        </w:tc>
      </w:tr>
      <w:tr w:rsidR="00E34403" w14:paraId="54706820" w14:textId="77777777" w:rsidTr="00193C4A">
        <w:trPr>
          <w:gridAfter w:val="1"/>
          <w:wAfter w:w="845" w:type="dxa"/>
          <w:trHeight w:val="234"/>
        </w:trPr>
        <w:tc>
          <w:tcPr>
            <w:tcW w:w="1766" w:type="dxa"/>
          </w:tcPr>
          <w:p w14:paraId="671E6FFF" w14:textId="02663479" w:rsidR="00E34403" w:rsidRDefault="00E34403" w:rsidP="00AD3446">
            <w:pPr>
              <w:pStyle w:val="Heading2"/>
              <w:numPr>
                <w:ilvl w:val="0"/>
                <w:numId w:val="0"/>
              </w:numPr>
              <w:jc w:val="center"/>
              <w:outlineLvl w:val="1"/>
            </w:pPr>
            <w:r>
              <w:t>4</w:t>
            </w:r>
          </w:p>
        </w:tc>
        <w:tc>
          <w:tcPr>
            <w:tcW w:w="7433" w:type="dxa"/>
            <w:gridSpan w:val="3"/>
          </w:tcPr>
          <w:p w14:paraId="15BB7B28" w14:textId="25E4172F" w:rsidR="00E34403" w:rsidRDefault="00EE6E3A" w:rsidP="00AD3446">
            <w:pPr>
              <w:pStyle w:val="Heading2"/>
              <w:numPr>
                <w:ilvl w:val="0"/>
                <w:numId w:val="0"/>
              </w:numPr>
              <w:outlineLvl w:val="1"/>
            </w:pPr>
            <w:r>
              <w:t>PQQ</w:t>
            </w:r>
            <w:r w:rsidR="00E34403">
              <w:t xml:space="preserve"> evaluation methodology and criteria</w:t>
            </w:r>
          </w:p>
        </w:tc>
      </w:tr>
      <w:tr w:rsidR="00653DCC" w14:paraId="20C73832" w14:textId="77777777" w:rsidTr="00193C4A">
        <w:trPr>
          <w:gridAfter w:val="1"/>
          <w:wAfter w:w="845" w:type="dxa"/>
          <w:trHeight w:val="234"/>
        </w:trPr>
        <w:tc>
          <w:tcPr>
            <w:tcW w:w="1766" w:type="dxa"/>
          </w:tcPr>
          <w:p w14:paraId="20C7382F" w14:textId="4E775F5F" w:rsidR="00653DCC" w:rsidRDefault="00E34403" w:rsidP="00AD3446">
            <w:pPr>
              <w:pStyle w:val="Heading2"/>
              <w:numPr>
                <w:ilvl w:val="0"/>
                <w:numId w:val="0"/>
              </w:numPr>
              <w:jc w:val="center"/>
              <w:outlineLvl w:val="1"/>
            </w:pPr>
            <w:r w:rsidRPr="003A68DA">
              <w:t>Annex A1</w:t>
            </w:r>
          </w:p>
        </w:tc>
        <w:tc>
          <w:tcPr>
            <w:tcW w:w="7433" w:type="dxa"/>
            <w:gridSpan w:val="3"/>
          </w:tcPr>
          <w:p w14:paraId="20C73831" w14:textId="352D53B5" w:rsidR="00653DCC" w:rsidRDefault="00E073C3" w:rsidP="00AD3446">
            <w:pPr>
              <w:pStyle w:val="Heading2"/>
              <w:numPr>
                <w:ilvl w:val="0"/>
                <w:numId w:val="0"/>
              </w:numPr>
              <w:outlineLvl w:val="1"/>
            </w:pPr>
            <w:r w:rsidRPr="00E073C3">
              <w:rPr>
                <w:rFonts w:cs="Arial"/>
                <w:color w:val="000000"/>
              </w:rPr>
              <w:t>JCT Standard Form with Contractors Design</w:t>
            </w:r>
          </w:p>
        </w:tc>
      </w:tr>
      <w:tr w:rsidR="00953B6C" w14:paraId="20C73840" w14:textId="77777777" w:rsidTr="00193C4A">
        <w:trPr>
          <w:gridAfter w:val="1"/>
          <w:wAfter w:w="845" w:type="dxa"/>
          <w:trHeight w:val="234"/>
        </w:trPr>
        <w:tc>
          <w:tcPr>
            <w:tcW w:w="9199" w:type="dxa"/>
            <w:gridSpan w:val="4"/>
            <w:shd w:val="clear" w:color="auto" w:fill="BFBFBF" w:themeFill="background1" w:themeFillShade="BF"/>
          </w:tcPr>
          <w:p w14:paraId="20C7383F" w14:textId="5DC45005" w:rsidR="005957B2" w:rsidRPr="00953B6C" w:rsidRDefault="00AD0C96" w:rsidP="00AD3446">
            <w:pPr>
              <w:pStyle w:val="Heading2"/>
              <w:numPr>
                <w:ilvl w:val="0"/>
                <w:numId w:val="0"/>
              </w:numPr>
              <w:outlineLvl w:val="1"/>
              <w:rPr>
                <w:b/>
              </w:rPr>
            </w:pPr>
            <w:r>
              <w:rPr>
                <w:b/>
              </w:rPr>
              <w:t>Section</w:t>
            </w:r>
            <w:r w:rsidR="00953B6C" w:rsidRPr="00953B6C">
              <w:rPr>
                <w:b/>
              </w:rPr>
              <w:t xml:space="preserve"> B – Tend</w:t>
            </w:r>
            <w:r w:rsidR="00971EAA">
              <w:rPr>
                <w:b/>
              </w:rPr>
              <w:t>er Schedules</w:t>
            </w:r>
          </w:p>
        </w:tc>
      </w:tr>
      <w:tr w:rsidR="00193C4A" w:rsidRPr="0071620F" w14:paraId="0C131E39" w14:textId="77777777" w:rsidTr="00193C4A">
        <w:trPr>
          <w:gridAfter w:val="2"/>
          <w:wAfter w:w="1131" w:type="dxa"/>
          <w:trHeight w:val="511"/>
        </w:trPr>
        <w:tc>
          <w:tcPr>
            <w:tcW w:w="1843" w:type="dxa"/>
            <w:gridSpan w:val="2"/>
          </w:tcPr>
          <w:p w14:paraId="1253D40C" w14:textId="2F325931" w:rsidR="00193C4A" w:rsidRPr="0071620F" w:rsidRDefault="00193C4A" w:rsidP="0087065A">
            <w:r w:rsidRPr="0071620F">
              <w:t>Annex B1</w:t>
            </w:r>
            <w:r>
              <w:t>-PQQ</w:t>
            </w:r>
          </w:p>
        </w:tc>
        <w:tc>
          <w:tcPr>
            <w:tcW w:w="7070" w:type="dxa"/>
          </w:tcPr>
          <w:p w14:paraId="34FA942C" w14:textId="77777777" w:rsidR="00193C4A" w:rsidRPr="0071620F" w:rsidRDefault="00193C4A" w:rsidP="0087065A">
            <w:r w:rsidRPr="003A68DA">
              <w:t>Part 3 of the Eligibility questions and responses</w:t>
            </w:r>
            <w:r>
              <w:t xml:space="preserve"> - </w:t>
            </w:r>
            <w:r w:rsidRPr="008B12C4">
              <w:t>can be found on</w:t>
            </w:r>
            <w:r>
              <w:t xml:space="preserve"> line in the e-tendering portal </w:t>
            </w:r>
            <w:r>
              <w:rPr>
                <w:rFonts w:eastAsia="Times New Roman"/>
                <w:color w:val="000000"/>
                <w:lang w:eastAsia="en-GB"/>
              </w:rPr>
              <w:t>(Qualification Envelope)</w:t>
            </w:r>
          </w:p>
        </w:tc>
      </w:tr>
      <w:tr w:rsidR="001F4509" w14:paraId="20C73844" w14:textId="77777777" w:rsidTr="00193C4A">
        <w:trPr>
          <w:gridAfter w:val="1"/>
          <w:wAfter w:w="845" w:type="dxa"/>
          <w:trHeight w:val="234"/>
        </w:trPr>
        <w:tc>
          <w:tcPr>
            <w:tcW w:w="1766" w:type="dxa"/>
          </w:tcPr>
          <w:p w14:paraId="20C73841" w14:textId="5AD5A588" w:rsidR="001F4509" w:rsidRPr="0071620F" w:rsidRDefault="001F4509" w:rsidP="001F4509">
            <w:r w:rsidRPr="00F46FB3">
              <w:t>Annex B2</w:t>
            </w:r>
            <w:r w:rsidR="00EE6E3A">
              <w:t xml:space="preserve"> - PQQ</w:t>
            </w:r>
          </w:p>
        </w:tc>
        <w:tc>
          <w:tcPr>
            <w:tcW w:w="7433" w:type="dxa"/>
            <w:gridSpan w:val="3"/>
          </w:tcPr>
          <w:p w14:paraId="20C73843" w14:textId="5562787D" w:rsidR="001F4509" w:rsidRPr="0071620F" w:rsidRDefault="001F4509" w:rsidP="001F4509">
            <w:r w:rsidRPr="00F46FB3">
              <w:t>Specification</w:t>
            </w:r>
            <w:r w:rsidR="00EE6E3A">
              <w:t xml:space="preserve"> (short version)</w:t>
            </w:r>
            <w:r w:rsidRPr="00F46FB3">
              <w:t xml:space="preserve"> – Service Overview</w:t>
            </w:r>
            <w:r w:rsidR="00C50786">
              <w:t xml:space="preserve">, Drawings, Standards </w:t>
            </w:r>
          </w:p>
        </w:tc>
      </w:tr>
      <w:tr w:rsidR="001F4509" w14:paraId="20C73848" w14:textId="77777777" w:rsidTr="00193C4A">
        <w:trPr>
          <w:gridAfter w:val="1"/>
          <w:wAfter w:w="845" w:type="dxa"/>
          <w:trHeight w:val="427"/>
        </w:trPr>
        <w:tc>
          <w:tcPr>
            <w:tcW w:w="1766" w:type="dxa"/>
          </w:tcPr>
          <w:p w14:paraId="20C73845" w14:textId="6E85BAE2" w:rsidR="001F4509" w:rsidRDefault="001F4509" w:rsidP="001F4509">
            <w:pPr>
              <w:pStyle w:val="Heading2"/>
              <w:numPr>
                <w:ilvl w:val="0"/>
                <w:numId w:val="0"/>
              </w:numPr>
              <w:jc w:val="center"/>
              <w:outlineLvl w:val="1"/>
            </w:pPr>
            <w:r w:rsidRPr="00F46FB3">
              <w:t>Annex B3</w:t>
            </w:r>
            <w:r w:rsidR="00EE6E3A">
              <w:t xml:space="preserve"> - PQQ</w:t>
            </w:r>
          </w:p>
        </w:tc>
        <w:tc>
          <w:tcPr>
            <w:tcW w:w="7433" w:type="dxa"/>
            <w:gridSpan w:val="3"/>
          </w:tcPr>
          <w:p w14:paraId="20C73847" w14:textId="4C501428" w:rsidR="001F4509" w:rsidRDefault="001F4509" w:rsidP="005E4107">
            <w:pPr>
              <w:pStyle w:val="Heading2"/>
              <w:numPr>
                <w:ilvl w:val="0"/>
                <w:numId w:val="0"/>
              </w:numPr>
              <w:outlineLvl w:val="1"/>
            </w:pPr>
            <w:r w:rsidRPr="00F46FB3">
              <w:t>Technica</w:t>
            </w:r>
            <w:r w:rsidR="00F2585C">
              <w:t>l Evaluation Bidder Response -</w:t>
            </w:r>
            <w:r w:rsidR="005E4107">
              <w:t xml:space="preserve"> </w:t>
            </w:r>
            <w:r w:rsidRPr="005E4107">
              <w:rPr>
                <w:color w:val="FF0000"/>
              </w:rPr>
              <w:t xml:space="preserve">complete and return </w:t>
            </w:r>
            <w:r w:rsidRPr="00F46FB3">
              <w:t>(Technical envelope)</w:t>
            </w:r>
          </w:p>
        </w:tc>
      </w:tr>
      <w:tr w:rsidR="008215C5" w14:paraId="7A8F5B28" w14:textId="77777777" w:rsidTr="00193C4A">
        <w:trPr>
          <w:trHeight w:val="234"/>
        </w:trPr>
        <w:tc>
          <w:tcPr>
            <w:tcW w:w="1766" w:type="dxa"/>
          </w:tcPr>
          <w:p w14:paraId="1812FBCF" w14:textId="3DDEC933" w:rsidR="008215C5" w:rsidRDefault="008215C5" w:rsidP="008215C5">
            <w:pPr>
              <w:pStyle w:val="Heading2"/>
              <w:numPr>
                <w:ilvl w:val="0"/>
                <w:numId w:val="0"/>
              </w:numPr>
              <w:jc w:val="center"/>
              <w:outlineLvl w:val="1"/>
            </w:pPr>
          </w:p>
        </w:tc>
        <w:tc>
          <w:tcPr>
            <w:tcW w:w="7433" w:type="dxa"/>
            <w:gridSpan w:val="3"/>
            <w:tcBorders>
              <w:right w:val="single" w:sz="4" w:space="0" w:color="auto"/>
            </w:tcBorders>
          </w:tcPr>
          <w:p w14:paraId="2B530426" w14:textId="6C9F7F2D" w:rsidR="008215C5" w:rsidRDefault="008215C5" w:rsidP="008215C5">
            <w:pPr>
              <w:pStyle w:val="Heading2"/>
              <w:numPr>
                <w:ilvl w:val="0"/>
                <w:numId w:val="0"/>
              </w:numPr>
              <w:outlineLvl w:val="1"/>
            </w:pPr>
          </w:p>
        </w:tc>
        <w:tc>
          <w:tcPr>
            <w:tcW w:w="845" w:type="dxa"/>
            <w:tcBorders>
              <w:top w:val="nil"/>
              <w:left w:val="single" w:sz="4" w:space="0" w:color="auto"/>
              <w:bottom w:val="nil"/>
              <w:right w:val="nil"/>
            </w:tcBorders>
          </w:tcPr>
          <w:p w14:paraId="2AD2F861" w14:textId="77777777" w:rsidR="008215C5" w:rsidRDefault="008215C5" w:rsidP="008215C5">
            <w:pPr>
              <w:pStyle w:val="Heading2"/>
              <w:numPr>
                <w:ilvl w:val="0"/>
                <w:numId w:val="0"/>
              </w:numPr>
              <w:jc w:val="right"/>
              <w:outlineLvl w:val="1"/>
            </w:pPr>
          </w:p>
        </w:tc>
      </w:tr>
    </w:tbl>
    <w:p w14:paraId="120E962D" w14:textId="77777777" w:rsidR="0071620F" w:rsidRDefault="0071620F" w:rsidP="002752E5">
      <w:pPr>
        <w:pStyle w:val="Heading2"/>
        <w:numPr>
          <w:ilvl w:val="0"/>
          <w:numId w:val="0"/>
        </w:numPr>
        <w:rPr>
          <w:b/>
        </w:rPr>
      </w:pPr>
    </w:p>
    <w:p w14:paraId="54A3F9B7" w14:textId="77777777" w:rsidR="0071620F" w:rsidRDefault="0071620F" w:rsidP="00247F0F">
      <w:pPr>
        <w:pStyle w:val="Heading2"/>
        <w:numPr>
          <w:ilvl w:val="0"/>
          <w:numId w:val="0"/>
        </w:numPr>
        <w:ind w:left="851"/>
        <w:rPr>
          <w:b/>
        </w:rPr>
      </w:pPr>
    </w:p>
    <w:p w14:paraId="20C73861" w14:textId="77777777" w:rsidR="00247F0F" w:rsidRDefault="00247F0F" w:rsidP="004270D9">
      <w:pPr>
        <w:pStyle w:val="Heading1"/>
        <w:spacing w:before="240" w:after="0"/>
        <w:ind w:left="851"/>
        <w:rPr>
          <w:b w:val="0"/>
        </w:rPr>
      </w:pPr>
      <w:bookmarkStart w:id="11" w:name="_Toc403555084"/>
      <w:r>
        <w:t xml:space="preserve">Introduction to the </w:t>
      </w:r>
      <w:r w:rsidR="00740C0F">
        <w:t>procurement</w:t>
      </w:r>
      <w:bookmarkEnd w:id="11"/>
      <w:r>
        <w:t xml:space="preserve"> </w:t>
      </w:r>
    </w:p>
    <w:p w14:paraId="20C73862" w14:textId="540BC731" w:rsidR="00CE4B87" w:rsidRDefault="0061647F" w:rsidP="0061647F">
      <w:pPr>
        <w:pStyle w:val="MRNumberedHeading2"/>
      </w:pPr>
      <w:r>
        <w:t>University Hospitals Birmingham NHS Foundation Trust (“UHB”) runs the Queen Elizabeth Hospital Birmingham</w:t>
      </w:r>
      <w:r w:rsidRPr="0061647F">
        <w:t xml:space="preserve"> (“QEHB”), Birmingham Chest Clinic, Heartlands Hospital, Good Hope Hospital, Solihull Hospital (collectively known as “HGS”) and various community services across the region.</w:t>
      </w:r>
    </w:p>
    <w:p w14:paraId="62E574D8" w14:textId="28AE1753" w:rsidR="0061647F" w:rsidRDefault="0061647F" w:rsidP="0061647F">
      <w:pPr>
        <w:pStyle w:val="MRNumberedHeading2"/>
      </w:pPr>
      <w:r w:rsidRPr="0061647F">
        <w:t>From October and November 2015 respectively, UHB’s Chief Executive and Chair held Interim corresponding roles at Heart of England NHS Foundation Trust, along with other senior managers, to improve its clinical, financial and operational position. The acquisition of Heart of England NHS Foundation Trust (HEFT) by UHB was concluded successfully on 1 April 2018.</w:t>
      </w:r>
    </w:p>
    <w:p w14:paraId="3214E32A" w14:textId="7671BB24" w:rsidR="0061647F" w:rsidRDefault="0061647F" w:rsidP="0061647F">
      <w:pPr>
        <w:pStyle w:val="MRNumberedHeading2"/>
      </w:pPr>
      <w:r w:rsidRPr="0061647F">
        <w:t>UHB is a Foundation Trust and now has approximately 50,000 members and employs more than 20,000 members of staff.  It is one of the largest Trusts in England treating over 2.2 million patients each year.</w:t>
      </w:r>
    </w:p>
    <w:p w14:paraId="1EE0C7D8" w14:textId="23F73C52" w:rsidR="0061647F" w:rsidRDefault="0061647F" w:rsidP="0061647F">
      <w:pPr>
        <w:pStyle w:val="MRNumberedHeading2"/>
      </w:pPr>
      <w:r w:rsidRPr="0061647F">
        <w:t>The Trust has regional centres for trauma, burns, plastics, neurosciences, dermatology and cancer.  It also has centres of excellence for vascular, bariatric and pathology services, as well as the treatment of MRSA and other infectious diseases. We also have expertise in premature baby care, bone marrow transplants and thoracic surgery.</w:t>
      </w:r>
    </w:p>
    <w:p w14:paraId="7B1AB2AD" w14:textId="60F440F1" w:rsidR="0061647F" w:rsidRDefault="0061647F" w:rsidP="0061647F">
      <w:pPr>
        <w:pStyle w:val="MRNumberedHeading2"/>
      </w:pPr>
      <w:r w:rsidRPr="0061647F">
        <w:t>UHB has the largest solid organ transplantation programme in Europe and runs Umbrella, the sexual health service for Birmingham and Solihull. It is also home to the West Midlands Adult Cystic Fibrosis Centre and a nationally-renowned weight management clinic and research centre.</w:t>
      </w:r>
    </w:p>
    <w:p w14:paraId="7A91A75B" w14:textId="37C516E8" w:rsidR="0061647F" w:rsidRDefault="0061647F" w:rsidP="0061647F">
      <w:pPr>
        <w:pStyle w:val="MRNumberedHeading2"/>
      </w:pPr>
      <w:r w:rsidRPr="0061647F">
        <w:t>The Queen Elizabeth Hospital Birmingham is a Major Trauma Centre treating the most severely injured casualties from across the region. The hospital’s single site 100-bed critical care unit is the largest in Europe.</w:t>
      </w:r>
    </w:p>
    <w:p w14:paraId="5518F5C9" w14:textId="16F69288" w:rsidR="0061647F" w:rsidRDefault="0061647F" w:rsidP="0061647F">
      <w:pPr>
        <w:pStyle w:val="MRNumberedHeading2"/>
      </w:pPr>
      <w:r w:rsidRPr="0061647F">
        <w:t>The Trust hosts the Institute of Translational Medicine (ITM) and leads the West Midlands genomics Medicine Centre as part of the national 100,000 Genomes Project.</w:t>
      </w:r>
    </w:p>
    <w:p w14:paraId="4DAA51F2" w14:textId="0D6DB5F2" w:rsidR="0061647F" w:rsidRDefault="0061647F" w:rsidP="0061647F">
      <w:pPr>
        <w:pStyle w:val="MRNumberedHeading2"/>
      </w:pPr>
      <w:r w:rsidRPr="0061647F">
        <w:t>UHB is also proud to host the Royal Centre for Defence Medicine (RCDM) at the Queen Elizabeth Hospital Birmingham. The RCDM provides dedicated training for defence personnel and is a focus for medical research.</w:t>
      </w:r>
    </w:p>
    <w:p w14:paraId="29D20D7E" w14:textId="13857E0B" w:rsidR="0061647F" w:rsidRDefault="0061647F" w:rsidP="0061647F">
      <w:pPr>
        <w:pStyle w:val="MRNumberedHeading2"/>
      </w:pPr>
      <w:r w:rsidRPr="0061647F">
        <w:lastRenderedPageBreak/>
        <w:t>UHB also holds the contract for providing medical services to military personnel evacuated from overseas via the aero medical service. UHB is one of only a small number of hospitals that can provide the full range of medical specialties – trauma, burns, plastics, orthopaedics, neurosurgery, critical care - needed to treat the complex nature of conflict injuries, all under one roof.</w:t>
      </w:r>
    </w:p>
    <w:p w14:paraId="196437AF" w14:textId="0CAD2157" w:rsidR="0061647F" w:rsidRPr="00CE4B87" w:rsidRDefault="0061647F" w:rsidP="0061647F">
      <w:pPr>
        <w:pStyle w:val="MRNumberedHeading2"/>
      </w:pPr>
      <w:r w:rsidRPr="0061647F">
        <w:t>The pioneering techniques in surgery and pain control that have been developed whilst treating military patients are now being used for civilian surgery in the UK and elsewhere and are being progressed through the Surgical Reconstruction and Microbiology Research Centre (SRMRC).</w:t>
      </w:r>
    </w:p>
    <w:p w14:paraId="20C73864" w14:textId="77777777" w:rsidR="00603A0D" w:rsidRDefault="00BD5DCC" w:rsidP="004270D9">
      <w:pPr>
        <w:pStyle w:val="MRNumberedHeading2"/>
      </w:pPr>
      <w:bookmarkStart w:id="12" w:name="_Toc403555087"/>
      <w:r>
        <w:rPr>
          <w:noProof/>
        </w:rPr>
        <mc:AlternateContent>
          <mc:Choice Requires="wps">
            <w:drawing>
              <wp:anchor distT="0" distB="0" distL="114300" distR="114300" simplePos="0" relativeHeight="251699200" behindDoc="0" locked="0" layoutInCell="1" allowOverlap="1" wp14:anchorId="20C739A9" wp14:editId="20C739AA">
                <wp:simplePos x="0" y="0"/>
                <wp:positionH relativeFrom="column">
                  <wp:posOffset>5854065</wp:posOffset>
                </wp:positionH>
                <wp:positionV relativeFrom="paragraph">
                  <wp:posOffset>5080</wp:posOffset>
                </wp:positionV>
                <wp:extent cx="479425" cy="37909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479425" cy="379095"/>
                        </a:xfrm>
                        <a:prstGeom prst="rect">
                          <a:avLst/>
                        </a:prstGeom>
                        <a:noFill/>
                        <a:ln w="6350">
                          <a:noFill/>
                        </a:ln>
                        <a:effectLst/>
                      </wps:spPr>
                      <wps:txbx>
                        <w:txbxContent>
                          <w:p w14:paraId="20C73A07" w14:textId="6BE89644" w:rsidR="0009642C" w:rsidRPr="00AF3418" w:rsidRDefault="0009642C" w:rsidP="00425400">
                            <w:pPr>
                              <w:pStyle w:val="Heading2"/>
                              <w:numPr>
                                <w:ilvl w:val="0"/>
                                <w:numId w:val="0"/>
                              </w:numPr>
                              <w:spacing w:after="0"/>
                              <w:ind w:left="851" w:hanging="851"/>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739A9" id="_x0000_t202" coordsize="21600,21600" o:spt="202" path="m,l,21600r21600,l21600,xe">
                <v:stroke joinstyle="miter"/>
                <v:path gradientshapeok="t" o:connecttype="rect"/>
              </v:shapetype>
              <v:shape id="Text Box 2" o:spid="_x0000_s1026" type="#_x0000_t202" style="position:absolute;left:0;text-align:left;margin-left:460.95pt;margin-top:.4pt;width:37.75pt;height:2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" filled="f" stroked="f" strokeweight=".5pt">
                <v:textbox>
                  <w:txbxContent>
                    <w:p w14:paraId="20C73A07" w14:textId="6BE89644" w:rsidR="0009642C" w:rsidRPr="00AF3418" w:rsidRDefault="0009642C" w:rsidP="00425400">
                      <w:pPr>
                        <w:pStyle w:val="Heading2"/>
                        <w:numPr>
                          <w:ilvl w:val="0"/>
                          <w:numId w:val="0"/>
                        </w:numPr>
                        <w:spacing w:after="0"/>
                        <w:ind w:left="851" w:hanging="851"/>
                        <w:jc w:val="left"/>
                        <w:rPr>
                          <w:color w:val="FF0000"/>
                        </w:rPr>
                      </w:pPr>
                    </w:p>
                  </w:txbxContent>
                </v:textbox>
                <w10:wrap type="square"/>
              </v:shape>
            </w:pict>
          </mc:Fallback>
        </mc:AlternateContent>
      </w:r>
      <w:r w:rsidR="00603A0D" w:rsidRPr="00533CB2">
        <w:t xml:space="preserve">Full details of the Authority's requirements are set out in the Specification in </w:t>
      </w:r>
      <w:r w:rsidR="007F5F02">
        <w:t xml:space="preserve">Annex </w:t>
      </w:r>
      <w:r>
        <w:t>B</w:t>
      </w:r>
      <w:r w:rsidR="007F5F02">
        <w:t>2</w:t>
      </w:r>
      <w:r w:rsidR="009D5F0B">
        <w:t xml:space="preserve"> of Section B</w:t>
      </w:r>
      <w:r w:rsidR="007F5F02">
        <w:t>.</w:t>
      </w:r>
      <w:bookmarkEnd w:id="12"/>
      <w:r w:rsidR="007F5F02">
        <w:t xml:space="preserve"> </w:t>
      </w:r>
    </w:p>
    <w:p w14:paraId="20C73866" w14:textId="19337C2D" w:rsidR="005275E6" w:rsidRDefault="00184371" w:rsidP="004270D9">
      <w:pPr>
        <w:pStyle w:val="MRNumberedHeading2"/>
      </w:pPr>
      <w:bookmarkStart w:id="13" w:name="_Toc403555089"/>
      <w:r w:rsidRPr="005A1470">
        <w:t>The Authority is committed to supporting the Government’s small and medium-sized enterprise (SME) initiative; its aspiration</w:t>
      </w:r>
      <w:r w:rsidR="00BD5DCC" w:rsidRPr="005A1470">
        <w:t xml:space="preserve"> is </w:t>
      </w:r>
      <w:r w:rsidRPr="005A1470">
        <w:t xml:space="preserve">that 25% of spend, direct and through the supply chain, goes to SMEs by 2015.  Suppliers are </w:t>
      </w:r>
      <w:r w:rsidR="00BA0984" w:rsidRPr="005A1470">
        <w:t xml:space="preserve">encouraged to work with the Authority </w:t>
      </w:r>
      <w:r w:rsidRPr="005A1470">
        <w:t>to support the wider SME initiative</w:t>
      </w:r>
      <w:r w:rsidRPr="004F391B">
        <w:t>.</w:t>
      </w:r>
      <w:bookmarkEnd w:id="13"/>
    </w:p>
    <w:p w14:paraId="20C73867" w14:textId="5EA6BE0B" w:rsidR="00603A0D" w:rsidRDefault="00603A0D" w:rsidP="00E02FBA">
      <w:pPr>
        <w:pStyle w:val="MRNumberedHeading2"/>
      </w:pPr>
      <w:bookmarkStart w:id="14" w:name="_Toc403555090"/>
      <w:bookmarkStart w:id="15" w:name="_Ref405452851"/>
      <w:r w:rsidRPr="005A1470">
        <w:rPr>
          <w:noProof/>
        </w:rPr>
        <mc:AlternateContent>
          <mc:Choice Requires="wps">
            <w:drawing>
              <wp:anchor distT="0" distB="0" distL="114300" distR="114300" simplePos="0" relativeHeight="251701248" behindDoc="0" locked="0" layoutInCell="1" allowOverlap="1" wp14:anchorId="20C739AB" wp14:editId="20C739AC">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C73A08" w14:textId="7BB7DE12" w:rsidR="0009642C" w:rsidRPr="00AF3418" w:rsidRDefault="0009642C"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C739AB" id="Text Box 19" o:spid="_x0000_s1027"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WgLw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" filled="f" stroked="f" strokeweight=".5pt">
                <v:textbox style="mso-fit-shape-to-text:t">
                  <w:txbxContent>
                    <w:p w14:paraId="20C73A08" w14:textId="7BB7DE12" w:rsidR="0009642C" w:rsidRPr="00AF3418" w:rsidRDefault="0009642C" w:rsidP="00C9108B">
                      <w:pPr>
                        <w:rPr>
                          <w:color w:val="FF0000"/>
                        </w:rPr>
                      </w:pPr>
                    </w:p>
                  </w:txbxContent>
                </v:textbox>
                <w10:wrap type="square"/>
              </v:shape>
            </w:pict>
          </mc:Fallback>
        </mc:AlternateContent>
      </w:r>
      <w:r w:rsidRPr="005A1470">
        <w:t>The link below to the Cabinet Office website provides information on the Government’s Crown Representative for SMEs</w:t>
      </w:r>
      <w:r w:rsidR="00E82493" w:rsidRPr="005A1470">
        <w:t>,</w:t>
      </w:r>
      <w:r w:rsidRPr="005A1470">
        <w:t xml:space="preserve"> a link to the definition of an SME and details on the SME initiative:  </w:t>
      </w:r>
      <w:hyperlink r:id="rId12" w:history="1">
        <w:r w:rsidR="00EB428C" w:rsidRPr="00556D2E">
          <w:rPr>
            <w:rStyle w:val="Hyperlink"/>
          </w:rPr>
          <w:t>https://www.gov.uk/government/policies/buying-and-managing-government-goods-and-services-more-efficiently-and-effectively/supporting-pages/making-sure-government-gets-full-value-from-small-and-medium-sized-enterprises</w:t>
        </w:r>
      </w:hyperlink>
      <w:r w:rsidR="004F391B" w:rsidRPr="005A1470">
        <w:t>.</w:t>
      </w:r>
      <w:bookmarkEnd w:id="14"/>
      <w:bookmarkEnd w:id="15"/>
    </w:p>
    <w:p w14:paraId="63252DDD" w14:textId="3B3141D7" w:rsidR="00285BB4" w:rsidRDefault="001D1489" w:rsidP="001D1489">
      <w:pPr>
        <w:pStyle w:val="MRNumberedHeading2"/>
      </w:pPr>
      <w:r w:rsidRPr="001D1489">
        <w:t>The Contractor is required to review all the documentation and ensure any implications are included in their subsequent proposals for this Contract.</w:t>
      </w:r>
      <w:r w:rsidR="00285BB4">
        <w:t xml:space="preserve"> </w:t>
      </w:r>
    </w:p>
    <w:p w14:paraId="22C82DEA" w14:textId="16282C55" w:rsidR="00267486" w:rsidRDefault="00267486" w:rsidP="00267486">
      <w:pPr>
        <w:pStyle w:val="MRNumberedHeading2"/>
      </w:pPr>
      <w:r>
        <w:t>The contractor is advised that the Trust operates a site induction procedure which is undertaken by their PFI provider on the site. No operatives will be allowed to work on the site without their clearance.</w:t>
      </w:r>
    </w:p>
    <w:p w14:paraId="2234C684" w14:textId="1E66C3AF" w:rsidR="00267486" w:rsidRDefault="00267486" w:rsidP="00267486">
      <w:pPr>
        <w:pStyle w:val="MRNumberedHeading2"/>
        <w:numPr>
          <w:ilvl w:val="0"/>
          <w:numId w:val="0"/>
        </w:numPr>
        <w:ind w:left="851"/>
      </w:pPr>
      <w:r>
        <w:t>The contractor is to refer and to comply with the Trust’s health &amp; safety requirements – Health and Safety Requirements for Contractors</w:t>
      </w:r>
      <w:r w:rsidR="00285BB4">
        <w:t>.</w:t>
      </w:r>
    </w:p>
    <w:p w14:paraId="08F8FED6" w14:textId="763707B7" w:rsidR="005A144B" w:rsidRDefault="00C8363F" w:rsidP="00C8363F">
      <w:pPr>
        <w:pStyle w:val="MRNumberedHeading2"/>
      </w:pPr>
      <w:r w:rsidRPr="00C8363F">
        <w:t>All contractors will be required to develop a Site Waste Management Plan (SWMP) from the pre-design stage to inform the adoption of good practice waste minimisation in design and for the SWMP to be implemented on all construction site activities in line with good practice published in WRAP and the DTI Code of Practice</w:t>
      </w:r>
      <w:r w:rsidR="005A144B">
        <w:t>.</w:t>
      </w:r>
    </w:p>
    <w:p w14:paraId="4A3A1E37" w14:textId="4E67EA96" w:rsidR="00920D31" w:rsidRDefault="005A144B" w:rsidP="003C3F85">
      <w:pPr>
        <w:pStyle w:val="MRNumberedHeading2"/>
      </w:pPr>
      <w:r>
        <w:t xml:space="preserve">The </w:t>
      </w:r>
      <w:r w:rsidR="003C3F85">
        <w:t>Authority reserves the right to no-award, in case the Commercial proposals submitted exceed the capital budget expectations.</w:t>
      </w:r>
      <w:r>
        <w:t xml:space="preserve"> </w:t>
      </w:r>
    </w:p>
    <w:p w14:paraId="1669E654" w14:textId="28BC2DA2" w:rsidR="00285BB4" w:rsidRDefault="00FB2F95" w:rsidP="00FB2F95">
      <w:pPr>
        <w:pStyle w:val="MRNumberedHeading2"/>
      </w:pPr>
      <w:r>
        <w:t xml:space="preserve">The funding is </w:t>
      </w:r>
      <w:r w:rsidRPr="00FB2F95">
        <w:t>subject to achieving desired multi year phasing</w:t>
      </w:r>
      <w:r w:rsidR="00920D31" w:rsidRPr="00920D31">
        <w:t>.</w:t>
      </w:r>
      <w:r>
        <w:t xml:space="preserve"> Main funding available during financial year 23/24. Wit</w:t>
      </w:r>
      <w:r w:rsidR="004D1F31">
        <w:t xml:space="preserve">h balance payment </w:t>
      </w:r>
      <w:r w:rsidR="00CB1674">
        <w:t>during 24/25.</w:t>
      </w:r>
    </w:p>
    <w:p w14:paraId="1BF0A342" w14:textId="63838ED1" w:rsidR="00FB2F95" w:rsidRDefault="00FB2F95" w:rsidP="00FB2F95">
      <w:pPr>
        <w:pStyle w:val="MRNumberedHeading2"/>
      </w:pPr>
      <w:r>
        <w:t xml:space="preserve">Work commencement </w:t>
      </w:r>
      <w:r w:rsidR="00CB1674">
        <w:t xml:space="preserve">is expected </w:t>
      </w:r>
      <w:r w:rsidR="004D1F31">
        <w:t>Sept</w:t>
      </w:r>
      <w:r w:rsidR="00CB1674">
        <w:t>/</w:t>
      </w:r>
      <w:r w:rsidR="004D1F31">
        <w:t>Oct</w:t>
      </w:r>
      <w:r w:rsidR="00CB1674">
        <w:t xml:space="preserve"> 2023.</w:t>
      </w:r>
    </w:p>
    <w:p w14:paraId="5F84CE84" w14:textId="77777777" w:rsidR="00920D31" w:rsidRDefault="00920D31" w:rsidP="00920D31">
      <w:pPr>
        <w:pStyle w:val="MRNumberedHeading2"/>
        <w:numPr>
          <w:ilvl w:val="0"/>
          <w:numId w:val="0"/>
        </w:numPr>
        <w:ind w:left="851"/>
      </w:pPr>
    </w:p>
    <w:p w14:paraId="20C73868" w14:textId="1C66793A" w:rsidR="00247F0F" w:rsidRPr="00B13ADE" w:rsidRDefault="005F3F33" w:rsidP="00C03098">
      <w:pPr>
        <w:pStyle w:val="MRNumberedHeading1"/>
        <w:numPr>
          <w:ilvl w:val="0"/>
          <w:numId w:val="0"/>
        </w:numPr>
        <w:ind w:left="798"/>
      </w:pPr>
      <w:bookmarkStart w:id="16" w:name="_Toc403555091"/>
      <w:r>
        <w:t xml:space="preserve">Purpose and scope of this </w:t>
      </w:r>
      <w:bookmarkEnd w:id="16"/>
      <w:r w:rsidR="004D1F31">
        <w:t>PQQ</w:t>
      </w:r>
    </w:p>
    <w:p w14:paraId="20C73869" w14:textId="6066BEC3" w:rsidR="005F3F33" w:rsidRDefault="005F3F33" w:rsidP="004270D9">
      <w:pPr>
        <w:pStyle w:val="MRNumberedHeading2"/>
      </w:pPr>
      <w:bookmarkStart w:id="17" w:name="_Toc403555092"/>
      <w:r>
        <w:t xml:space="preserve">This </w:t>
      </w:r>
      <w:r w:rsidR="004D1F31">
        <w:t>PQQ</w:t>
      </w:r>
      <w:r>
        <w:t>:</w:t>
      </w:r>
      <w:bookmarkEnd w:id="17"/>
    </w:p>
    <w:p w14:paraId="20C7386A" w14:textId="7C91BE74" w:rsidR="00343763" w:rsidRPr="00343763" w:rsidRDefault="00343763" w:rsidP="004270D9">
      <w:pPr>
        <w:pStyle w:val="MRNumberedHeading3"/>
        <w:numPr>
          <w:ilvl w:val="2"/>
          <w:numId w:val="23"/>
        </w:numPr>
        <w:tabs>
          <w:tab w:val="clear" w:pos="2215"/>
          <w:tab w:val="num" w:pos="1794"/>
        </w:tabs>
        <w:spacing w:line="240" w:lineRule="auto"/>
        <w:ind w:left="1702" w:hanging="851"/>
        <w:jc w:val="both"/>
        <w:rPr>
          <w:szCs w:val="20"/>
        </w:rPr>
      </w:pPr>
      <w:r w:rsidRPr="00343763">
        <w:rPr>
          <w:szCs w:val="20"/>
        </w:rPr>
        <w:t xml:space="preserve">invites Bidders to submit their </w:t>
      </w:r>
      <w:r w:rsidR="004D1F31">
        <w:rPr>
          <w:szCs w:val="20"/>
        </w:rPr>
        <w:t>PQQ responses and expression of interest</w:t>
      </w:r>
      <w:r w:rsidRPr="00343763">
        <w:rPr>
          <w:szCs w:val="20"/>
        </w:rPr>
        <w:t xml:space="preserve"> in accordance with the instructions set out in the remainder of this </w:t>
      </w:r>
      <w:r w:rsidR="004D1F31">
        <w:rPr>
          <w:szCs w:val="20"/>
        </w:rPr>
        <w:t>PQQ</w:t>
      </w:r>
      <w:r w:rsidRPr="00343763">
        <w:rPr>
          <w:szCs w:val="20"/>
        </w:rPr>
        <w:t xml:space="preserve">; </w:t>
      </w:r>
    </w:p>
    <w:p w14:paraId="20C7386B" w14:textId="77777777" w:rsidR="00343763" w:rsidRPr="00343763" w:rsidRDefault="00343763" w:rsidP="004270D9">
      <w:pPr>
        <w:pStyle w:val="MRNumberedHeading3"/>
        <w:numPr>
          <w:ilvl w:val="2"/>
          <w:numId w:val="23"/>
        </w:numPr>
        <w:tabs>
          <w:tab w:val="clear" w:pos="2215"/>
          <w:tab w:val="num" w:pos="1794"/>
        </w:tabs>
        <w:spacing w:line="240" w:lineRule="auto"/>
        <w:ind w:left="1702" w:hanging="851"/>
        <w:jc w:val="both"/>
        <w:rPr>
          <w:szCs w:val="20"/>
        </w:rPr>
      </w:pPr>
      <w:r w:rsidRPr="00343763">
        <w:rPr>
          <w:szCs w:val="20"/>
        </w:rPr>
        <w:t xml:space="preserve">sets out the overall timetable and process for the procurement; </w:t>
      </w:r>
    </w:p>
    <w:p w14:paraId="20C7386C" w14:textId="55EB9979" w:rsidR="00343763" w:rsidRPr="00343763" w:rsidRDefault="00343763" w:rsidP="004270D9">
      <w:pPr>
        <w:pStyle w:val="MRNumberedHeading3"/>
        <w:numPr>
          <w:ilvl w:val="2"/>
          <w:numId w:val="23"/>
        </w:numPr>
        <w:tabs>
          <w:tab w:val="clear" w:pos="2215"/>
          <w:tab w:val="num" w:pos="1794"/>
        </w:tabs>
        <w:spacing w:line="240" w:lineRule="auto"/>
        <w:ind w:left="1702" w:hanging="851"/>
        <w:jc w:val="both"/>
        <w:rPr>
          <w:szCs w:val="20"/>
        </w:rPr>
      </w:pPr>
      <w:r w:rsidRPr="00343763">
        <w:rPr>
          <w:szCs w:val="20"/>
        </w:rPr>
        <w:lastRenderedPageBreak/>
        <w:t xml:space="preserve">provides Bidders with sufficient information to enable them to submit a compliant </w:t>
      </w:r>
      <w:r w:rsidR="004D1F31">
        <w:rPr>
          <w:szCs w:val="20"/>
        </w:rPr>
        <w:t>response</w:t>
      </w:r>
      <w:r w:rsidRPr="00343763">
        <w:rPr>
          <w:szCs w:val="20"/>
        </w:rPr>
        <w:t xml:space="preserve">; </w:t>
      </w:r>
    </w:p>
    <w:p w14:paraId="20C7386D" w14:textId="247F3A6E" w:rsidR="00343763" w:rsidRPr="00343763" w:rsidRDefault="00343763" w:rsidP="004270D9">
      <w:pPr>
        <w:pStyle w:val="MRNumberedHeading3"/>
        <w:numPr>
          <w:ilvl w:val="2"/>
          <w:numId w:val="23"/>
        </w:numPr>
        <w:tabs>
          <w:tab w:val="clear" w:pos="2215"/>
          <w:tab w:val="num" w:pos="1794"/>
        </w:tabs>
        <w:spacing w:line="240" w:lineRule="auto"/>
        <w:ind w:left="1702" w:hanging="851"/>
        <w:jc w:val="both"/>
        <w:rPr>
          <w:szCs w:val="20"/>
        </w:rPr>
      </w:pPr>
      <w:r w:rsidRPr="00343763">
        <w:rPr>
          <w:szCs w:val="20"/>
        </w:rPr>
        <w:t>s</w:t>
      </w:r>
      <w:r w:rsidR="0034181A">
        <w:rPr>
          <w:szCs w:val="20"/>
        </w:rPr>
        <w:t xml:space="preserve">ets out the </w:t>
      </w:r>
      <w:r w:rsidR="004D1F31">
        <w:rPr>
          <w:szCs w:val="20"/>
        </w:rPr>
        <w:t xml:space="preserve">selection </w:t>
      </w:r>
      <w:r w:rsidR="0034181A">
        <w:rPr>
          <w:szCs w:val="20"/>
        </w:rPr>
        <w:t xml:space="preserve">criteria and </w:t>
      </w:r>
      <w:r w:rsidR="004D1F31">
        <w:rPr>
          <w:szCs w:val="20"/>
        </w:rPr>
        <w:t>PQQ</w:t>
      </w:r>
      <w:r w:rsidRPr="00343763">
        <w:rPr>
          <w:szCs w:val="20"/>
        </w:rPr>
        <w:t xml:space="preserve"> evaluation model</w:t>
      </w:r>
      <w:r w:rsidR="00CE369C">
        <w:rPr>
          <w:szCs w:val="20"/>
        </w:rPr>
        <w:t xml:space="preserve"> that will be used to evaluate</w:t>
      </w:r>
      <w:r w:rsidRPr="00343763">
        <w:rPr>
          <w:szCs w:val="20"/>
        </w:rPr>
        <w:t xml:space="preserve"> the </w:t>
      </w:r>
      <w:r w:rsidR="004D1F31">
        <w:rPr>
          <w:szCs w:val="20"/>
        </w:rPr>
        <w:t>Pre-Qualification Questions</w:t>
      </w:r>
      <w:r w:rsidRPr="00343763">
        <w:rPr>
          <w:szCs w:val="20"/>
        </w:rPr>
        <w:t xml:space="preserve">; and </w:t>
      </w:r>
    </w:p>
    <w:p w14:paraId="20C7386E" w14:textId="7C2B9B09" w:rsidR="00343763" w:rsidRPr="00343763" w:rsidRDefault="00343763" w:rsidP="004270D9">
      <w:pPr>
        <w:pStyle w:val="MRNumberedHeading3"/>
        <w:numPr>
          <w:ilvl w:val="2"/>
          <w:numId w:val="23"/>
        </w:numPr>
        <w:tabs>
          <w:tab w:val="clear" w:pos="2215"/>
          <w:tab w:val="num" w:pos="1794"/>
        </w:tabs>
        <w:spacing w:line="240" w:lineRule="auto"/>
        <w:ind w:left="1702" w:hanging="851"/>
        <w:jc w:val="both"/>
        <w:rPr>
          <w:szCs w:val="20"/>
        </w:rPr>
      </w:pPr>
      <w:r w:rsidRPr="00343763">
        <w:rPr>
          <w:szCs w:val="20"/>
        </w:rPr>
        <w:t xml:space="preserve">explains the administrative arrangements for the receipt of </w:t>
      </w:r>
      <w:r w:rsidR="00AE08E7">
        <w:rPr>
          <w:szCs w:val="20"/>
        </w:rPr>
        <w:t>PQQ responses</w:t>
      </w:r>
      <w:r w:rsidRPr="00343763">
        <w:rPr>
          <w:szCs w:val="20"/>
        </w:rPr>
        <w:t xml:space="preserve">. </w:t>
      </w:r>
    </w:p>
    <w:p w14:paraId="20C7386F" w14:textId="2F688955" w:rsidR="006534CF" w:rsidRDefault="00825FC5" w:rsidP="004270D9">
      <w:pPr>
        <w:pStyle w:val="Heading1"/>
        <w:spacing w:before="240" w:after="0"/>
        <w:ind w:left="851"/>
        <w:rPr>
          <w:b w:val="0"/>
        </w:rPr>
      </w:pPr>
      <w:bookmarkStart w:id="18" w:name="_Toc403555093"/>
      <w:r w:rsidRPr="00276E1B">
        <w:t>Questions</w:t>
      </w:r>
      <w:r>
        <w:rPr>
          <w:b w:val="0"/>
        </w:rPr>
        <w:t xml:space="preserve"> </w:t>
      </w:r>
      <w:r w:rsidRPr="00276E1B">
        <w:t xml:space="preserve">about this </w:t>
      </w:r>
      <w:bookmarkEnd w:id="18"/>
      <w:r w:rsidR="00AE08E7">
        <w:t>PQQ</w:t>
      </w:r>
    </w:p>
    <w:p w14:paraId="62AF273E" w14:textId="77777777" w:rsidR="00AE08E7" w:rsidRDefault="00D134FB" w:rsidP="00D149A8">
      <w:pPr>
        <w:pStyle w:val="MRNumberedHeading2"/>
      </w:pPr>
      <w:bookmarkStart w:id="19" w:name="_Ref478462194"/>
      <w:bookmarkStart w:id="20" w:name="_Toc403555094"/>
      <w:bookmarkStart w:id="21" w:name="_Ref405452872"/>
      <w:r>
        <w:rPr>
          <w:noProof/>
        </w:rPr>
        <mc:AlternateContent>
          <mc:Choice Requires="wps">
            <w:drawing>
              <wp:anchor distT="0" distB="0" distL="114300" distR="114300" simplePos="0" relativeHeight="251651584" behindDoc="0" locked="0" layoutInCell="1" allowOverlap="1" wp14:anchorId="20C739A7" wp14:editId="56224F32">
                <wp:simplePos x="0" y="0"/>
                <wp:positionH relativeFrom="column">
                  <wp:posOffset>5913976</wp:posOffset>
                </wp:positionH>
                <wp:positionV relativeFrom="paragraph">
                  <wp:posOffset>155575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73A06" w14:textId="51AB0E75" w:rsidR="0009642C" w:rsidRPr="00CF60B2" w:rsidRDefault="0009642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A7" id="Text Box 29" o:spid="_x0000_s1028" type="#_x0000_t202" style="position:absolute;left:0;text-align:left;margin-left:465.65pt;margin-top:12.25pt;width:28.5pt;height:31.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" fillcolor="white [3201]" stroked="f" strokeweight=".5pt">
                <v:textbox>
                  <w:txbxContent>
                    <w:p w14:paraId="20C73A06" w14:textId="51AB0E75" w:rsidR="0009642C" w:rsidRPr="00CF60B2" w:rsidRDefault="0009642C">
                      <w:pPr>
                        <w:rPr>
                          <w:color w:val="FF0000"/>
                        </w:rPr>
                      </w:pPr>
                    </w:p>
                  </w:txbxContent>
                </v:textbox>
              </v:shape>
            </w:pict>
          </mc:Fallback>
        </mc:AlternateContent>
      </w:r>
      <w:r w:rsidR="00825FC5">
        <w:t xml:space="preserve">You may submit, by no later </w:t>
      </w:r>
      <w:r w:rsidR="00825FC5" w:rsidRPr="00F2585C">
        <w:t>than</w:t>
      </w:r>
      <w:r w:rsidR="006F5AC0" w:rsidRPr="00F2585C">
        <w:t xml:space="preserve"> </w:t>
      </w:r>
      <w:r w:rsidR="00AE08E7">
        <w:rPr>
          <w:b/>
          <w:u w:val="single"/>
        </w:rPr>
        <w:t>09</w:t>
      </w:r>
      <w:r w:rsidR="00612E94" w:rsidRPr="00F84EC3">
        <w:rPr>
          <w:b/>
          <w:u w:val="single"/>
          <w:vertAlign w:val="superscript"/>
        </w:rPr>
        <w:t>th</w:t>
      </w:r>
      <w:r w:rsidR="00612E94" w:rsidRPr="00F84EC3">
        <w:rPr>
          <w:b/>
          <w:u w:val="single"/>
        </w:rPr>
        <w:t xml:space="preserve"> </w:t>
      </w:r>
      <w:r w:rsidR="00AE08E7">
        <w:rPr>
          <w:b/>
          <w:u w:val="single"/>
        </w:rPr>
        <w:t>May</w:t>
      </w:r>
      <w:r w:rsidR="00EB2045" w:rsidRPr="00F2585C">
        <w:rPr>
          <w:b/>
          <w:u w:val="single"/>
        </w:rPr>
        <w:t xml:space="preserve"> </w:t>
      </w:r>
      <w:r w:rsidR="00EF3AA4" w:rsidRPr="00F2585C">
        <w:rPr>
          <w:b/>
          <w:u w:val="single"/>
        </w:rPr>
        <w:t>202</w:t>
      </w:r>
      <w:r w:rsidR="00AE08E7">
        <w:rPr>
          <w:b/>
          <w:u w:val="single"/>
        </w:rPr>
        <w:t>3</w:t>
      </w:r>
      <w:r w:rsidR="006F5AC0" w:rsidRPr="00F2585C">
        <w:rPr>
          <w:b/>
          <w:u w:val="single"/>
        </w:rPr>
        <w:t xml:space="preserve"> </w:t>
      </w:r>
      <w:r w:rsidR="00825FC5" w:rsidRPr="00F2585C">
        <w:t>any queries</w:t>
      </w:r>
      <w:r w:rsidR="00825FC5">
        <w:t xml:space="preserve"> that you have relating to this </w:t>
      </w:r>
      <w:r w:rsidR="00AE08E7">
        <w:t>PQQ</w:t>
      </w:r>
      <w:r w:rsidR="00825FC5">
        <w:t xml:space="preserve">.  </w:t>
      </w:r>
      <w:r>
        <w:t xml:space="preserve">The Authority is using the </w:t>
      </w:r>
      <w:r w:rsidR="00AE08E7">
        <w:t>Atamias</w:t>
      </w:r>
      <w:r>
        <w:t xml:space="preserve"> e-tendering portal to conduct the procurement process ("</w:t>
      </w:r>
      <w:r w:rsidRPr="00D149A8">
        <w:rPr>
          <w:b/>
        </w:rPr>
        <w:t>The e-Tendering Portal</w:t>
      </w:r>
      <w:r>
        <w:t xml:space="preserve">"). The e-Tendering Portal can be accessed </w:t>
      </w:r>
      <w:hyperlink r:id="rId13" w:history="1">
        <w:r w:rsidR="00AE08E7" w:rsidRPr="00E559CC">
          <w:rPr>
            <w:rStyle w:val="Hyperlink"/>
          </w:rPr>
          <w:t>https://atamis.cloudforce.com/</w:t>
        </w:r>
      </w:hyperlink>
      <w:r w:rsidR="00AE08E7">
        <w:t xml:space="preserve">  </w:t>
      </w:r>
    </w:p>
    <w:p w14:paraId="20C73870" w14:textId="065CCF4A" w:rsidR="00A4489A" w:rsidRPr="009A3E29" w:rsidRDefault="00D134FB" w:rsidP="00AE08E7">
      <w:pPr>
        <w:pStyle w:val="MRNumberedHeading2"/>
        <w:numPr>
          <w:ilvl w:val="0"/>
          <w:numId w:val="0"/>
        </w:numPr>
        <w:ind w:left="851"/>
      </w:pPr>
      <w:r>
        <w:t>Please therefore submit such querie</w:t>
      </w:r>
      <w:bookmarkStart w:id="22" w:name="_GoBack"/>
      <w:bookmarkEnd w:id="22"/>
      <w:r>
        <w:t xml:space="preserve">s </w:t>
      </w:r>
      <w:r w:rsidR="004660D0">
        <w:t xml:space="preserve">only </w:t>
      </w:r>
      <w:r>
        <w:t>via the e-Tendering Portal.</w:t>
      </w:r>
      <w:bookmarkEnd w:id="19"/>
      <w:r>
        <w:t xml:space="preserve"> </w:t>
      </w:r>
      <w:bookmarkEnd w:id="20"/>
      <w:bookmarkEnd w:id="21"/>
    </w:p>
    <w:p w14:paraId="20C73871" w14:textId="511CBEBC" w:rsidR="00825FC5" w:rsidRDefault="00D134FB" w:rsidP="004270D9">
      <w:pPr>
        <w:pStyle w:val="MRNumberedHeading2"/>
      </w:pPr>
      <w:bookmarkStart w:id="23" w:name="_Toc403555095"/>
      <w:bookmarkStart w:id="24" w:name="_Ref478471427"/>
      <w:r w:rsidRPr="00276E1B">
        <w:rPr>
          <w:noProof/>
        </w:rPr>
        <mc:AlternateContent>
          <mc:Choice Requires="wps">
            <w:drawing>
              <wp:anchor distT="0" distB="0" distL="114300" distR="114300" simplePos="0" relativeHeight="251647488" behindDoc="0" locked="0" layoutInCell="1" allowOverlap="1" wp14:anchorId="20C739AD" wp14:editId="2436DFD7">
                <wp:simplePos x="0" y="0"/>
                <wp:positionH relativeFrom="column">
                  <wp:posOffset>5913120</wp:posOffset>
                </wp:positionH>
                <wp:positionV relativeFrom="paragraph">
                  <wp:posOffset>173990</wp:posOffset>
                </wp:positionV>
                <wp:extent cx="508635" cy="461010"/>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635"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73A09" w14:textId="273A8D99" w:rsidR="0009642C" w:rsidRPr="00CC3915" w:rsidRDefault="0009642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AD" id="Text Box 1" o:spid="_x0000_s1029" type="#_x0000_t202" style="position:absolute;left:0;text-align:left;margin-left:465.6pt;margin-top:13.7pt;width:40.05pt;height:36.3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" fillcolor="white [3201]" stroked="f" strokeweight=".5pt">
                <v:textbox>
                  <w:txbxContent>
                    <w:p w14:paraId="20C73A09" w14:textId="273A8D99" w:rsidR="0009642C" w:rsidRPr="00CC3915" w:rsidRDefault="0009642C">
                      <w:pPr>
                        <w:rPr>
                          <w:color w:val="FF0000"/>
                        </w:rPr>
                      </w:pPr>
                    </w:p>
                  </w:txbxContent>
                </v:textbox>
              </v:shape>
            </w:pict>
          </mc:Fallback>
        </mc:AlternateContent>
      </w:r>
      <w:r w:rsidR="00825FC5">
        <w:t>Any specific queries should clearly reference the appropriate paragraph in the</w:t>
      </w:r>
      <w:r w:rsidR="006032F2">
        <w:t xml:space="preserve"> </w:t>
      </w:r>
      <w:r w:rsidR="00665648">
        <w:t>PQQ</w:t>
      </w:r>
      <w:r w:rsidR="00825FC5">
        <w:t xml:space="preserve"> documentation and, to the extent possible, should be aggregated </w:t>
      </w:r>
      <w:r w:rsidR="006032F2">
        <w:t>rather than sent individually.</w:t>
      </w:r>
      <w:r w:rsidR="00825FC5">
        <w:t xml:space="preserve"> </w:t>
      </w:r>
      <w:r w:rsidR="006032F2">
        <w:t xml:space="preserve"> </w:t>
      </w:r>
      <w:r w:rsidR="002E072D">
        <w:t>The Authority may decline to answer</w:t>
      </w:r>
      <w:r w:rsidR="00825FC5">
        <w:t xml:space="preserve"> queries received after the above deadline.</w:t>
      </w:r>
      <w:bookmarkEnd w:id="23"/>
      <w:bookmarkEnd w:id="24"/>
    </w:p>
    <w:p w14:paraId="20C73872" w14:textId="2AA35ECF" w:rsidR="004E71FF" w:rsidRPr="005A2E47" w:rsidRDefault="00825FC5" w:rsidP="004270D9">
      <w:pPr>
        <w:pStyle w:val="MRNumberedHeading2"/>
      </w:pPr>
      <w:bookmarkStart w:id="25"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w:t>
      </w:r>
      <w:bookmarkEnd w:id="25"/>
    </w:p>
    <w:p w14:paraId="20C73873" w14:textId="275FA97E" w:rsidR="008D3217" w:rsidRPr="008F3D2C" w:rsidRDefault="00665648" w:rsidP="004270D9">
      <w:pPr>
        <w:pStyle w:val="MRNumberedHeading1"/>
        <w:numPr>
          <w:ilvl w:val="0"/>
          <w:numId w:val="24"/>
        </w:numPr>
        <w:ind w:hanging="798"/>
        <w:jc w:val="both"/>
        <w:rPr>
          <w:sz w:val="20"/>
          <w:szCs w:val="20"/>
        </w:rPr>
      </w:pPr>
      <w:bookmarkStart w:id="26" w:name="_Toc403556502"/>
      <w:bookmarkStart w:id="27" w:name="_Toc403556507"/>
      <w:bookmarkStart w:id="28" w:name="_Toc406674970"/>
      <w:bookmarkStart w:id="29" w:name="_Toc412621212"/>
      <w:bookmarkStart w:id="30" w:name="_Toc412715222"/>
      <w:r>
        <w:rPr>
          <w:sz w:val="20"/>
          <w:szCs w:val="20"/>
        </w:rPr>
        <w:t>PQQ</w:t>
      </w:r>
      <w:r w:rsidR="008D3217" w:rsidRPr="008F3D2C">
        <w:rPr>
          <w:sz w:val="20"/>
          <w:szCs w:val="20"/>
        </w:rPr>
        <w:t xml:space="preserve"> TIMETABLE</w:t>
      </w:r>
      <w:bookmarkEnd w:id="26"/>
      <w:bookmarkEnd w:id="27"/>
      <w:bookmarkEnd w:id="28"/>
      <w:bookmarkEnd w:id="29"/>
      <w:bookmarkEnd w:id="30"/>
    </w:p>
    <w:p w14:paraId="20C73874" w14:textId="77777777" w:rsidR="008D3217" w:rsidRPr="00276E1B" w:rsidRDefault="008D3217" w:rsidP="004270D9">
      <w:pPr>
        <w:pStyle w:val="Heading1"/>
        <w:spacing w:before="240" w:after="0"/>
        <w:ind w:left="851"/>
      </w:pPr>
      <w:bookmarkStart w:id="31" w:name="_Toc403555097"/>
      <w:r w:rsidRPr="00276E1B">
        <w:t>Key dates</w:t>
      </w:r>
      <w:bookmarkEnd w:id="31"/>
    </w:p>
    <w:p w14:paraId="20C73875" w14:textId="77777777" w:rsidR="008D3217" w:rsidRDefault="008D3217" w:rsidP="004270D9">
      <w:pPr>
        <w:pStyle w:val="MRNumberedHeading2"/>
      </w:pPr>
      <w:bookmarkStart w:id="32"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2"/>
      <w:r w:rsidR="00B46DA5">
        <w:t xml:space="preserve"> </w:t>
      </w:r>
    </w:p>
    <w:p w14:paraId="20C73876" w14:textId="77777777" w:rsidR="00B46DA5" w:rsidRDefault="00FE07BA" w:rsidP="004270D9">
      <w:pPr>
        <w:pStyle w:val="MRNumberedHeading2"/>
      </w:pPr>
      <w:bookmarkStart w:id="33" w:name="_Toc403555099"/>
      <w:bookmarkStart w:id="34" w:name="_Ref405452883"/>
      <w:bookmarkStart w:id="35" w:name="_Ref406061800"/>
      <w:bookmarkStart w:id="36" w:name="_Ref406062870"/>
      <w:r>
        <w:t>The key dates for this procurement are currently anticipated to be as follows:</w:t>
      </w:r>
      <w:bookmarkEnd w:id="33"/>
      <w:bookmarkEnd w:id="34"/>
      <w:bookmarkEnd w:id="35"/>
      <w:bookmarkEnd w:id="36"/>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846" w:type="dxa"/>
        <w:tblLook w:val="04A0" w:firstRow="1" w:lastRow="0" w:firstColumn="1" w:lastColumn="0" w:noHBand="0" w:noVBand="1"/>
      </w:tblPr>
      <w:tblGrid>
        <w:gridCol w:w="5358"/>
        <w:gridCol w:w="2693"/>
      </w:tblGrid>
      <w:tr w:rsidR="00FE07BA" w14:paraId="20C7387A" w14:textId="77777777" w:rsidTr="00614AB3">
        <w:tc>
          <w:tcPr>
            <w:tcW w:w="5358" w:type="dxa"/>
            <w:shd w:val="clear" w:color="auto" w:fill="BFBFBF" w:themeFill="background1" w:themeFillShade="BF"/>
          </w:tcPr>
          <w:p w14:paraId="20C73878" w14:textId="77777777" w:rsidR="00FE07BA" w:rsidRPr="00FE07BA" w:rsidRDefault="00FE07BA" w:rsidP="00FE07BA">
            <w:pPr>
              <w:pStyle w:val="Heading2"/>
              <w:numPr>
                <w:ilvl w:val="0"/>
                <w:numId w:val="0"/>
              </w:numPr>
              <w:outlineLvl w:val="1"/>
              <w:rPr>
                <w:b/>
              </w:rPr>
            </w:pPr>
            <w:r w:rsidRPr="00FE07BA">
              <w:rPr>
                <w:b/>
              </w:rPr>
              <w:t>Event</w:t>
            </w:r>
          </w:p>
        </w:tc>
        <w:tc>
          <w:tcPr>
            <w:tcW w:w="2693" w:type="dxa"/>
            <w:shd w:val="clear" w:color="auto" w:fill="BFBFBF" w:themeFill="background1" w:themeFillShade="BF"/>
          </w:tcPr>
          <w:p w14:paraId="20C73879" w14:textId="77777777" w:rsidR="00FE07BA" w:rsidRPr="002D2E91" w:rsidRDefault="00FE07BA" w:rsidP="00FE07BA">
            <w:pPr>
              <w:pStyle w:val="Heading2"/>
              <w:numPr>
                <w:ilvl w:val="0"/>
                <w:numId w:val="0"/>
              </w:numPr>
              <w:outlineLvl w:val="1"/>
              <w:rPr>
                <w:b/>
              </w:rPr>
            </w:pPr>
            <w:r w:rsidRPr="002D2E91">
              <w:rPr>
                <w:b/>
              </w:rPr>
              <w:t>Date</w:t>
            </w:r>
          </w:p>
        </w:tc>
      </w:tr>
      <w:tr w:rsidR="00FE07BA" w14:paraId="20C7387E" w14:textId="77777777" w:rsidTr="00614AB3">
        <w:tc>
          <w:tcPr>
            <w:tcW w:w="5358" w:type="dxa"/>
          </w:tcPr>
          <w:p w14:paraId="20C7387B" w14:textId="0720B04A" w:rsidR="00FE07BA" w:rsidRPr="00F2585C" w:rsidRDefault="00665648" w:rsidP="00FE07BA">
            <w:pPr>
              <w:pStyle w:val="Heading2"/>
              <w:numPr>
                <w:ilvl w:val="0"/>
                <w:numId w:val="0"/>
              </w:numPr>
              <w:outlineLvl w:val="1"/>
            </w:pPr>
            <w:r>
              <w:t>PQQ</w:t>
            </w:r>
            <w:r w:rsidR="00FE07BA" w:rsidRPr="00F2585C">
              <w:t xml:space="preserve"> issued</w:t>
            </w:r>
          </w:p>
        </w:tc>
        <w:tc>
          <w:tcPr>
            <w:tcW w:w="2693" w:type="dxa"/>
          </w:tcPr>
          <w:p w14:paraId="20C7387D" w14:textId="7BE09454" w:rsidR="003273D3" w:rsidRPr="00F2585C" w:rsidRDefault="00192DD4" w:rsidP="00E41F1B">
            <w:pPr>
              <w:pStyle w:val="Heading2"/>
              <w:numPr>
                <w:ilvl w:val="0"/>
                <w:numId w:val="0"/>
              </w:numPr>
              <w:outlineLvl w:val="1"/>
            </w:pPr>
            <w:r>
              <w:t>14</w:t>
            </w:r>
            <w:r w:rsidR="00C20D15" w:rsidRPr="00F2585C">
              <w:t>/</w:t>
            </w:r>
            <w:r>
              <w:t>04/2023</w:t>
            </w:r>
          </w:p>
        </w:tc>
      </w:tr>
      <w:tr w:rsidR="00FE07BA" w14:paraId="20C73882" w14:textId="77777777" w:rsidTr="00614AB3">
        <w:tc>
          <w:tcPr>
            <w:tcW w:w="5358" w:type="dxa"/>
          </w:tcPr>
          <w:p w14:paraId="20C7387F" w14:textId="77777777" w:rsidR="00FE07BA" w:rsidRPr="008B799D" w:rsidRDefault="00FE07BA" w:rsidP="00FE07BA">
            <w:pPr>
              <w:pStyle w:val="Heading2"/>
              <w:numPr>
                <w:ilvl w:val="0"/>
                <w:numId w:val="0"/>
              </w:numPr>
              <w:outlineLvl w:val="1"/>
            </w:pPr>
            <w:r w:rsidRPr="008B799D">
              <w:t>Deadline for the receipt of clarification questions</w:t>
            </w:r>
          </w:p>
        </w:tc>
        <w:tc>
          <w:tcPr>
            <w:tcW w:w="2693" w:type="dxa"/>
          </w:tcPr>
          <w:p w14:paraId="20C73881" w14:textId="180E2503" w:rsidR="003273D3" w:rsidRPr="0038789F" w:rsidRDefault="00192DD4" w:rsidP="00E41F1B">
            <w:pPr>
              <w:pStyle w:val="Heading2"/>
              <w:numPr>
                <w:ilvl w:val="0"/>
                <w:numId w:val="0"/>
              </w:numPr>
              <w:outlineLvl w:val="1"/>
            </w:pPr>
            <w:r>
              <w:t>09</w:t>
            </w:r>
            <w:r w:rsidR="00C20D15">
              <w:t>/</w:t>
            </w:r>
            <w:r>
              <w:t>05/2023</w:t>
            </w:r>
          </w:p>
        </w:tc>
      </w:tr>
      <w:tr w:rsidR="00FE07BA" w14:paraId="20C73886" w14:textId="77777777" w:rsidTr="00614AB3">
        <w:tc>
          <w:tcPr>
            <w:tcW w:w="5358" w:type="dxa"/>
          </w:tcPr>
          <w:p w14:paraId="20C73883" w14:textId="77777777" w:rsidR="00FE07BA" w:rsidRPr="008B799D" w:rsidRDefault="00FE07BA" w:rsidP="00FE07BA">
            <w:pPr>
              <w:pStyle w:val="Heading2"/>
              <w:numPr>
                <w:ilvl w:val="0"/>
                <w:numId w:val="0"/>
              </w:numPr>
              <w:outlineLvl w:val="1"/>
            </w:pPr>
            <w:r w:rsidRPr="008B799D">
              <w:t>Target date for responses to clarification questions</w:t>
            </w:r>
          </w:p>
        </w:tc>
        <w:tc>
          <w:tcPr>
            <w:tcW w:w="2693" w:type="dxa"/>
          </w:tcPr>
          <w:p w14:paraId="20C73885" w14:textId="3E7C23CD" w:rsidR="003273D3" w:rsidRPr="0038789F" w:rsidRDefault="00E41F1B" w:rsidP="003273D3">
            <w:pPr>
              <w:pStyle w:val="Heading2"/>
              <w:numPr>
                <w:ilvl w:val="0"/>
                <w:numId w:val="0"/>
              </w:numPr>
              <w:tabs>
                <w:tab w:val="left" w:pos="1652"/>
              </w:tabs>
              <w:outlineLvl w:val="1"/>
            </w:pPr>
            <w:r>
              <w:t>3</w:t>
            </w:r>
            <w:r w:rsidR="00651B67" w:rsidRPr="0038789F">
              <w:t xml:space="preserve"> working days</w:t>
            </w:r>
          </w:p>
        </w:tc>
      </w:tr>
      <w:tr w:rsidR="00676DDF" w14:paraId="562220AC" w14:textId="77777777" w:rsidTr="00614AB3">
        <w:tc>
          <w:tcPr>
            <w:tcW w:w="5358" w:type="dxa"/>
          </w:tcPr>
          <w:p w14:paraId="023F8706" w14:textId="3AB9A43A" w:rsidR="00676DDF" w:rsidRPr="008B799D" w:rsidRDefault="00676DDF" w:rsidP="00E41F1B">
            <w:pPr>
              <w:pStyle w:val="Heading2"/>
              <w:numPr>
                <w:ilvl w:val="0"/>
                <w:numId w:val="0"/>
              </w:numPr>
              <w:outlineLvl w:val="1"/>
            </w:pPr>
            <w:r w:rsidRPr="008B799D">
              <w:t>Site Visit</w:t>
            </w:r>
            <w:r w:rsidR="00420F48" w:rsidRPr="008B799D">
              <w:t>s</w:t>
            </w:r>
            <w:r w:rsidR="00E41F1B">
              <w:t xml:space="preserve"> </w:t>
            </w:r>
          </w:p>
        </w:tc>
        <w:tc>
          <w:tcPr>
            <w:tcW w:w="2693" w:type="dxa"/>
          </w:tcPr>
          <w:p w14:paraId="5A2B9C90" w14:textId="5ECB9249" w:rsidR="00DC2A66" w:rsidRPr="0038789F" w:rsidRDefault="00192DD4" w:rsidP="00E41F1B">
            <w:pPr>
              <w:pStyle w:val="Heading2"/>
              <w:numPr>
                <w:ilvl w:val="0"/>
                <w:numId w:val="0"/>
              </w:numPr>
              <w:tabs>
                <w:tab w:val="left" w:pos="1652"/>
              </w:tabs>
              <w:outlineLvl w:val="1"/>
            </w:pPr>
            <w:r>
              <w:t>tbc</w:t>
            </w:r>
          </w:p>
        </w:tc>
      </w:tr>
      <w:tr w:rsidR="00FE07BA" w14:paraId="20C7388A" w14:textId="77777777" w:rsidTr="00614AB3">
        <w:trPr>
          <w:trHeight w:val="257"/>
        </w:trPr>
        <w:tc>
          <w:tcPr>
            <w:tcW w:w="5358" w:type="dxa"/>
          </w:tcPr>
          <w:p w14:paraId="20C73887" w14:textId="0DBEE76C" w:rsidR="00FE07BA" w:rsidRPr="008B799D" w:rsidRDefault="00FE07BA" w:rsidP="00192DD4">
            <w:r w:rsidRPr="008B799D">
              <w:t xml:space="preserve">Deadline for receipt of </w:t>
            </w:r>
            <w:r w:rsidR="00192DD4">
              <w:t>PQQ Responses</w:t>
            </w:r>
          </w:p>
        </w:tc>
        <w:tc>
          <w:tcPr>
            <w:tcW w:w="2693" w:type="dxa"/>
          </w:tcPr>
          <w:p w14:paraId="20C73889" w14:textId="24CBBA27" w:rsidR="00DC2A66" w:rsidRPr="0038789F" w:rsidRDefault="00192DD4" w:rsidP="00192DD4">
            <w:r>
              <w:t>16/05</w:t>
            </w:r>
            <w:r w:rsidR="00545F93">
              <w:t>/202</w:t>
            </w:r>
            <w:r>
              <w:t>3</w:t>
            </w:r>
            <w:r w:rsidR="00EB428C" w:rsidRPr="0038789F">
              <w:t xml:space="preserve"> at 1</w:t>
            </w:r>
            <w:r w:rsidR="00C20D15">
              <w:t>2</w:t>
            </w:r>
            <w:r w:rsidR="00EB428C" w:rsidRPr="0038789F">
              <w:t>:00hrs</w:t>
            </w:r>
          </w:p>
        </w:tc>
      </w:tr>
      <w:tr w:rsidR="00FE07BA" w14:paraId="20C7388E" w14:textId="77777777" w:rsidTr="00614AB3">
        <w:tc>
          <w:tcPr>
            <w:tcW w:w="5358" w:type="dxa"/>
          </w:tcPr>
          <w:p w14:paraId="20C7388B" w14:textId="7F2BAEB4" w:rsidR="00FE07BA" w:rsidRPr="008B799D" w:rsidRDefault="00FE07BA" w:rsidP="00192DD4">
            <w:r w:rsidRPr="008B799D">
              <w:t xml:space="preserve">Evaluation of </w:t>
            </w:r>
            <w:r w:rsidR="00192DD4">
              <w:t>PQQ – Supplier Selection</w:t>
            </w:r>
          </w:p>
        </w:tc>
        <w:tc>
          <w:tcPr>
            <w:tcW w:w="2693" w:type="dxa"/>
          </w:tcPr>
          <w:p w14:paraId="20C7388D" w14:textId="6D0C7AC5" w:rsidR="00DC2A66" w:rsidRPr="0038789F" w:rsidRDefault="00192DD4" w:rsidP="00192DD4">
            <w:r>
              <w:t>w/c 22/05</w:t>
            </w:r>
            <w:r w:rsidR="00CC2F4C" w:rsidRPr="0038789F">
              <w:t>/202</w:t>
            </w:r>
            <w:r>
              <w:t>3</w:t>
            </w:r>
            <w:r w:rsidR="00CC2F4C" w:rsidRPr="0038789F">
              <w:t xml:space="preserve"> onward </w:t>
            </w:r>
          </w:p>
        </w:tc>
      </w:tr>
      <w:tr w:rsidR="00FE07BA" w14:paraId="20C73892" w14:textId="77777777" w:rsidTr="00614AB3">
        <w:tc>
          <w:tcPr>
            <w:tcW w:w="5358" w:type="dxa"/>
          </w:tcPr>
          <w:p w14:paraId="20C7388F" w14:textId="6846AC3F" w:rsidR="00FE07BA" w:rsidRPr="008B799D" w:rsidRDefault="00FE07BA" w:rsidP="00192DD4">
            <w:pPr>
              <w:pStyle w:val="Heading2"/>
              <w:numPr>
                <w:ilvl w:val="0"/>
                <w:numId w:val="0"/>
              </w:numPr>
              <w:outlineLvl w:val="1"/>
            </w:pPr>
            <w:r w:rsidRPr="008B799D">
              <w:t xml:space="preserve">Notification of </w:t>
            </w:r>
            <w:r w:rsidR="00192DD4">
              <w:t xml:space="preserve">supplier selection </w:t>
            </w:r>
            <w:r w:rsidR="00192DD4" w:rsidRPr="008B799D">
              <w:t>decision</w:t>
            </w:r>
          </w:p>
        </w:tc>
        <w:tc>
          <w:tcPr>
            <w:tcW w:w="2693" w:type="dxa"/>
          </w:tcPr>
          <w:p w14:paraId="20C73891" w14:textId="53F6469D" w:rsidR="00DC2A66" w:rsidRPr="0038789F" w:rsidRDefault="00192DD4" w:rsidP="00097B3D">
            <w:pPr>
              <w:pStyle w:val="Heading2"/>
              <w:numPr>
                <w:ilvl w:val="0"/>
                <w:numId w:val="0"/>
              </w:numPr>
              <w:outlineLvl w:val="1"/>
            </w:pPr>
            <w:r>
              <w:t>w/c 29/05</w:t>
            </w:r>
            <w:r w:rsidRPr="0038789F">
              <w:t>/202</w:t>
            </w:r>
            <w:r>
              <w:t>3</w:t>
            </w:r>
            <w:r w:rsidRPr="0038789F">
              <w:t xml:space="preserve"> onward</w:t>
            </w:r>
          </w:p>
        </w:tc>
      </w:tr>
      <w:tr w:rsidR="00FE07BA" w14:paraId="20C73899" w14:textId="77777777" w:rsidTr="00614AB3">
        <w:tc>
          <w:tcPr>
            <w:tcW w:w="5358" w:type="dxa"/>
          </w:tcPr>
          <w:p w14:paraId="20C73896" w14:textId="7D7BE1BC" w:rsidR="00FE07BA" w:rsidRPr="008B799D" w:rsidRDefault="00192DD4" w:rsidP="00192DD4">
            <w:pPr>
              <w:pStyle w:val="Heading2"/>
              <w:numPr>
                <w:ilvl w:val="0"/>
                <w:numId w:val="0"/>
              </w:numPr>
              <w:outlineLvl w:val="1"/>
            </w:pPr>
            <w:r>
              <w:t>Stage 2 start – ITT issued</w:t>
            </w:r>
          </w:p>
        </w:tc>
        <w:tc>
          <w:tcPr>
            <w:tcW w:w="2693" w:type="dxa"/>
          </w:tcPr>
          <w:p w14:paraId="20C73898" w14:textId="28C6DABA" w:rsidR="003273D3" w:rsidRPr="0038789F" w:rsidRDefault="002236C5" w:rsidP="00545F93">
            <w:pPr>
              <w:pStyle w:val="Heading2"/>
              <w:numPr>
                <w:ilvl w:val="0"/>
                <w:numId w:val="0"/>
              </w:numPr>
              <w:outlineLvl w:val="1"/>
            </w:pPr>
            <w:r w:rsidRPr="0038789F">
              <w:rPr>
                <w:noProof/>
              </w:rPr>
              <mc:AlternateContent>
                <mc:Choice Requires="wps">
                  <w:drawing>
                    <wp:anchor distT="0" distB="0" distL="114300" distR="114300" simplePos="0" relativeHeight="251661312" behindDoc="0" locked="0" layoutInCell="1" allowOverlap="1" wp14:anchorId="20C739AF" wp14:editId="20C739B0">
                      <wp:simplePos x="0" y="0"/>
                      <wp:positionH relativeFrom="column">
                        <wp:posOffset>1981945</wp:posOffset>
                      </wp:positionH>
                      <wp:positionV relativeFrom="paragraph">
                        <wp:posOffset>-6350</wp:posOffset>
                      </wp:positionV>
                      <wp:extent cx="652007" cy="413468"/>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652007" cy="4134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73A0B" w14:textId="7B799D4C" w:rsidR="0009642C" w:rsidRDefault="000964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739AF" id="Text Box 3" o:spid="_x0000_s1030" type="#_x0000_t202" style="position:absolute;left:0;text-align:left;margin-left:156.05pt;margin-top:-.5pt;width:51.35pt;height:3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" fillcolor="white [3201]" stroked="f" strokeweight=".5pt">
                      <v:textbox>
                        <w:txbxContent>
                          <w:p w14:paraId="20C73A0B" w14:textId="7B799D4C" w:rsidR="0009642C" w:rsidRDefault="0009642C"/>
                        </w:txbxContent>
                      </v:textbox>
                    </v:shape>
                  </w:pict>
                </mc:Fallback>
              </mc:AlternateContent>
            </w:r>
            <w:r w:rsidR="00192DD4">
              <w:rPr>
                <w:noProof/>
              </w:rPr>
              <w:t>June</w:t>
            </w:r>
            <w:r w:rsidR="00545F93">
              <w:rPr>
                <w:noProof/>
              </w:rPr>
              <w:t xml:space="preserve"> </w:t>
            </w:r>
            <w:r w:rsidR="00192DD4">
              <w:t>2023</w:t>
            </w:r>
          </w:p>
        </w:tc>
      </w:tr>
    </w:tbl>
    <w:p w14:paraId="20C7389F" w14:textId="77777777" w:rsidR="00FE07BA" w:rsidRDefault="00FE07BA" w:rsidP="004270D9">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14:paraId="20C738A3" w14:textId="464861E5" w:rsidR="000831C0" w:rsidRPr="00276E1B" w:rsidRDefault="000E189B" w:rsidP="004270D9">
      <w:pPr>
        <w:pStyle w:val="Heading1"/>
        <w:spacing w:before="240" w:after="0"/>
        <w:ind w:left="851"/>
      </w:pPr>
      <w:bookmarkStart w:id="39" w:name="_Toc403555104"/>
      <w:r w:rsidRPr="00276E1B">
        <w:t xml:space="preserve">Deadline for receipt of </w:t>
      </w:r>
      <w:bookmarkEnd w:id="39"/>
      <w:r w:rsidR="00192DD4">
        <w:t>PQQ</w:t>
      </w:r>
      <w:r w:rsidRPr="00276E1B">
        <w:t xml:space="preserve"> </w:t>
      </w:r>
    </w:p>
    <w:p w14:paraId="20C738A4" w14:textId="1D0C9FC0" w:rsidR="000831C0" w:rsidRDefault="00BE6503" w:rsidP="004270D9">
      <w:pPr>
        <w:pStyle w:val="MRNumberedHeading2"/>
      </w:pPr>
      <w:bookmarkStart w:id="40" w:name="_Toc403555105"/>
      <w:r>
        <w:rPr>
          <w:noProof/>
        </w:rPr>
        <mc:AlternateContent>
          <mc:Choice Requires="wps">
            <w:drawing>
              <wp:anchor distT="0" distB="0" distL="114300" distR="114300" simplePos="0" relativeHeight="251686912" behindDoc="0" locked="0" layoutInCell="1" allowOverlap="1" wp14:anchorId="20C739B5" wp14:editId="20C739B6">
                <wp:simplePos x="0" y="0"/>
                <wp:positionH relativeFrom="column">
                  <wp:posOffset>5921430</wp:posOffset>
                </wp:positionH>
                <wp:positionV relativeFrom="paragraph">
                  <wp:posOffset>427355</wp:posOffset>
                </wp:positionV>
                <wp:extent cx="532130" cy="421419"/>
                <wp:effectExtent l="0" t="0" r="0" b="0"/>
                <wp:wrapNone/>
                <wp:docPr id="7" name="Text Box 7"/>
                <wp:cNvGraphicFramePr/>
                <a:graphic xmlns:a="http://schemas.openxmlformats.org/drawingml/2006/main">
                  <a:graphicData uri="http://schemas.microsoft.com/office/word/2010/wordprocessingShape">
                    <wps:wsp>
                      <wps:cNvSpPr txBox="1"/>
                      <wps:spPr>
                        <a:xfrm>
                          <a:off x="0" y="0"/>
                          <a:ext cx="532130" cy="421419"/>
                        </a:xfrm>
                        <a:prstGeom prst="rect">
                          <a:avLst/>
                        </a:prstGeom>
                        <a:noFill/>
                        <a:ln w="6350">
                          <a:noFill/>
                        </a:ln>
                        <a:effectLst/>
                      </wps:spPr>
                      <wps:txbx>
                        <w:txbxContent>
                          <w:p w14:paraId="20C73A10" w14:textId="71024F2A" w:rsidR="0009642C" w:rsidRPr="00E67376" w:rsidRDefault="0009642C" w:rsidP="00BE650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B5" id="Text Box 7" o:spid="_x0000_s1031" type="#_x0000_t202" style="position:absolute;left:0;text-align:left;margin-left:466.25pt;margin-top:33.65pt;width:41.9pt;height:33.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" filled="f" stroked="f" strokeweight=".5pt">
                <v:textbox>
                  <w:txbxContent>
                    <w:p w14:paraId="20C73A10" w14:textId="71024F2A" w:rsidR="0009642C" w:rsidRPr="00E67376" w:rsidRDefault="0009642C" w:rsidP="00BE6503">
                      <w:pPr>
                        <w:rPr>
                          <w:color w:val="FF0000"/>
                        </w:rPr>
                      </w:pPr>
                    </w:p>
                  </w:txbxContent>
                </v:textbox>
              </v:shape>
            </w:pict>
          </mc:Fallback>
        </mc:AlternateContent>
      </w:r>
      <w:r w:rsidR="0083677A">
        <w:t xml:space="preserve">Bidders must submit their </w:t>
      </w:r>
      <w:r w:rsidR="00192DD4">
        <w:t>PQQ response</w:t>
      </w:r>
      <w:r w:rsidR="00E37725">
        <w:t xml:space="preserve"> in the manner</w:t>
      </w:r>
      <w:r w:rsidR="00807CF7">
        <w:t xml:space="preserve"> prescribed in section 3</w:t>
      </w:r>
      <w:r w:rsidR="00E37725">
        <w:t xml:space="preserve"> below </w:t>
      </w:r>
      <w:r w:rsidR="00807CF7">
        <w:t xml:space="preserve">no later than </w:t>
      </w:r>
      <w:r w:rsidR="0083677A">
        <w:t xml:space="preserve">the </w:t>
      </w:r>
      <w:r w:rsidR="0083677A" w:rsidRPr="005C5973">
        <w:t>date and time</w:t>
      </w:r>
      <w:r w:rsidR="00807CF7">
        <w:t xml:space="preserve"> </w:t>
      </w:r>
      <w:r w:rsidR="0083677A">
        <w:t xml:space="preserve">specified on the front cover of this </w:t>
      </w:r>
      <w:r w:rsidR="00192DD4">
        <w:t>PQQ</w:t>
      </w:r>
      <w:r w:rsidR="0083677A">
        <w:t>.</w:t>
      </w:r>
      <w:bookmarkEnd w:id="40"/>
    </w:p>
    <w:p w14:paraId="20C738A5" w14:textId="3AD41A86" w:rsidR="00E37725" w:rsidRDefault="00807CF7" w:rsidP="004270D9">
      <w:pPr>
        <w:pStyle w:val="MRNumberedHeading2"/>
      </w:pPr>
      <w:bookmarkStart w:id="41" w:name="_Toc403555106"/>
      <w:bookmarkStart w:id="42" w:name="_Ref405452913"/>
      <w:r>
        <w:t xml:space="preserve">Any </w:t>
      </w:r>
      <w:r w:rsidR="002B67D0">
        <w:t>PQQ</w:t>
      </w:r>
      <w:r>
        <w:t xml:space="preserve">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p w14:paraId="34618A14" w14:textId="77777777" w:rsidR="005A1470" w:rsidRDefault="005A1470" w:rsidP="005A1470">
      <w:pPr>
        <w:pStyle w:val="MRNumberedHeading2"/>
        <w:numPr>
          <w:ilvl w:val="0"/>
          <w:numId w:val="0"/>
        </w:numPr>
        <w:ind w:left="851"/>
      </w:pPr>
    </w:p>
    <w:p w14:paraId="20C738A6" w14:textId="7A505729" w:rsidR="00F76258" w:rsidRPr="005A1470" w:rsidRDefault="00F23ECD" w:rsidP="005A1470">
      <w:pPr>
        <w:ind w:left="851"/>
        <w:rPr>
          <w:b/>
        </w:rPr>
      </w:pPr>
      <w:bookmarkStart w:id="43" w:name="_Toc403555107"/>
      <w:r w:rsidRPr="005A1470">
        <w:rPr>
          <w:b/>
          <w:noProof/>
          <w:lang w:eastAsia="en-GB"/>
        </w:rPr>
        <mc:AlternateContent>
          <mc:Choice Requires="wps">
            <w:drawing>
              <wp:anchor distT="0" distB="0" distL="114300" distR="114300" simplePos="0" relativeHeight="251688960" behindDoc="0" locked="0" layoutInCell="1" allowOverlap="1" wp14:anchorId="20C739B7" wp14:editId="20C739B8">
                <wp:simplePos x="0" y="0"/>
                <wp:positionH relativeFrom="column">
                  <wp:posOffset>5921375</wp:posOffset>
                </wp:positionH>
                <wp:positionV relativeFrom="paragraph">
                  <wp:posOffset>44450</wp:posOffset>
                </wp:positionV>
                <wp:extent cx="532130" cy="468630"/>
                <wp:effectExtent l="0" t="0" r="1270" b="7620"/>
                <wp:wrapNone/>
                <wp:docPr id="6" name="Text Box 6"/>
                <wp:cNvGraphicFramePr/>
                <a:graphic xmlns:a="http://schemas.openxmlformats.org/drawingml/2006/main">
                  <a:graphicData uri="http://schemas.microsoft.com/office/word/2010/wordprocessingShape">
                    <wps:wsp>
                      <wps:cNvSpPr txBox="1"/>
                      <wps:spPr>
                        <a:xfrm>
                          <a:off x="0" y="0"/>
                          <a:ext cx="532130"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seventable"/>
                          <w:bookmarkStart w:id="45" w:name="handtwoeight"/>
                          <w:bookmarkEnd w:id="44"/>
                          <w:bookmarkEnd w:id="45"/>
                          <w:p w14:paraId="20C73A11" w14:textId="111A5D79" w:rsidR="0009642C" w:rsidRPr="00BE6503" w:rsidRDefault="0009642C"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"twoeight" \o "Only use site visits if absolutely necessary. You must have a clear strategy for evaluating site visits and a clear purpose"</w:instrText>
                            </w:r>
                            <w:r>
                              <w:rPr>
                                <w:rFonts w:ascii="Arial Bold" w:hAnsi="Arial Bold"/>
                                <w:b/>
                                <w:color w:val="FF0000"/>
                                <w:sz w:val="44"/>
                                <w:szCs w:val="44"/>
                              </w:rPr>
                              <w:fldChar w:fldCharType="separate"/>
                            </w:r>
                          </w:p>
                          <w:p w14:paraId="20C73A12" w14:textId="77777777" w:rsidR="0009642C" w:rsidRDefault="0009642C"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B7" id="Text Box 6" o:spid="_x0000_s1032" type="#_x0000_t202" style="position:absolute;left:0;text-align:left;margin-left:466.25pt;margin-top:3.5pt;width:41.9pt;height:36.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" fillcolor="white [3201]" stroked="f" strokeweight=".5pt">
                <v:textbox>
                  <w:txbxContent>
                    <w:bookmarkStart w:id="46" w:name="handtwoseventable"/>
                    <w:bookmarkStart w:id="47" w:name="handtwoeight"/>
                    <w:bookmarkEnd w:id="46"/>
                    <w:bookmarkEnd w:id="47"/>
                    <w:p w14:paraId="20C73A11" w14:textId="111A5D79" w:rsidR="0009642C" w:rsidRPr="00BE6503" w:rsidRDefault="0009642C"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"twoeight" \o "Only use site visits if absolutely necessary. You must have a clear strategy for evaluating site visits and a clear purpose"</w:instrText>
                      </w:r>
                      <w:r>
                        <w:rPr>
                          <w:rFonts w:ascii="Arial Bold" w:hAnsi="Arial Bold"/>
                          <w:b/>
                          <w:color w:val="FF0000"/>
                          <w:sz w:val="44"/>
                          <w:szCs w:val="44"/>
                        </w:rPr>
                        <w:fldChar w:fldCharType="separate"/>
                      </w:r>
                    </w:p>
                    <w:p w14:paraId="20C73A12" w14:textId="77777777" w:rsidR="0009642C" w:rsidRDefault="0009642C" w:rsidP="00BE6503">
                      <w:r>
                        <w:rPr>
                          <w:rFonts w:ascii="Arial Bold" w:hAnsi="Arial Bold"/>
                          <w:b/>
                          <w:color w:val="FF0000"/>
                          <w:sz w:val="44"/>
                          <w:szCs w:val="44"/>
                        </w:rPr>
                        <w:fldChar w:fldCharType="end"/>
                      </w:r>
                    </w:p>
                  </w:txbxContent>
                </v:textbox>
              </v:shape>
            </w:pict>
          </mc:Fallback>
        </mc:AlternateContent>
      </w:r>
      <w:r w:rsidR="00F76258" w:rsidRPr="005A1470">
        <w:rPr>
          <w:b/>
        </w:rPr>
        <w:t>Site visits</w:t>
      </w:r>
      <w:bookmarkEnd w:id="43"/>
    </w:p>
    <w:p w14:paraId="3E49F7B6" w14:textId="39D40E91" w:rsidR="00420F48" w:rsidRDefault="009852C1" w:rsidP="004617C9">
      <w:pPr>
        <w:pStyle w:val="MRNumberedHeading2"/>
      </w:pPr>
      <w:bookmarkStart w:id="48" w:name="_Toc403555108"/>
      <w:bookmarkStart w:id="49" w:name="_Ref405452921"/>
      <w:r w:rsidRPr="000A2C78">
        <w:t xml:space="preserve">All </w:t>
      </w:r>
      <w:r w:rsidR="00E7163F" w:rsidRPr="00C16D12">
        <w:t>Bidders</w:t>
      </w:r>
      <w:r w:rsidRPr="00C16D12">
        <w:t xml:space="preserve"> </w:t>
      </w:r>
      <w:r w:rsidR="00AE359D">
        <w:t>are</w:t>
      </w:r>
      <w:r w:rsidRPr="00C16D12">
        <w:t xml:space="preserve"> </w:t>
      </w:r>
      <w:r w:rsidR="00C16D12" w:rsidRPr="00C16D12">
        <w:t xml:space="preserve">invited, during the </w:t>
      </w:r>
      <w:r w:rsidR="00AE359D">
        <w:t>Pre-Qualification Question</w:t>
      </w:r>
      <w:r w:rsidR="00C16D12" w:rsidRPr="00C16D12">
        <w:t xml:space="preserve"> phase, </w:t>
      </w:r>
      <w:r w:rsidR="005A1470" w:rsidRPr="00C16D12">
        <w:t xml:space="preserve">to attend the Trust premises to support them in their submission. </w:t>
      </w:r>
      <w:bookmarkStart w:id="50" w:name="_Toc403555117"/>
      <w:bookmarkEnd w:id="48"/>
      <w:bookmarkEnd w:id="49"/>
    </w:p>
    <w:p w14:paraId="6945A91F" w14:textId="77777777" w:rsidR="00AE359D" w:rsidRDefault="00AE359D" w:rsidP="00AE359D">
      <w:pPr>
        <w:pStyle w:val="MRNumberedHeading2"/>
        <w:numPr>
          <w:ilvl w:val="0"/>
          <w:numId w:val="0"/>
        </w:numPr>
        <w:ind w:left="851"/>
      </w:pPr>
      <w:r>
        <w:t>Estates &amp; Planning Department, Queen Elizabeth Hospital, Heritage Building.</w:t>
      </w:r>
    </w:p>
    <w:p w14:paraId="00DE1596" w14:textId="037637C1" w:rsidR="00AE359D" w:rsidRDefault="00AE359D" w:rsidP="00AE359D">
      <w:pPr>
        <w:pStyle w:val="MRNumberedHeading2"/>
        <w:numPr>
          <w:ilvl w:val="0"/>
          <w:numId w:val="0"/>
        </w:numPr>
        <w:ind w:left="851"/>
      </w:pPr>
      <w:r>
        <w:t>Telephone 0121 371 4490</w:t>
      </w:r>
    </w:p>
    <w:p w14:paraId="34A6206C" w14:textId="62EECE4B" w:rsidR="00AE359D" w:rsidRDefault="00AE359D" w:rsidP="00AE359D">
      <w:pPr>
        <w:pStyle w:val="MRNumberedHeading2"/>
        <w:numPr>
          <w:ilvl w:val="0"/>
          <w:numId w:val="0"/>
        </w:numPr>
        <w:ind w:left="851"/>
      </w:pPr>
      <w:r>
        <w:t>Adam Hill – 07584 445399</w:t>
      </w:r>
    </w:p>
    <w:p w14:paraId="17203B6F" w14:textId="77777777" w:rsidR="00AE359D" w:rsidRDefault="00AE359D" w:rsidP="00AE359D">
      <w:pPr>
        <w:pStyle w:val="MRNumberedHeading1"/>
        <w:numPr>
          <w:ilvl w:val="0"/>
          <w:numId w:val="0"/>
        </w:numPr>
        <w:ind w:left="798"/>
      </w:pPr>
    </w:p>
    <w:p w14:paraId="147D1D60" w14:textId="77777777" w:rsidR="00A4315A" w:rsidRDefault="00A4315A" w:rsidP="00A4315A">
      <w:pPr>
        <w:pStyle w:val="Body1"/>
        <w:rPr>
          <w:b/>
        </w:rPr>
      </w:pPr>
      <w:r w:rsidRPr="00A4315A">
        <w:rPr>
          <w:b/>
        </w:rPr>
        <w:t>Clarification Meetings</w:t>
      </w:r>
    </w:p>
    <w:p w14:paraId="36B0DA82" w14:textId="1E7D2F11" w:rsidR="00420F48" w:rsidRDefault="00A4315A" w:rsidP="00A4315A">
      <w:pPr>
        <w:pStyle w:val="MRNumberedHeading2"/>
      </w:pPr>
      <w:r w:rsidRPr="00DB346F">
        <w:t xml:space="preserve">Following the assessment of the </w:t>
      </w:r>
      <w:r w:rsidR="004F0BA3">
        <w:t>Pre-Qualification Questions</w:t>
      </w:r>
      <w:r w:rsidRPr="00DB346F">
        <w:t>, the Authority may invite Bidder</w:t>
      </w:r>
      <w:r>
        <w:t>/</w:t>
      </w:r>
      <w:r w:rsidRPr="00DB346F">
        <w:t xml:space="preserve">s to a clarification meeting.  If required this will take place between receipt of </w:t>
      </w:r>
      <w:r w:rsidR="004F0BA3">
        <w:t>PQQ</w:t>
      </w:r>
      <w:r w:rsidRPr="00DB346F">
        <w:t xml:space="preserve"> and announcement of successful </w:t>
      </w:r>
      <w:r w:rsidR="004F0BA3">
        <w:t>suppliers</w:t>
      </w:r>
      <w:r w:rsidRPr="00DB346F">
        <w:t>.  It is anticipated that Bidders will be provided with at least two (2) business days' notice if a meeting is to be required. The Authority typically will only require</w:t>
      </w:r>
      <w:r w:rsidRPr="00BC7834">
        <w:rPr>
          <w:i/>
        </w:rPr>
        <w:t xml:space="preserve"> </w:t>
      </w:r>
      <w:r w:rsidRPr="00DB346F">
        <w:t xml:space="preserve">meetings with what it considers are the best </w:t>
      </w:r>
      <w:r>
        <w:t>one/</w:t>
      </w:r>
      <w:r w:rsidRPr="00DB346F">
        <w:t>two/three Bidders.  In exceptional circumstances, all Bidders will be requested to attend a meeting.</w:t>
      </w:r>
    </w:p>
    <w:p w14:paraId="2F77BCBA" w14:textId="74AA09A3" w:rsidR="00A4315A" w:rsidRPr="00DB346F" w:rsidRDefault="00A4315A" w:rsidP="00A4315A">
      <w:pPr>
        <w:pStyle w:val="MRNumberedHeading2"/>
        <w:tabs>
          <w:tab w:val="clear" w:pos="851"/>
          <w:tab w:val="num" w:pos="720"/>
        </w:tabs>
        <w:ind w:left="720" w:hanging="720"/>
      </w:pPr>
      <w:bookmarkStart w:id="51" w:name="_Toc403555113"/>
      <w:r w:rsidRPr="00DB346F">
        <w:t>Bidders must ensure that key personnel attend.  Those key personnel directly involved in performing the contract will be expected to attend.</w:t>
      </w:r>
      <w:bookmarkEnd w:id="51"/>
    </w:p>
    <w:p w14:paraId="49D362C8" w14:textId="2CB9656C" w:rsidR="00A4315A" w:rsidRDefault="00A4315A" w:rsidP="00A4315A">
      <w:pPr>
        <w:pStyle w:val="MRNumberedHeading2"/>
      </w:pPr>
      <w:bookmarkStart w:id="52" w:name="_Toc403555114"/>
      <w:r w:rsidRPr="00DB346F">
        <w:t>The purpose of the meeting is to gain a greater understanding of proposals and will take the form of a short presentation by the Bidder followed by a question and answer session. Topics for discussion for the presentation will be issued no later than 2 days before the presentation.</w:t>
      </w:r>
      <w:bookmarkEnd w:id="52"/>
    </w:p>
    <w:p w14:paraId="088FFB42" w14:textId="77777777" w:rsidR="00A4315A" w:rsidRPr="00DB346F" w:rsidRDefault="00A4315A" w:rsidP="00A4315A">
      <w:pPr>
        <w:pStyle w:val="MRNumberedHeading2"/>
        <w:tabs>
          <w:tab w:val="clear" w:pos="851"/>
          <w:tab w:val="num" w:pos="720"/>
        </w:tabs>
        <w:ind w:left="720" w:hanging="720"/>
      </w:pPr>
      <w:bookmarkStart w:id="53" w:name="_Toc403555115"/>
      <w:r w:rsidRPr="00DB346F">
        <w:t>Bidders can either accept or decline a request for such a meeting.  However, it is in the interests of the Bidder to attend and provide additional confidence in its proposals to the Authority.</w:t>
      </w:r>
      <w:bookmarkEnd w:id="53"/>
      <w:r w:rsidRPr="00DB346F">
        <w:t xml:space="preserve">  </w:t>
      </w:r>
    </w:p>
    <w:p w14:paraId="20C738B8" w14:textId="3D4B3F54" w:rsidR="008824CC" w:rsidRPr="001D5671" w:rsidRDefault="00A4315A" w:rsidP="001D5671">
      <w:pPr>
        <w:pStyle w:val="MRNumberedHeading2"/>
      </w:pPr>
      <w:r w:rsidRPr="0062262B">
        <w:t>The presentation will be scored</w:t>
      </w:r>
      <w:r w:rsidRPr="00DB346F">
        <w:t xml:space="preserve"> and the additional score added to the technical/quality score. The presentation questions will be sent out at least 48</w:t>
      </w:r>
      <w:r w:rsidR="001D5671">
        <w:t xml:space="preserve"> </w:t>
      </w:r>
      <w:r w:rsidRPr="00DB346F">
        <w:t xml:space="preserve">hours before the presentation, each question will be scored in line with the scoring system in </w:t>
      </w:r>
      <w:r w:rsidRPr="00614AB3">
        <w:t>4.</w:t>
      </w:r>
      <w:r w:rsidR="00971EAA" w:rsidRPr="00614AB3">
        <w:t>1</w:t>
      </w:r>
      <w:r w:rsidR="00614AB3" w:rsidRPr="00614AB3">
        <w:t>1</w:t>
      </w:r>
      <w:r w:rsidRPr="00614AB3">
        <w:t>,</w:t>
      </w:r>
      <w:r w:rsidRPr="00DB346F">
        <w:t xml:space="preserve"> and the same subheadings will be used as in the scoring criteria. The session will also be used to confirm the technical / quality score assessments of the Tender evaluation.  As such, scores achieved during the written </w:t>
      </w:r>
      <w:r w:rsidR="0057635B">
        <w:t>PQQ</w:t>
      </w:r>
      <w:r w:rsidRPr="00DB346F">
        <w:t xml:space="preserve"> evaluation may be adjusted (up or down) and the consolidated score of a Bidder amended</w:t>
      </w:r>
      <w:r>
        <w:t>.</w:t>
      </w:r>
      <w:bookmarkEnd w:id="50"/>
    </w:p>
    <w:p w14:paraId="20C738B9" w14:textId="364B6D90" w:rsidR="002F1591" w:rsidRPr="002F1591" w:rsidRDefault="0057635B" w:rsidP="002F1591">
      <w:pPr>
        <w:pStyle w:val="Header"/>
        <w:spacing w:before="240"/>
        <w:ind w:left="851"/>
        <w:jc w:val="both"/>
        <w:rPr>
          <w:b/>
        </w:rPr>
      </w:pPr>
      <w:bookmarkStart w:id="54" w:name="_Toc403555120"/>
      <w:r>
        <w:rPr>
          <w:b/>
        </w:rPr>
        <w:t>Supplier Selection</w:t>
      </w:r>
      <w:r w:rsidR="00740710">
        <w:rPr>
          <w:b/>
        </w:rPr>
        <w:t xml:space="preserve"> a</w:t>
      </w:r>
      <w:r w:rsidR="002F1591" w:rsidRPr="002F1591">
        <w:rPr>
          <w:b/>
        </w:rPr>
        <w:t>ward</w:t>
      </w:r>
    </w:p>
    <w:p w14:paraId="20C738BA" w14:textId="2DF4C50E" w:rsidR="00E56F27" w:rsidRDefault="004617C9" w:rsidP="004617C9">
      <w:pPr>
        <w:pStyle w:val="MRNumberedHeading2"/>
      </w:pPr>
      <w:r>
        <w:t>Supplier Selection</w:t>
      </w:r>
      <w:r w:rsidR="008824CC">
        <w:t xml:space="preserve"> is subject to the formal approval process of the Authority. </w:t>
      </w:r>
      <w:bookmarkEnd w:id="54"/>
      <w:r>
        <w:t>T</w:t>
      </w:r>
      <w:r w:rsidRPr="004617C9">
        <w:t xml:space="preserve">he Trust </w:t>
      </w:r>
      <w:r>
        <w:t xml:space="preserve">will </w:t>
      </w:r>
      <w:r w:rsidRPr="004617C9">
        <w:t>selects up to five Contractors</w:t>
      </w:r>
      <w:r>
        <w:t xml:space="preserve">. </w:t>
      </w:r>
    </w:p>
    <w:p w14:paraId="54B15031" w14:textId="3F997489" w:rsidR="006661A5" w:rsidRDefault="008644BC" w:rsidP="004270D9">
      <w:pPr>
        <w:pStyle w:val="MRNumberedHeading2"/>
      </w:pPr>
      <w:bookmarkStart w:id="55" w:name="_Toc403555121"/>
      <w:bookmarkStart w:id="56" w:name="_Ref405452945"/>
      <w:r>
        <w:rPr>
          <w:noProof/>
        </w:rPr>
        <mc:AlternateContent>
          <mc:Choice Requires="wps">
            <w:drawing>
              <wp:anchor distT="0" distB="0" distL="114300" distR="114300" simplePos="0" relativeHeight="251650560" behindDoc="0" locked="0" layoutInCell="1" allowOverlap="1" wp14:anchorId="20C739C1" wp14:editId="6FFC26C6">
                <wp:simplePos x="0" y="0"/>
                <wp:positionH relativeFrom="column">
                  <wp:posOffset>5897880</wp:posOffset>
                </wp:positionH>
                <wp:positionV relativeFrom="paragraph">
                  <wp:posOffset>27388</wp:posOffset>
                </wp:positionV>
                <wp:extent cx="548005" cy="492760"/>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7" w:name="handtwoeighteen"/>
                          <w:bookmarkEnd w:id="57"/>
                          <w:p w14:paraId="20C73A1B" w14:textId="7D1E8121" w:rsidR="0009642C" w:rsidRPr="00DA07F4" w:rsidRDefault="0009642C"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14:paraId="20C73A1C" w14:textId="77777777" w:rsidR="0009642C" w:rsidRDefault="0009642C">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C739C1" id="Text Box 26" o:spid="_x0000_s1033" type="#_x0000_t202" style="position:absolute;left:0;text-align:left;margin-left:464.4pt;margin-top:2.15pt;width:43.15pt;height:38.8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" fillcolor="white [3201]" stroked="f" strokeweight=".5pt">
                <v:textbox>
                  <w:txbxContent>
                    <w:bookmarkStart w:id="58" w:name="handtwoeighteen"/>
                    <w:bookmarkEnd w:id="58"/>
                    <w:p w14:paraId="20C73A1B" w14:textId="7D1E8121" w:rsidR="0009642C" w:rsidRPr="00DA07F4" w:rsidRDefault="0009642C"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14:paraId="20C73A1C" w14:textId="77777777" w:rsidR="0009642C" w:rsidRDefault="0009642C">
                      <w:r>
                        <w:rPr>
                          <w:b/>
                          <w:color w:val="FF0000"/>
                          <w:sz w:val="44"/>
                          <w:szCs w:val="44"/>
                        </w:rPr>
                        <w:fldChar w:fldCharType="end"/>
                      </w:r>
                    </w:p>
                  </w:txbxContent>
                </v:textbox>
              </v:shape>
            </w:pict>
          </mc:Fallback>
        </mc:AlternateContent>
      </w:r>
      <w:r w:rsidR="008824CC">
        <w:t xml:space="preserve">Once the Authority has reached a decision in respect of </w:t>
      </w:r>
      <w:r w:rsidR="004617C9">
        <w:t>the supplier selelction</w:t>
      </w:r>
      <w:r w:rsidR="001065C5">
        <w:t>, it will notify all B</w:t>
      </w:r>
      <w:r w:rsidR="008824CC">
        <w:t xml:space="preserve">idders of that decision </w:t>
      </w:r>
      <w:r w:rsidR="00E56F27">
        <w:t>in accordance with the Public Contracts Regul</w:t>
      </w:r>
      <w:r w:rsidR="00CF5955">
        <w:t>ations 2015</w:t>
      </w:r>
      <w:r w:rsidR="004617C9">
        <w:t xml:space="preserve"> before inviting to stage 2 - ITT</w:t>
      </w:r>
      <w:r w:rsidR="008824CC">
        <w:t>.</w:t>
      </w:r>
      <w:bookmarkEnd w:id="55"/>
      <w:bookmarkEnd w:id="56"/>
    </w:p>
    <w:p w14:paraId="7D187C8A" w14:textId="5B00F85B" w:rsidR="004617C9" w:rsidRDefault="004617C9" w:rsidP="004617C9">
      <w:pPr>
        <w:pStyle w:val="MRNumberedHeading2"/>
      </w:pPr>
      <w:r>
        <w:t xml:space="preserve">When invited to stage 2 (ITT) - </w:t>
      </w:r>
      <w:r w:rsidRPr="004617C9">
        <w:t>Full tender documentation will be</w:t>
      </w:r>
      <w:r>
        <w:t xml:space="preserve"> </w:t>
      </w:r>
      <w:r w:rsidRPr="004617C9">
        <w:t>available for the five Contractors</w:t>
      </w:r>
      <w:r w:rsidR="00F816A5">
        <w:t>,</w:t>
      </w:r>
      <w:r w:rsidRPr="004617C9">
        <w:t xml:space="preserve"> on the Atamis e-portal.  The successful contractors will </w:t>
      </w:r>
      <w:r w:rsidR="002250FA">
        <w:t xml:space="preserve">then </w:t>
      </w:r>
      <w:r w:rsidRPr="004617C9">
        <w:t>be given up to six weeks to prepare their tender.</w:t>
      </w:r>
    </w:p>
    <w:p w14:paraId="20C738BB" w14:textId="7D0E6021" w:rsidR="004E71FF" w:rsidRDefault="004E71FF" w:rsidP="006661A5">
      <w:pPr>
        <w:pStyle w:val="MRNumberedHeading2"/>
        <w:numPr>
          <w:ilvl w:val="0"/>
          <w:numId w:val="0"/>
        </w:numPr>
      </w:pPr>
    </w:p>
    <w:p w14:paraId="2B8ACD9F" w14:textId="77777777" w:rsidR="004617C9" w:rsidRPr="005A2E47" w:rsidRDefault="004617C9" w:rsidP="006661A5">
      <w:pPr>
        <w:pStyle w:val="MRNumberedHeading2"/>
        <w:numPr>
          <w:ilvl w:val="0"/>
          <w:numId w:val="0"/>
        </w:numPr>
      </w:pPr>
    </w:p>
    <w:p w14:paraId="20C738BC"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59" w:name="_Toc403556503"/>
      <w:bookmarkStart w:id="60" w:name="_Toc403556508"/>
      <w:bookmarkStart w:id="61" w:name="_Toc406674971"/>
      <w:bookmarkStart w:id="62" w:name="_Toc412621213"/>
      <w:bookmarkStart w:id="63" w:name="_Toc412715223"/>
      <w:r w:rsidRPr="008F3D2C">
        <w:rPr>
          <w:sz w:val="20"/>
          <w:szCs w:val="20"/>
        </w:rPr>
        <w:lastRenderedPageBreak/>
        <w:t xml:space="preserve">INSTRUCTIONS TO </w:t>
      </w:r>
      <w:r w:rsidR="00E7163F" w:rsidRPr="008F3D2C">
        <w:rPr>
          <w:sz w:val="20"/>
          <w:szCs w:val="20"/>
        </w:rPr>
        <w:t>BIDDERS</w:t>
      </w:r>
      <w:bookmarkEnd w:id="59"/>
      <w:bookmarkEnd w:id="60"/>
      <w:bookmarkEnd w:id="61"/>
      <w:bookmarkEnd w:id="62"/>
      <w:bookmarkEnd w:id="63"/>
      <w:r w:rsidRPr="008F3D2C">
        <w:rPr>
          <w:sz w:val="20"/>
          <w:szCs w:val="20"/>
        </w:rPr>
        <w:t xml:space="preserve"> </w:t>
      </w:r>
    </w:p>
    <w:p w14:paraId="76552670" w14:textId="2D37C1DB" w:rsidR="009274BB" w:rsidRPr="00134D04" w:rsidRDefault="009274BB" w:rsidP="009274BB">
      <w:pPr>
        <w:pStyle w:val="MRNumberedHeading2"/>
        <w:numPr>
          <w:ilvl w:val="0"/>
          <w:numId w:val="0"/>
        </w:numPr>
        <w:ind w:left="851"/>
        <w:rPr>
          <w:b/>
        </w:rPr>
      </w:pPr>
      <w:bookmarkStart w:id="64" w:name="_Toc403555124"/>
      <w:bookmarkStart w:id="65" w:name="_Toc403556504"/>
      <w:bookmarkStart w:id="66" w:name="_Toc403556509"/>
      <w:bookmarkStart w:id="67" w:name="_Toc406674972"/>
      <w:bookmarkStart w:id="68" w:name="_Toc412621214"/>
      <w:bookmarkStart w:id="69" w:name="_Toc412715224"/>
      <w:r w:rsidRPr="00134D04">
        <w:rPr>
          <w:b/>
        </w:rPr>
        <w:t>Eligibility Questions</w:t>
      </w:r>
      <w:r w:rsidR="005A2D2A">
        <w:rPr>
          <w:b/>
        </w:rPr>
        <w:t xml:space="preserve"> (Qualification Envelope – Atamis portal) </w:t>
      </w:r>
      <w:r w:rsidR="005A2D2A" w:rsidRPr="00134D04">
        <w:rPr>
          <w:b/>
        </w:rPr>
        <w:t>and</w:t>
      </w:r>
      <w:r w:rsidRPr="00134D04">
        <w:rPr>
          <w:b/>
        </w:rPr>
        <w:t xml:space="preserve"> Responses</w:t>
      </w:r>
    </w:p>
    <w:p w14:paraId="3BB089DA" w14:textId="77777777" w:rsidR="009274BB" w:rsidRPr="00134D04" w:rsidRDefault="009274BB" w:rsidP="009274BB">
      <w:pPr>
        <w:pStyle w:val="MRNumberedHeading2"/>
      </w:pPr>
      <w:bookmarkStart w:id="70" w:name="_Ref478473516"/>
      <w:r>
        <w:t>The Eligibility Questions is a self-declaration, made b</w:t>
      </w:r>
      <w:r w:rsidRPr="00134D04">
        <w:rPr>
          <w:b/>
          <w:noProof/>
        </w:rPr>
        <mc:AlternateContent>
          <mc:Choice Requires="wps">
            <w:drawing>
              <wp:anchor distT="0" distB="0" distL="114300" distR="114300" simplePos="0" relativeHeight="251664896" behindDoc="0" locked="0" layoutInCell="1" allowOverlap="1" wp14:anchorId="71F85FCE" wp14:editId="60805F90">
                <wp:simplePos x="0" y="0"/>
                <wp:positionH relativeFrom="column">
                  <wp:posOffset>6022975</wp:posOffset>
                </wp:positionH>
                <wp:positionV relativeFrom="paragraph">
                  <wp:posOffset>85090</wp:posOffset>
                </wp:positionV>
                <wp:extent cx="415925" cy="533400"/>
                <wp:effectExtent l="3175" t="3175"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96CE" w14:textId="77777777" w:rsidR="0009642C" w:rsidRDefault="0009642C" w:rsidP="009274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F85FCE" id="Text Box 292" o:spid="_x0000_s1034" type="#_x0000_t202" style="position:absolute;left:0;text-align:left;margin-left:474.25pt;margin-top:6.7pt;width:32.7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MUiAIAABk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" stroked="f">
                <v:textbox>
                  <w:txbxContent>
                    <w:p w14:paraId="76C796CE" w14:textId="77777777" w:rsidR="0009642C" w:rsidRDefault="0009642C" w:rsidP="009274BB"/>
                  </w:txbxContent>
                </v:textbox>
              </v:shape>
            </w:pict>
          </mc:Fallback>
        </mc:AlternateContent>
      </w:r>
      <w:r>
        <w:t>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70"/>
    </w:p>
    <w:p w14:paraId="7EA55113" w14:textId="1968E7F8" w:rsidR="009274BB" w:rsidRDefault="005A2D2A" w:rsidP="009274BB">
      <w:pPr>
        <w:pStyle w:val="MRNumberedHeading2"/>
      </w:pPr>
      <w:r>
        <w:t xml:space="preserve">A completed declaration of </w:t>
      </w:r>
      <w:r w:rsidR="009274BB">
        <w:t>the Eligibility Questions</w:t>
      </w:r>
      <w:r w:rsidR="009274BB" w:rsidRPr="00134D04">
        <w:t xml:space="preserve"> provides a formal statement that the organisation making the declaration has not breached any of the exclusions grounds. </w:t>
      </w:r>
      <w:r w:rsidRPr="00134D04">
        <w:t>Consequently,</w:t>
      </w:r>
      <w:r w:rsidR="009274BB" w:rsidRPr="00134D04">
        <w:t xml:space="preserve"> we require all the organisations that you will rely on to meet the selection criteria to provide a completed </w:t>
      </w:r>
      <w:r w:rsidR="009274BB">
        <w:t>Eligibility Questions</w:t>
      </w:r>
      <w:r w:rsidR="009274BB" w:rsidRPr="00134D04">
        <w:t xml:space="preserve">. For </w:t>
      </w:r>
      <w:r w:rsidRPr="00134D04">
        <w:t>example,</w:t>
      </w:r>
      <w:r w:rsidR="009274BB" w:rsidRPr="00134D04">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72440C9" w14:textId="725C3A18" w:rsidR="009274BB" w:rsidRPr="00134D04" w:rsidRDefault="009274BB" w:rsidP="009274BB">
      <w:pPr>
        <w:pStyle w:val="Normal1"/>
        <w:spacing w:before="240"/>
        <w:ind w:left="851"/>
        <w:jc w:val="both"/>
        <w:rPr>
          <w:sz w:val="20"/>
          <w:szCs w:val="20"/>
          <w:u w:val="single"/>
        </w:rPr>
      </w:pPr>
      <w:r w:rsidRPr="00134D04">
        <w:rPr>
          <w:rFonts w:ascii="Arial" w:eastAsia="Arial" w:hAnsi="Arial" w:cs="Arial"/>
          <w:sz w:val="20"/>
          <w:szCs w:val="20"/>
          <w:u w:val="single"/>
        </w:rPr>
        <w:t xml:space="preserve">Supplier Selection Questions: </w:t>
      </w:r>
    </w:p>
    <w:p w14:paraId="34D634AA"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8AF28D7"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Pr>
          <w:rFonts w:ascii="Arial" w:eastAsia="Arial" w:hAnsi="Arial" w:cs="Arial"/>
          <w:sz w:val="20"/>
          <w:szCs w:val="20"/>
        </w:rPr>
        <w:t>ary evidence referred to 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12BE73BC" w14:textId="77777777" w:rsidR="009274BB" w:rsidRPr="00134D04" w:rsidRDefault="009274BB" w:rsidP="009274BB">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2F6AAC8B"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2A6A21A5" w14:textId="77777777" w:rsidR="009274BB" w:rsidRDefault="009274BB" w:rsidP="009274BB">
      <w:pPr>
        <w:pStyle w:val="Normal1"/>
        <w:spacing w:before="240"/>
        <w:ind w:left="851" w:right="11"/>
        <w:jc w:val="both"/>
        <w:rPr>
          <w:sz w:val="20"/>
          <w:szCs w:val="20"/>
        </w:rPr>
      </w:pPr>
      <w:r w:rsidRPr="00134D04">
        <w:rPr>
          <w:rFonts w:ascii="Arial" w:eastAsia="Arial" w:hAnsi="Arial" w:cs="Arial"/>
          <w:sz w:val="20"/>
          <w:szCs w:val="20"/>
          <w:u w:val="single"/>
        </w:rPr>
        <w:t>Notes for completi</w:t>
      </w:r>
      <w:r>
        <w:rPr>
          <w:rFonts w:ascii="Arial" w:eastAsia="Arial" w:hAnsi="Arial" w:cs="Arial"/>
          <w:sz w:val="20"/>
          <w:szCs w:val="20"/>
          <w:u w:val="single"/>
        </w:rPr>
        <w:t>ng the Eligibility Questions</w:t>
      </w:r>
    </w:p>
    <w:p w14:paraId="449985EA"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B34D14"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9A0E7C3" w14:textId="02BC301E"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lastRenderedPageBreak/>
        <w:t xml:space="preserve">The Authority recognises that arrangements set out in section </w:t>
      </w:r>
      <w:r>
        <w:rPr>
          <w:rFonts w:ascii="Arial" w:eastAsia="Arial" w:hAnsi="Arial" w:cs="Arial"/>
          <w:sz w:val="20"/>
          <w:szCs w:val="20"/>
        </w:rPr>
        <w:t>of the Eligibility Questions</w:t>
      </w:r>
      <w:r w:rsidRPr="00134D04">
        <w:rPr>
          <w:rFonts w:ascii="Arial" w:eastAsia="Arial" w:hAnsi="Arial" w:cs="Arial"/>
          <w:sz w:val="20"/>
          <w:szCs w:val="20"/>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00A57B30">
        <w:rPr>
          <w:rFonts w:ascii="Arial" w:eastAsia="Arial" w:hAnsi="Arial" w:cs="Arial"/>
          <w:sz w:val="20"/>
          <w:szCs w:val="20"/>
        </w:rPr>
        <w:t>set</w:t>
      </w:r>
      <w:r>
        <w:rPr>
          <w:rFonts w:ascii="Arial" w:eastAsia="Arial" w:hAnsi="Arial" w:cs="Arial"/>
          <w:sz w:val="20"/>
          <w:szCs w:val="20"/>
        </w:rPr>
        <w:t xml:space="preserve"> of 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7CE7E21A" w14:textId="405C7413"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i/>
          <w:noProof/>
          <w:sz w:val="20"/>
          <w:szCs w:val="20"/>
          <w:lang w:eastAsia="en-GB"/>
        </w:rPr>
        <mc:AlternateContent>
          <mc:Choice Requires="wps">
            <w:drawing>
              <wp:anchor distT="0" distB="0" distL="114300" distR="114300" simplePos="0" relativeHeight="251665920" behindDoc="0" locked="0" layoutInCell="1" allowOverlap="1" wp14:anchorId="37DF0FB9" wp14:editId="036B0214">
                <wp:simplePos x="0" y="0"/>
                <wp:positionH relativeFrom="column">
                  <wp:posOffset>5882005</wp:posOffset>
                </wp:positionH>
                <wp:positionV relativeFrom="paragraph">
                  <wp:posOffset>414020</wp:posOffset>
                </wp:positionV>
                <wp:extent cx="578485" cy="4476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15924" w14:textId="77777777" w:rsidR="0009642C" w:rsidRDefault="0009642C" w:rsidP="009274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F0FB9" id="Text Box 293" o:spid="_x0000_s1035" type="#_x0000_t202" style="position:absolute;left:0;text-align:left;margin-left:463.15pt;margin-top:32.6pt;width:45.55pt;height:3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" stroked="f">
                <v:textbox>
                  <w:txbxContent>
                    <w:p w14:paraId="61F15924" w14:textId="77777777" w:rsidR="0009642C" w:rsidRDefault="0009642C" w:rsidP="009274BB"/>
                  </w:txbxContent>
                </v:textbox>
              </v:shape>
            </w:pict>
          </mc:Fallback>
        </mc:AlternateContent>
      </w:r>
      <w:r w:rsidRPr="00134D04">
        <w:rPr>
          <w:rFonts w:ascii="Arial" w:eastAsia="Arial" w:hAnsi="Arial" w:cs="Arial"/>
          <w:sz w:val="20"/>
          <w:szCs w:val="20"/>
        </w:rPr>
        <w:t xml:space="preserve">For </w:t>
      </w:r>
      <w:r>
        <w:rPr>
          <w:rFonts w:ascii="Arial" w:eastAsia="Arial" w:hAnsi="Arial" w:cs="Arial"/>
          <w:sz w:val="20"/>
          <w:szCs w:val="20"/>
        </w:rPr>
        <w:t xml:space="preserve">the Eligibility Questions </w:t>
      </w:r>
      <w:r w:rsidR="00A57B30">
        <w:rPr>
          <w:rFonts w:ascii="Arial" w:eastAsia="Arial" w:hAnsi="Arial" w:cs="Arial"/>
          <w:sz w:val="20"/>
          <w:szCs w:val="20"/>
        </w:rPr>
        <w:t xml:space="preserve">(Qualification Envelope) </w:t>
      </w:r>
      <w:r w:rsidRPr="00134D04">
        <w:rPr>
          <w:rFonts w:ascii="Arial" w:eastAsia="Arial" w:hAnsi="Arial" w:cs="Arial"/>
          <w:sz w:val="20"/>
          <w:szCs w:val="20"/>
        </w:rPr>
        <w:t xml:space="preserve">every organisation that is being relied on to meet the selection must complete and submit the self-declaration. </w:t>
      </w:r>
    </w:p>
    <w:p w14:paraId="66D9FD79" w14:textId="5360F8D0" w:rsidR="009274BB" w:rsidRPr="00AF015C" w:rsidRDefault="009274BB" w:rsidP="009274BB">
      <w:pPr>
        <w:pStyle w:val="Normal1"/>
        <w:numPr>
          <w:ilvl w:val="1"/>
          <w:numId w:val="24"/>
        </w:numPr>
        <w:tabs>
          <w:tab w:val="clear" w:pos="720"/>
          <w:tab w:val="num" w:pos="851"/>
        </w:tabs>
        <w:spacing w:before="240"/>
        <w:ind w:left="851" w:right="11" w:hanging="851"/>
        <w:jc w:val="both"/>
        <w:rPr>
          <w:rFonts w:ascii="Arial" w:hAnsi="Arial" w:cs="Arial"/>
          <w:sz w:val="20"/>
          <w:szCs w:val="20"/>
        </w:rPr>
      </w:pPr>
      <w:bookmarkStart w:id="71" w:name="_Ref478473788"/>
      <w:r w:rsidRPr="00AF015C">
        <w:rPr>
          <w:rFonts w:ascii="Arial" w:hAnsi="Arial" w:cs="Arial"/>
          <w:sz w:val="20"/>
          <w:szCs w:val="20"/>
        </w:rPr>
        <w:t>All sub-contractors are required to complete the Eligibility Questions</w:t>
      </w:r>
      <w:r w:rsidR="00A57B30">
        <w:rPr>
          <w:rFonts w:ascii="Arial" w:hAnsi="Arial" w:cs="Arial"/>
          <w:sz w:val="20"/>
          <w:szCs w:val="20"/>
        </w:rPr>
        <w:t xml:space="preserve"> (Qualification Envelope)</w:t>
      </w:r>
      <w:r w:rsidRPr="00AF015C">
        <w:rPr>
          <w:rFonts w:ascii="Arial" w:eastAsia="Arial" w:hAnsi="Arial" w:cs="Arial"/>
          <w:i/>
          <w:sz w:val="20"/>
          <w:szCs w:val="20"/>
        </w:rPr>
        <w:t>.</w:t>
      </w:r>
      <w:bookmarkEnd w:id="71"/>
      <w:r w:rsidRPr="00AF015C">
        <w:rPr>
          <w:rFonts w:ascii="Arial" w:eastAsia="Arial" w:hAnsi="Arial" w:cs="Arial"/>
          <w:i/>
          <w:sz w:val="20"/>
          <w:szCs w:val="20"/>
        </w:rPr>
        <w:t xml:space="preserve"> </w:t>
      </w:r>
    </w:p>
    <w:p w14:paraId="53DDF8E0" w14:textId="64CFFB5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For answers to </w:t>
      </w:r>
      <w:r w:rsidR="00A57B30">
        <w:rPr>
          <w:rFonts w:ascii="Arial" w:eastAsia="Arial" w:hAnsi="Arial" w:cs="Arial"/>
          <w:sz w:val="20"/>
          <w:szCs w:val="20"/>
        </w:rPr>
        <w:t>Supplier Selection</w:t>
      </w:r>
      <w:r>
        <w:rPr>
          <w:rFonts w:ascii="Arial" w:eastAsia="Arial" w:hAnsi="Arial" w:cs="Arial"/>
          <w:sz w:val="20"/>
          <w:szCs w:val="20"/>
        </w:rPr>
        <w:t xml:space="preserve">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05A19520" w14:textId="77777777" w:rsidR="009274BB" w:rsidRDefault="009274BB" w:rsidP="009274BB">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72" w:name="_Toc403555122"/>
      <w:r>
        <w:rPr>
          <w:rFonts w:ascii="Arial" w:eastAsia="Arial" w:hAnsi="Arial" w:cs="Arial"/>
          <w:sz w:val="20"/>
          <w:szCs w:val="20"/>
        </w:rPr>
        <w:t>sure</w:t>
      </w:r>
    </w:p>
    <w:p w14:paraId="22E2A7BF" w14:textId="77777777" w:rsidR="009274BB" w:rsidRPr="00C21DD3" w:rsidRDefault="009274BB" w:rsidP="009274BB">
      <w:pPr>
        <w:pStyle w:val="Normal1"/>
        <w:spacing w:before="240"/>
        <w:ind w:left="851" w:right="11"/>
        <w:jc w:val="both"/>
        <w:rPr>
          <w:sz w:val="20"/>
          <w:szCs w:val="20"/>
        </w:rPr>
      </w:pPr>
      <w:r w:rsidRPr="00C21DD3">
        <w:rPr>
          <w:rFonts w:ascii="Arial" w:hAnsi="Arial" w:cs="Arial"/>
          <w:b/>
          <w:sz w:val="20"/>
          <w:szCs w:val="20"/>
        </w:rPr>
        <w:t xml:space="preserve">Formalities for submission of </w:t>
      </w:r>
      <w:r>
        <w:rPr>
          <w:rFonts w:ascii="Arial" w:hAnsi="Arial" w:cs="Arial"/>
          <w:b/>
          <w:sz w:val="20"/>
          <w:szCs w:val="20"/>
        </w:rPr>
        <w:t>Eligibility Questions (Qualification Envelope)</w:t>
      </w:r>
    </w:p>
    <w:p w14:paraId="6C4A09EC" w14:textId="77777777" w:rsidR="009274BB" w:rsidRPr="00BC4757" w:rsidRDefault="009274BB" w:rsidP="009274BB">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73" w:name="_Ref478473938"/>
      <w:r w:rsidRPr="00BC4757">
        <w:rPr>
          <w:rFonts w:eastAsia="Arial" w:cs="Arial"/>
          <w:noProof/>
          <w:color w:val="000000"/>
          <w:szCs w:val="20"/>
        </w:rPr>
        <mc:AlternateContent>
          <mc:Choice Requires="wps">
            <w:drawing>
              <wp:anchor distT="0" distB="0" distL="114300" distR="114300" simplePos="0" relativeHeight="251667968" behindDoc="0" locked="0" layoutInCell="1" allowOverlap="1" wp14:anchorId="3B3B72E3" wp14:editId="72B33C16">
                <wp:simplePos x="0" y="0"/>
                <wp:positionH relativeFrom="column">
                  <wp:posOffset>5882005</wp:posOffset>
                </wp:positionH>
                <wp:positionV relativeFrom="paragraph">
                  <wp:posOffset>278765</wp:posOffset>
                </wp:positionV>
                <wp:extent cx="578485" cy="4476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5A11C" w14:textId="77777777" w:rsidR="0009642C" w:rsidRDefault="0009642C" w:rsidP="009274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B72E3" id="Text Box 298" o:spid="_x0000_s1036" type="#_x0000_t202" style="position:absolute;left:0;text-align:left;margin-left:463.15pt;margin-top:21.95pt;width:45.55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" stroked="f">
                <v:textbox>
                  <w:txbxContent>
                    <w:p w14:paraId="02F5A11C" w14:textId="77777777" w:rsidR="0009642C" w:rsidRDefault="0009642C" w:rsidP="009274BB"/>
                  </w:txbxContent>
                </v:textbox>
              </v:shape>
            </w:pict>
          </mc:Fallback>
        </mc:AlternateContent>
      </w:r>
      <w:r>
        <w:rPr>
          <w:rFonts w:eastAsia="Arial" w:cs="Arial"/>
          <w:color w:val="000000"/>
          <w:szCs w:val="20"/>
          <w:lang w:eastAsia="en-US"/>
        </w:rPr>
        <w:t xml:space="preserve"> </w:t>
      </w:r>
      <w:r w:rsidRPr="00BC4757">
        <w:rPr>
          <w:rFonts w:eastAsia="Arial" w:cs="Arial"/>
          <w:color w:val="000000"/>
          <w:szCs w:val="20"/>
          <w:lang w:eastAsia="en-US"/>
        </w:rPr>
        <w:t>The Eligibility Questions are structured in three separate parts:</w:t>
      </w:r>
      <w:bookmarkEnd w:id="73"/>
    </w:p>
    <w:p w14:paraId="6F6BA422" w14:textId="77777777" w:rsidR="009274BB" w:rsidRPr="00BC4757" w:rsidRDefault="009274BB" w:rsidP="009274BB">
      <w:pPr>
        <w:pStyle w:val="MRNumberedHeading2"/>
        <w:numPr>
          <w:ilvl w:val="2"/>
          <w:numId w:val="24"/>
        </w:numPr>
        <w:shd w:val="clear" w:color="auto" w:fill="FFFFFF"/>
        <w:tabs>
          <w:tab w:val="clear" w:pos="2215"/>
          <w:tab w:val="num" w:pos="1931"/>
        </w:tabs>
        <w:ind w:left="1931"/>
        <w:rPr>
          <w:rFonts w:eastAsia="Arial" w:cs="Arial"/>
          <w:color w:val="000000"/>
          <w:szCs w:val="20"/>
          <w:lang w:eastAsia="en-US"/>
        </w:rPr>
      </w:pPr>
      <w:bookmarkStart w:id="74" w:name="_Ref478474329"/>
      <w:r w:rsidRPr="00BC4757">
        <w:rPr>
          <w:rFonts w:eastAsia="Arial" w:cs="Arial"/>
          <w:color w:val="000000"/>
          <w:szCs w:val="20"/>
          <w:lang w:eastAsia="en-US"/>
        </w:rPr>
        <w:t>Part 1: Basic information about the Bidder, including contact details, details of parent companies and group bidding;</w:t>
      </w:r>
      <w:bookmarkEnd w:id="74"/>
    </w:p>
    <w:p w14:paraId="0F84A0DE" w14:textId="77777777" w:rsidR="009274BB" w:rsidRPr="00BC4757" w:rsidRDefault="009274BB" w:rsidP="009274BB">
      <w:pPr>
        <w:pStyle w:val="MRNumberedHeading2"/>
        <w:numPr>
          <w:ilvl w:val="2"/>
          <w:numId w:val="24"/>
        </w:numPr>
        <w:shd w:val="clear" w:color="auto" w:fill="FFFFFF"/>
        <w:tabs>
          <w:tab w:val="clear" w:pos="2215"/>
          <w:tab w:val="num" w:pos="1931"/>
        </w:tabs>
        <w:ind w:left="1931"/>
        <w:rPr>
          <w:rFonts w:eastAsia="Arial" w:cs="Arial"/>
          <w:color w:val="000000"/>
          <w:szCs w:val="20"/>
          <w:lang w:eastAsia="en-US"/>
        </w:rPr>
      </w:pPr>
      <w:r w:rsidRPr="00BC4757">
        <w:rPr>
          <w:rFonts w:eastAsia="Arial" w:cs="Arial"/>
          <w:color w:val="000000"/>
          <w:szCs w:val="20"/>
          <w:lang w:eastAsia="en-US"/>
        </w:rPr>
        <w:t>Part 2: Self-declaration regarding whether or not any of the mandatory or discretionary exclusion grounds apply; and</w:t>
      </w:r>
    </w:p>
    <w:p w14:paraId="6E1C2981" w14:textId="77777777" w:rsidR="009274BB" w:rsidRPr="00BC4757" w:rsidRDefault="009274BB" w:rsidP="009274BB">
      <w:pPr>
        <w:pStyle w:val="MRNumberedHeading2"/>
        <w:numPr>
          <w:ilvl w:val="2"/>
          <w:numId w:val="24"/>
        </w:numPr>
        <w:shd w:val="clear" w:color="auto" w:fill="FFFFFF"/>
        <w:tabs>
          <w:tab w:val="clear" w:pos="2215"/>
          <w:tab w:val="num" w:pos="1931"/>
        </w:tabs>
        <w:ind w:left="1931"/>
        <w:rPr>
          <w:rFonts w:eastAsia="Arial" w:cs="Arial"/>
          <w:color w:val="000000"/>
          <w:szCs w:val="20"/>
          <w:lang w:eastAsia="en-US"/>
        </w:rPr>
      </w:pPr>
      <w:r>
        <w:rPr>
          <w:i/>
          <w:noProof/>
          <w:szCs w:val="20"/>
        </w:rPr>
        <mc:AlternateContent>
          <mc:Choice Requires="wps">
            <w:drawing>
              <wp:anchor distT="0" distB="0" distL="114300" distR="114300" simplePos="0" relativeHeight="251666944" behindDoc="0" locked="0" layoutInCell="1" allowOverlap="1" wp14:anchorId="61151F16" wp14:editId="02567C04">
                <wp:simplePos x="0" y="0"/>
                <wp:positionH relativeFrom="column">
                  <wp:posOffset>5880735</wp:posOffset>
                </wp:positionH>
                <wp:positionV relativeFrom="paragraph">
                  <wp:posOffset>417195</wp:posOffset>
                </wp:positionV>
                <wp:extent cx="578485" cy="4476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25949" w14:textId="77777777" w:rsidR="0009642C" w:rsidRDefault="0009642C" w:rsidP="009274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51F16" id="Text Box 297" o:spid="_x0000_s1037" type="#_x0000_t202" style="position:absolute;left:0;text-align:left;margin-left:463.05pt;margin-top:32.85pt;width:45.55pt;height:3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" stroked="f">
                <v:textbox>
                  <w:txbxContent>
                    <w:p w14:paraId="24325949" w14:textId="77777777" w:rsidR="0009642C" w:rsidRDefault="0009642C" w:rsidP="009274BB"/>
                  </w:txbxContent>
                </v:textbox>
              </v:shape>
            </w:pict>
          </mc:Fallback>
        </mc:AlternateContent>
      </w:r>
      <w:r w:rsidRPr="00BC4757">
        <w:rPr>
          <w:rFonts w:eastAsia="Arial" w:cs="Arial"/>
          <w:color w:val="000000"/>
          <w:szCs w:val="20"/>
          <w:lang w:eastAsia="en-US"/>
        </w:rPr>
        <w:t xml:space="preserve">Part 3: Self-declaration regarding whether or not you meet the selection criteria in respect of your financial standing and technical capacity.  </w:t>
      </w:r>
    </w:p>
    <w:p w14:paraId="4971374B" w14:textId="77777777" w:rsidR="009274BB" w:rsidRPr="00AF015C" w:rsidRDefault="009274BB" w:rsidP="009274BB">
      <w:pPr>
        <w:pStyle w:val="MRNumberedHeading2"/>
        <w:numPr>
          <w:ilvl w:val="1"/>
          <w:numId w:val="24"/>
        </w:numPr>
        <w:shd w:val="clear" w:color="auto" w:fill="FFFFFF"/>
        <w:tabs>
          <w:tab w:val="clear" w:pos="720"/>
          <w:tab w:val="num" w:pos="851"/>
        </w:tabs>
        <w:ind w:left="851" w:hanging="851"/>
        <w:rPr>
          <w:i/>
          <w:color w:val="000000"/>
          <w:szCs w:val="20"/>
          <w:shd w:val="clear" w:color="auto" w:fill="FFFF66"/>
        </w:rPr>
      </w:pPr>
      <w:bookmarkStart w:id="75" w:name="_Ref478634063"/>
      <w:r w:rsidRPr="00AF015C">
        <w:t>Bidders must log onto the e-Tendering portal in order to complete the eligibility questions.</w:t>
      </w:r>
      <w:r w:rsidRPr="002E35EB">
        <w:rPr>
          <w:i/>
          <w:color w:val="000000"/>
          <w:szCs w:val="20"/>
          <w:shd w:val="clear" w:color="auto" w:fill="FFFF66"/>
        </w:rPr>
        <w:t xml:space="preserve"> </w:t>
      </w:r>
      <w:bookmarkEnd w:id="75"/>
      <w:r w:rsidRPr="00AF015C">
        <w:rPr>
          <w:i/>
          <w:color w:val="000000"/>
          <w:szCs w:val="20"/>
          <w:shd w:val="clear" w:color="auto" w:fill="FFFF66"/>
        </w:rPr>
        <w:t xml:space="preserve"> </w:t>
      </w:r>
    </w:p>
    <w:p w14:paraId="176314C9" w14:textId="77777777" w:rsidR="009274BB" w:rsidRPr="00C21DD3" w:rsidRDefault="009274BB" w:rsidP="009274BB">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Pr="00134D04">
        <w:rPr>
          <w:rFonts w:ascii="Arial" w:hAnsi="Arial" w:cs="Arial"/>
          <w:b/>
          <w:sz w:val="20"/>
          <w:szCs w:val="20"/>
        </w:rPr>
        <w:t>Formalities for submission of Tender</w:t>
      </w:r>
      <w:bookmarkEnd w:id="72"/>
      <w:r w:rsidRPr="00134D04">
        <w:rPr>
          <w:rFonts w:ascii="Arial" w:hAnsi="Arial" w:cs="Arial"/>
          <w:b/>
          <w:sz w:val="20"/>
          <w:szCs w:val="20"/>
        </w:rPr>
        <w:t xml:space="preserve">s </w:t>
      </w:r>
      <w:bookmarkStart w:id="76" w:name="_Toc403555123"/>
      <w:bookmarkStart w:id="77" w:name="_Ref405452954"/>
      <w:r>
        <w:rPr>
          <w:rFonts w:ascii="Arial" w:hAnsi="Arial" w:cs="Arial"/>
          <w:b/>
          <w:sz w:val="20"/>
          <w:szCs w:val="20"/>
        </w:rPr>
        <w:t>(including the Eligibility Questions)</w:t>
      </w:r>
    </w:p>
    <w:p w14:paraId="4F212302" w14:textId="28212A79" w:rsidR="009274BB" w:rsidRPr="00696A84" w:rsidRDefault="009274BB" w:rsidP="009274BB">
      <w:pPr>
        <w:pStyle w:val="MRNumberedHeading2"/>
        <w:numPr>
          <w:ilvl w:val="1"/>
          <w:numId w:val="24"/>
        </w:numPr>
        <w:tabs>
          <w:tab w:val="clear" w:pos="720"/>
          <w:tab w:val="num" w:pos="851"/>
        </w:tabs>
        <w:ind w:right="11"/>
        <w:rPr>
          <w:b/>
          <w:szCs w:val="20"/>
        </w:rPr>
      </w:pPr>
      <w:r w:rsidRPr="00696A84">
        <w:rPr>
          <w:rFonts w:cs="Arial"/>
          <w:szCs w:val="20"/>
        </w:rPr>
        <w:t xml:space="preserve">Bidders must complete and submit the Annexes to Section B of the </w:t>
      </w:r>
      <w:r w:rsidR="00A57B30">
        <w:rPr>
          <w:rFonts w:cs="Arial"/>
          <w:szCs w:val="20"/>
        </w:rPr>
        <w:t>PQQ</w:t>
      </w:r>
      <w:r w:rsidRPr="00696A84">
        <w:rPr>
          <w:rFonts w:cs="Arial"/>
          <w:szCs w:val="20"/>
        </w:rPr>
        <w:t>. The Annexes must be submitted using the e-Tendering Portal. Bidders should ensure that they</w:t>
      </w:r>
      <w:r w:rsidRPr="00696A84">
        <w:rPr>
          <w:rFonts w:cs="Arial"/>
          <w:b/>
          <w:szCs w:val="20"/>
        </w:rPr>
        <w:t xml:space="preserve"> allow plenty of time to upload the Annexes</w:t>
      </w:r>
      <w:r w:rsidRPr="00696A84">
        <w:rPr>
          <w:rFonts w:cs="Arial"/>
          <w:szCs w:val="20"/>
        </w:rPr>
        <w:t xml:space="preserve">, particularly where there are large documents.  If Bidders have any problems with the e-Tendering Portal, they should contact the helpdesk on </w:t>
      </w:r>
      <w:r w:rsidRPr="00696A84">
        <w:rPr>
          <w:rFonts w:cs="Arial"/>
          <w:color w:val="000000"/>
          <w:szCs w:val="20"/>
          <w:lang w:eastAsia="en-US"/>
        </w:rPr>
        <w:t xml:space="preserve">029 2279 0052 or via email </w:t>
      </w:r>
      <w:hyperlink r:id="rId14" w:history="1">
        <w:r w:rsidRPr="00E559CC">
          <w:rPr>
            <w:rStyle w:val="Hyperlink"/>
            <w:rFonts w:cs="Arial"/>
            <w:szCs w:val="20"/>
            <w:lang w:eastAsia="en-US"/>
          </w:rPr>
          <w:t>support-health@atamis.co.uk</w:t>
        </w:r>
      </w:hyperlink>
      <w:r w:rsidRPr="00696A84">
        <w:rPr>
          <w:rFonts w:cs="Arial"/>
          <w:color w:val="000000"/>
          <w:szCs w:val="20"/>
          <w:lang w:eastAsia="en-US"/>
        </w:rPr>
        <w:t xml:space="preserve"> ;  </w:t>
      </w:r>
      <w:hyperlink r:id="rId15" w:history="1">
        <w:r w:rsidRPr="00696A84">
          <w:rPr>
            <w:rStyle w:val="Hyperlink"/>
            <w:rFonts w:cs="Arial"/>
            <w:szCs w:val="20"/>
            <w:lang w:eastAsia="en-US"/>
          </w:rPr>
          <w:t>info@atamis.co.uk</w:t>
        </w:r>
      </w:hyperlink>
      <w:r w:rsidRPr="00696A84">
        <w:rPr>
          <w:b/>
          <w:szCs w:val="20"/>
        </w:rPr>
        <w:t xml:space="preserve"> . </w:t>
      </w:r>
      <w:r w:rsidRPr="00696A84">
        <w:rPr>
          <w:rFonts w:cs="Arial"/>
          <w:szCs w:val="20"/>
        </w:rPr>
        <w:t xml:space="preserve">The helpline is open Monday to Friday between 9am and 4pm excluding public and bank holidays.  As noted above, any </w:t>
      </w:r>
      <w:r w:rsidRPr="00696A84">
        <w:rPr>
          <w:rFonts w:cs="Arial"/>
          <w:b/>
          <w:szCs w:val="20"/>
        </w:rPr>
        <w:t>Tender responses received after the deadline may not be considered</w:t>
      </w:r>
      <w:r w:rsidRPr="00696A84">
        <w:rPr>
          <w:b/>
        </w:rPr>
        <w:t>.</w:t>
      </w:r>
      <w:bookmarkEnd w:id="76"/>
      <w:bookmarkEnd w:id="77"/>
    </w:p>
    <w:p w14:paraId="4548E236" w14:textId="77777777" w:rsidR="009274BB" w:rsidRDefault="009274BB" w:rsidP="009274BB">
      <w:pPr>
        <w:pStyle w:val="MRNumberedHeading2"/>
      </w:pPr>
      <w:r>
        <w:t>The maximum file size for uploading documents is 50</w:t>
      </w:r>
      <w:r w:rsidRPr="00755B93">
        <w:t>Mb</w:t>
      </w:r>
      <w:r>
        <w:t>.  You should split your Tender into small enough file sizes to upload.  Note: the Authority does not guarantee that you will be able to upload files up to the maximum size, particularly at busy times.  For this reason it is recommended that Bidders should ensure files are well below the maximum stated and allow plenty of time to upload, so they have enough time to resolve any technical difficulties before the deadline.</w:t>
      </w:r>
      <w:bookmarkEnd w:id="64"/>
    </w:p>
    <w:p w14:paraId="181B0D55" w14:textId="77777777" w:rsidR="009274BB" w:rsidRPr="00296E12" w:rsidRDefault="009274BB" w:rsidP="009274BB">
      <w:pPr>
        <w:pStyle w:val="MRNumberedHeading2"/>
        <w:rPr>
          <w:shd w:val="clear" w:color="auto" w:fill="FFFF66"/>
        </w:rPr>
      </w:pPr>
      <w:bookmarkStart w:id="78" w:name="_Toc403555125"/>
      <w:bookmarkStart w:id="79" w:name="_Ref405453188"/>
      <w:r w:rsidRPr="00755B93">
        <w:t>Bidders must adhere to the following standard requirements when submitting their Tenders:</w:t>
      </w:r>
      <w:bookmarkEnd w:id="78"/>
      <w:bookmarkEnd w:id="79"/>
    </w:p>
    <w:p w14:paraId="60DB35F1" w14:textId="77777777" w:rsidR="009274BB" w:rsidRPr="00755B93" w:rsidRDefault="009274BB" w:rsidP="009274BB">
      <w:pPr>
        <w:pStyle w:val="MRNumberedHeading3"/>
        <w:numPr>
          <w:ilvl w:val="2"/>
          <w:numId w:val="23"/>
        </w:numPr>
        <w:tabs>
          <w:tab w:val="clear" w:pos="2215"/>
          <w:tab w:val="num" w:pos="1794"/>
          <w:tab w:val="num" w:pos="1931"/>
        </w:tabs>
        <w:spacing w:line="240" w:lineRule="auto"/>
        <w:ind w:left="1702" w:hanging="851"/>
        <w:jc w:val="both"/>
      </w:pPr>
      <w:r w:rsidRPr="00755B93">
        <w:lastRenderedPageBreak/>
        <w:t>Do not embed documents within other documents. Instead provide separate electronic copies of the documents, clearly labelled and referenced if necessary.</w:t>
      </w:r>
    </w:p>
    <w:p w14:paraId="54B14401" w14:textId="0460F67B" w:rsidR="009274BB" w:rsidRPr="00755B93" w:rsidRDefault="009274BB" w:rsidP="009274BB">
      <w:pPr>
        <w:pStyle w:val="MRNumberedHeading3"/>
        <w:numPr>
          <w:ilvl w:val="2"/>
          <w:numId w:val="23"/>
        </w:numPr>
        <w:tabs>
          <w:tab w:val="clear" w:pos="2215"/>
          <w:tab w:val="num" w:pos="1794"/>
          <w:tab w:val="num" w:pos="1931"/>
        </w:tabs>
        <w:spacing w:line="240" w:lineRule="auto"/>
        <w:ind w:left="1702" w:hanging="851"/>
        <w:jc w:val="both"/>
        <w:rPr>
          <w:i/>
          <w:shd w:val="clear" w:color="auto" w:fill="FFFF66"/>
        </w:rPr>
      </w:pPr>
      <w:r w:rsidRPr="00755B93">
        <w:t xml:space="preserve">The </w:t>
      </w:r>
      <w:r w:rsidR="00A57B30">
        <w:t>responses</w:t>
      </w:r>
      <w:r w:rsidRPr="00755B93">
        <w:t xml:space="preserve"> must be in English</w:t>
      </w:r>
    </w:p>
    <w:p w14:paraId="2F8AB1F5" w14:textId="5EB7EAD4" w:rsidR="009274BB" w:rsidRPr="00296E12" w:rsidRDefault="009274BB" w:rsidP="009274BB">
      <w:pPr>
        <w:pStyle w:val="MRNumberedHeading3"/>
        <w:numPr>
          <w:ilvl w:val="2"/>
          <w:numId w:val="23"/>
        </w:numPr>
        <w:tabs>
          <w:tab w:val="clear" w:pos="2215"/>
          <w:tab w:val="num" w:pos="1794"/>
          <w:tab w:val="num" w:pos="1931"/>
        </w:tabs>
        <w:spacing w:line="240" w:lineRule="auto"/>
        <w:ind w:left="1702" w:hanging="851"/>
        <w:jc w:val="both"/>
        <w:rPr>
          <w:i/>
          <w:shd w:val="clear" w:color="auto" w:fill="FFFF66"/>
        </w:rPr>
      </w:pPr>
      <w:r w:rsidRPr="00755B93">
        <w:t xml:space="preserve">The </w:t>
      </w:r>
      <w:r w:rsidR="00A57B30">
        <w:t>PQQ</w:t>
      </w:r>
      <w:r w:rsidRPr="00755B93">
        <w:t xml:space="preserve"> must be fully cross-referenced and include a table of contents.</w:t>
      </w:r>
    </w:p>
    <w:p w14:paraId="76D9C470" w14:textId="3AEBD1E8" w:rsidR="009274BB" w:rsidRPr="00296E12" w:rsidRDefault="009274BB" w:rsidP="009274BB">
      <w:pPr>
        <w:pStyle w:val="MRNumberedHeading3"/>
        <w:numPr>
          <w:ilvl w:val="2"/>
          <w:numId w:val="23"/>
        </w:numPr>
        <w:tabs>
          <w:tab w:val="clear" w:pos="2215"/>
          <w:tab w:val="num" w:pos="1794"/>
          <w:tab w:val="num" w:pos="1931"/>
        </w:tabs>
        <w:spacing w:line="240" w:lineRule="auto"/>
        <w:ind w:left="1702" w:hanging="851"/>
        <w:jc w:val="both"/>
        <w:rPr>
          <w:i/>
          <w:shd w:val="clear" w:color="auto" w:fill="FFFF66"/>
        </w:rPr>
      </w:pPr>
      <w:r w:rsidRPr="00755B93">
        <w:t xml:space="preserve">The </w:t>
      </w:r>
      <w:r w:rsidR="00A57B30">
        <w:t>PQQ</w:t>
      </w:r>
      <w:r w:rsidRPr="00755B93">
        <w:t xml:space="preserve"> must include a list of all supporting material.</w:t>
      </w:r>
    </w:p>
    <w:p w14:paraId="1B5204FC" w14:textId="6CE4A626" w:rsidR="009274BB" w:rsidRPr="00296E12" w:rsidRDefault="009274BB" w:rsidP="009274BB">
      <w:pPr>
        <w:pStyle w:val="MRNumberedHeading3"/>
        <w:numPr>
          <w:ilvl w:val="2"/>
          <w:numId w:val="23"/>
        </w:numPr>
        <w:tabs>
          <w:tab w:val="clear" w:pos="2215"/>
          <w:tab w:val="num" w:pos="1794"/>
          <w:tab w:val="num" w:pos="1931"/>
        </w:tabs>
        <w:spacing w:line="240" w:lineRule="auto"/>
        <w:ind w:left="1702" w:hanging="851"/>
        <w:jc w:val="both"/>
        <w:rPr>
          <w:i/>
          <w:shd w:val="clear" w:color="auto" w:fill="FFFF66"/>
        </w:rPr>
      </w:pPr>
      <w:r w:rsidRPr="00755B93">
        <w:t xml:space="preserve">Electronic copies of the </w:t>
      </w:r>
      <w:r w:rsidR="00A57B30">
        <w:t>PQQ</w:t>
      </w:r>
      <w:r w:rsidRPr="00755B93">
        <w:t xml:space="preserve"> shall be in [both Microsoft Office and PDF formats</w:t>
      </w:r>
      <w:r>
        <w:t>.</w:t>
      </w:r>
    </w:p>
    <w:p w14:paraId="3495FA9C" w14:textId="77777777" w:rsidR="009274BB" w:rsidRPr="00296E12" w:rsidRDefault="009274BB" w:rsidP="009274BB">
      <w:pPr>
        <w:pStyle w:val="MRNumberedHeading3"/>
        <w:numPr>
          <w:ilvl w:val="2"/>
          <w:numId w:val="23"/>
        </w:numPr>
        <w:tabs>
          <w:tab w:val="clear" w:pos="2215"/>
          <w:tab w:val="num" w:pos="1794"/>
          <w:tab w:val="num" w:pos="1931"/>
        </w:tabs>
        <w:spacing w:line="240" w:lineRule="auto"/>
        <w:ind w:left="1702" w:hanging="851"/>
        <w:jc w:val="both"/>
        <w:rPr>
          <w:i/>
          <w:shd w:val="clear" w:color="auto" w:fill="FFFF66"/>
        </w:rPr>
      </w:pPr>
      <w:r w:rsidRPr="00755B93">
        <w:rPr>
          <w:noProof/>
        </w:rPr>
        <mc:AlternateContent>
          <mc:Choice Requires="wps">
            <w:drawing>
              <wp:anchor distT="0" distB="0" distL="114300" distR="114300" simplePos="0" relativeHeight="251658752" behindDoc="0" locked="0" layoutInCell="1" allowOverlap="1" wp14:anchorId="4AE063F1" wp14:editId="1D670120">
                <wp:simplePos x="0" y="0"/>
                <wp:positionH relativeFrom="column">
                  <wp:posOffset>5850227</wp:posOffset>
                </wp:positionH>
                <wp:positionV relativeFrom="paragraph">
                  <wp:posOffset>47873</wp:posOffset>
                </wp:positionV>
                <wp:extent cx="476885" cy="38961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76885" cy="389614"/>
                        </a:xfrm>
                        <a:prstGeom prst="rect">
                          <a:avLst/>
                        </a:prstGeom>
                        <a:solidFill>
                          <a:sysClr val="window" lastClr="FFFFFF"/>
                        </a:solidFill>
                        <a:ln w="6350">
                          <a:noFill/>
                        </a:ln>
                        <a:effectLst/>
                      </wps:spPr>
                      <wps:txbx>
                        <w:txbxContent>
                          <w:bookmarkStart w:id="80" w:name="handthreethreenine"/>
                          <w:bookmarkEnd w:id="80"/>
                          <w:p w14:paraId="3A97FC25"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"threethree" \o "The standard requirements in this section should be amended to set out how you wish to receive Tenders"</w:instrText>
                            </w:r>
                            <w:r>
                              <w:rPr>
                                <w:rFonts w:ascii="Arial Bold" w:hAnsi="Arial Bold"/>
                                <w:b/>
                                <w:color w:val="FF0000"/>
                                <w:sz w:val="44"/>
                                <w:szCs w:val="44"/>
                              </w:rPr>
                              <w:fldChar w:fldCharType="separate"/>
                            </w:r>
                          </w:p>
                          <w:p w14:paraId="73B0F1E1" w14:textId="77777777" w:rsidR="0009642C" w:rsidRDefault="0009642C" w:rsidP="009274B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063F1" id="Text Box 10" o:spid="_x0000_s1038" type="#_x0000_t202" style="position:absolute;left:0;text-align:left;margin-left:460.65pt;margin-top:3.75pt;width:37.55pt;height:30.7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" fillcolor="window" stroked="f" strokeweight=".5pt">
                <v:textbox>
                  <w:txbxContent>
                    <w:bookmarkStart w:id="81" w:name="handthreethreenine"/>
                    <w:bookmarkEnd w:id="81"/>
                    <w:p w14:paraId="3A97FC25"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"threethree" \o "The standard requirements in this section should be amended to set out how you wish to receive Tenders"</w:instrText>
                      </w:r>
                      <w:r>
                        <w:rPr>
                          <w:rFonts w:ascii="Arial Bold" w:hAnsi="Arial Bold"/>
                          <w:b/>
                          <w:color w:val="FF0000"/>
                          <w:sz w:val="44"/>
                          <w:szCs w:val="44"/>
                        </w:rPr>
                        <w:fldChar w:fldCharType="separate"/>
                      </w:r>
                    </w:p>
                    <w:p w14:paraId="73B0F1E1" w14:textId="77777777" w:rsidR="0009642C" w:rsidRDefault="0009642C" w:rsidP="009274BB">
                      <w:r>
                        <w:rPr>
                          <w:rFonts w:ascii="Arial Bold" w:hAnsi="Arial Bold"/>
                          <w:b/>
                          <w:color w:val="FF0000"/>
                          <w:sz w:val="44"/>
                          <w:szCs w:val="44"/>
                        </w:rPr>
                        <w:fldChar w:fldCharType="end"/>
                      </w:r>
                    </w:p>
                  </w:txbxContent>
                </v:textbox>
              </v:shape>
            </w:pict>
          </mc:Fallback>
        </mc:AlternateContent>
      </w:r>
      <w:r w:rsidRPr="00755B93">
        <w:t xml:space="preserve">Bidders should use </w:t>
      </w:r>
      <w:r>
        <w:t>Ariel 11.</w:t>
      </w:r>
    </w:p>
    <w:p w14:paraId="78BBFBF3" w14:textId="77777777" w:rsidR="009274BB" w:rsidRPr="00A7044C" w:rsidRDefault="009274BB" w:rsidP="009274BB">
      <w:pPr>
        <w:pStyle w:val="MRNumberedHeading3"/>
        <w:numPr>
          <w:ilvl w:val="2"/>
          <w:numId w:val="23"/>
        </w:numPr>
        <w:tabs>
          <w:tab w:val="clear" w:pos="2215"/>
          <w:tab w:val="num" w:pos="1794"/>
          <w:tab w:val="num" w:pos="1931"/>
        </w:tabs>
        <w:spacing w:line="240" w:lineRule="auto"/>
        <w:ind w:left="1702" w:hanging="851"/>
        <w:jc w:val="both"/>
        <w:rPr>
          <w:rFonts w:cs="Arial"/>
        </w:rPr>
      </w:pPr>
      <w:r w:rsidRPr="00755B93">
        <w:t>Line spacing must be Single.</w:t>
      </w:r>
    </w:p>
    <w:p w14:paraId="5EBD8BD7" w14:textId="77777777" w:rsidR="009274BB" w:rsidRDefault="009274BB" w:rsidP="009274BB">
      <w:pPr>
        <w:pStyle w:val="MRNumberedHeading2"/>
      </w:pPr>
      <w:bookmarkStart w:id="82" w:name="_Toc403555126"/>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82"/>
      <w:r>
        <w:t xml:space="preserve">  </w:t>
      </w:r>
    </w:p>
    <w:p w14:paraId="28AAACF8" w14:textId="0DB32E97" w:rsidR="009274BB" w:rsidRDefault="009274BB" w:rsidP="009274BB">
      <w:pPr>
        <w:pStyle w:val="MRNumberedHeading2"/>
      </w:pPr>
      <w:bookmarkStart w:id="83" w:name="_Toc403555127"/>
      <w:bookmarkStart w:id="84" w:name="_Ref405453197"/>
      <w:r>
        <w:rPr>
          <w:noProof/>
        </w:rPr>
        <mc:AlternateContent>
          <mc:Choice Requires="wps">
            <w:drawing>
              <wp:anchor distT="0" distB="0" distL="114300" distR="114300" simplePos="0" relativeHeight="251659776" behindDoc="0" locked="0" layoutInCell="1" allowOverlap="1" wp14:anchorId="13A2FAAD" wp14:editId="6E776E5A">
                <wp:simplePos x="0" y="0"/>
                <wp:positionH relativeFrom="column">
                  <wp:posOffset>5848847</wp:posOffset>
                </wp:positionH>
                <wp:positionV relativeFrom="paragraph">
                  <wp:posOffset>40640</wp:posOffset>
                </wp:positionV>
                <wp:extent cx="397565" cy="477078"/>
                <wp:effectExtent l="0" t="0" r="2540" b="0"/>
                <wp:wrapNone/>
                <wp:docPr id="11" name="Text Box 11"/>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ysClr val="window" lastClr="FFFFFF"/>
                        </a:solidFill>
                        <a:ln w="6350">
                          <a:noFill/>
                        </a:ln>
                        <a:effectLst/>
                      </wps:spPr>
                      <wps:txbx>
                        <w:txbxContent>
                          <w:bookmarkStart w:id="85" w:name="handthreefive"/>
                          <w:bookmarkEnd w:id="85"/>
                          <w:p w14:paraId="663C27CB"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14:paraId="2CCF75AF" w14:textId="77777777" w:rsidR="0009642C" w:rsidRDefault="0009642C" w:rsidP="009274B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2FAAD" id="Text Box 11" o:spid="_x0000_s1039" type="#_x0000_t202" style="position:absolute;left:0;text-align:left;margin-left:460.55pt;margin-top:3.2pt;width:31.3pt;height:37.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" fillcolor="window" stroked="f" strokeweight=".5pt">
                <v:textbox>
                  <w:txbxContent>
                    <w:bookmarkStart w:id="86" w:name="handthreefive"/>
                    <w:bookmarkEnd w:id="86"/>
                    <w:p w14:paraId="663C27CB"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14:paraId="2CCF75AF" w14:textId="77777777" w:rsidR="0009642C" w:rsidRDefault="0009642C" w:rsidP="009274BB">
                      <w:r>
                        <w:rPr>
                          <w:rFonts w:ascii="Arial Bold" w:hAnsi="Arial Bold"/>
                          <w:b/>
                          <w:color w:val="FF0000"/>
                          <w:sz w:val="44"/>
                          <w:szCs w:val="44"/>
                        </w:rPr>
                        <w:fldChar w:fldCharType="end"/>
                      </w:r>
                    </w:p>
                  </w:txbxContent>
                </v:textbox>
              </v:shape>
            </w:pict>
          </mc:Fallback>
        </mc:AlternateContent>
      </w:r>
      <w:r>
        <w:t xml:space="preserve">The </w:t>
      </w:r>
      <w:r w:rsidR="00361A90">
        <w:t>response</w:t>
      </w:r>
      <w:r>
        <w:t xml:space="preserve"> must be clear, concise and complete. The Authority reserves the right to mark Bidders down or exclude them from the procurement if their Tenders are ambiguous or lack clarity. Bidders should submit only such information as is necessary to respond effectively to this </w:t>
      </w:r>
      <w:r w:rsidR="00361A90">
        <w:t>PQQ</w:t>
      </w:r>
      <w:r>
        <w:t>. Unless specifically requested, do not include extraneous presentation materials.</w:t>
      </w:r>
      <w:bookmarkEnd w:id="83"/>
      <w:bookmarkEnd w:id="84"/>
      <w:r>
        <w:t xml:space="preserve"> </w:t>
      </w:r>
    </w:p>
    <w:p w14:paraId="36BA7538" w14:textId="0DD3A8B2" w:rsidR="009274BB" w:rsidRDefault="009274BB" w:rsidP="009274BB">
      <w:pPr>
        <w:pStyle w:val="MRNumberedHeading2"/>
      </w:pPr>
      <w:bookmarkStart w:id="87" w:name="_Toc403555128"/>
      <w:bookmarkStart w:id="88" w:name="_Ref412651999"/>
      <w:r>
        <w:rPr>
          <w:noProof/>
        </w:rPr>
        <mc:AlternateContent>
          <mc:Choice Requires="wps">
            <w:drawing>
              <wp:anchor distT="0" distB="0" distL="114300" distR="114300" simplePos="0" relativeHeight="251663872" behindDoc="0" locked="0" layoutInCell="1" allowOverlap="1" wp14:anchorId="76D152AD" wp14:editId="575DAAE9">
                <wp:simplePos x="0" y="0"/>
                <wp:positionH relativeFrom="column">
                  <wp:posOffset>5846913</wp:posOffset>
                </wp:positionH>
                <wp:positionV relativeFrom="paragraph">
                  <wp:posOffset>85725</wp:posOffset>
                </wp:positionV>
                <wp:extent cx="397510" cy="476885"/>
                <wp:effectExtent l="0" t="0" r="2540" b="0"/>
                <wp:wrapNone/>
                <wp:docPr id="291" name="Text Box 291"/>
                <wp:cNvGraphicFramePr/>
                <a:graphic xmlns:a="http://schemas.openxmlformats.org/drawingml/2006/main">
                  <a:graphicData uri="http://schemas.microsoft.com/office/word/2010/wordprocessingShape">
                    <wps:wsp>
                      <wps:cNvSpPr txBox="1"/>
                      <wps:spPr>
                        <a:xfrm>
                          <a:off x="0" y="0"/>
                          <a:ext cx="397510" cy="476885"/>
                        </a:xfrm>
                        <a:prstGeom prst="rect">
                          <a:avLst/>
                        </a:prstGeom>
                        <a:solidFill>
                          <a:sysClr val="window" lastClr="FFFFFF"/>
                        </a:solidFill>
                        <a:ln w="6350">
                          <a:noFill/>
                        </a:ln>
                        <a:effectLst/>
                      </wps:spPr>
                      <wps:txbx>
                        <w:txbxContent>
                          <w:bookmarkStart w:id="89" w:name="hand3point6"/>
                          <w:bookmarkEnd w:id="89"/>
                          <w:p w14:paraId="2DE2735F" w14:textId="77777777" w:rsidR="0009642C" w:rsidRPr="00425400"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p>
                          <w:p w14:paraId="6370D136" w14:textId="77777777" w:rsidR="0009642C" w:rsidRDefault="0009642C" w:rsidP="009274B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152AD" id="Text Box 291" o:spid="_x0000_s1040" type="#_x0000_t202" style="position:absolute;left:0;text-align:left;margin-left:460.4pt;margin-top:6.75pt;width:31.3pt;height:37.5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" fillcolor="window" stroked="f" strokeweight=".5pt">
                <v:textbox>
                  <w:txbxContent>
                    <w:bookmarkStart w:id="90" w:name="hand3point6"/>
                    <w:bookmarkEnd w:id="90"/>
                    <w:p w14:paraId="2DE2735F" w14:textId="77777777" w:rsidR="0009642C" w:rsidRPr="00425400"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p>
                    <w:p w14:paraId="6370D136" w14:textId="77777777" w:rsidR="0009642C" w:rsidRDefault="0009642C" w:rsidP="009274BB">
                      <w:r>
                        <w:rPr>
                          <w:rFonts w:ascii="Arial Bold" w:hAnsi="Arial Bold"/>
                          <w:b/>
                          <w:color w:val="FF0000"/>
                          <w:sz w:val="44"/>
                          <w:szCs w:val="44"/>
                        </w:rPr>
                        <w:fldChar w:fldCharType="end"/>
                      </w:r>
                    </w:p>
                  </w:txbxContent>
                </v:textbox>
              </v:shape>
            </w:pict>
          </mc:Fallback>
        </mc:AlternateContent>
      </w:r>
      <w:r w:rsidR="00361A90">
        <w:rPr>
          <w:noProof/>
        </w:rPr>
        <w:t>PQQ</w:t>
      </w:r>
      <w:r>
        <w:t xml:space="preserve"> will be evaluated on the basis of information submitted by the deadline.</w:t>
      </w:r>
      <w:bookmarkEnd w:id="87"/>
      <w:r>
        <w:t xml:space="preserve"> </w:t>
      </w:r>
      <w:r>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88"/>
    </w:p>
    <w:p w14:paraId="2A2FB7FE" w14:textId="6EDD0C7F" w:rsidR="009274BB" w:rsidRDefault="009274BB" w:rsidP="009274BB">
      <w:pPr>
        <w:pStyle w:val="MRNumberedHeading2"/>
      </w:pPr>
      <w:bookmarkStart w:id="91" w:name="_Toc403555129"/>
      <w:r>
        <w:t xml:space="preserve">The </w:t>
      </w:r>
      <w:r w:rsidR="0093694C">
        <w:t>PQQ</w:t>
      </w:r>
      <w:r>
        <w:t xml:space="preserve"> must be signed by a duly authorised representative of the Bidder.</w:t>
      </w:r>
      <w:bookmarkEnd w:id="91"/>
      <w:r>
        <w:t xml:space="preserve">  </w:t>
      </w:r>
    </w:p>
    <w:p w14:paraId="03B24C2A" w14:textId="5E73F913" w:rsidR="009274BB" w:rsidRPr="00276E1B" w:rsidRDefault="009274BB" w:rsidP="009274BB">
      <w:pPr>
        <w:pStyle w:val="Heading1"/>
        <w:spacing w:before="240" w:after="0"/>
        <w:ind w:left="851"/>
      </w:pPr>
      <w:bookmarkStart w:id="92" w:name="_Toc403555130"/>
      <w:r>
        <w:rPr>
          <w:noProof/>
        </w:rPr>
        <mc:AlternateContent>
          <mc:Choice Requires="wps">
            <w:drawing>
              <wp:anchor distT="0" distB="0" distL="114300" distR="114300" simplePos="0" relativeHeight="251660800" behindDoc="0" locked="0" layoutInCell="1" allowOverlap="1" wp14:anchorId="3F72946C" wp14:editId="29B4BCAA">
                <wp:simplePos x="0" y="0"/>
                <wp:positionH relativeFrom="column">
                  <wp:posOffset>5897880</wp:posOffset>
                </wp:positionH>
                <wp:positionV relativeFrom="paragraph">
                  <wp:posOffset>267335</wp:posOffset>
                </wp:positionV>
                <wp:extent cx="524510" cy="468630"/>
                <wp:effectExtent l="0" t="0" r="8890" b="7620"/>
                <wp:wrapNone/>
                <wp:docPr id="12" name="Text Box 12"/>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ysClr val="window" lastClr="FFFFFF"/>
                        </a:solidFill>
                        <a:ln w="6350">
                          <a:noFill/>
                        </a:ln>
                        <a:effectLst/>
                      </wps:spPr>
                      <wps:txbx>
                        <w:txbxContent>
                          <w:bookmarkStart w:id="93" w:name="handthreenine"/>
                          <w:bookmarkEnd w:id="93"/>
                          <w:p w14:paraId="5C74C840"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14:paraId="07331D97" w14:textId="77777777" w:rsidR="0009642C" w:rsidRDefault="0009642C" w:rsidP="009274B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72946C" id="Text Box 12" o:spid="_x0000_s1041" type="#_x0000_t202" style="position:absolute;left:0;text-align:left;margin-left:464.4pt;margin-top:21.05pt;width:41.3pt;height:36.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" fillcolor="window" stroked="f" strokeweight=".5pt">
                <v:textbox>
                  <w:txbxContent>
                    <w:bookmarkStart w:id="94" w:name="handthreenine"/>
                    <w:bookmarkEnd w:id="94"/>
                    <w:p w14:paraId="5C74C840" w14:textId="77777777" w:rsidR="0009642C" w:rsidRPr="00DA07F4"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14:paraId="07331D97" w14:textId="77777777" w:rsidR="0009642C" w:rsidRDefault="0009642C" w:rsidP="009274BB">
                      <w:r>
                        <w:rPr>
                          <w:rFonts w:ascii="Arial Bold" w:hAnsi="Arial Bold"/>
                          <w:b/>
                          <w:color w:val="FF0000"/>
                          <w:sz w:val="44"/>
                          <w:szCs w:val="44"/>
                        </w:rPr>
                        <w:fldChar w:fldCharType="end"/>
                      </w:r>
                    </w:p>
                  </w:txbxContent>
                </v:textbox>
              </v:shape>
            </w:pict>
          </mc:Fallback>
        </mc:AlternateContent>
      </w:r>
      <w:r w:rsidRPr="00276E1B">
        <w:t xml:space="preserve">Modification and withdrawal of </w:t>
      </w:r>
      <w:bookmarkEnd w:id="92"/>
      <w:r w:rsidR="0093694C">
        <w:t>PQQ</w:t>
      </w:r>
    </w:p>
    <w:p w14:paraId="6A20A645" w14:textId="77777777" w:rsidR="009274BB" w:rsidRDefault="009274BB" w:rsidP="009274BB">
      <w:pPr>
        <w:pStyle w:val="MRNumberedHeading2"/>
      </w:pPr>
      <w:bookmarkStart w:id="95" w:name="_Toc403555131"/>
      <w:bookmarkStart w:id="96" w:name="_Ref478475788"/>
      <w:r>
        <w:t xml:space="preserve">Except as set out in paragraph </w:t>
      </w:r>
      <w:r>
        <w:fldChar w:fldCharType="begin"/>
      </w:r>
      <w:r>
        <w:instrText xml:space="preserve"> REF _Ref412651999 \r \h </w:instrText>
      </w:r>
      <w:r>
        <w:fldChar w:fldCharType="separate"/>
      </w:r>
      <w:r>
        <w:t>3.20</w:t>
      </w:r>
      <w:r>
        <w:fldChar w:fldCharType="end"/>
      </w:r>
      <w:r>
        <w:t>, n</w:t>
      </w:r>
      <w:r w:rsidRPr="00A24900">
        <w:t xml:space="preserve">o </w:t>
      </w:r>
      <w:r>
        <w:t>T</w:t>
      </w:r>
      <w:r w:rsidRPr="00A24900">
        <w:t>ender may be modified aft</w:t>
      </w:r>
      <w:r>
        <w:t>er the deadline for receipt of T</w:t>
      </w:r>
      <w:r w:rsidRPr="00A24900">
        <w:t>enders.</w:t>
      </w:r>
      <w:bookmarkEnd w:id="95"/>
      <w:bookmarkEnd w:id="96"/>
    </w:p>
    <w:p w14:paraId="01979C0F" w14:textId="75ABF6E8" w:rsidR="009274BB" w:rsidRDefault="0093694C" w:rsidP="009274BB">
      <w:pPr>
        <w:pStyle w:val="MRNumberedHeading2"/>
      </w:pPr>
      <w:bookmarkStart w:id="97" w:name="_Toc403555132"/>
      <w:bookmarkStart w:id="98" w:name="_Ref405453207"/>
      <w:r>
        <w:t>The PQQ submission</w:t>
      </w:r>
      <w:r w:rsidR="009274BB" w:rsidRPr="00A24900">
        <w:t xml:space="preserve"> may be withdrawn at any time before the deadlin</w:t>
      </w:r>
      <w:r w:rsidR="009274BB">
        <w:t xml:space="preserve">e for receipt of </w:t>
      </w:r>
      <w:r>
        <w:t>PQQ</w:t>
      </w:r>
      <w:r w:rsidR="009274BB">
        <w:t>.  Revised T</w:t>
      </w:r>
      <w:r w:rsidR="009274BB" w:rsidRPr="00A24900">
        <w:t>enders may be submitted up unt</w:t>
      </w:r>
      <w:r w:rsidR="009274BB">
        <w:t xml:space="preserve">il the deadline for receipt of </w:t>
      </w:r>
      <w:r>
        <w:t>PQQ</w:t>
      </w:r>
      <w:r w:rsidR="009274BB" w:rsidRPr="00A24900">
        <w:t xml:space="preserve">, </w:t>
      </w:r>
      <w:r w:rsidR="009274BB" w:rsidRPr="00755B93">
        <w:t>provided such intention is notified to the Authority using the e-Tendering Portal</w:t>
      </w:r>
      <w:bookmarkEnd w:id="97"/>
      <w:bookmarkEnd w:id="98"/>
      <w:r w:rsidR="009274BB" w:rsidRPr="00755B93">
        <w:t xml:space="preserve">. </w:t>
      </w:r>
      <w:r w:rsidR="009274BB">
        <w:t xml:space="preserve"> </w:t>
      </w:r>
    </w:p>
    <w:p w14:paraId="304A89A6" w14:textId="77777777" w:rsidR="009274BB" w:rsidRPr="00326B26" w:rsidRDefault="009274BB" w:rsidP="009274BB">
      <w:pPr>
        <w:pStyle w:val="Heading1"/>
        <w:spacing w:before="240" w:after="0"/>
        <w:ind w:left="851"/>
      </w:pPr>
      <w:bookmarkStart w:id="99" w:name="_Toc403555134"/>
      <w:r w:rsidRPr="00326B26">
        <w:rPr>
          <w:bCs/>
        </w:rPr>
        <w:t>Terms and conditions</w:t>
      </w:r>
      <w:bookmarkEnd w:id="99"/>
    </w:p>
    <w:p w14:paraId="368F6080" w14:textId="548CA0E1" w:rsidR="009274BB" w:rsidRPr="00D34AB6" w:rsidRDefault="009274BB" w:rsidP="0067177E">
      <w:pPr>
        <w:pStyle w:val="MRNumberedHeading2"/>
        <w:rPr>
          <w:rFonts w:cs="Arial"/>
        </w:rPr>
      </w:pPr>
      <w:bookmarkStart w:id="100" w:name="_Toc403555135"/>
      <w:r w:rsidRPr="00D34AB6">
        <w:t xml:space="preserve">set out in Annex A1.  It is vital that the Bidder reviews these carefully, and takes account of all information such as TUPE, key performance indicators and insurance requirements and that the Tender fully takes account of these. By submitting a Tender, Bidders are agreeing to be bound by the terms of this </w:t>
      </w:r>
      <w:r w:rsidR="0067177E">
        <w:t>PQQ</w:t>
      </w:r>
      <w:r w:rsidRPr="00D34AB6">
        <w:t xml:space="preserve"> and </w:t>
      </w:r>
      <w:bookmarkEnd w:id="100"/>
      <w:r w:rsidRPr="00D34AB6">
        <w:t xml:space="preserve">the </w:t>
      </w:r>
      <w:r w:rsidR="0067177E" w:rsidRPr="0067177E">
        <w:t>JCT Standard Form with Contractors Design</w:t>
      </w:r>
      <w:r w:rsidRPr="00D34AB6">
        <w:t>.</w:t>
      </w:r>
    </w:p>
    <w:p w14:paraId="3575E083" w14:textId="77777777" w:rsidR="009274BB" w:rsidRPr="00276E1B" w:rsidRDefault="009274BB" w:rsidP="009274BB">
      <w:pPr>
        <w:pStyle w:val="Heading1"/>
        <w:spacing w:before="240" w:after="0"/>
        <w:ind w:left="851"/>
      </w:pPr>
      <w:bookmarkStart w:id="101" w:name="_Toc403555136"/>
      <w:r w:rsidRPr="00D34AB6">
        <w:t>Consortia and subcontractors</w:t>
      </w:r>
      <w:bookmarkEnd w:id="101"/>
      <w:r w:rsidRPr="00276E1B">
        <w:t xml:space="preserve"> </w:t>
      </w:r>
    </w:p>
    <w:p w14:paraId="0632C0D5" w14:textId="1E23DD5F" w:rsidR="009274BB" w:rsidRDefault="009274BB" w:rsidP="009274BB">
      <w:pPr>
        <w:pStyle w:val="MRNumberedHeading2"/>
      </w:pPr>
      <w:bookmarkStart w:id="102" w:name="_Toc403555137"/>
      <w:bookmarkStart w:id="103" w:name="_Ref405453227"/>
      <w:r w:rsidRPr="003E3276">
        <w:rPr>
          <w:noProof/>
        </w:rPr>
        <mc:AlternateContent>
          <mc:Choice Requires="wps">
            <w:drawing>
              <wp:anchor distT="0" distB="0" distL="114300" distR="114300" simplePos="0" relativeHeight="251661824" behindDoc="0" locked="0" layoutInCell="1" allowOverlap="1" wp14:anchorId="15B69FE6" wp14:editId="1A2101BD">
                <wp:simplePos x="0" y="0"/>
                <wp:positionH relativeFrom="column">
                  <wp:posOffset>5943600</wp:posOffset>
                </wp:positionH>
                <wp:positionV relativeFrom="paragraph">
                  <wp:posOffset>37050</wp:posOffset>
                </wp:positionV>
                <wp:extent cx="564515" cy="461010"/>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564515" cy="461010"/>
                        </a:xfrm>
                        <a:prstGeom prst="rect">
                          <a:avLst/>
                        </a:prstGeom>
                        <a:solidFill>
                          <a:sysClr val="window" lastClr="FFFFFF"/>
                        </a:solidFill>
                        <a:ln w="6350">
                          <a:noFill/>
                        </a:ln>
                        <a:effectLst/>
                      </wps:spPr>
                      <wps:txbx>
                        <w:txbxContent>
                          <w:bookmarkStart w:id="104" w:name="handthreetwelve"/>
                          <w:bookmarkEnd w:id="104"/>
                          <w:p w14:paraId="3A230C5F" w14:textId="77777777" w:rsidR="0009642C" w:rsidRPr="00951B7E"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p>
                          <w:p w14:paraId="6D9E7D36" w14:textId="77777777" w:rsidR="0009642C" w:rsidRDefault="0009642C" w:rsidP="009274B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69FE6" id="Text Box 15" o:spid="_x0000_s1042" type="#_x0000_t202" style="position:absolute;left:0;text-align:left;margin-left:468pt;margin-top:2.9pt;width:44.45pt;height:3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" fillcolor="window" stroked="f" strokeweight=".5pt">
                <v:textbox>
                  <w:txbxContent>
                    <w:bookmarkStart w:id="105" w:name="handthreetwelve"/>
                    <w:bookmarkEnd w:id="105"/>
                    <w:p w14:paraId="3A230C5F" w14:textId="77777777" w:rsidR="0009642C" w:rsidRPr="00951B7E" w:rsidRDefault="0009642C" w:rsidP="009274BB">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p>
                    <w:p w14:paraId="6D9E7D36" w14:textId="77777777" w:rsidR="0009642C" w:rsidRDefault="0009642C" w:rsidP="009274BB">
                      <w:r>
                        <w:rPr>
                          <w:rFonts w:ascii="Arial Bold" w:hAnsi="Arial Bold"/>
                          <w:b/>
                          <w:color w:val="FF0000"/>
                          <w:sz w:val="44"/>
                          <w:szCs w:val="44"/>
                        </w:rPr>
                        <w:fldChar w:fldCharType="end"/>
                      </w:r>
                    </w:p>
                  </w:txbxContent>
                </v:textbox>
              </v:shape>
            </w:pict>
          </mc:Fallback>
        </mc:AlternateContent>
      </w:r>
      <w:r w:rsidRPr="003E3276">
        <w:t>If</w:t>
      </w:r>
      <w:r>
        <w:t xml:space="preserve"> the Bidder is a consortium or will rely on sub-contractors to deliver the contract, it must explain in its </w:t>
      </w:r>
      <w:r w:rsidR="00710E96">
        <w:t>PQQ</w:t>
      </w:r>
      <w:r>
        <w:t xml:space="preserve"> precisely which entities will be the supplier.</w:t>
      </w:r>
      <w:bookmarkEnd w:id="102"/>
      <w:bookmarkEnd w:id="103"/>
    </w:p>
    <w:p w14:paraId="641C6A8B" w14:textId="1EE48F52" w:rsidR="009274BB" w:rsidRDefault="009274BB" w:rsidP="009274BB">
      <w:pPr>
        <w:pStyle w:val="MRNumberedHeading2"/>
      </w:pPr>
      <w:bookmarkStart w:id="106" w:name="_Toc403555138"/>
      <w:r w:rsidRPr="002F23DC">
        <w:t xml:space="preserve">For the purposes of this </w:t>
      </w:r>
      <w:r w:rsidR="00710E96">
        <w:t>Tender</w:t>
      </w:r>
      <w:r w:rsidRPr="002F23DC">
        <w:t>, the following terms apply:</w:t>
      </w:r>
      <w:bookmarkEnd w:id="106"/>
    </w:p>
    <w:p w14:paraId="3130350F" w14:textId="77777777" w:rsidR="009274BB" w:rsidRDefault="009274BB" w:rsidP="009274BB">
      <w:pPr>
        <w:pStyle w:val="MRNumberedHeading3"/>
        <w:numPr>
          <w:ilvl w:val="2"/>
          <w:numId w:val="23"/>
        </w:numPr>
        <w:tabs>
          <w:tab w:val="clear" w:pos="2215"/>
          <w:tab w:val="num" w:pos="1794"/>
          <w:tab w:val="num" w:pos="1931"/>
        </w:tabs>
        <w:spacing w:line="240" w:lineRule="auto"/>
        <w:ind w:left="1702" w:hanging="851"/>
        <w:jc w:val="both"/>
      </w:pPr>
      <w:r>
        <w:rPr>
          <w:bCs/>
          <w:i/>
        </w:rPr>
        <w:t>Consortium arrangement -</w:t>
      </w:r>
      <w:r w:rsidRPr="002F23DC">
        <w:t xml:space="preserve"> Groups of companies come together specifically for the purpose of bidding for appointment as the </w:t>
      </w:r>
      <w:r>
        <w:t>supplier</w:t>
      </w:r>
      <w:r w:rsidRPr="002F23DC">
        <w:t xml:space="preserve"> and envisage that they will establish a special purpose vehicle as the prime contracting party with the Authority.</w:t>
      </w:r>
    </w:p>
    <w:p w14:paraId="21703CC5" w14:textId="77777777" w:rsidR="009274BB" w:rsidRPr="002F23DC" w:rsidRDefault="009274BB" w:rsidP="009274BB">
      <w:pPr>
        <w:pStyle w:val="MRNumberedHeading3"/>
        <w:numPr>
          <w:ilvl w:val="2"/>
          <w:numId w:val="23"/>
        </w:numPr>
        <w:tabs>
          <w:tab w:val="clear" w:pos="2215"/>
          <w:tab w:val="num" w:pos="1794"/>
          <w:tab w:val="num" w:pos="1931"/>
        </w:tabs>
        <w:spacing w:line="240" w:lineRule="auto"/>
        <w:ind w:left="1702" w:hanging="851"/>
        <w:jc w:val="both"/>
      </w:pPr>
      <w:r>
        <w:rPr>
          <w:bCs/>
          <w:i/>
        </w:rPr>
        <w:lastRenderedPageBreak/>
        <w:t xml:space="preserve">Subcontracting arrangement - </w:t>
      </w:r>
      <w:r w:rsidRPr="002F23DC">
        <w:t xml:space="preserve">Groups of companies come together specifically for the purpose of bidding for appointment as the </w:t>
      </w:r>
      <w:r>
        <w:t>supplier</w:t>
      </w:r>
      <w:r w:rsidRPr="002F23DC">
        <w:t xml:space="preserve">, but envisage that one of their number will be the </w:t>
      </w:r>
      <w:r>
        <w:t>supplier</w:t>
      </w:r>
      <w:r w:rsidRPr="002F23DC">
        <w:t xml:space="preserve">, the remaining members of that group will be subcontractors to the </w:t>
      </w:r>
      <w:r>
        <w:t>supplier</w:t>
      </w:r>
      <w:r w:rsidRPr="002F23DC">
        <w:t>.</w:t>
      </w:r>
    </w:p>
    <w:p w14:paraId="69D80D82" w14:textId="77777777" w:rsidR="009274BB" w:rsidRPr="008E6BB3" w:rsidRDefault="009274BB" w:rsidP="009274BB">
      <w:pPr>
        <w:pStyle w:val="MRNumberedHeading2"/>
      </w:pPr>
      <w:bookmarkStart w:id="107" w:name="_Toc403555139"/>
      <w:r>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bookmarkEnd w:id="107"/>
    </w:p>
    <w:p w14:paraId="208B1A0E" w14:textId="77777777" w:rsidR="009274BB" w:rsidRPr="00276E1B" w:rsidRDefault="009274BB" w:rsidP="009274BB">
      <w:pPr>
        <w:pStyle w:val="Heading1"/>
        <w:spacing w:before="240" w:after="0"/>
        <w:ind w:left="851"/>
      </w:pPr>
      <w:bookmarkStart w:id="108" w:name="_Toc403555140"/>
      <w:r w:rsidRPr="00276E1B">
        <w:t>Warnings and disclaimers</w:t>
      </w:r>
      <w:bookmarkEnd w:id="108"/>
    </w:p>
    <w:p w14:paraId="13735F29" w14:textId="77B37B49" w:rsidR="009274BB" w:rsidRDefault="009274BB" w:rsidP="009274BB">
      <w:pPr>
        <w:pStyle w:val="MRNumberedHeading2"/>
      </w:pPr>
      <w:bookmarkStart w:id="109" w:name="_Toc403555141"/>
      <w:r>
        <w:t xml:space="preserve">While the information contained in this </w:t>
      </w:r>
      <w:r w:rsidR="00A2742F">
        <w:t>PQQ</w:t>
      </w:r>
      <w:r>
        <w:t xml:space="preserve">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A2742F">
        <w:t>PQQ</w:t>
      </w:r>
      <w:r>
        <w:t xml:space="preserve"> (including its annexes) and in respect of any other written or oral communication transmitted (or otherwise made available) to any Bidder. This exclusion does not extend to any fraudulent misrepresentation made by or on behalf of the Authority.</w:t>
      </w:r>
      <w:bookmarkEnd w:id="109"/>
    </w:p>
    <w:p w14:paraId="4C1653BA" w14:textId="77777777" w:rsidR="009274BB" w:rsidRDefault="009274BB" w:rsidP="009274BB">
      <w:pPr>
        <w:pStyle w:val="MRNumberedHeading2"/>
      </w:pPr>
      <w:bookmarkStart w:id="110" w:name="_Toc403555142"/>
      <w:r>
        <w:t>If a Bidder proposes to enter into a contract with the Authority, it must rely on its own enquiries and on the terms and conditions set out in the contract(s) (as and when finally executed), subject to the limitations and restrictions specified in it.</w:t>
      </w:r>
      <w:bookmarkEnd w:id="110"/>
    </w:p>
    <w:p w14:paraId="0F96EA61" w14:textId="76AB15EF" w:rsidR="009274BB" w:rsidRDefault="009274BB" w:rsidP="009274BB">
      <w:pPr>
        <w:pStyle w:val="MRNumberedHeading2"/>
      </w:pPr>
      <w:bookmarkStart w:id="111" w:name="_Toc403555143"/>
      <w:r>
        <w:t xml:space="preserve">Neither the issue of this </w:t>
      </w:r>
      <w:r w:rsidR="00A04CCE">
        <w:t>PQQ</w:t>
      </w:r>
      <w:r>
        <w:t>, nor any of the information presented in it, should be regarded as a commitment or representation on the part of the Authority (or any other person) to enter into a contractual arrangement.</w:t>
      </w:r>
      <w:bookmarkEnd w:id="111"/>
    </w:p>
    <w:p w14:paraId="2BAA3C9E" w14:textId="77777777" w:rsidR="009274BB" w:rsidRPr="00276E1B" w:rsidRDefault="009274BB" w:rsidP="009274BB">
      <w:pPr>
        <w:pStyle w:val="Heading1"/>
        <w:spacing w:before="240" w:after="0"/>
        <w:ind w:left="851"/>
      </w:pPr>
      <w:bookmarkStart w:id="112" w:name="_Toc403555144"/>
      <w:r w:rsidRPr="00276E1B">
        <w:t>Freedom of Information Act 2000 and Environmental Information Regulations 2004</w:t>
      </w:r>
      <w:bookmarkEnd w:id="112"/>
    </w:p>
    <w:p w14:paraId="3CE447C6" w14:textId="77777777" w:rsidR="009274BB" w:rsidRPr="001375C3" w:rsidRDefault="009274BB" w:rsidP="009274BB">
      <w:pPr>
        <w:pStyle w:val="MRNumberedHeading2"/>
      </w:pPr>
      <w:bookmarkStart w:id="113" w:name="_Toc403555145"/>
      <w:r w:rsidRPr="001375C3">
        <w:t>As a public body, the Authority</w:t>
      </w:r>
      <w:r>
        <w:t xml:space="preserve"> is subject to, and must comply</w:t>
      </w:r>
      <w:r w:rsidRPr="001375C3">
        <w:t xml:space="preserve"> with</w:t>
      </w:r>
      <w:r>
        <w:t>, the</w:t>
      </w:r>
      <w:r w:rsidRPr="001375C3">
        <w:t xml:space="preserve"> Freedom of Information Act 2000 ("</w:t>
      </w:r>
      <w:r w:rsidRPr="004C3605">
        <w:rPr>
          <w:b/>
          <w:bCs/>
        </w:rPr>
        <w:t>FOIA</w:t>
      </w:r>
      <w:r w:rsidRPr="001375C3">
        <w:rPr>
          <w:bCs/>
        </w:rPr>
        <w:t>"</w:t>
      </w:r>
      <w:bookmarkStart w:id="114" w:name="_Ref149547605"/>
      <w:r>
        <w:t>) and the Environmental Information Regulations 2004 ("</w:t>
      </w:r>
      <w:r w:rsidRPr="00B80A50">
        <w:rPr>
          <w:b/>
        </w:rPr>
        <w:t>EIR</w:t>
      </w:r>
      <w:r>
        <w:t>"). T</w:t>
      </w:r>
      <w:r w:rsidRPr="001375C3">
        <w:t>he Authority may</w:t>
      </w:r>
      <w:r>
        <w:t xml:space="preserve"> therefore</w:t>
      </w:r>
      <w:r w:rsidRPr="001375C3">
        <w:t xml:space="preserve"> be required to disclose information submitted by the </w:t>
      </w:r>
      <w:r>
        <w:t>Bidder</w:t>
      </w:r>
      <w:r w:rsidRPr="001375C3">
        <w:t>.</w:t>
      </w:r>
      <w:bookmarkEnd w:id="113"/>
      <w:r w:rsidRPr="001375C3">
        <w:t xml:space="preserve"> </w:t>
      </w:r>
      <w:bookmarkEnd w:id="114"/>
    </w:p>
    <w:p w14:paraId="1CA2509F" w14:textId="77777777" w:rsidR="009274BB" w:rsidRPr="001375C3" w:rsidRDefault="009274BB" w:rsidP="009274BB">
      <w:pPr>
        <w:pStyle w:val="MRNumberedHeading2"/>
      </w:pPr>
      <w:bookmarkStart w:id="115" w:name="_Toc403555146"/>
      <w:r w:rsidRPr="001375C3">
        <w:t xml:space="preserve">In respect of any information submitted by a </w:t>
      </w:r>
      <w:r>
        <w:t>Bidder</w:t>
      </w:r>
      <w:r w:rsidRPr="001375C3">
        <w:t xml:space="preserve"> that it considers to be</w:t>
      </w:r>
      <w:r>
        <w:t xml:space="preserve"> confidential or</w:t>
      </w:r>
      <w:r w:rsidRPr="001375C3">
        <w:t xml:space="preserve"> commercially sensitive the </w:t>
      </w:r>
      <w:r>
        <w:t>Bidder</w:t>
      </w:r>
      <w:r w:rsidRPr="001375C3">
        <w:t xml:space="preserve"> should:</w:t>
      </w:r>
      <w:bookmarkEnd w:id="115"/>
    </w:p>
    <w:p w14:paraId="19FBA780"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clearly identify such information as confidential or commercially sensitive;</w:t>
      </w:r>
    </w:p>
    <w:p w14:paraId="665594C4"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explain its reasons why disclosure of such information would be likely to prejudice or would cause actual prejudice to its commercial interests; and</w:t>
      </w:r>
    </w:p>
    <w:p w14:paraId="7C39170A"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pPr>
      <w:r w:rsidRPr="007301E9">
        <w:rPr>
          <w:bCs/>
        </w:rPr>
        <w:t>provide a reasoned estimate of the period of time during which the Bidder believes that</w:t>
      </w:r>
      <w:r w:rsidRPr="007301E9">
        <w:t xml:space="preserve"> such information will remain commercially sensitive.</w:t>
      </w:r>
    </w:p>
    <w:p w14:paraId="3535D3CB" w14:textId="358362E2" w:rsidR="009274BB" w:rsidRPr="001375C3" w:rsidRDefault="009274BB" w:rsidP="009274BB">
      <w:pPr>
        <w:pStyle w:val="MRNumberedHeading2"/>
      </w:pPr>
      <w:bookmarkStart w:id="116" w:name="_Toc403555147"/>
      <w:r w:rsidRPr="001375C3">
        <w:t xml:space="preserve">This information must be listed in this </w:t>
      </w:r>
      <w:r w:rsidR="00A04CCE">
        <w:t>PQQ response</w:t>
      </w:r>
      <w:r w:rsidRPr="001375C3">
        <w:t xml:space="preserve">, </w:t>
      </w:r>
      <w:r>
        <w:t>with a statement of which exemptions are relevant under FOIA and/or the EIR</w:t>
      </w:r>
      <w:r w:rsidRPr="001375C3">
        <w:t>.</w:t>
      </w:r>
      <w:bookmarkEnd w:id="116"/>
    </w:p>
    <w:p w14:paraId="6D0AE1A5" w14:textId="77777777" w:rsidR="009274BB" w:rsidRPr="001375C3" w:rsidRDefault="009274BB" w:rsidP="009274BB">
      <w:pPr>
        <w:pStyle w:val="MRNumberedHeading2"/>
      </w:pPr>
      <w:bookmarkStart w:id="117" w:name="_Ref149547621"/>
      <w:bookmarkStart w:id="118" w:name="_Toc403555148"/>
      <w:r w:rsidRPr="001375C3">
        <w:t xml:space="preserve">Where a </w:t>
      </w:r>
      <w:r>
        <w:t>Bidder</w:t>
      </w:r>
      <w:r w:rsidRPr="001375C3">
        <w:t xml:space="preserve"> identifies information as commercially sensitive, the Authority will take those views into account.  </w:t>
      </w:r>
      <w:r>
        <w:t>Bidders</w:t>
      </w:r>
      <w:r w:rsidRPr="001375C3">
        <w:t xml:space="preserve"> should note, however, that, even where information is identified as commercially sensitive, the Authority may </w:t>
      </w:r>
      <w:r>
        <w:t xml:space="preserve">be </w:t>
      </w:r>
      <w:r w:rsidRPr="001375C3">
        <w:t>require</w:t>
      </w:r>
      <w:r>
        <w:t>d to</w:t>
      </w:r>
      <w:r w:rsidRPr="001375C3">
        <w:t xml:space="preserve"> disclose such information in accordance with FOIA or the EIR.  Accordingly, the Authority cannot guarantee that </w:t>
      </w:r>
      <w:r>
        <w:t>it will withhold</w:t>
      </w:r>
      <w:r w:rsidRPr="001375C3">
        <w:t xml:space="preserve"> inform</w:t>
      </w:r>
      <w:r>
        <w:t>ation marked ‘confidential’, '</w:t>
      </w:r>
      <w:r w:rsidRPr="001375C3">
        <w:t>commer</w:t>
      </w:r>
      <w:r>
        <w:t>cially sensitive'</w:t>
      </w:r>
      <w:r w:rsidRPr="001375C3">
        <w:t xml:space="preserve"> </w:t>
      </w:r>
      <w:bookmarkEnd w:id="117"/>
      <w:r>
        <w:t>or otherwise exempt.</w:t>
      </w:r>
      <w:bookmarkEnd w:id="118"/>
    </w:p>
    <w:p w14:paraId="557F5B0B" w14:textId="77777777" w:rsidR="009274BB" w:rsidRPr="00276E1B" w:rsidRDefault="009274BB" w:rsidP="009274BB">
      <w:pPr>
        <w:pStyle w:val="Heading1"/>
        <w:spacing w:before="240" w:after="0"/>
        <w:ind w:left="851"/>
      </w:pPr>
      <w:bookmarkStart w:id="119" w:name="_Toc403555149"/>
      <w:r w:rsidRPr="00276E1B">
        <w:t>Publicity</w:t>
      </w:r>
      <w:bookmarkEnd w:id="119"/>
    </w:p>
    <w:p w14:paraId="11D4A89D" w14:textId="77777777" w:rsidR="009274BB" w:rsidRPr="00541CDA" w:rsidRDefault="009274BB" w:rsidP="009274BB">
      <w:pPr>
        <w:pStyle w:val="MRNumberedHeading2"/>
      </w:pPr>
      <w:bookmarkStart w:id="120" w:name="_Toc403555150"/>
      <w:r>
        <w:t>No publicity regarding the award of any c</w:t>
      </w:r>
      <w:r w:rsidRPr="00541CDA">
        <w:t xml:space="preserve">ontract will be permitted unless and until the Authority has given express written consent to the relevant communication. For example, no </w:t>
      </w:r>
      <w:r w:rsidRPr="00541CDA">
        <w:lastRenderedPageBreak/>
        <w:t>statements may be made to the media regarding the nature of any Tender, its contents or any proposals relating to it without the prior written consent of the Authority.</w:t>
      </w:r>
      <w:bookmarkEnd w:id="120"/>
    </w:p>
    <w:p w14:paraId="26554CEE" w14:textId="77777777" w:rsidR="009274BB" w:rsidRPr="00276E1B" w:rsidRDefault="009274BB" w:rsidP="009274BB">
      <w:pPr>
        <w:pStyle w:val="Heading1"/>
        <w:spacing w:before="240" w:after="0"/>
        <w:ind w:left="851"/>
      </w:pPr>
      <w:bookmarkStart w:id="121" w:name="a699927"/>
      <w:bookmarkStart w:id="122" w:name="_Toc403555151"/>
      <w:bookmarkEnd w:id="121"/>
      <w:r w:rsidRPr="00276E1B">
        <w:t>Bidder conduct and conflicts of interest</w:t>
      </w:r>
      <w:bookmarkEnd w:id="122"/>
    </w:p>
    <w:p w14:paraId="3174FB49" w14:textId="77777777" w:rsidR="009274BB" w:rsidRPr="00491808" w:rsidRDefault="009274BB" w:rsidP="009274BB">
      <w:pPr>
        <w:pStyle w:val="MRNumberedHeading2"/>
      </w:pPr>
      <w:bookmarkStart w:id="123" w:name="_Toc403555152"/>
      <w:r w:rsidRPr="00491808">
        <w:t xml:space="preserve">Any attempt by </w:t>
      </w:r>
      <w:r>
        <w:t>Bidders</w:t>
      </w:r>
      <w:r w:rsidRPr="00491808">
        <w:t xml:space="preserve"> or their advisors to influence the contract award process in any way may result in the </w:t>
      </w:r>
      <w:r>
        <w:t>Bidder</w:t>
      </w:r>
      <w:r w:rsidRPr="00491808">
        <w:t xml:space="preserve"> being disqualified. Specifically, </w:t>
      </w:r>
      <w:r>
        <w:t>Bidders</w:t>
      </w:r>
      <w:r w:rsidRPr="00491808">
        <w:t xml:space="preserve"> shall not directly or indirectly at any time:</w:t>
      </w:r>
      <w:bookmarkEnd w:id="123"/>
    </w:p>
    <w:p w14:paraId="6FD8FB87"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devise or amend the content of their Tender in accordance with any agreement or arrangement with any other person, other than in good faith with a person who is a proposed partner, supplier, consortium member or provider of finance; </w:t>
      </w:r>
    </w:p>
    <w:p w14:paraId="72366C57"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enter into any agreement or arrangement with any other person as to th</w:t>
      </w:r>
      <w:r>
        <w:rPr>
          <w:bCs/>
        </w:rPr>
        <w:t>e form or content of any other T</w:t>
      </w:r>
      <w:r w:rsidRPr="007301E9">
        <w:rPr>
          <w:bCs/>
        </w:rPr>
        <w:t>ender, or offer to pay any sum of money or valuable consideration to any person to effect changes to the form</w:t>
      </w:r>
      <w:r>
        <w:rPr>
          <w:bCs/>
        </w:rPr>
        <w:t xml:space="preserve"> or content of any other T</w:t>
      </w:r>
      <w:r w:rsidRPr="007301E9">
        <w:rPr>
          <w:bCs/>
        </w:rPr>
        <w:t xml:space="preserve">ender; </w:t>
      </w:r>
    </w:p>
    <w:p w14:paraId="2CE74104"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enter into any agreement or arrangement with any other person that has the effect of prohibiting or excluding that person from submitting </w:t>
      </w:r>
      <w:r>
        <w:rPr>
          <w:bCs/>
        </w:rPr>
        <w:t>a T</w:t>
      </w:r>
      <w:r w:rsidRPr="007301E9">
        <w:rPr>
          <w:bCs/>
        </w:rPr>
        <w:t>ender;</w:t>
      </w:r>
    </w:p>
    <w:p w14:paraId="3EB5F039"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canvass the Authority or any employees or agents of the Authority in relation to this procurement; and/or</w:t>
      </w:r>
    </w:p>
    <w:p w14:paraId="64CD9644"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attempt to obtain information from any of the employees or agents of the Authority or their advisors concerning another </w:t>
      </w:r>
      <w:r>
        <w:rPr>
          <w:bCs/>
        </w:rPr>
        <w:t>B</w:t>
      </w:r>
      <w:r w:rsidRPr="007301E9">
        <w:rPr>
          <w:bCs/>
        </w:rPr>
        <w:t>idder</w:t>
      </w:r>
      <w:r>
        <w:rPr>
          <w:bCs/>
        </w:rPr>
        <w:t xml:space="preserve"> or T</w:t>
      </w:r>
      <w:r w:rsidRPr="007301E9">
        <w:rPr>
          <w:bCs/>
        </w:rPr>
        <w:t>ender (except for debrief information requests made through the</w:t>
      </w:r>
      <w:r>
        <w:rPr>
          <w:bCs/>
        </w:rPr>
        <w:t xml:space="preserve"> e-Tendering</w:t>
      </w:r>
      <w:r w:rsidRPr="007301E9">
        <w:rPr>
          <w:bCs/>
        </w:rPr>
        <w:t xml:space="preserve"> </w:t>
      </w:r>
      <w:r>
        <w:rPr>
          <w:bCs/>
        </w:rPr>
        <w:t>Portal</w:t>
      </w:r>
      <w:r w:rsidRPr="007301E9">
        <w:rPr>
          <w:bCs/>
        </w:rPr>
        <w:t>).</w:t>
      </w:r>
    </w:p>
    <w:p w14:paraId="3E0AAD8F" w14:textId="77777777" w:rsidR="009274BB" w:rsidRPr="00645517" w:rsidRDefault="009274BB" w:rsidP="009274BB">
      <w:pPr>
        <w:pStyle w:val="MRNumberedHeading2"/>
      </w:pPr>
      <w:bookmarkStart w:id="124" w:name="_Toc403555153"/>
      <w:r>
        <w:t>Bidders</w:t>
      </w:r>
      <w:r w:rsidRPr="00645517">
        <w:t xml:space="preserve"> are responsible for ensuring that no conflicts of interest exist between the </w:t>
      </w:r>
      <w:r>
        <w:t>Bidder</w:t>
      </w:r>
      <w:r w:rsidRPr="00645517">
        <w:t xml:space="preserve"> and its advisers, and the Authority and its advisors. </w:t>
      </w:r>
      <w:r>
        <w:t xml:space="preserve">Bidders should notify the Authority promptly of any possible conflict and the proposed steps that the Bidder believes can be taken to avoid the conflict. </w:t>
      </w:r>
      <w:r w:rsidRPr="00645517">
        <w:t xml:space="preserve">Any </w:t>
      </w:r>
      <w:r>
        <w:t>Bidder who fails to comply with these</w:t>
      </w:r>
      <w:r w:rsidRPr="00645517">
        <w:t xml:space="preserve"> requirement</w:t>
      </w:r>
      <w:r>
        <w:t>s</w:t>
      </w:r>
      <w:r w:rsidRPr="00645517">
        <w:t xml:space="preserve"> may be </w:t>
      </w:r>
      <w:r>
        <w:t>excluded</w:t>
      </w:r>
      <w:r w:rsidRPr="00645517">
        <w:t xml:space="preserve"> from the procurement at the discretion of the Authority.</w:t>
      </w:r>
      <w:bookmarkEnd w:id="124"/>
      <w:r>
        <w:t xml:space="preserve">    </w:t>
      </w:r>
    </w:p>
    <w:p w14:paraId="3AB10E48" w14:textId="77777777" w:rsidR="009274BB" w:rsidRPr="00491808" w:rsidRDefault="009274BB" w:rsidP="009274BB">
      <w:pPr>
        <w:pStyle w:val="Heading1"/>
        <w:spacing w:before="240" w:after="0"/>
        <w:ind w:left="851"/>
      </w:pPr>
      <w:bookmarkStart w:id="125" w:name="a582432"/>
      <w:bookmarkStart w:id="126" w:name="_Toc403555154"/>
      <w:bookmarkEnd w:id="125"/>
      <w:r w:rsidRPr="00491808">
        <w:t>Authority's rights</w:t>
      </w:r>
      <w:bookmarkEnd w:id="126"/>
    </w:p>
    <w:p w14:paraId="357DB700" w14:textId="77777777" w:rsidR="009274BB" w:rsidRPr="00491808" w:rsidRDefault="009274BB" w:rsidP="009274BB">
      <w:pPr>
        <w:pStyle w:val="MRNumberedHeading2"/>
      </w:pPr>
      <w:bookmarkStart w:id="127" w:name="_Toc403555155"/>
      <w:r>
        <w:t>Subject to its obligations to act in a transparent, proportionate and non-discriminatory manner, t</w:t>
      </w:r>
      <w:r w:rsidRPr="00491808">
        <w:t>he Authority reserves the right to:</w:t>
      </w:r>
      <w:bookmarkEnd w:id="127"/>
    </w:p>
    <w:p w14:paraId="32E2427C" w14:textId="451F5BD9"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waive or change the requirements of this </w:t>
      </w:r>
      <w:r w:rsidR="00CB244E">
        <w:rPr>
          <w:bCs/>
        </w:rPr>
        <w:t>Tender</w:t>
      </w:r>
      <w:r w:rsidRPr="007301E9">
        <w:rPr>
          <w:bCs/>
        </w:rPr>
        <w:t xml:space="preserve"> from time to time;</w:t>
      </w:r>
    </w:p>
    <w:p w14:paraId="2D1D4D77" w14:textId="77777777"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seek clarification or documents in respect of a Bidder's submission;</w:t>
      </w:r>
    </w:p>
    <w:p w14:paraId="58318D78" w14:textId="521C5F63"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disqualify any Bidder that does not submit a compliant Tender in accordance with the instructions in this </w:t>
      </w:r>
      <w:r w:rsidR="00CB244E">
        <w:rPr>
          <w:bCs/>
        </w:rPr>
        <w:t>PQQ</w:t>
      </w:r>
      <w:r w:rsidRPr="007301E9">
        <w:rPr>
          <w:bCs/>
        </w:rPr>
        <w:t>;</w:t>
      </w:r>
    </w:p>
    <w:p w14:paraId="000D1A20" w14:textId="7F14B9FF"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disqualify any Bidder that is guilty of serious misrepresent</w:t>
      </w:r>
      <w:r>
        <w:rPr>
          <w:bCs/>
        </w:rPr>
        <w:t xml:space="preserve">ation in relation to its </w:t>
      </w:r>
      <w:r w:rsidR="00CB244E">
        <w:rPr>
          <w:bCs/>
        </w:rPr>
        <w:t>PQQ</w:t>
      </w:r>
      <w:r w:rsidRPr="007301E9">
        <w:rPr>
          <w:bCs/>
        </w:rPr>
        <w:t xml:space="preserve"> </w:t>
      </w:r>
      <w:r>
        <w:rPr>
          <w:bCs/>
        </w:rPr>
        <w:t>or the T</w:t>
      </w:r>
      <w:r w:rsidRPr="007301E9">
        <w:rPr>
          <w:bCs/>
        </w:rPr>
        <w:t>ender process;</w:t>
      </w:r>
    </w:p>
    <w:p w14:paraId="11AFF5D3" w14:textId="2FA2E193"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withdraw this </w:t>
      </w:r>
      <w:r w:rsidR="00CB244E">
        <w:rPr>
          <w:bCs/>
        </w:rPr>
        <w:t>PQQ</w:t>
      </w:r>
      <w:r w:rsidRPr="007301E9">
        <w:rPr>
          <w:bCs/>
        </w:rPr>
        <w:t xml:space="preserve"> at any time, or re-invite Tenders on the same or any alternative basis; </w:t>
      </w:r>
    </w:p>
    <w:p w14:paraId="26765BF9" w14:textId="4102E3D1" w:rsidR="009274BB" w:rsidRPr="007301E9"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 xml:space="preserve">choose not to </w:t>
      </w:r>
      <w:r w:rsidR="00CB244E">
        <w:rPr>
          <w:bCs/>
        </w:rPr>
        <w:t>select</w:t>
      </w:r>
      <w:r w:rsidRPr="007301E9">
        <w:rPr>
          <w:bCs/>
        </w:rPr>
        <w:t xml:space="preserve"> any </w:t>
      </w:r>
      <w:r w:rsidR="00CB244E">
        <w:rPr>
          <w:bCs/>
        </w:rPr>
        <w:t>suppliers</w:t>
      </w:r>
      <w:r w:rsidRPr="007301E9">
        <w:rPr>
          <w:bCs/>
        </w:rPr>
        <w:t xml:space="preserve"> as a result of the current procurement process; and</w:t>
      </w:r>
    </w:p>
    <w:p w14:paraId="25B3290F" w14:textId="77777777" w:rsidR="009274BB" w:rsidRDefault="009274BB" w:rsidP="009274BB">
      <w:pPr>
        <w:pStyle w:val="MRNumberedHeading3"/>
        <w:numPr>
          <w:ilvl w:val="2"/>
          <w:numId w:val="23"/>
        </w:numPr>
        <w:tabs>
          <w:tab w:val="clear" w:pos="2215"/>
          <w:tab w:val="num" w:pos="1794"/>
          <w:tab w:val="num" w:pos="1931"/>
        </w:tabs>
        <w:spacing w:line="240" w:lineRule="auto"/>
        <w:ind w:left="1702" w:hanging="851"/>
        <w:jc w:val="both"/>
        <w:rPr>
          <w:bCs/>
        </w:rPr>
      </w:pPr>
      <w:r w:rsidRPr="007301E9">
        <w:rPr>
          <w:bCs/>
        </w:rPr>
        <w:t>make whatever changes it sees fit to the timetable, structure or content of the procurement process.</w:t>
      </w:r>
    </w:p>
    <w:p w14:paraId="653ADE4B" w14:textId="436FC61A" w:rsidR="009274BB" w:rsidRPr="007301E9" w:rsidRDefault="009274BB" w:rsidP="009274BB">
      <w:pPr>
        <w:pStyle w:val="MRNumberedHeading3"/>
        <w:numPr>
          <w:ilvl w:val="2"/>
          <w:numId w:val="23"/>
        </w:numPr>
        <w:tabs>
          <w:tab w:val="clear" w:pos="2215"/>
          <w:tab w:val="num" w:pos="1931"/>
        </w:tabs>
        <w:spacing w:line="240" w:lineRule="auto"/>
        <w:ind w:left="1931"/>
        <w:jc w:val="both"/>
        <w:rPr>
          <w:bCs/>
        </w:rPr>
      </w:pPr>
      <w:r w:rsidRPr="00FD6D61">
        <w:rPr>
          <w:bCs/>
        </w:rPr>
        <w:t>does not bind himself to accept any tender, or to refund any monies or expenses incurred in tendering.</w:t>
      </w:r>
    </w:p>
    <w:p w14:paraId="1E6EC5C7" w14:textId="421EEB62" w:rsidR="009274BB" w:rsidRPr="00491808" w:rsidRDefault="00CB244E" w:rsidP="009274BB">
      <w:pPr>
        <w:pStyle w:val="Heading1"/>
        <w:spacing w:before="240" w:after="0"/>
        <w:ind w:left="851"/>
      </w:pPr>
      <w:bookmarkStart w:id="128" w:name="a934916"/>
      <w:bookmarkStart w:id="129" w:name="_Toc403555156"/>
      <w:bookmarkEnd w:id="128"/>
      <w:r>
        <w:lastRenderedPageBreak/>
        <w:t>PQQ</w:t>
      </w:r>
      <w:r w:rsidR="009274BB" w:rsidRPr="00491808">
        <w:t xml:space="preserve"> costs</w:t>
      </w:r>
      <w:bookmarkEnd w:id="129"/>
    </w:p>
    <w:p w14:paraId="1AA637AA" w14:textId="62C95E2B" w:rsidR="009274BB" w:rsidRDefault="009274BB" w:rsidP="009274BB">
      <w:pPr>
        <w:pStyle w:val="MRNumberedHeading2"/>
      </w:pPr>
      <w:bookmarkStart w:id="130" w:name="_Toc403555157"/>
      <w:r w:rsidRPr="00491808">
        <w:t xml:space="preserve">The Authority will not be liable for any </w:t>
      </w:r>
      <w:r w:rsidR="00CB244E">
        <w:t>PQQ</w:t>
      </w:r>
      <w:r w:rsidRPr="00491808">
        <w:t xml:space="preserve"> costs, expenditure, work or effort incurred by a </w:t>
      </w:r>
      <w:r>
        <w:t>Bidder</w:t>
      </w:r>
      <w:r w:rsidRPr="00491808">
        <w:t xml:space="preserve"> in proceeding with or participating in this procurement, including if the procurement process is terminated or amended by the Authority.</w:t>
      </w:r>
      <w:bookmarkEnd w:id="130"/>
    </w:p>
    <w:p w14:paraId="75B23C76" w14:textId="77777777" w:rsidR="009274BB" w:rsidRPr="00276E1B" w:rsidRDefault="009274BB" w:rsidP="009274BB">
      <w:pPr>
        <w:pStyle w:val="Heading1"/>
        <w:spacing w:before="240" w:after="0"/>
        <w:ind w:left="851"/>
      </w:pPr>
      <w:bookmarkStart w:id="131" w:name="_Toc403555158"/>
      <w:r w:rsidRPr="00276E1B">
        <w:t>Language</w:t>
      </w:r>
      <w:bookmarkEnd w:id="131"/>
    </w:p>
    <w:p w14:paraId="51C6748D" w14:textId="77777777" w:rsidR="009274BB" w:rsidRDefault="009274BB" w:rsidP="009274BB">
      <w:pPr>
        <w:pStyle w:val="MRNumberedHeading2"/>
      </w:pPr>
      <w:bookmarkStart w:id="132" w:name="_Toc403555159"/>
      <w:r w:rsidRPr="00A24900">
        <w:t xml:space="preserve">Tenders, all documents and all </w:t>
      </w:r>
      <w:r>
        <w:t>correspondence relating to the T</w:t>
      </w:r>
      <w:r w:rsidRPr="00A24900">
        <w:t>ender must be written in English.</w:t>
      </w:r>
      <w:bookmarkEnd w:id="132"/>
    </w:p>
    <w:p w14:paraId="45721E76" w14:textId="77777777" w:rsidR="009274BB" w:rsidRPr="00276E1B" w:rsidRDefault="009274BB" w:rsidP="009274BB">
      <w:pPr>
        <w:pStyle w:val="Heading1"/>
        <w:spacing w:before="240" w:after="0"/>
        <w:ind w:left="851"/>
      </w:pPr>
      <w:bookmarkStart w:id="133" w:name="_Toc403555160"/>
      <w:r>
        <w:rPr>
          <w:noProof/>
        </w:rPr>
        <mc:AlternateContent>
          <mc:Choice Requires="wps">
            <w:drawing>
              <wp:anchor distT="0" distB="0" distL="114300" distR="114300" simplePos="0" relativeHeight="251662848" behindDoc="0" locked="0" layoutInCell="1" allowOverlap="1" wp14:anchorId="7F4C7890" wp14:editId="33BA2267">
                <wp:simplePos x="0" y="0"/>
                <wp:positionH relativeFrom="column">
                  <wp:posOffset>5881481</wp:posOffset>
                </wp:positionH>
                <wp:positionV relativeFrom="paragraph">
                  <wp:posOffset>287655</wp:posOffset>
                </wp:positionV>
                <wp:extent cx="508635" cy="436880"/>
                <wp:effectExtent l="0" t="0" r="5715" b="1270"/>
                <wp:wrapNone/>
                <wp:docPr id="16" name="Text Box 16"/>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ysClr val="window" lastClr="FFFFFF"/>
                        </a:solidFill>
                        <a:ln w="6350">
                          <a:noFill/>
                        </a:ln>
                        <a:effectLst/>
                      </wps:spPr>
                      <wps:txbx>
                        <w:txbxContent>
                          <w:p w14:paraId="6AB0C1C2" w14:textId="77777777" w:rsidR="0009642C" w:rsidRDefault="0009642C" w:rsidP="009274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C7890" id="Text Box 16" o:spid="_x0000_s1043" type="#_x0000_t202" style="position:absolute;left:0;text-align:left;margin-left:463.1pt;margin-top:22.65pt;width:40.05pt;height:34.4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" fillcolor="window" stroked="f" strokeweight=".5pt">
                <v:textbox>
                  <w:txbxContent>
                    <w:p w14:paraId="6AB0C1C2" w14:textId="77777777" w:rsidR="0009642C" w:rsidRDefault="0009642C" w:rsidP="009274BB"/>
                  </w:txbxContent>
                </v:textbox>
              </v:shape>
            </w:pict>
          </mc:Fallback>
        </mc:AlternateContent>
      </w:r>
      <w:r w:rsidRPr="00276E1B">
        <w:t>Transparency</w:t>
      </w:r>
      <w:bookmarkEnd w:id="133"/>
      <w:r w:rsidRPr="00276E1B">
        <w:t xml:space="preserve">  </w:t>
      </w:r>
    </w:p>
    <w:p w14:paraId="46077B85" w14:textId="18D7435E" w:rsidR="009274BB" w:rsidRDefault="009274BB" w:rsidP="009274BB">
      <w:pPr>
        <w:pStyle w:val="MRNumberedHeading2"/>
      </w:pPr>
      <w:bookmarkStart w:id="134" w:name="_Toc403555161"/>
      <w:bookmarkStart w:id="135" w:name="_Ref405453244"/>
      <w:r>
        <w:t xml:space="preserve">In accordance with the Public Contracts Regulations 2015 and the Government’s policy on transparency, Bidders should be aware that the Authority intends to make the </w:t>
      </w:r>
      <w:r w:rsidR="00CB244E">
        <w:t>Tender</w:t>
      </w:r>
      <w:r>
        <w:t xml:space="preserve"> and details of any subsequent contract publicly available, by publication on the Government</w:t>
      </w:r>
      <w:bookmarkEnd w:id="134"/>
      <w:bookmarkEnd w:id="135"/>
      <w:r>
        <w:t>'s Contracts Finder portal.</w:t>
      </w:r>
    </w:p>
    <w:p w14:paraId="281A7150" w14:textId="77777777" w:rsidR="009274BB" w:rsidRPr="00276E1B" w:rsidRDefault="009274BB" w:rsidP="009274BB">
      <w:pPr>
        <w:pStyle w:val="Heading1"/>
        <w:spacing w:before="240" w:after="0"/>
        <w:ind w:left="851"/>
      </w:pPr>
      <w:bookmarkStart w:id="136" w:name="_Toc403555162"/>
      <w:r w:rsidRPr="00276E1B">
        <w:t>Governing Law and Jurisdiction</w:t>
      </w:r>
      <w:bookmarkEnd w:id="136"/>
      <w:r w:rsidRPr="00276E1B">
        <w:t xml:space="preserve"> </w:t>
      </w:r>
    </w:p>
    <w:p w14:paraId="1979D54B" w14:textId="13D3CCC1" w:rsidR="009274BB" w:rsidRDefault="009274BB" w:rsidP="009274BB">
      <w:pPr>
        <w:pStyle w:val="MRNumberedHeading2"/>
      </w:pPr>
      <w:bookmarkStart w:id="137" w:name="_Toc403555163"/>
      <w:r>
        <w:t xml:space="preserve">This </w:t>
      </w:r>
      <w:r w:rsidR="00CB244E">
        <w:t>PQQ</w:t>
      </w:r>
      <w:r>
        <w:t xml:space="preserve"> and any dispute concerning it (including non-contractual disputes or claims) shall be governed by English law and subject to the jurisdiction of the English Courts</w:t>
      </w:r>
      <w:bookmarkEnd w:id="137"/>
      <w:r>
        <w:t>.</w:t>
      </w:r>
    </w:p>
    <w:p w14:paraId="3F62B97E" w14:textId="2F961C6D" w:rsidR="00AC4A51" w:rsidRDefault="00AC4A51" w:rsidP="00AC4A51">
      <w:pPr>
        <w:pStyle w:val="MRNumberedHeading2"/>
        <w:numPr>
          <w:ilvl w:val="0"/>
          <w:numId w:val="0"/>
        </w:numPr>
        <w:ind w:left="851"/>
      </w:pPr>
    </w:p>
    <w:p w14:paraId="2CCD3C0B" w14:textId="180DD08A" w:rsidR="00AC4A51" w:rsidRDefault="00AC4A51" w:rsidP="00AC4A51">
      <w:pPr>
        <w:pStyle w:val="MRNumberedHeading2"/>
        <w:numPr>
          <w:ilvl w:val="0"/>
          <w:numId w:val="0"/>
        </w:numPr>
        <w:ind w:left="851"/>
      </w:pPr>
    </w:p>
    <w:p w14:paraId="65060EE7" w14:textId="77777777" w:rsidR="00AC4A51" w:rsidRPr="005A2E47" w:rsidRDefault="00AC4A51" w:rsidP="00AC4A51">
      <w:pPr>
        <w:pStyle w:val="MRNumberedHeading2"/>
        <w:numPr>
          <w:ilvl w:val="0"/>
          <w:numId w:val="0"/>
        </w:numPr>
        <w:ind w:left="851"/>
      </w:pPr>
    </w:p>
    <w:p w14:paraId="20C73903" w14:textId="4A5BCED2" w:rsidR="008824CC" w:rsidRPr="008F3D2C" w:rsidRDefault="008731E8" w:rsidP="0035766D">
      <w:pPr>
        <w:pStyle w:val="MRNumberedHeading1"/>
        <w:numPr>
          <w:ilvl w:val="0"/>
          <w:numId w:val="24"/>
        </w:numPr>
        <w:ind w:hanging="798"/>
        <w:jc w:val="both"/>
        <w:rPr>
          <w:sz w:val="20"/>
          <w:szCs w:val="20"/>
        </w:rPr>
      </w:pPr>
      <w:r w:rsidRPr="008F3D2C">
        <w:rPr>
          <w:sz w:val="20"/>
          <w:szCs w:val="20"/>
        </w:rPr>
        <w:t>TENDER EVALUATION METHODOLOGY AND CRITERIA</w:t>
      </w:r>
      <w:bookmarkEnd w:id="65"/>
      <w:bookmarkEnd w:id="66"/>
      <w:bookmarkEnd w:id="67"/>
      <w:bookmarkEnd w:id="68"/>
      <w:bookmarkEnd w:id="69"/>
      <w:r w:rsidRPr="008F3D2C">
        <w:rPr>
          <w:sz w:val="20"/>
          <w:szCs w:val="20"/>
        </w:rPr>
        <w:t xml:space="preserve"> </w:t>
      </w:r>
    </w:p>
    <w:p w14:paraId="7F6AEDD4" w14:textId="77777777" w:rsidR="00AC4A51" w:rsidRDefault="00AC4A51" w:rsidP="00AC4A51">
      <w:pPr>
        <w:pStyle w:val="Heading1"/>
        <w:spacing w:before="240" w:after="0"/>
        <w:ind w:left="851"/>
      </w:pPr>
      <w:bookmarkStart w:id="138" w:name="_Toc403555164"/>
      <w:r>
        <w:t>Overview</w:t>
      </w:r>
      <w:bookmarkEnd w:id="138"/>
    </w:p>
    <w:p w14:paraId="4432E14A" w14:textId="4C3FD040" w:rsidR="00AC4A51" w:rsidRDefault="00AC4A51" w:rsidP="00AC4A51">
      <w:pPr>
        <w:pStyle w:val="MRNumberedHeading2"/>
      </w:pPr>
      <w:bookmarkStart w:id="139" w:name="_Toc403555165"/>
      <w:r>
        <w:t>T</w:t>
      </w:r>
      <w:r w:rsidRPr="003E3276">
        <w:t>h</w:t>
      </w:r>
      <w:r>
        <w:t xml:space="preserve">is section of the PQQ sets out the criteria that the Authority will use to evaluate </w:t>
      </w:r>
      <w:r w:rsidR="009C6BEF">
        <w:t>bidders responses</w:t>
      </w:r>
      <w:r>
        <w:t>.</w:t>
      </w:r>
      <w:bookmarkEnd w:id="139"/>
    </w:p>
    <w:p w14:paraId="6EF9B6B6" w14:textId="57DF280B" w:rsidR="00AC4A51" w:rsidRDefault="00AC4A51" w:rsidP="00AC4A51">
      <w:pPr>
        <w:pStyle w:val="MRNumberedHeading2"/>
      </w:pPr>
      <w:bookmarkStart w:id="140" w:name="_Toc403555166"/>
      <w:r>
        <w:t>Bidders</w:t>
      </w:r>
      <w:r w:rsidRPr="00A51144">
        <w:t xml:space="preserve"> are required to submit a </w:t>
      </w:r>
      <w:r w:rsidR="009C6BEF">
        <w:t>responses</w:t>
      </w:r>
      <w:r w:rsidRPr="00A51144">
        <w:t xml:space="preserve"> strictly in accordance with the requirements set out in this </w:t>
      </w:r>
      <w:r w:rsidR="009C6BEF">
        <w:t>PQQ</w:t>
      </w:r>
      <w:r w:rsidRPr="00A51144">
        <w:t xml:space="preserve">, to ensure the Authority has the correct information to make the evaluation. </w:t>
      </w:r>
      <w:r>
        <w:t xml:space="preserve">If a </w:t>
      </w:r>
      <w:r w:rsidR="009C6BEF">
        <w:t>PQQ</w:t>
      </w:r>
      <w:r>
        <w:t xml:space="preserve"> is equivocal or unclear, the Authority may deduct marks when scoring it, or it may treat the </w:t>
      </w:r>
      <w:r w:rsidR="009C6BEF">
        <w:t>Response</w:t>
      </w:r>
      <w:r>
        <w:t xml:space="preserve"> as non-compliant and reject it.</w:t>
      </w:r>
      <w:bookmarkEnd w:id="140"/>
    </w:p>
    <w:p w14:paraId="7CE3545B" w14:textId="163F6275" w:rsidR="00AC4A51" w:rsidRDefault="00AC4A51" w:rsidP="00AC4A51">
      <w:pPr>
        <w:pStyle w:val="MRNumberedHeading2"/>
      </w:pPr>
      <w:bookmarkStart w:id="141" w:name="_Toc403555167"/>
      <w:r>
        <w:t xml:space="preserve">The Authority will </w:t>
      </w:r>
      <w:r w:rsidR="009C6BEF">
        <w:t>select up to five contractors</w:t>
      </w:r>
      <w:r>
        <w:t xml:space="preserve"> to the Tender that scores the highest marks, applying the methodology below. Scoring will be carried out as follows:</w:t>
      </w:r>
      <w:bookmarkEnd w:id="141"/>
      <w:r>
        <w:t xml:space="preserve"> </w:t>
      </w:r>
    </w:p>
    <w:p w14:paraId="38282B28" w14:textId="77777777" w:rsidR="00AC4A51" w:rsidRDefault="00AC4A51" w:rsidP="00AC4A51">
      <w:pPr>
        <w:pStyle w:val="MRNumberedHeading3"/>
        <w:numPr>
          <w:ilvl w:val="2"/>
          <w:numId w:val="23"/>
        </w:numPr>
        <w:tabs>
          <w:tab w:val="clear" w:pos="2215"/>
          <w:tab w:val="num" w:pos="1794"/>
          <w:tab w:val="num" w:pos="1931"/>
        </w:tabs>
        <w:spacing w:line="240" w:lineRule="auto"/>
        <w:ind w:left="1702" w:hanging="851"/>
        <w:jc w:val="both"/>
      </w:pPr>
      <w:r>
        <w:t>The Bidder must pass all Eligibility Questions (Qualification Envelope).</w:t>
      </w:r>
    </w:p>
    <w:p w14:paraId="780C805C" w14:textId="50FE356C" w:rsidR="00AC4A51" w:rsidRDefault="00AC4A51" w:rsidP="00AC4A51">
      <w:pPr>
        <w:pStyle w:val="MRNumberedHeading3"/>
        <w:numPr>
          <w:ilvl w:val="2"/>
          <w:numId w:val="23"/>
        </w:numPr>
        <w:tabs>
          <w:tab w:val="clear" w:pos="2215"/>
          <w:tab w:val="num" w:pos="1794"/>
          <w:tab w:val="num" w:pos="1931"/>
        </w:tabs>
        <w:spacing w:line="240" w:lineRule="auto"/>
        <w:ind w:left="1702" w:hanging="851"/>
        <w:jc w:val="both"/>
      </w:pPr>
      <w:bookmarkStart w:id="142" w:name="_Ref406761853"/>
      <w:r w:rsidRPr="003A2543">
        <w:rPr>
          <w:rFonts w:eastAsiaTheme="minorHAnsi" w:cs="Arial"/>
          <w:b/>
          <w:noProof/>
          <w:szCs w:val="22"/>
        </w:rPr>
        <mc:AlternateContent>
          <mc:Choice Requires="wps">
            <w:drawing>
              <wp:anchor distT="0" distB="0" distL="114300" distR="114300" simplePos="0" relativeHeight="251753472" behindDoc="0" locked="0" layoutInCell="1" allowOverlap="1" wp14:anchorId="3556F08C" wp14:editId="63570D17">
                <wp:simplePos x="0" y="0"/>
                <wp:positionH relativeFrom="column">
                  <wp:posOffset>6003693</wp:posOffset>
                </wp:positionH>
                <wp:positionV relativeFrom="paragraph">
                  <wp:posOffset>104775</wp:posOffset>
                </wp:positionV>
                <wp:extent cx="415925" cy="533400"/>
                <wp:effectExtent l="0" t="0" r="317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43" w:name="handfourthreetwo"/>
                          <w:bookmarkEnd w:id="143"/>
                          <w:p w14:paraId="2657CBAF" w14:textId="77777777" w:rsidR="00AC4A51" w:rsidRPr="00B12F1E" w:rsidRDefault="00AC4A51" w:rsidP="00AC4A51">
                            <w:pPr>
                              <w:spacing w:after="240"/>
                              <w:ind w:right="-1177"/>
                              <w:rPr>
                                <w:rStyle w:val="Hyperlink"/>
                                <w:i/>
                                <w:color w:val="FF0000"/>
                                <w:szCs w:val="22"/>
                              </w:rPr>
                            </w:pPr>
                            <w:r>
                              <w:rPr>
                                <w:rFonts w:ascii="Wingdings" w:hAnsi="Wingdings"/>
                                <w:b/>
                                <w:color w:val="FF0000"/>
                                <w:sz w:val="44"/>
                                <w:szCs w:val="44"/>
                              </w:rPr>
                              <w:fldChar w:fldCharType="begin"/>
                            </w:r>
                            <w:r>
                              <w:rPr>
                                <w:rFonts w:ascii="Wingdings" w:hAnsi="Wingdings"/>
                                <w:b/>
                                <w:color w:val="FF0000"/>
                                <w:sz w:val="44"/>
                                <w:szCs w:val="44"/>
                              </w:rPr>
                              <w:instrText>HYPERLINK  \l "fourthreetwo" \o "Delete reference to Annex B2 if Bidders are not permitted to propose amendments to the Specification"</w:instrText>
                            </w:r>
                            <w:r>
                              <w:rPr>
                                <w:rFonts w:ascii="Wingdings" w:hAnsi="Wingdings"/>
                                <w:b/>
                                <w:color w:val="FF0000"/>
                                <w:sz w:val="44"/>
                                <w:szCs w:val="44"/>
                              </w:rPr>
                              <w:fldChar w:fldCharType="separate"/>
                            </w:r>
                          </w:p>
                          <w:p w14:paraId="112DC90D" w14:textId="77777777" w:rsidR="00AC4A51" w:rsidRDefault="00AC4A51" w:rsidP="00AC4A51">
                            <w:r>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6F08C" id="Text Box 9" o:spid="_x0000_s1044" type="#_x0000_t202" style="position:absolute;left:0;text-align:left;margin-left:472.75pt;margin-top:8.25pt;width:32.75pt;height:4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" stroked="f">
                <v:textbox>
                  <w:txbxContent>
                    <w:bookmarkStart w:id="144" w:name="handfourthreetwo"/>
                    <w:bookmarkEnd w:id="144"/>
                    <w:p w14:paraId="2657CBAF" w14:textId="77777777" w:rsidR="00AC4A51" w:rsidRPr="00B12F1E" w:rsidRDefault="00AC4A51" w:rsidP="00AC4A51">
                      <w:pPr>
                        <w:spacing w:after="240"/>
                        <w:ind w:right="-1177"/>
                        <w:rPr>
                          <w:rStyle w:val="Hyperlink"/>
                          <w:i/>
                          <w:color w:val="FF0000"/>
                          <w:szCs w:val="22"/>
                        </w:rPr>
                      </w:pPr>
                      <w:r>
                        <w:rPr>
                          <w:rFonts w:ascii="Wingdings" w:hAnsi="Wingdings"/>
                          <w:b/>
                          <w:color w:val="FF0000"/>
                          <w:sz w:val="44"/>
                          <w:szCs w:val="44"/>
                        </w:rPr>
                        <w:fldChar w:fldCharType="begin"/>
                      </w:r>
                      <w:r>
                        <w:rPr>
                          <w:rFonts w:ascii="Wingdings" w:hAnsi="Wingdings"/>
                          <w:b/>
                          <w:color w:val="FF0000"/>
                          <w:sz w:val="44"/>
                          <w:szCs w:val="44"/>
                        </w:rPr>
                        <w:instrText>HYPERLINK  \l "fourthreetwo" \o "Delete reference to Annex B2 if Bidders are not permitted to propose amendments to the Specification"</w:instrText>
                      </w:r>
                      <w:r>
                        <w:rPr>
                          <w:rFonts w:ascii="Wingdings" w:hAnsi="Wingdings"/>
                          <w:b/>
                          <w:color w:val="FF0000"/>
                          <w:sz w:val="44"/>
                          <w:szCs w:val="44"/>
                        </w:rPr>
                        <w:fldChar w:fldCharType="separate"/>
                      </w:r>
                    </w:p>
                    <w:p w14:paraId="112DC90D" w14:textId="77777777" w:rsidR="00AC4A51" w:rsidRDefault="00AC4A51" w:rsidP="00AC4A51">
                      <w:r>
                        <w:rPr>
                          <w:rFonts w:ascii="Wingdings" w:hAnsi="Wingdings"/>
                          <w:b/>
                          <w:color w:val="FF0000"/>
                          <w:sz w:val="44"/>
                          <w:szCs w:val="44"/>
                        </w:rPr>
                        <w:fldChar w:fldCharType="end"/>
                      </w:r>
                    </w:p>
                  </w:txbxContent>
                </v:textbox>
              </v:shape>
            </w:pict>
          </mc:Fallback>
        </mc:AlternateContent>
      </w:r>
      <w:r>
        <w:t xml:space="preserve">The Authority will then mark </w:t>
      </w:r>
      <w:r w:rsidRPr="00A20564">
        <w:t>Annex B</w:t>
      </w:r>
      <w:r>
        <w:t>3</w:t>
      </w:r>
      <w:r w:rsidR="009C6BEF">
        <w:t>-PQQ</w:t>
      </w:r>
      <w:r w:rsidRPr="00A20564">
        <w:t xml:space="preserve"> of Section B Specification and </w:t>
      </w:r>
      <w:r>
        <w:t>Tender Response Document ("</w:t>
      </w:r>
      <w:r w:rsidRPr="004B6544">
        <w:rPr>
          <w:b/>
        </w:rPr>
        <w:t>Scored Questions</w:t>
      </w:r>
      <w:r>
        <w:t>") for all Bidders that pass all the Eligibility Questions.</w:t>
      </w:r>
      <w:bookmarkEnd w:id="142"/>
      <w:r>
        <w:t xml:space="preserve"> </w:t>
      </w:r>
    </w:p>
    <w:p w14:paraId="12A539AB" w14:textId="77777777" w:rsidR="00AC4A51" w:rsidRPr="00995CBC" w:rsidRDefault="00AC4A51" w:rsidP="00AC4A51">
      <w:pPr>
        <w:pStyle w:val="MRNumberedHeading2"/>
      </w:pPr>
      <w:bookmarkStart w:id="145" w:name="_Toc403555168"/>
      <w:r>
        <w:t xml:space="preserve">The Authority will mark Eligibility Questions as described in paragraphs </w:t>
      </w:r>
      <w:r>
        <w:fldChar w:fldCharType="begin"/>
      </w:r>
      <w:r>
        <w:instrText xml:space="preserve"> REF _Ref403484377 \r \h  \* MERGEFORMAT </w:instrText>
      </w:r>
      <w:r>
        <w:fldChar w:fldCharType="separate"/>
      </w:r>
      <w:r>
        <w:t>4.5</w:t>
      </w:r>
      <w:r>
        <w:fldChar w:fldCharType="end"/>
      </w:r>
      <w:r>
        <w:t xml:space="preserve"> to </w:t>
      </w:r>
      <w:r>
        <w:fldChar w:fldCharType="begin"/>
      </w:r>
      <w:r>
        <w:instrText xml:space="preserve"> REF _Ref403484379 \r \h  \* MERGEFORMAT </w:instrText>
      </w:r>
      <w:r>
        <w:fldChar w:fldCharType="separate"/>
      </w:r>
      <w:r>
        <w:t>4.7</w:t>
      </w:r>
      <w:r>
        <w:fldChar w:fldCharType="end"/>
      </w:r>
      <w:r>
        <w:t xml:space="preserve">.  It will mark the Scored Questions as described in </w:t>
      </w:r>
      <w:r w:rsidRPr="00995CBC">
        <w:t>paragraphs</w:t>
      </w:r>
      <w:r>
        <w:t xml:space="preserve"> </w:t>
      </w:r>
      <w:r w:rsidRPr="00326B26">
        <w:t>4.8 to 4.14</w:t>
      </w:r>
      <w:r>
        <w:t>.</w:t>
      </w:r>
      <w:bookmarkEnd w:id="145"/>
      <w:r w:rsidRPr="00995CBC">
        <w:t xml:space="preserve"> </w:t>
      </w:r>
    </w:p>
    <w:p w14:paraId="67A20C7E" w14:textId="77777777" w:rsidR="00AC4A51" w:rsidRPr="00995CBC" w:rsidRDefault="00AC4A51" w:rsidP="00AC4A51">
      <w:pPr>
        <w:pStyle w:val="Heading1"/>
        <w:spacing w:before="240" w:after="0"/>
        <w:ind w:left="851"/>
      </w:pPr>
      <w:bookmarkStart w:id="146" w:name="_Toc403555169"/>
      <w:r w:rsidRPr="00995CBC">
        <w:t>Criteria – Eligibility Questions</w:t>
      </w:r>
      <w:bookmarkEnd w:id="146"/>
      <w:r w:rsidRPr="00995CBC">
        <w:t xml:space="preserve"> (Qualification Envelope)</w:t>
      </w:r>
    </w:p>
    <w:p w14:paraId="4EC62087" w14:textId="7EC69101" w:rsidR="00AC4A51" w:rsidRDefault="00AC4A51" w:rsidP="00AC4A51">
      <w:pPr>
        <w:pStyle w:val="MRNumberedHeading2"/>
      </w:pPr>
      <w:bookmarkStart w:id="147" w:name="_Ref403484377"/>
      <w:bookmarkStart w:id="148" w:name="_Toc403555170"/>
      <w:r w:rsidRPr="00995CBC">
        <w:t>The Authority will score Eligibility Questions on the following basis</w:t>
      </w:r>
      <w:r w:rsidR="009C6BEF">
        <w:t xml:space="preserve"> (this is an example only)</w:t>
      </w:r>
      <w:r>
        <w:t>:</w:t>
      </w:r>
      <w:bookmarkEnd w:id="147"/>
      <w:bookmarkEnd w:id="148"/>
    </w:p>
    <w:p w14:paraId="21DAC452" w14:textId="77777777" w:rsidR="00AC4A51" w:rsidRPr="00B44E25" w:rsidRDefault="00AC4A51" w:rsidP="00AC4A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920"/>
        <w:gridCol w:w="2888"/>
      </w:tblGrid>
      <w:tr w:rsidR="00AC4A51" w:rsidRPr="00440F01" w14:paraId="5556375E" w14:textId="77777777" w:rsidTr="0087065A">
        <w:tc>
          <w:tcPr>
            <w:tcW w:w="2378" w:type="dxa"/>
            <w:shd w:val="clear" w:color="auto" w:fill="A6A6A6"/>
          </w:tcPr>
          <w:p w14:paraId="60AA3921" w14:textId="77777777" w:rsidR="00AC4A51" w:rsidRPr="00440F01" w:rsidRDefault="00AC4A51" w:rsidP="0087065A">
            <w:pPr>
              <w:spacing w:after="240"/>
              <w:outlineLvl w:val="2"/>
              <w:rPr>
                <w:color w:val="000000"/>
              </w:rPr>
            </w:pPr>
            <w:r>
              <w:rPr>
                <w:color w:val="000000"/>
              </w:rPr>
              <w:lastRenderedPageBreak/>
              <w:t>Eligibility Questions</w:t>
            </w:r>
            <w:r w:rsidRPr="00440F01">
              <w:rPr>
                <w:color w:val="000000"/>
              </w:rPr>
              <w:t xml:space="preserve"> </w:t>
            </w:r>
          </w:p>
        </w:tc>
        <w:tc>
          <w:tcPr>
            <w:tcW w:w="2920" w:type="dxa"/>
            <w:shd w:val="clear" w:color="auto" w:fill="A6A6A6"/>
          </w:tcPr>
          <w:p w14:paraId="7D5EA1CB" w14:textId="77777777" w:rsidR="00AC4A51" w:rsidRPr="00440F01" w:rsidRDefault="00AC4A51" w:rsidP="0087065A">
            <w:pPr>
              <w:spacing w:after="240"/>
              <w:outlineLvl w:val="2"/>
              <w:rPr>
                <w:color w:val="000000"/>
              </w:rPr>
            </w:pPr>
            <w:r w:rsidRPr="00440F01">
              <w:rPr>
                <w:color w:val="000000"/>
              </w:rPr>
              <w:t>Selection criteria</w:t>
            </w:r>
          </w:p>
        </w:tc>
        <w:tc>
          <w:tcPr>
            <w:tcW w:w="2888" w:type="dxa"/>
            <w:shd w:val="clear" w:color="auto" w:fill="A6A6A6"/>
          </w:tcPr>
          <w:p w14:paraId="3271DDC9" w14:textId="77777777" w:rsidR="00AC4A51" w:rsidRPr="00440F01" w:rsidRDefault="00AC4A51" w:rsidP="0087065A">
            <w:pPr>
              <w:spacing w:after="240"/>
              <w:outlineLvl w:val="2"/>
              <w:rPr>
                <w:color w:val="000000"/>
              </w:rPr>
            </w:pPr>
            <w:r>
              <w:rPr>
                <w:color w:val="000000"/>
              </w:rPr>
              <w:t>Self-Certify</w:t>
            </w:r>
          </w:p>
        </w:tc>
      </w:tr>
      <w:tr w:rsidR="00AC4A51" w:rsidRPr="00440F01" w14:paraId="29C9CFA6" w14:textId="77777777" w:rsidTr="0087065A">
        <w:tc>
          <w:tcPr>
            <w:tcW w:w="2378" w:type="dxa"/>
            <w:shd w:val="clear" w:color="auto" w:fill="auto"/>
          </w:tcPr>
          <w:p w14:paraId="6796F8B2" w14:textId="77777777" w:rsidR="00AC4A51" w:rsidRPr="00994051" w:rsidRDefault="00AC4A51" w:rsidP="0087065A">
            <w:pPr>
              <w:spacing w:after="240"/>
              <w:outlineLvl w:val="2"/>
              <w:rPr>
                <w:color w:val="000000"/>
              </w:rPr>
            </w:pPr>
            <w:r w:rsidRPr="00994051">
              <w:rPr>
                <w:color w:val="000000"/>
              </w:rPr>
              <w:t>S</w:t>
            </w:r>
            <w:r>
              <w:rPr>
                <w:color w:val="000000"/>
              </w:rPr>
              <w:t>Q</w:t>
            </w:r>
            <w:r w:rsidRPr="00994051">
              <w:rPr>
                <w:color w:val="000000"/>
              </w:rPr>
              <w:t xml:space="preserve"> 1:</w:t>
            </w:r>
            <w:r>
              <w:rPr>
                <w:color w:val="000000"/>
              </w:rPr>
              <w:t xml:space="preserve"> Potential supplier information</w:t>
            </w:r>
          </w:p>
        </w:tc>
        <w:tc>
          <w:tcPr>
            <w:tcW w:w="2920" w:type="dxa"/>
            <w:shd w:val="clear" w:color="auto" w:fill="auto"/>
          </w:tcPr>
          <w:p w14:paraId="25CFC5EB" w14:textId="77777777" w:rsidR="00AC4A51" w:rsidRPr="00440F01" w:rsidRDefault="00AC4A51" w:rsidP="0087065A">
            <w:pPr>
              <w:spacing w:after="240"/>
              <w:outlineLvl w:val="2"/>
              <w:rPr>
                <w:color w:val="000000"/>
              </w:rPr>
            </w:pPr>
            <w:r>
              <w:rPr>
                <w:color w:val="000000"/>
              </w:rPr>
              <w:t>For information only</w:t>
            </w:r>
          </w:p>
        </w:tc>
        <w:tc>
          <w:tcPr>
            <w:tcW w:w="2888" w:type="dxa"/>
          </w:tcPr>
          <w:p w14:paraId="2EE88883" w14:textId="77777777" w:rsidR="00AC4A51" w:rsidRDefault="00AC4A51" w:rsidP="0087065A">
            <w:pPr>
              <w:spacing w:after="240"/>
              <w:outlineLvl w:val="2"/>
              <w:rPr>
                <w:color w:val="000000"/>
              </w:rPr>
            </w:pPr>
            <w:r>
              <w:rPr>
                <w:color w:val="000000"/>
              </w:rPr>
              <w:t>N/A</w:t>
            </w:r>
          </w:p>
        </w:tc>
      </w:tr>
      <w:tr w:rsidR="00AC4A51" w:rsidRPr="00440F01" w14:paraId="178A2417" w14:textId="77777777" w:rsidTr="0087065A">
        <w:tc>
          <w:tcPr>
            <w:tcW w:w="2378" w:type="dxa"/>
            <w:shd w:val="clear" w:color="auto" w:fill="auto"/>
          </w:tcPr>
          <w:p w14:paraId="3E2FE6C6" w14:textId="77777777" w:rsidR="00AC4A51" w:rsidRPr="00994051" w:rsidRDefault="00AC4A51" w:rsidP="0087065A">
            <w:pPr>
              <w:tabs>
                <w:tab w:val="left" w:pos="317"/>
              </w:tabs>
              <w:spacing w:after="240"/>
              <w:outlineLvl w:val="2"/>
              <w:rPr>
                <w:color w:val="000000"/>
              </w:rPr>
            </w:pPr>
            <w:r>
              <w:rPr>
                <w:color w:val="000000"/>
              </w:rPr>
              <w:t xml:space="preserve">SQ 2: </w:t>
            </w:r>
            <w:r w:rsidRPr="00994051">
              <w:rPr>
                <w:color w:val="000000"/>
              </w:rPr>
              <w:t>Grounds for mandatory exclusion</w:t>
            </w:r>
          </w:p>
        </w:tc>
        <w:tc>
          <w:tcPr>
            <w:tcW w:w="2920" w:type="dxa"/>
            <w:shd w:val="clear" w:color="auto" w:fill="auto"/>
          </w:tcPr>
          <w:p w14:paraId="4EB5211B" w14:textId="77777777" w:rsidR="00AC4A51" w:rsidRPr="00440F01" w:rsidRDefault="00AC4A51" w:rsidP="0087065A">
            <w:pPr>
              <w:spacing w:after="240"/>
              <w:outlineLvl w:val="2"/>
              <w:rPr>
                <w:color w:val="000000"/>
              </w:rPr>
            </w:pPr>
            <w:r w:rsidRPr="00440F01">
              <w:rPr>
                <w:color w:val="000000"/>
              </w:rPr>
              <w:t>Pass or Fail</w:t>
            </w:r>
          </w:p>
        </w:tc>
        <w:tc>
          <w:tcPr>
            <w:tcW w:w="2888" w:type="dxa"/>
          </w:tcPr>
          <w:p w14:paraId="15C3E739" w14:textId="77777777" w:rsidR="00AC4A51" w:rsidRPr="00440F01" w:rsidRDefault="00AC4A51" w:rsidP="0087065A">
            <w:pPr>
              <w:spacing w:after="240"/>
              <w:outlineLvl w:val="2"/>
              <w:rPr>
                <w:color w:val="000000"/>
              </w:rPr>
            </w:pPr>
            <w:r>
              <w:rPr>
                <w:color w:val="000000"/>
              </w:rPr>
              <w:t xml:space="preserve">Yes </w:t>
            </w:r>
          </w:p>
        </w:tc>
      </w:tr>
      <w:tr w:rsidR="00AC4A51" w:rsidRPr="00440F01" w14:paraId="5158A1FA" w14:textId="77777777" w:rsidTr="0087065A">
        <w:tc>
          <w:tcPr>
            <w:tcW w:w="2378" w:type="dxa"/>
            <w:shd w:val="clear" w:color="auto" w:fill="auto"/>
          </w:tcPr>
          <w:p w14:paraId="29974A8B" w14:textId="77777777" w:rsidR="00AC4A51" w:rsidRPr="00994051" w:rsidRDefault="00AC4A51" w:rsidP="0087065A">
            <w:pPr>
              <w:spacing w:after="240"/>
              <w:outlineLvl w:val="2"/>
              <w:rPr>
                <w:color w:val="000000"/>
              </w:rPr>
            </w:pPr>
            <w:r w:rsidRPr="00994051">
              <w:rPr>
                <w:color w:val="000000"/>
              </w:rPr>
              <w:t>S</w:t>
            </w:r>
            <w:r>
              <w:rPr>
                <w:color w:val="000000"/>
              </w:rPr>
              <w:t>Q</w:t>
            </w:r>
            <w:r w:rsidRPr="00994051">
              <w:rPr>
                <w:color w:val="000000"/>
              </w:rPr>
              <w:t xml:space="preserve"> 3: Grounds for discretionary exclusion </w:t>
            </w:r>
          </w:p>
        </w:tc>
        <w:tc>
          <w:tcPr>
            <w:tcW w:w="2920" w:type="dxa"/>
            <w:shd w:val="clear" w:color="auto" w:fill="auto"/>
          </w:tcPr>
          <w:p w14:paraId="2C137536" w14:textId="77777777" w:rsidR="00AC4A51" w:rsidRPr="00440F01" w:rsidRDefault="00AC4A51" w:rsidP="0087065A">
            <w:pPr>
              <w:spacing w:after="240"/>
              <w:outlineLvl w:val="2"/>
              <w:rPr>
                <w:color w:val="000000"/>
              </w:rPr>
            </w:pPr>
            <w:r w:rsidRPr="00440F01">
              <w:rPr>
                <w:color w:val="000000"/>
              </w:rPr>
              <w:t>Pass or Fail</w:t>
            </w:r>
          </w:p>
        </w:tc>
        <w:tc>
          <w:tcPr>
            <w:tcW w:w="2888" w:type="dxa"/>
          </w:tcPr>
          <w:p w14:paraId="018473BC" w14:textId="77777777" w:rsidR="00AC4A51" w:rsidRPr="00440F01" w:rsidRDefault="00AC4A51" w:rsidP="0087065A">
            <w:pPr>
              <w:spacing w:after="240"/>
              <w:outlineLvl w:val="2"/>
              <w:rPr>
                <w:color w:val="000000"/>
              </w:rPr>
            </w:pPr>
            <w:r>
              <w:rPr>
                <w:color w:val="000000"/>
              </w:rPr>
              <w:t xml:space="preserve">Yes </w:t>
            </w:r>
          </w:p>
        </w:tc>
      </w:tr>
      <w:tr w:rsidR="00AC4A51" w:rsidRPr="00440F01" w14:paraId="406D9201" w14:textId="77777777" w:rsidTr="0087065A">
        <w:tc>
          <w:tcPr>
            <w:tcW w:w="2378" w:type="dxa"/>
            <w:shd w:val="clear" w:color="auto" w:fill="auto"/>
          </w:tcPr>
          <w:p w14:paraId="504AD3E1" w14:textId="77777777" w:rsidR="00AC4A51" w:rsidRPr="00994051" w:rsidRDefault="00AC4A51" w:rsidP="0087065A">
            <w:pPr>
              <w:spacing w:after="240"/>
              <w:outlineLvl w:val="2"/>
              <w:rPr>
                <w:color w:val="000000"/>
              </w:rPr>
            </w:pPr>
            <w:r>
              <w:rPr>
                <w:color w:val="000000"/>
              </w:rPr>
              <w:t>SQ 4 and 5: Economic and Financial Standing</w:t>
            </w:r>
          </w:p>
        </w:tc>
        <w:tc>
          <w:tcPr>
            <w:tcW w:w="2920" w:type="dxa"/>
            <w:shd w:val="clear" w:color="auto" w:fill="auto"/>
          </w:tcPr>
          <w:p w14:paraId="61AF3ECB" w14:textId="77777777" w:rsidR="00AC4A51" w:rsidRPr="00440F01" w:rsidRDefault="00AC4A51" w:rsidP="0087065A">
            <w:pPr>
              <w:spacing w:after="240"/>
              <w:outlineLvl w:val="2"/>
              <w:rPr>
                <w:color w:val="000000"/>
              </w:rPr>
            </w:pPr>
            <w:r w:rsidRPr="00B35665">
              <w:rPr>
                <w:color w:val="000000"/>
              </w:rPr>
              <w:t>Pass or Fail</w:t>
            </w:r>
          </w:p>
        </w:tc>
        <w:tc>
          <w:tcPr>
            <w:tcW w:w="2888" w:type="dxa"/>
          </w:tcPr>
          <w:p w14:paraId="1B08ECB5" w14:textId="77777777" w:rsidR="00AC4A51" w:rsidRPr="00B35665" w:rsidRDefault="00AC4A51" w:rsidP="0087065A">
            <w:pPr>
              <w:spacing w:after="240"/>
              <w:outlineLvl w:val="2"/>
              <w:rPr>
                <w:color w:val="000000"/>
              </w:rPr>
            </w:pPr>
            <w:r>
              <w:rPr>
                <w:color w:val="000000"/>
              </w:rPr>
              <w:t xml:space="preserve">Yes </w:t>
            </w:r>
          </w:p>
        </w:tc>
      </w:tr>
      <w:tr w:rsidR="00AC4A51" w:rsidRPr="00440F01" w14:paraId="50861B85" w14:textId="77777777" w:rsidTr="0087065A">
        <w:tc>
          <w:tcPr>
            <w:tcW w:w="2378" w:type="dxa"/>
            <w:shd w:val="clear" w:color="auto" w:fill="auto"/>
          </w:tcPr>
          <w:p w14:paraId="4686F752" w14:textId="77777777" w:rsidR="00AC4A51" w:rsidRDefault="00AC4A51" w:rsidP="0087065A">
            <w:pPr>
              <w:spacing w:after="240"/>
              <w:outlineLvl w:val="2"/>
              <w:rPr>
                <w:color w:val="000000"/>
              </w:rPr>
            </w:pPr>
            <w:r>
              <w:rPr>
                <w:color w:val="000000"/>
              </w:rPr>
              <w:t>SQ 6: Technical and Professional Ability</w:t>
            </w:r>
          </w:p>
        </w:tc>
        <w:tc>
          <w:tcPr>
            <w:tcW w:w="2920" w:type="dxa"/>
            <w:shd w:val="clear" w:color="auto" w:fill="auto"/>
          </w:tcPr>
          <w:p w14:paraId="42CADF27" w14:textId="77777777" w:rsidR="00AC4A51" w:rsidRDefault="00AC4A51" w:rsidP="0087065A">
            <w:pPr>
              <w:spacing w:after="240"/>
              <w:outlineLvl w:val="2"/>
              <w:rPr>
                <w:color w:val="000000"/>
              </w:rPr>
            </w:pPr>
            <w:r w:rsidRPr="00B35665">
              <w:rPr>
                <w:color w:val="000000"/>
              </w:rPr>
              <w:t>Pass or Fail</w:t>
            </w:r>
          </w:p>
        </w:tc>
        <w:tc>
          <w:tcPr>
            <w:tcW w:w="2888" w:type="dxa"/>
          </w:tcPr>
          <w:p w14:paraId="7BDFB740" w14:textId="77777777" w:rsidR="00AC4A51" w:rsidRPr="00B35665" w:rsidRDefault="00AC4A51" w:rsidP="0087065A">
            <w:pPr>
              <w:spacing w:after="240"/>
              <w:outlineLvl w:val="2"/>
              <w:rPr>
                <w:color w:val="000000"/>
              </w:rPr>
            </w:pPr>
            <w:r>
              <w:rPr>
                <w:color w:val="000000"/>
              </w:rPr>
              <w:t xml:space="preserve">Yes </w:t>
            </w:r>
          </w:p>
        </w:tc>
      </w:tr>
      <w:tr w:rsidR="00AC4A51" w:rsidRPr="00440F01" w14:paraId="59BBD70C" w14:textId="77777777" w:rsidTr="0087065A">
        <w:tc>
          <w:tcPr>
            <w:tcW w:w="2378" w:type="dxa"/>
            <w:shd w:val="clear" w:color="auto" w:fill="auto"/>
          </w:tcPr>
          <w:p w14:paraId="43DA8E2A" w14:textId="77777777" w:rsidR="00AC4A51" w:rsidRDefault="00AC4A51" w:rsidP="0087065A">
            <w:pPr>
              <w:spacing w:after="240"/>
              <w:outlineLvl w:val="2"/>
              <w:rPr>
                <w:color w:val="000000"/>
              </w:rPr>
            </w:pPr>
            <w:r>
              <w:rPr>
                <w:color w:val="000000"/>
              </w:rPr>
              <w:t>SQ 7: Modern Slavery Act 2015: Requirements under the Modern Slavery Act 2015.</w:t>
            </w:r>
          </w:p>
        </w:tc>
        <w:tc>
          <w:tcPr>
            <w:tcW w:w="2920" w:type="dxa"/>
            <w:shd w:val="clear" w:color="auto" w:fill="auto"/>
          </w:tcPr>
          <w:p w14:paraId="328CBAB9" w14:textId="77777777" w:rsidR="00AC4A51" w:rsidRPr="00B35665" w:rsidRDefault="00AC4A51" w:rsidP="0087065A">
            <w:pPr>
              <w:spacing w:after="240"/>
              <w:outlineLvl w:val="2"/>
              <w:rPr>
                <w:color w:val="000000"/>
              </w:rPr>
            </w:pPr>
            <w:r w:rsidRPr="00B35665">
              <w:rPr>
                <w:color w:val="000000"/>
              </w:rPr>
              <w:t>Pass or Fail</w:t>
            </w:r>
          </w:p>
        </w:tc>
        <w:tc>
          <w:tcPr>
            <w:tcW w:w="2888" w:type="dxa"/>
          </w:tcPr>
          <w:p w14:paraId="5BE42066" w14:textId="77777777" w:rsidR="00AC4A51" w:rsidRPr="00B35665" w:rsidRDefault="00AC4A51" w:rsidP="0087065A">
            <w:pPr>
              <w:spacing w:after="240"/>
              <w:outlineLvl w:val="2"/>
              <w:rPr>
                <w:color w:val="000000"/>
              </w:rPr>
            </w:pPr>
            <w:r>
              <w:rPr>
                <w:color w:val="000000"/>
              </w:rPr>
              <w:t xml:space="preserve">Yes </w:t>
            </w:r>
          </w:p>
        </w:tc>
      </w:tr>
      <w:tr w:rsidR="00AC4A51" w:rsidRPr="00440F01" w14:paraId="0369DCD8" w14:textId="77777777" w:rsidTr="0087065A">
        <w:tc>
          <w:tcPr>
            <w:tcW w:w="2378" w:type="dxa"/>
            <w:shd w:val="clear" w:color="auto" w:fill="auto"/>
          </w:tcPr>
          <w:p w14:paraId="1635DA14" w14:textId="77777777" w:rsidR="00AC4A51" w:rsidRPr="008E36F0" w:rsidRDefault="00AC4A51" w:rsidP="0087065A">
            <w:r w:rsidRPr="008E36F0">
              <w:t>SQ 8: Insurance</w:t>
            </w:r>
          </w:p>
          <w:p w14:paraId="2AFBE844" w14:textId="77777777" w:rsidR="00AC4A51" w:rsidRPr="008E36F0" w:rsidRDefault="00AC4A51" w:rsidP="0087065A"/>
        </w:tc>
        <w:tc>
          <w:tcPr>
            <w:tcW w:w="2920" w:type="dxa"/>
            <w:shd w:val="clear" w:color="auto" w:fill="auto"/>
          </w:tcPr>
          <w:p w14:paraId="1D0A389F" w14:textId="77777777" w:rsidR="00AC4A51" w:rsidRPr="008E36F0" w:rsidRDefault="00AC4A51" w:rsidP="0087065A">
            <w:r w:rsidRPr="008E36F0">
              <w:t>Pass or Fail</w:t>
            </w:r>
          </w:p>
        </w:tc>
        <w:tc>
          <w:tcPr>
            <w:tcW w:w="2888" w:type="dxa"/>
          </w:tcPr>
          <w:p w14:paraId="2C2ADCEB" w14:textId="77777777" w:rsidR="00AC4A51" w:rsidRPr="008E36F0" w:rsidRDefault="00AC4A51" w:rsidP="0087065A">
            <w:r w:rsidRPr="008E36F0">
              <w:t>Yes</w:t>
            </w:r>
          </w:p>
        </w:tc>
      </w:tr>
    </w:tbl>
    <w:p w14:paraId="0F4A0A29" w14:textId="77777777" w:rsidR="00AC4A51" w:rsidRDefault="00AC4A51" w:rsidP="00AC4A51">
      <w:pPr>
        <w:jc w:val="center"/>
        <w:rPr>
          <w:rFonts w:cs="Arial"/>
          <w:b/>
          <w:szCs w:val="22"/>
        </w:rPr>
      </w:pPr>
    </w:p>
    <w:p w14:paraId="26748982" w14:textId="77777777" w:rsidR="00AC4A51" w:rsidRDefault="00AC4A51" w:rsidP="00AC4A51">
      <w:pPr>
        <w:jc w:val="center"/>
        <w:rPr>
          <w:rFonts w:cs="Arial"/>
          <w:b/>
          <w:szCs w:val="22"/>
        </w:rPr>
      </w:pPr>
    </w:p>
    <w:p w14:paraId="5FCC060F" w14:textId="77777777" w:rsidR="00AC4A51" w:rsidRDefault="00AC4A51" w:rsidP="00AC4A51">
      <w:pPr>
        <w:jc w:val="center"/>
        <w:rPr>
          <w:rFonts w:cs="Arial"/>
          <w:b/>
          <w:szCs w:val="22"/>
        </w:rPr>
      </w:pPr>
    </w:p>
    <w:p w14:paraId="31115261" w14:textId="77777777" w:rsidR="00AC4A51" w:rsidRDefault="00AC4A51" w:rsidP="00AC4A51">
      <w:pPr>
        <w:jc w:val="center"/>
        <w:rPr>
          <w:rFonts w:cs="Arial"/>
          <w:b/>
          <w:szCs w:val="22"/>
        </w:rPr>
      </w:pPr>
    </w:p>
    <w:p w14:paraId="0092206B" w14:textId="77777777" w:rsidR="00AC4A51" w:rsidRDefault="00AC4A51" w:rsidP="00AC4A51">
      <w:pPr>
        <w:rPr>
          <w:rFonts w:cs="Arial"/>
          <w:b/>
          <w:szCs w:val="22"/>
        </w:rPr>
      </w:pPr>
    </w:p>
    <w:p w14:paraId="00F25FCC" w14:textId="1B0A90E5" w:rsidR="00AC4A51" w:rsidRPr="00424A57" w:rsidRDefault="00AC4A51" w:rsidP="00AC4A51">
      <w:pPr>
        <w:pStyle w:val="MRNumberedHeading2"/>
        <w:rPr>
          <w:i/>
        </w:rPr>
      </w:pPr>
      <w:bookmarkStart w:id="149" w:name="_Toc403555171"/>
      <w:r w:rsidRPr="003E3276">
        <w:t>To</w:t>
      </w:r>
      <w:r>
        <w:t xml:space="preserve"> score a "pass", the </w:t>
      </w:r>
      <w:r w:rsidR="005C2E1E">
        <w:t>PQQ</w:t>
      </w:r>
      <w:r>
        <w:t xml:space="preserve"> must:</w:t>
      </w:r>
    </w:p>
    <w:p w14:paraId="6D51CE0E" w14:textId="5C636AA0" w:rsidR="00AC4A51" w:rsidRPr="00424A57" w:rsidRDefault="00AC4A51" w:rsidP="00AC4A51">
      <w:pPr>
        <w:pStyle w:val="MRNumberedHeading2"/>
        <w:numPr>
          <w:ilvl w:val="2"/>
          <w:numId w:val="23"/>
        </w:numPr>
        <w:tabs>
          <w:tab w:val="clear" w:pos="2215"/>
          <w:tab w:val="num" w:pos="1701"/>
          <w:tab w:val="num" w:pos="1931"/>
        </w:tabs>
        <w:ind w:left="1701" w:hanging="850"/>
        <w:rPr>
          <w:i/>
        </w:rPr>
      </w:pPr>
      <w:r>
        <w:t>for all questions where self-certification is required (as detailed above), include a self-certification and the successful Bidder</w:t>
      </w:r>
      <w:r w:rsidR="005C2E1E">
        <w:t>s</w:t>
      </w:r>
      <w:r>
        <w:t xml:space="preserve"> will be asked to provide supporting  evidence</w:t>
      </w:r>
      <w:r w:rsidR="005C2E1E">
        <w:t>.</w:t>
      </w:r>
      <w:r>
        <w:t>; and</w:t>
      </w:r>
    </w:p>
    <w:p w14:paraId="765AD638" w14:textId="77777777" w:rsidR="00AC4A51" w:rsidRPr="007C2F2F" w:rsidRDefault="00AC4A51" w:rsidP="00AC4A51">
      <w:pPr>
        <w:pStyle w:val="MRNumberedHeading2"/>
        <w:numPr>
          <w:ilvl w:val="2"/>
          <w:numId w:val="23"/>
        </w:numPr>
        <w:tabs>
          <w:tab w:val="clear" w:pos="2215"/>
          <w:tab w:val="num" w:pos="1701"/>
          <w:tab w:val="num" w:pos="1931"/>
        </w:tabs>
        <w:ind w:left="1701" w:hanging="850"/>
        <w:rPr>
          <w:i/>
        </w:rPr>
      </w:pPr>
      <w:r>
        <w:t>for questions where self-certification is not required (as detailed above),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49"/>
    </w:p>
    <w:p w14:paraId="15D91FDA" w14:textId="49EC3BC9" w:rsidR="00AC4A51" w:rsidRPr="00DE2ABA" w:rsidRDefault="00AC4A51" w:rsidP="00AC4A51">
      <w:pPr>
        <w:pStyle w:val="MRNumberedHeading2"/>
        <w:rPr>
          <w:i/>
        </w:rPr>
      </w:pPr>
      <w:bookmarkStart w:id="150" w:name="_Ref403484379"/>
      <w:bookmarkStart w:id="151" w:name="_Toc403555172"/>
      <w:r w:rsidRPr="00B44E25">
        <w:t xml:space="preserve">Where a Bidder scores a "fail" for any question, </w:t>
      </w:r>
      <w:r>
        <w:t xml:space="preserve">the Authority will treat the </w:t>
      </w:r>
      <w:r w:rsidR="00853B21">
        <w:t>PQQ</w:t>
      </w:r>
      <w:r>
        <w:t xml:space="preserve"> as non-compliant and it will not award a mark for the Scored Questions.</w:t>
      </w:r>
      <w:bookmarkEnd w:id="150"/>
      <w:bookmarkEnd w:id="151"/>
      <w:r>
        <w:t xml:space="preserve"> </w:t>
      </w:r>
    </w:p>
    <w:p w14:paraId="45A7AB43" w14:textId="77777777" w:rsidR="00AC4A51" w:rsidRPr="00DE2ABA" w:rsidRDefault="00AC4A51" w:rsidP="00AC4A51">
      <w:pPr>
        <w:pStyle w:val="MRNumberedHeading2"/>
      </w:pPr>
      <w:r w:rsidRPr="00DE2ABA">
        <w:t>As part of the Qualification evaluation a financial standing assessment will be undertaken.</w:t>
      </w:r>
    </w:p>
    <w:p w14:paraId="4C62049A" w14:textId="77777777" w:rsidR="00AC4A51" w:rsidRPr="00DE2ABA" w:rsidRDefault="00AC4A51" w:rsidP="00AC4A51">
      <w:pPr>
        <w:pStyle w:val="MRNumberedHeading2"/>
        <w:numPr>
          <w:ilvl w:val="0"/>
          <w:numId w:val="37"/>
        </w:numPr>
        <w:rPr>
          <w:i/>
        </w:rPr>
      </w:pPr>
      <w:r w:rsidRPr="00DE2ABA">
        <w:rPr>
          <w:i/>
        </w:rPr>
        <w:t xml:space="preserve">Suppliers should achieve a minimum D &amp; B risk indicator rating of 2 in order to proceed directly to the next stage of evaluation.  </w:t>
      </w:r>
    </w:p>
    <w:p w14:paraId="67576AEC" w14:textId="77777777" w:rsidR="00AC4A51" w:rsidRPr="00DE2ABA" w:rsidRDefault="00AC4A51" w:rsidP="00AC4A51">
      <w:pPr>
        <w:pStyle w:val="MRNumberedHeading2"/>
        <w:numPr>
          <w:ilvl w:val="0"/>
          <w:numId w:val="37"/>
        </w:numPr>
        <w:rPr>
          <w:i/>
        </w:rPr>
      </w:pPr>
      <w:r w:rsidRPr="00DE2ABA">
        <w:rPr>
          <w:i/>
        </w:rPr>
        <w:t>For Suppliers who achieve a D &amp; B risk indicator rating of 3,  the Trust reserve the right to carry for a further financial evaluation of the Financial Statements/Annual Reports, this will be undertaken by the Trusts internal Finance Team.  The assessment will conclude if the Supplier Passes or Fails the Financial section of the Qualification Envelope.</w:t>
      </w:r>
    </w:p>
    <w:p w14:paraId="1FADDDEA" w14:textId="77777777" w:rsidR="00AC4A51" w:rsidRDefault="00AC4A51" w:rsidP="00AC4A51">
      <w:pPr>
        <w:pStyle w:val="MRNumberedHeading2"/>
        <w:numPr>
          <w:ilvl w:val="0"/>
          <w:numId w:val="37"/>
        </w:numPr>
        <w:rPr>
          <w:i/>
        </w:rPr>
      </w:pPr>
      <w:r w:rsidRPr="00DE2ABA">
        <w:rPr>
          <w:i/>
        </w:rPr>
        <w:t>For Suppliers who achieve a D &amp; B risk indicator of 4 they will automatically fail and be r</w:t>
      </w:r>
      <w:r>
        <w:rPr>
          <w:i/>
        </w:rPr>
        <w:t>ejected from the Tender process</w:t>
      </w:r>
    </w:p>
    <w:p w14:paraId="6C272F59" w14:textId="77777777" w:rsidR="00AC4A51" w:rsidRPr="00DE2ABA" w:rsidRDefault="00AC4A51" w:rsidP="00AC4A51">
      <w:pPr>
        <w:pStyle w:val="MRNumberedHeading2"/>
        <w:numPr>
          <w:ilvl w:val="0"/>
          <w:numId w:val="0"/>
        </w:numPr>
        <w:ind w:left="1211"/>
        <w:rPr>
          <w:i/>
        </w:rPr>
      </w:pPr>
    </w:p>
    <w:p w14:paraId="36506544" w14:textId="77777777" w:rsidR="00AC4A51" w:rsidRPr="007C2F2F" w:rsidRDefault="00AC4A51" w:rsidP="00AC4A51">
      <w:pPr>
        <w:pStyle w:val="Heading1"/>
        <w:spacing w:before="240" w:after="0"/>
        <w:ind w:left="851"/>
      </w:pPr>
      <w:bookmarkStart w:id="152" w:name="_Toc403555173"/>
      <w:r>
        <w:rPr>
          <w:noProof/>
        </w:rPr>
        <w:lastRenderedPageBreak/>
        <mc:AlternateContent>
          <mc:Choice Requires="wps">
            <w:drawing>
              <wp:anchor distT="0" distB="0" distL="114300" distR="114300" simplePos="0" relativeHeight="251752448" behindDoc="0" locked="0" layoutInCell="1" allowOverlap="1" wp14:anchorId="1D9E0A38" wp14:editId="52FAB82C">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ysClr val="window" lastClr="FFFFFF"/>
                        </a:solidFill>
                        <a:ln w="6350">
                          <a:noFill/>
                        </a:ln>
                        <a:effectLst/>
                      </wps:spPr>
                      <wps:txbx>
                        <w:txbxContent>
                          <w:bookmarkStart w:id="153" w:name="hand4pt8table"/>
                          <w:p w14:paraId="2486AE59" w14:textId="77777777" w:rsidR="00AC4A51" w:rsidRPr="00986C82" w:rsidRDefault="00AC4A51" w:rsidP="00AC4A51">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14:paraId="5DDB4FC4" w14:textId="77777777" w:rsidR="00AC4A51" w:rsidRDefault="00AC4A51" w:rsidP="00AC4A51">
                            <w:r>
                              <w:rPr>
                                <w:b/>
                                <w:sz w:val="44"/>
                                <w:szCs w:val="44"/>
                              </w:rPr>
                              <w:fldChar w:fldCharType="end"/>
                            </w:r>
                            <w:bookmarkEnd w:id="15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E0A38" id="Text Box 17" o:spid="_x0000_s1045" type="#_x0000_t202" style="position:absolute;left:0;text-align:left;margin-left:465.8pt;margin-top:14.5pt;width:43.8pt;height:32.5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" fillcolor="window" stroked="f" strokeweight=".5pt">
                <v:textbox>
                  <w:txbxContent>
                    <w:bookmarkStart w:id="154" w:name="hand4pt8table"/>
                    <w:p w14:paraId="2486AE59" w14:textId="77777777" w:rsidR="00AC4A51" w:rsidRPr="00986C82" w:rsidRDefault="00AC4A51" w:rsidP="00AC4A51">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14:paraId="5DDB4FC4" w14:textId="77777777" w:rsidR="00AC4A51" w:rsidRDefault="00AC4A51" w:rsidP="00AC4A51">
                      <w:r>
                        <w:rPr>
                          <w:b/>
                          <w:sz w:val="44"/>
                          <w:szCs w:val="44"/>
                        </w:rPr>
                        <w:fldChar w:fldCharType="end"/>
                      </w:r>
                      <w:bookmarkEnd w:id="154"/>
                    </w:p>
                  </w:txbxContent>
                </v:textbox>
              </v:shape>
            </w:pict>
          </mc:Fallback>
        </mc:AlternateContent>
      </w:r>
      <w:r w:rsidRPr="007C2F2F">
        <w:t>Criteria – Scored Questions</w:t>
      </w:r>
      <w:bookmarkEnd w:id="152"/>
    </w:p>
    <w:p w14:paraId="4549A5F6" w14:textId="77777777" w:rsidR="00AC4A51" w:rsidRPr="00C95B29" w:rsidRDefault="00AC4A51" w:rsidP="00AC4A51">
      <w:pPr>
        <w:pStyle w:val="MRNumberedHeading2"/>
        <w:tabs>
          <w:tab w:val="clear" w:pos="851"/>
          <w:tab w:val="num" w:pos="720"/>
        </w:tabs>
        <w:ind w:left="720" w:hanging="720"/>
      </w:pPr>
      <w:bookmarkStart w:id="155" w:name="_Ref403401459"/>
      <w:bookmarkStart w:id="156" w:name="_Toc403555174"/>
      <w:r w:rsidRPr="00496E84">
        <w:t xml:space="preserve">The </w:t>
      </w:r>
      <w:bookmarkEnd w:id="155"/>
      <w:bookmarkEnd w:id="156"/>
      <w:r w:rsidRPr="00C95B29">
        <w:rPr>
          <w:rFonts w:cs="Arial"/>
          <w:szCs w:val="20"/>
        </w:rPr>
        <w:t xml:space="preserve">evaluation of submissions will be undertaken against the following criteria identified in the below </w:t>
      </w:r>
    </w:p>
    <w:p w14:paraId="3570BA6A" w14:textId="77777777" w:rsidR="00AC4A51" w:rsidRPr="00C95B29" w:rsidRDefault="00AC4A51" w:rsidP="00AC4A51">
      <w:pPr>
        <w:ind w:left="720" w:hanging="540"/>
        <w:rPr>
          <w:rFonts w:eastAsia="Times New Roman" w:cs="Arial"/>
        </w:rPr>
      </w:pPr>
    </w:p>
    <w:p w14:paraId="40AC4B80" w14:textId="1CA649F4" w:rsidR="00AC4A51" w:rsidRPr="001D09AC" w:rsidRDefault="00AC4A51" w:rsidP="00AC4A51">
      <w:pPr>
        <w:pStyle w:val="ListParagraph"/>
        <w:numPr>
          <w:ilvl w:val="2"/>
          <w:numId w:val="23"/>
        </w:numPr>
        <w:tabs>
          <w:tab w:val="clear" w:pos="2215"/>
          <w:tab w:val="num" w:pos="1931"/>
        </w:tabs>
        <w:ind w:left="1931"/>
        <w:jc w:val="left"/>
        <w:rPr>
          <w:rFonts w:eastAsia="Times New Roman" w:cs="Arial"/>
        </w:rPr>
      </w:pPr>
      <w:r w:rsidRPr="001D09AC">
        <w:rPr>
          <w:rFonts w:eastAsia="Times New Roman" w:cs="Arial"/>
        </w:rPr>
        <w:t>Experience (</w:t>
      </w:r>
      <w:r w:rsidRPr="00853B21">
        <w:rPr>
          <w:rFonts w:eastAsia="Times New Roman" w:cs="Arial"/>
          <w:b/>
          <w:u w:val="single"/>
        </w:rPr>
        <w:t>example</w:t>
      </w:r>
      <w:r w:rsidR="00853B21" w:rsidRPr="00853B21">
        <w:rPr>
          <w:rFonts w:eastAsia="Times New Roman" w:cs="Arial"/>
          <w:u w:val="single"/>
        </w:rPr>
        <w:t xml:space="preserve"> </w:t>
      </w:r>
      <w:r w:rsidR="00853B21" w:rsidRPr="00853B21">
        <w:rPr>
          <w:rFonts w:eastAsia="Times New Roman" w:cs="Arial"/>
          <w:b/>
          <w:u w:val="single"/>
        </w:rPr>
        <w:t>only</w:t>
      </w:r>
      <w:r w:rsidRPr="001D09AC">
        <w:rPr>
          <w:rFonts w:eastAsia="Times New Roman" w:cs="Arial"/>
        </w:rPr>
        <w:t>)</w:t>
      </w:r>
    </w:p>
    <w:p w14:paraId="2CD942EB" w14:textId="77777777" w:rsidR="00AC4A51" w:rsidRPr="00C95B29" w:rsidRDefault="00AC4A51" w:rsidP="00AC4A51">
      <w:pPr>
        <w:jc w:val="left"/>
        <w:rPr>
          <w:rFonts w:eastAsia="Times New Roman" w:cs="Arial"/>
        </w:rPr>
      </w:pPr>
    </w:p>
    <w:p w14:paraId="25E90DE9" w14:textId="77777777" w:rsidR="00AC4A51" w:rsidRPr="00C95B29" w:rsidRDefault="00AC4A51" w:rsidP="00AC4A51">
      <w:pPr>
        <w:ind w:firstLine="850"/>
        <w:rPr>
          <w:rFonts w:eastAsia="Times New Roman" w:cs="Arial"/>
        </w:rPr>
      </w:pPr>
      <w:r w:rsidRPr="00C95B29">
        <w:rPr>
          <w:rFonts w:eastAsia="Times New Roman" w:cs="Arial"/>
        </w:rPr>
        <w:t>Each criterion has been given a weighing factor as shown in the table on the next page.</w:t>
      </w:r>
    </w:p>
    <w:p w14:paraId="78C763A1" w14:textId="77777777" w:rsidR="00AC4A51" w:rsidRPr="00C95B29" w:rsidRDefault="00AC4A51" w:rsidP="00AC4A51">
      <w:pPr>
        <w:ind w:firstLine="850"/>
        <w:rPr>
          <w:rFonts w:eastAsia="Times New Roman" w:cs="Arial"/>
        </w:rPr>
      </w:pPr>
    </w:p>
    <w:tbl>
      <w:tblPr>
        <w:tblW w:w="8420" w:type="dxa"/>
        <w:tblInd w:w="103" w:type="dxa"/>
        <w:tblLook w:val="04A0" w:firstRow="1" w:lastRow="0" w:firstColumn="1" w:lastColumn="0" w:noHBand="0" w:noVBand="1"/>
      </w:tblPr>
      <w:tblGrid>
        <w:gridCol w:w="1038"/>
        <w:gridCol w:w="4115"/>
        <w:gridCol w:w="939"/>
        <w:gridCol w:w="1180"/>
        <w:gridCol w:w="1148"/>
      </w:tblGrid>
      <w:tr w:rsidR="00AC4A51" w:rsidRPr="00C95B29" w14:paraId="7F605F4F" w14:textId="77777777" w:rsidTr="0087065A">
        <w:trPr>
          <w:trHeight w:val="900"/>
        </w:trPr>
        <w:tc>
          <w:tcPr>
            <w:tcW w:w="5153" w:type="dxa"/>
            <w:gridSpan w:val="2"/>
            <w:tcBorders>
              <w:top w:val="single" w:sz="4" w:space="0" w:color="auto"/>
              <w:left w:val="single" w:sz="4" w:space="0" w:color="auto"/>
              <w:bottom w:val="single" w:sz="4" w:space="0" w:color="auto"/>
              <w:right w:val="single" w:sz="4" w:space="0" w:color="auto"/>
            </w:tcBorders>
            <w:shd w:val="clear" w:color="000000" w:fill="B8CCE4"/>
            <w:hideMark/>
          </w:tcPr>
          <w:p w14:paraId="14461C57"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 </w:t>
            </w:r>
          </w:p>
          <w:p w14:paraId="60B9EB07"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 </w:t>
            </w:r>
          </w:p>
          <w:p w14:paraId="577A58F0" w14:textId="77777777" w:rsidR="00AC4A51" w:rsidRPr="00C95B29" w:rsidRDefault="00AC4A51" w:rsidP="0087065A">
            <w:pPr>
              <w:jc w:val="left"/>
              <w:rPr>
                <w:rFonts w:ascii="Calibri" w:hAnsi="Calibri"/>
                <w:b/>
                <w:color w:val="000000"/>
                <w:sz w:val="22"/>
                <w:szCs w:val="22"/>
              </w:rPr>
            </w:pPr>
            <w:r w:rsidRPr="00C95B29">
              <w:rPr>
                <w:rFonts w:ascii="Calibri" w:hAnsi="Calibri"/>
                <w:b/>
                <w:color w:val="000000"/>
                <w:sz w:val="22"/>
                <w:szCs w:val="22"/>
              </w:rPr>
              <w:t>Experience</w:t>
            </w:r>
          </w:p>
          <w:p w14:paraId="0BB2D086" w14:textId="77777777" w:rsidR="00AC4A51" w:rsidRPr="00C95B29" w:rsidRDefault="00AC4A51" w:rsidP="0087065A">
            <w:pPr>
              <w:jc w:val="left"/>
              <w:rPr>
                <w:rFonts w:ascii="Calibri" w:eastAsia="Times New Roman" w:hAnsi="Calibri" w:cs="Times New Roman"/>
                <w:color w:val="000000"/>
                <w:sz w:val="22"/>
                <w:szCs w:val="22"/>
                <w:lang w:eastAsia="en-GB"/>
              </w:rPr>
            </w:pPr>
          </w:p>
        </w:tc>
        <w:tc>
          <w:tcPr>
            <w:tcW w:w="939" w:type="dxa"/>
            <w:tcBorders>
              <w:top w:val="single" w:sz="4" w:space="0" w:color="auto"/>
              <w:left w:val="nil"/>
              <w:bottom w:val="single" w:sz="4" w:space="0" w:color="auto"/>
              <w:right w:val="single" w:sz="4" w:space="0" w:color="auto"/>
            </w:tcBorders>
            <w:shd w:val="clear" w:color="000000" w:fill="FDE9D9"/>
            <w:hideMark/>
          </w:tcPr>
          <w:p w14:paraId="65F65648" w14:textId="77777777" w:rsidR="00AC4A51" w:rsidRPr="00C95B29" w:rsidRDefault="00AC4A51" w:rsidP="0087065A">
            <w:pPr>
              <w:jc w:val="left"/>
              <w:rPr>
                <w:rFonts w:ascii="Calibri" w:eastAsia="Times New Roman" w:hAnsi="Calibri" w:cs="Times New Roman"/>
                <w:b/>
                <w:bCs/>
                <w:color w:val="000000"/>
                <w:sz w:val="22"/>
                <w:szCs w:val="22"/>
                <w:lang w:eastAsia="en-GB"/>
              </w:rPr>
            </w:pPr>
            <w:r w:rsidRPr="00C95B29">
              <w:rPr>
                <w:rFonts w:ascii="Calibri" w:eastAsia="Times New Roman" w:hAnsi="Calibri" w:cs="Times New Roman"/>
                <w:b/>
                <w:bCs/>
                <w:color w:val="000000"/>
                <w:sz w:val="22"/>
                <w:szCs w:val="22"/>
                <w:lang w:eastAsia="en-GB"/>
              </w:rPr>
              <w:t>Max Score</w:t>
            </w:r>
          </w:p>
        </w:tc>
        <w:tc>
          <w:tcPr>
            <w:tcW w:w="1180" w:type="dxa"/>
            <w:tcBorders>
              <w:top w:val="single" w:sz="4" w:space="0" w:color="auto"/>
              <w:left w:val="nil"/>
              <w:bottom w:val="single" w:sz="4" w:space="0" w:color="auto"/>
              <w:right w:val="single" w:sz="4" w:space="0" w:color="auto"/>
            </w:tcBorders>
            <w:shd w:val="clear" w:color="000000" w:fill="FDE9D9"/>
            <w:hideMark/>
          </w:tcPr>
          <w:p w14:paraId="3658EB70" w14:textId="77777777" w:rsidR="00AC4A51" w:rsidRPr="00C95B29" w:rsidRDefault="00AC4A51" w:rsidP="0087065A">
            <w:pPr>
              <w:jc w:val="left"/>
              <w:rPr>
                <w:rFonts w:ascii="Calibri" w:eastAsia="Times New Roman" w:hAnsi="Calibri" w:cs="Times New Roman"/>
                <w:b/>
                <w:bCs/>
                <w:color w:val="000000"/>
                <w:sz w:val="22"/>
                <w:szCs w:val="22"/>
                <w:lang w:eastAsia="en-GB"/>
              </w:rPr>
            </w:pPr>
            <w:r w:rsidRPr="00C95B29">
              <w:rPr>
                <w:rFonts w:ascii="Calibri" w:eastAsia="Times New Roman" w:hAnsi="Calibri" w:cs="Times New Roman"/>
                <w:b/>
                <w:bCs/>
                <w:color w:val="000000"/>
                <w:sz w:val="22"/>
                <w:szCs w:val="22"/>
                <w:lang w:eastAsia="en-GB"/>
              </w:rPr>
              <w:t>Weighting</w:t>
            </w:r>
          </w:p>
        </w:tc>
        <w:tc>
          <w:tcPr>
            <w:tcW w:w="1148" w:type="dxa"/>
            <w:tcBorders>
              <w:top w:val="single" w:sz="4" w:space="0" w:color="auto"/>
              <w:left w:val="nil"/>
              <w:bottom w:val="single" w:sz="4" w:space="0" w:color="auto"/>
              <w:right w:val="single" w:sz="4" w:space="0" w:color="auto"/>
            </w:tcBorders>
            <w:shd w:val="clear" w:color="000000" w:fill="FDE9D9"/>
            <w:hideMark/>
          </w:tcPr>
          <w:p w14:paraId="0C4CF504" w14:textId="77777777" w:rsidR="00AC4A51" w:rsidRPr="00C95B29" w:rsidRDefault="00AC4A51" w:rsidP="0087065A">
            <w:pPr>
              <w:jc w:val="left"/>
              <w:rPr>
                <w:rFonts w:ascii="Calibri" w:eastAsia="Times New Roman" w:hAnsi="Calibri" w:cs="Times New Roman"/>
                <w:b/>
                <w:bCs/>
                <w:color w:val="000000"/>
                <w:sz w:val="22"/>
                <w:szCs w:val="22"/>
                <w:lang w:eastAsia="en-GB"/>
              </w:rPr>
            </w:pPr>
            <w:r w:rsidRPr="00C95B29">
              <w:rPr>
                <w:rFonts w:ascii="Calibri" w:eastAsia="Times New Roman" w:hAnsi="Calibri" w:cs="Times New Roman"/>
                <w:b/>
                <w:bCs/>
                <w:color w:val="000000"/>
                <w:sz w:val="22"/>
                <w:szCs w:val="22"/>
                <w:lang w:eastAsia="en-GB"/>
              </w:rPr>
              <w:t>Maximum weighted score</w:t>
            </w:r>
          </w:p>
        </w:tc>
      </w:tr>
      <w:tr w:rsidR="00AC4A51" w:rsidRPr="00C95B29" w14:paraId="1844B6EF" w14:textId="77777777" w:rsidTr="0087065A">
        <w:trPr>
          <w:trHeight w:val="300"/>
        </w:trPr>
        <w:tc>
          <w:tcPr>
            <w:tcW w:w="1038" w:type="dxa"/>
            <w:tcBorders>
              <w:top w:val="nil"/>
              <w:left w:val="single" w:sz="4" w:space="0" w:color="auto"/>
              <w:bottom w:val="single" w:sz="4" w:space="0" w:color="auto"/>
              <w:right w:val="single" w:sz="4" w:space="0" w:color="auto"/>
            </w:tcBorders>
            <w:shd w:val="clear" w:color="000000" w:fill="92D050"/>
            <w:hideMark/>
          </w:tcPr>
          <w:p w14:paraId="2F355721" w14:textId="77777777" w:rsidR="00AC4A51" w:rsidRPr="00C95B29" w:rsidRDefault="00AC4A51" w:rsidP="0087065A">
            <w:pPr>
              <w:jc w:val="left"/>
              <w:rPr>
                <w:rFonts w:eastAsia="Times New Roman" w:cs="Arial"/>
                <w:b/>
                <w:bCs/>
                <w:color w:val="FFFFFF"/>
                <w:lang w:eastAsia="en-GB"/>
              </w:rPr>
            </w:pPr>
            <w:r w:rsidRPr="00C95B29">
              <w:rPr>
                <w:rFonts w:eastAsia="Times New Roman" w:cs="Arial"/>
                <w:b/>
                <w:bCs/>
                <w:color w:val="FFFFFF"/>
                <w:lang w:eastAsia="en-GB"/>
              </w:rPr>
              <w:t> </w:t>
            </w:r>
          </w:p>
        </w:tc>
        <w:tc>
          <w:tcPr>
            <w:tcW w:w="4115" w:type="dxa"/>
            <w:tcBorders>
              <w:top w:val="nil"/>
              <w:left w:val="nil"/>
              <w:bottom w:val="single" w:sz="4" w:space="0" w:color="auto"/>
              <w:right w:val="single" w:sz="4" w:space="0" w:color="auto"/>
            </w:tcBorders>
            <w:shd w:val="clear" w:color="000000" w:fill="92D050"/>
            <w:hideMark/>
          </w:tcPr>
          <w:p w14:paraId="2C5C6987" w14:textId="77777777" w:rsidR="00AC4A51" w:rsidRPr="00C95B29" w:rsidRDefault="00AC4A51" w:rsidP="0087065A">
            <w:pPr>
              <w:jc w:val="left"/>
              <w:rPr>
                <w:rFonts w:ascii="Calibri" w:eastAsia="Times New Roman" w:hAnsi="Calibri" w:cs="Times New Roman"/>
                <w:b/>
                <w:bCs/>
                <w:color w:val="000000"/>
                <w:sz w:val="22"/>
                <w:szCs w:val="22"/>
                <w:lang w:eastAsia="en-GB"/>
              </w:rPr>
            </w:pPr>
          </w:p>
        </w:tc>
        <w:tc>
          <w:tcPr>
            <w:tcW w:w="939" w:type="dxa"/>
            <w:tcBorders>
              <w:top w:val="nil"/>
              <w:left w:val="nil"/>
              <w:bottom w:val="single" w:sz="4" w:space="0" w:color="auto"/>
              <w:right w:val="single" w:sz="4" w:space="0" w:color="auto"/>
            </w:tcBorders>
            <w:shd w:val="clear" w:color="000000" w:fill="92D050"/>
            <w:vAlign w:val="center"/>
            <w:hideMark/>
          </w:tcPr>
          <w:p w14:paraId="70492007"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 </w:t>
            </w:r>
          </w:p>
        </w:tc>
        <w:tc>
          <w:tcPr>
            <w:tcW w:w="1180" w:type="dxa"/>
            <w:tcBorders>
              <w:top w:val="nil"/>
              <w:left w:val="nil"/>
              <w:bottom w:val="single" w:sz="4" w:space="0" w:color="auto"/>
              <w:right w:val="single" w:sz="4" w:space="0" w:color="auto"/>
            </w:tcBorders>
            <w:shd w:val="clear" w:color="000000" w:fill="92D050"/>
            <w:noWrap/>
            <w:vAlign w:val="center"/>
            <w:hideMark/>
          </w:tcPr>
          <w:p w14:paraId="405EB164"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 </w:t>
            </w:r>
          </w:p>
        </w:tc>
        <w:tc>
          <w:tcPr>
            <w:tcW w:w="1148" w:type="dxa"/>
            <w:tcBorders>
              <w:top w:val="nil"/>
              <w:left w:val="nil"/>
              <w:bottom w:val="single" w:sz="4" w:space="0" w:color="auto"/>
              <w:right w:val="single" w:sz="4" w:space="0" w:color="auto"/>
            </w:tcBorders>
            <w:shd w:val="clear" w:color="000000" w:fill="92D050"/>
            <w:vAlign w:val="center"/>
            <w:hideMark/>
          </w:tcPr>
          <w:p w14:paraId="0BC8251E"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 </w:t>
            </w:r>
          </w:p>
        </w:tc>
      </w:tr>
      <w:tr w:rsidR="00AC4A51" w:rsidRPr="00C95B29" w14:paraId="2C4CE503" w14:textId="77777777" w:rsidTr="0087065A">
        <w:trPr>
          <w:trHeight w:val="744"/>
        </w:trPr>
        <w:tc>
          <w:tcPr>
            <w:tcW w:w="1038" w:type="dxa"/>
            <w:tcBorders>
              <w:top w:val="nil"/>
              <w:left w:val="single" w:sz="4" w:space="0" w:color="auto"/>
              <w:bottom w:val="single" w:sz="4" w:space="0" w:color="auto"/>
              <w:right w:val="single" w:sz="4" w:space="0" w:color="auto"/>
            </w:tcBorders>
            <w:shd w:val="clear" w:color="auto" w:fill="auto"/>
            <w:hideMark/>
          </w:tcPr>
          <w:p w14:paraId="1F2AA9CC"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A1</w:t>
            </w:r>
          </w:p>
        </w:tc>
        <w:tc>
          <w:tcPr>
            <w:tcW w:w="4115" w:type="dxa"/>
            <w:tcBorders>
              <w:top w:val="nil"/>
              <w:left w:val="nil"/>
              <w:bottom w:val="single" w:sz="4" w:space="0" w:color="auto"/>
              <w:right w:val="single" w:sz="4" w:space="0" w:color="auto"/>
            </w:tcBorders>
            <w:shd w:val="clear" w:color="auto" w:fill="auto"/>
          </w:tcPr>
          <w:p w14:paraId="42C0A8B6" w14:textId="77777777" w:rsidR="00AC4A51" w:rsidRPr="00C95B29" w:rsidRDefault="00AC4A51" w:rsidP="0087065A">
            <w:pPr>
              <w:jc w:val="left"/>
              <w:rPr>
                <w:rFonts w:eastAsia="Times New Roman" w:cs="Arial"/>
                <w:color w:val="000000"/>
                <w:lang w:eastAsia="en-GB"/>
              </w:rPr>
            </w:pPr>
            <w:r w:rsidRPr="00C95B29">
              <w:rPr>
                <w:rFonts w:ascii="Calibri" w:eastAsia="Times New Roman" w:hAnsi="Calibri" w:cs="Times New Roman"/>
                <w:bCs/>
                <w:color w:val="000000"/>
                <w:sz w:val="22"/>
                <w:szCs w:val="22"/>
                <w:lang w:eastAsia="en-GB"/>
              </w:rPr>
              <w:t>Describe the method of works to install the pipe-work?</w:t>
            </w:r>
          </w:p>
        </w:tc>
        <w:tc>
          <w:tcPr>
            <w:tcW w:w="939" w:type="dxa"/>
            <w:tcBorders>
              <w:top w:val="nil"/>
              <w:left w:val="nil"/>
              <w:bottom w:val="single" w:sz="4" w:space="0" w:color="auto"/>
              <w:right w:val="single" w:sz="4" w:space="0" w:color="auto"/>
            </w:tcBorders>
            <w:shd w:val="clear" w:color="000000" w:fill="FDE9D9"/>
            <w:vAlign w:val="center"/>
            <w:hideMark/>
          </w:tcPr>
          <w:p w14:paraId="74153165"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hideMark/>
          </w:tcPr>
          <w:p w14:paraId="6C14E361"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10</w:t>
            </w:r>
          </w:p>
        </w:tc>
        <w:tc>
          <w:tcPr>
            <w:tcW w:w="1148" w:type="dxa"/>
            <w:tcBorders>
              <w:top w:val="nil"/>
              <w:left w:val="nil"/>
              <w:bottom w:val="single" w:sz="4" w:space="0" w:color="auto"/>
              <w:right w:val="single" w:sz="4" w:space="0" w:color="auto"/>
            </w:tcBorders>
            <w:shd w:val="clear" w:color="000000" w:fill="FDE9D9"/>
            <w:vAlign w:val="center"/>
            <w:hideMark/>
          </w:tcPr>
          <w:p w14:paraId="7863EB75"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100</w:t>
            </w:r>
          </w:p>
        </w:tc>
      </w:tr>
      <w:tr w:rsidR="00AC4A51" w:rsidRPr="00C95B29" w14:paraId="121CF645" w14:textId="77777777" w:rsidTr="0087065A">
        <w:trPr>
          <w:trHeight w:val="600"/>
        </w:trPr>
        <w:tc>
          <w:tcPr>
            <w:tcW w:w="1038" w:type="dxa"/>
            <w:tcBorders>
              <w:top w:val="nil"/>
              <w:left w:val="single" w:sz="4" w:space="0" w:color="auto"/>
              <w:bottom w:val="single" w:sz="4" w:space="0" w:color="auto"/>
              <w:right w:val="single" w:sz="4" w:space="0" w:color="auto"/>
            </w:tcBorders>
            <w:shd w:val="clear" w:color="auto" w:fill="auto"/>
            <w:hideMark/>
          </w:tcPr>
          <w:p w14:paraId="1CFA6129"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A2</w:t>
            </w:r>
          </w:p>
        </w:tc>
        <w:tc>
          <w:tcPr>
            <w:tcW w:w="4115" w:type="dxa"/>
            <w:tcBorders>
              <w:top w:val="nil"/>
              <w:left w:val="nil"/>
              <w:bottom w:val="single" w:sz="4" w:space="0" w:color="auto"/>
              <w:right w:val="single" w:sz="4" w:space="0" w:color="auto"/>
            </w:tcBorders>
            <w:shd w:val="clear" w:color="auto" w:fill="auto"/>
          </w:tcPr>
          <w:p w14:paraId="4C6E16CB" w14:textId="77777777" w:rsidR="00AC4A51" w:rsidRPr="00C95B29" w:rsidRDefault="00AC4A51" w:rsidP="0087065A">
            <w:pPr>
              <w:jc w:val="left"/>
              <w:rPr>
                <w:rFonts w:eastAsia="Times New Roman" w:cs="Arial"/>
                <w:color w:val="000000"/>
                <w:lang w:eastAsia="en-GB"/>
              </w:rPr>
            </w:pPr>
            <w:r w:rsidRPr="00C95B29">
              <w:rPr>
                <w:rFonts w:cs="Arial"/>
                <w:color w:val="000000"/>
              </w:rPr>
              <w:t>Describe how the cooling will be maintained to the R Block (without fluctuations) during the works, acknowledging the fact that the theatre 8 chiller battery will have to be replaced on a weekend and outside normal working hours and shall be priced accordingly?</w:t>
            </w:r>
          </w:p>
        </w:tc>
        <w:tc>
          <w:tcPr>
            <w:tcW w:w="939" w:type="dxa"/>
            <w:tcBorders>
              <w:top w:val="nil"/>
              <w:left w:val="nil"/>
              <w:bottom w:val="single" w:sz="4" w:space="0" w:color="auto"/>
              <w:right w:val="single" w:sz="4" w:space="0" w:color="auto"/>
            </w:tcBorders>
            <w:shd w:val="clear" w:color="000000" w:fill="FDE9D9"/>
            <w:vAlign w:val="center"/>
            <w:hideMark/>
          </w:tcPr>
          <w:p w14:paraId="366D4CBA"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hideMark/>
          </w:tcPr>
          <w:p w14:paraId="1A255364"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20</w:t>
            </w:r>
          </w:p>
        </w:tc>
        <w:tc>
          <w:tcPr>
            <w:tcW w:w="1148" w:type="dxa"/>
            <w:tcBorders>
              <w:top w:val="nil"/>
              <w:left w:val="nil"/>
              <w:bottom w:val="single" w:sz="4" w:space="0" w:color="auto"/>
              <w:right w:val="single" w:sz="4" w:space="0" w:color="auto"/>
            </w:tcBorders>
            <w:shd w:val="clear" w:color="000000" w:fill="FDE9D9"/>
            <w:vAlign w:val="center"/>
            <w:hideMark/>
          </w:tcPr>
          <w:p w14:paraId="24FCD24F"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200</w:t>
            </w:r>
          </w:p>
        </w:tc>
      </w:tr>
      <w:tr w:rsidR="00AC4A51" w:rsidRPr="00C95B29" w14:paraId="364AD6EB" w14:textId="77777777" w:rsidTr="0087065A">
        <w:trPr>
          <w:trHeight w:val="600"/>
        </w:trPr>
        <w:tc>
          <w:tcPr>
            <w:tcW w:w="1038" w:type="dxa"/>
            <w:tcBorders>
              <w:top w:val="nil"/>
              <w:left w:val="single" w:sz="4" w:space="0" w:color="auto"/>
              <w:bottom w:val="single" w:sz="4" w:space="0" w:color="auto"/>
              <w:right w:val="single" w:sz="4" w:space="0" w:color="auto"/>
            </w:tcBorders>
            <w:shd w:val="clear" w:color="auto" w:fill="auto"/>
            <w:hideMark/>
          </w:tcPr>
          <w:p w14:paraId="7C20792C"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A3</w:t>
            </w:r>
          </w:p>
        </w:tc>
        <w:tc>
          <w:tcPr>
            <w:tcW w:w="4115" w:type="dxa"/>
            <w:tcBorders>
              <w:top w:val="nil"/>
              <w:left w:val="nil"/>
              <w:bottom w:val="single" w:sz="4" w:space="0" w:color="auto"/>
              <w:right w:val="single" w:sz="4" w:space="0" w:color="auto"/>
            </w:tcBorders>
            <w:shd w:val="clear" w:color="auto" w:fill="auto"/>
            <w:hideMark/>
          </w:tcPr>
          <w:p w14:paraId="04D59176" w14:textId="77777777" w:rsidR="00AC4A51" w:rsidRPr="00C95B29" w:rsidRDefault="00AC4A51" w:rsidP="0087065A">
            <w:pPr>
              <w:jc w:val="left"/>
              <w:rPr>
                <w:rFonts w:cs="Arial"/>
                <w:color w:val="000000"/>
              </w:rPr>
            </w:pPr>
            <w:r w:rsidRPr="00C95B29">
              <w:rPr>
                <w:rFonts w:eastAsia="Times New Roman" w:cs="Arial"/>
                <w:color w:val="000000"/>
                <w:lang w:eastAsia="en-GB"/>
              </w:rPr>
              <w:t>Provide a summary of the removal and disposal of the existing DX coils followed by the installation wet heater batteries?</w:t>
            </w:r>
          </w:p>
        </w:tc>
        <w:tc>
          <w:tcPr>
            <w:tcW w:w="939" w:type="dxa"/>
            <w:tcBorders>
              <w:top w:val="nil"/>
              <w:left w:val="nil"/>
              <w:bottom w:val="single" w:sz="4" w:space="0" w:color="auto"/>
              <w:right w:val="single" w:sz="4" w:space="0" w:color="auto"/>
            </w:tcBorders>
            <w:shd w:val="clear" w:color="000000" w:fill="FDE9D9"/>
            <w:vAlign w:val="center"/>
            <w:hideMark/>
          </w:tcPr>
          <w:p w14:paraId="103A14BE"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hideMark/>
          </w:tcPr>
          <w:p w14:paraId="1F3A6B55"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10</w:t>
            </w:r>
          </w:p>
        </w:tc>
        <w:tc>
          <w:tcPr>
            <w:tcW w:w="1148" w:type="dxa"/>
            <w:tcBorders>
              <w:top w:val="nil"/>
              <w:left w:val="nil"/>
              <w:bottom w:val="single" w:sz="4" w:space="0" w:color="auto"/>
              <w:right w:val="single" w:sz="4" w:space="0" w:color="auto"/>
            </w:tcBorders>
            <w:shd w:val="clear" w:color="000000" w:fill="FDE9D9"/>
            <w:vAlign w:val="center"/>
            <w:hideMark/>
          </w:tcPr>
          <w:p w14:paraId="1F345919"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100</w:t>
            </w:r>
          </w:p>
        </w:tc>
      </w:tr>
      <w:tr w:rsidR="00AC4A51" w:rsidRPr="00C95B29" w14:paraId="72C6355A" w14:textId="77777777" w:rsidTr="0087065A">
        <w:trPr>
          <w:trHeight w:val="788"/>
        </w:trPr>
        <w:tc>
          <w:tcPr>
            <w:tcW w:w="1038" w:type="dxa"/>
            <w:tcBorders>
              <w:top w:val="nil"/>
              <w:left w:val="single" w:sz="4" w:space="0" w:color="auto"/>
              <w:bottom w:val="single" w:sz="4" w:space="0" w:color="auto"/>
              <w:right w:val="single" w:sz="4" w:space="0" w:color="auto"/>
            </w:tcBorders>
            <w:shd w:val="clear" w:color="auto" w:fill="auto"/>
            <w:hideMark/>
          </w:tcPr>
          <w:p w14:paraId="7023D01B"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A4</w:t>
            </w:r>
          </w:p>
        </w:tc>
        <w:tc>
          <w:tcPr>
            <w:tcW w:w="4115" w:type="dxa"/>
            <w:tcBorders>
              <w:top w:val="nil"/>
              <w:left w:val="nil"/>
              <w:bottom w:val="single" w:sz="4" w:space="0" w:color="auto"/>
              <w:right w:val="single" w:sz="4" w:space="0" w:color="auto"/>
            </w:tcBorders>
            <w:shd w:val="clear" w:color="auto" w:fill="auto"/>
          </w:tcPr>
          <w:p w14:paraId="28F39ABD" w14:textId="77777777" w:rsidR="00AC4A51" w:rsidRPr="00C95B29" w:rsidRDefault="00AC4A51" w:rsidP="0087065A">
            <w:pPr>
              <w:jc w:val="left"/>
              <w:rPr>
                <w:rFonts w:ascii="Calibri" w:hAnsi="Calibri"/>
                <w:color w:val="000000"/>
                <w:sz w:val="22"/>
                <w:szCs w:val="22"/>
              </w:rPr>
            </w:pPr>
            <w:r w:rsidRPr="00C95B29">
              <w:rPr>
                <w:rFonts w:cs="Arial"/>
                <w:color w:val="000000"/>
              </w:rPr>
              <w:t>Please provide details of any additional aftercare options that you can offer as part of the warranty?</w:t>
            </w:r>
          </w:p>
        </w:tc>
        <w:tc>
          <w:tcPr>
            <w:tcW w:w="939" w:type="dxa"/>
            <w:tcBorders>
              <w:top w:val="nil"/>
              <w:left w:val="nil"/>
              <w:bottom w:val="single" w:sz="4" w:space="0" w:color="auto"/>
              <w:right w:val="single" w:sz="4" w:space="0" w:color="auto"/>
            </w:tcBorders>
            <w:shd w:val="clear" w:color="000000" w:fill="FDE9D9"/>
            <w:vAlign w:val="center"/>
          </w:tcPr>
          <w:p w14:paraId="2484131D"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tcPr>
          <w:p w14:paraId="79DDF9D3"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20</w:t>
            </w:r>
          </w:p>
        </w:tc>
        <w:tc>
          <w:tcPr>
            <w:tcW w:w="1148" w:type="dxa"/>
            <w:tcBorders>
              <w:top w:val="nil"/>
              <w:left w:val="nil"/>
              <w:bottom w:val="single" w:sz="4" w:space="0" w:color="auto"/>
              <w:right w:val="single" w:sz="4" w:space="0" w:color="auto"/>
            </w:tcBorders>
            <w:shd w:val="clear" w:color="000000" w:fill="FDE9D9"/>
            <w:vAlign w:val="center"/>
          </w:tcPr>
          <w:p w14:paraId="53C61FFE"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200</w:t>
            </w:r>
          </w:p>
        </w:tc>
      </w:tr>
      <w:tr w:rsidR="00AC4A51" w:rsidRPr="00C95B29" w14:paraId="54D09111" w14:textId="77777777" w:rsidTr="0087065A">
        <w:trPr>
          <w:trHeight w:val="900"/>
        </w:trPr>
        <w:tc>
          <w:tcPr>
            <w:tcW w:w="1038" w:type="dxa"/>
            <w:tcBorders>
              <w:top w:val="nil"/>
              <w:left w:val="single" w:sz="4" w:space="0" w:color="auto"/>
              <w:bottom w:val="nil"/>
              <w:right w:val="single" w:sz="4" w:space="0" w:color="auto"/>
            </w:tcBorders>
            <w:shd w:val="clear" w:color="auto" w:fill="auto"/>
            <w:hideMark/>
          </w:tcPr>
          <w:p w14:paraId="38F9B4FB"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A5</w:t>
            </w:r>
          </w:p>
        </w:tc>
        <w:tc>
          <w:tcPr>
            <w:tcW w:w="4115" w:type="dxa"/>
            <w:tcBorders>
              <w:top w:val="nil"/>
              <w:left w:val="nil"/>
              <w:bottom w:val="nil"/>
              <w:right w:val="single" w:sz="4" w:space="0" w:color="auto"/>
            </w:tcBorders>
            <w:shd w:val="clear" w:color="auto" w:fill="auto"/>
          </w:tcPr>
          <w:p w14:paraId="5EA0E19D" w14:textId="77777777" w:rsidR="00AC4A51" w:rsidRPr="00C95B29" w:rsidRDefault="00AC4A51" w:rsidP="0087065A">
            <w:pPr>
              <w:jc w:val="left"/>
              <w:rPr>
                <w:rFonts w:eastAsia="Times New Roman" w:cs="Arial"/>
                <w:color w:val="000000"/>
                <w:sz w:val="18"/>
                <w:szCs w:val="18"/>
                <w:lang w:eastAsia="en-GB"/>
              </w:rPr>
            </w:pPr>
            <w:r w:rsidRPr="00C95B29">
              <w:rPr>
                <w:rFonts w:cs="Arial"/>
                <w:color w:val="000000"/>
              </w:rPr>
              <w:t>How will you co-ordinate the installation of the pipe-work in an operational hospital?</w:t>
            </w:r>
          </w:p>
        </w:tc>
        <w:tc>
          <w:tcPr>
            <w:tcW w:w="939" w:type="dxa"/>
            <w:tcBorders>
              <w:top w:val="nil"/>
              <w:left w:val="nil"/>
              <w:bottom w:val="nil"/>
              <w:right w:val="single" w:sz="4" w:space="0" w:color="auto"/>
            </w:tcBorders>
            <w:shd w:val="clear" w:color="000000" w:fill="FDE9D9"/>
            <w:vAlign w:val="center"/>
          </w:tcPr>
          <w:p w14:paraId="5CFC3B78"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nil"/>
              <w:right w:val="single" w:sz="4" w:space="0" w:color="auto"/>
            </w:tcBorders>
            <w:shd w:val="clear" w:color="000000" w:fill="FDE9D9"/>
            <w:noWrap/>
            <w:vAlign w:val="center"/>
          </w:tcPr>
          <w:p w14:paraId="538258F6"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5</w:t>
            </w:r>
          </w:p>
        </w:tc>
        <w:tc>
          <w:tcPr>
            <w:tcW w:w="1148" w:type="dxa"/>
            <w:tcBorders>
              <w:top w:val="nil"/>
              <w:left w:val="nil"/>
              <w:bottom w:val="nil"/>
              <w:right w:val="single" w:sz="4" w:space="0" w:color="auto"/>
            </w:tcBorders>
            <w:shd w:val="clear" w:color="000000" w:fill="FDE9D9"/>
            <w:vAlign w:val="center"/>
          </w:tcPr>
          <w:p w14:paraId="4A9BC48F"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50</w:t>
            </w:r>
          </w:p>
        </w:tc>
      </w:tr>
      <w:tr w:rsidR="00AC4A51" w:rsidRPr="00C95B29" w14:paraId="2BBA6AD7" w14:textId="77777777" w:rsidTr="0087065A">
        <w:trPr>
          <w:trHeight w:val="80"/>
        </w:trPr>
        <w:tc>
          <w:tcPr>
            <w:tcW w:w="1038" w:type="dxa"/>
            <w:tcBorders>
              <w:top w:val="nil"/>
              <w:left w:val="single" w:sz="4" w:space="0" w:color="auto"/>
              <w:bottom w:val="single" w:sz="4" w:space="0" w:color="auto"/>
              <w:right w:val="single" w:sz="4" w:space="0" w:color="auto"/>
            </w:tcBorders>
            <w:shd w:val="clear" w:color="auto" w:fill="auto"/>
          </w:tcPr>
          <w:p w14:paraId="605A2153" w14:textId="77777777" w:rsidR="00AC4A51" w:rsidRPr="00C95B29" w:rsidRDefault="00AC4A51" w:rsidP="0087065A">
            <w:pPr>
              <w:jc w:val="left"/>
              <w:rPr>
                <w:rFonts w:ascii="Calibri" w:eastAsia="Times New Roman" w:hAnsi="Calibri" w:cs="Times New Roman"/>
                <w:color w:val="000000"/>
                <w:sz w:val="22"/>
                <w:szCs w:val="22"/>
                <w:lang w:eastAsia="en-GB"/>
              </w:rPr>
            </w:pPr>
          </w:p>
        </w:tc>
        <w:tc>
          <w:tcPr>
            <w:tcW w:w="4115" w:type="dxa"/>
            <w:tcBorders>
              <w:top w:val="nil"/>
              <w:left w:val="nil"/>
              <w:bottom w:val="single" w:sz="4" w:space="0" w:color="auto"/>
              <w:right w:val="single" w:sz="4" w:space="0" w:color="auto"/>
            </w:tcBorders>
            <w:shd w:val="clear" w:color="auto" w:fill="auto"/>
          </w:tcPr>
          <w:p w14:paraId="7CBD596C" w14:textId="77777777" w:rsidR="00AC4A51" w:rsidRPr="00C95B29" w:rsidRDefault="00AC4A51" w:rsidP="0087065A">
            <w:pPr>
              <w:jc w:val="left"/>
              <w:rPr>
                <w:color w:val="000000"/>
              </w:rPr>
            </w:pPr>
          </w:p>
        </w:tc>
        <w:tc>
          <w:tcPr>
            <w:tcW w:w="939" w:type="dxa"/>
            <w:tcBorders>
              <w:top w:val="nil"/>
              <w:left w:val="nil"/>
              <w:bottom w:val="single" w:sz="4" w:space="0" w:color="auto"/>
              <w:right w:val="single" w:sz="4" w:space="0" w:color="auto"/>
            </w:tcBorders>
            <w:shd w:val="clear" w:color="000000" w:fill="FDE9D9"/>
            <w:vAlign w:val="center"/>
          </w:tcPr>
          <w:p w14:paraId="071C7023" w14:textId="77777777" w:rsidR="00AC4A51" w:rsidRPr="00C95B29" w:rsidRDefault="00AC4A51" w:rsidP="0087065A">
            <w:pPr>
              <w:jc w:val="right"/>
              <w:rPr>
                <w:rFonts w:ascii="Calibri" w:eastAsia="Times New Roman" w:hAnsi="Calibri" w:cs="Times New Roman"/>
                <w:color w:val="000000"/>
                <w:sz w:val="22"/>
                <w:szCs w:val="22"/>
                <w:lang w:eastAsia="en-GB"/>
              </w:rPr>
            </w:pPr>
          </w:p>
        </w:tc>
        <w:tc>
          <w:tcPr>
            <w:tcW w:w="1180" w:type="dxa"/>
            <w:tcBorders>
              <w:top w:val="nil"/>
              <w:left w:val="nil"/>
              <w:bottom w:val="single" w:sz="4" w:space="0" w:color="auto"/>
              <w:right w:val="single" w:sz="4" w:space="0" w:color="auto"/>
            </w:tcBorders>
            <w:shd w:val="clear" w:color="000000" w:fill="FDE9D9"/>
            <w:noWrap/>
            <w:vAlign w:val="center"/>
          </w:tcPr>
          <w:p w14:paraId="69069168" w14:textId="77777777" w:rsidR="00AC4A51" w:rsidRPr="00C95B29" w:rsidRDefault="00AC4A51" w:rsidP="0087065A">
            <w:pPr>
              <w:jc w:val="right"/>
              <w:rPr>
                <w:rFonts w:ascii="Calibri" w:eastAsia="Times New Roman" w:hAnsi="Calibri" w:cs="Times New Roman"/>
                <w:color w:val="000000"/>
                <w:sz w:val="22"/>
                <w:szCs w:val="22"/>
                <w:lang w:eastAsia="en-GB"/>
              </w:rPr>
            </w:pPr>
          </w:p>
        </w:tc>
        <w:tc>
          <w:tcPr>
            <w:tcW w:w="1148" w:type="dxa"/>
            <w:tcBorders>
              <w:top w:val="nil"/>
              <w:left w:val="nil"/>
              <w:bottom w:val="single" w:sz="4" w:space="0" w:color="auto"/>
              <w:right w:val="single" w:sz="4" w:space="0" w:color="auto"/>
            </w:tcBorders>
            <w:shd w:val="clear" w:color="000000" w:fill="FDE9D9"/>
            <w:vAlign w:val="center"/>
          </w:tcPr>
          <w:p w14:paraId="3C052071" w14:textId="77777777" w:rsidR="00AC4A51" w:rsidRPr="00C95B29" w:rsidRDefault="00AC4A51" w:rsidP="0087065A">
            <w:pPr>
              <w:jc w:val="right"/>
              <w:rPr>
                <w:rFonts w:ascii="Calibri" w:eastAsia="Times New Roman" w:hAnsi="Calibri" w:cs="Times New Roman"/>
                <w:color w:val="000000"/>
                <w:sz w:val="22"/>
                <w:szCs w:val="22"/>
                <w:lang w:eastAsia="en-GB"/>
              </w:rPr>
            </w:pPr>
          </w:p>
        </w:tc>
      </w:tr>
      <w:tr w:rsidR="00AC4A51" w:rsidRPr="00C95B29" w14:paraId="14D00A88" w14:textId="77777777" w:rsidTr="0087065A">
        <w:trPr>
          <w:trHeight w:val="900"/>
        </w:trPr>
        <w:tc>
          <w:tcPr>
            <w:tcW w:w="1038" w:type="dxa"/>
            <w:tcBorders>
              <w:top w:val="nil"/>
              <w:left w:val="single" w:sz="4" w:space="0" w:color="auto"/>
              <w:bottom w:val="single" w:sz="4" w:space="0" w:color="auto"/>
              <w:right w:val="single" w:sz="4" w:space="0" w:color="auto"/>
            </w:tcBorders>
            <w:shd w:val="clear" w:color="auto" w:fill="auto"/>
          </w:tcPr>
          <w:p w14:paraId="29A18124"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A6</w:t>
            </w:r>
          </w:p>
        </w:tc>
        <w:tc>
          <w:tcPr>
            <w:tcW w:w="4115" w:type="dxa"/>
            <w:tcBorders>
              <w:top w:val="nil"/>
              <w:left w:val="nil"/>
              <w:bottom w:val="single" w:sz="4" w:space="0" w:color="auto"/>
              <w:right w:val="single" w:sz="4" w:space="0" w:color="auto"/>
            </w:tcBorders>
            <w:shd w:val="clear" w:color="auto" w:fill="auto"/>
          </w:tcPr>
          <w:p w14:paraId="33E3FD0C" w14:textId="77777777" w:rsidR="00AC4A51" w:rsidRPr="00C95B29" w:rsidRDefault="00AC4A51" w:rsidP="0087065A">
            <w:pPr>
              <w:jc w:val="left"/>
              <w:rPr>
                <w:rFonts w:cs="Arial"/>
                <w:color w:val="000000"/>
              </w:rPr>
            </w:pPr>
            <w:r w:rsidRPr="00C95B29">
              <w:rPr>
                <w:rFonts w:cs="Arial"/>
                <w:color w:val="000000"/>
              </w:rPr>
              <w:t>As a company, what green credentials can you demonstrate which lower your overall carbon footprint as a company (How have you put sustainability at the core of your business)?</w:t>
            </w:r>
          </w:p>
        </w:tc>
        <w:tc>
          <w:tcPr>
            <w:tcW w:w="939" w:type="dxa"/>
            <w:tcBorders>
              <w:top w:val="nil"/>
              <w:left w:val="nil"/>
              <w:bottom w:val="single" w:sz="4" w:space="0" w:color="auto"/>
              <w:right w:val="single" w:sz="4" w:space="0" w:color="auto"/>
            </w:tcBorders>
            <w:shd w:val="clear" w:color="000000" w:fill="FDE9D9"/>
            <w:vAlign w:val="center"/>
          </w:tcPr>
          <w:p w14:paraId="4C6F8D53"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tcPr>
          <w:p w14:paraId="6E8D8C6E"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10</w:t>
            </w:r>
          </w:p>
        </w:tc>
        <w:tc>
          <w:tcPr>
            <w:tcW w:w="1148" w:type="dxa"/>
            <w:tcBorders>
              <w:top w:val="nil"/>
              <w:left w:val="nil"/>
              <w:bottom w:val="single" w:sz="4" w:space="0" w:color="auto"/>
              <w:right w:val="single" w:sz="4" w:space="0" w:color="auto"/>
            </w:tcBorders>
            <w:shd w:val="clear" w:color="000000" w:fill="FDE9D9"/>
            <w:vAlign w:val="center"/>
          </w:tcPr>
          <w:p w14:paraId="47514BA6"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100</w:t>
            </w:r>
          </w:p>
        </w:tc>
      </w:tr>
      <w:tr w:rsidR="00AC4A51" w:rsidRPr="00C95B29" w14:paraId="259790D8" w14:textId="77777777" w:rsidTr="0087065A">
        <w:trPr>
          <w:trHeight w:val="900"/>
        </w:trPr>
        <w:tc>
          <w:tcPr>
            <w:tcW w:w="1038" w:type="dxa"/>
            <w:tcBorders>
              <w:top w:val="nil"/>
              <w:left w:val="single" w:sz="4" w:space="0" w:color="auto"/>
              <w:bottom w:val="single" w:sz="4" w:space="0" w:color="auto"/>
              <w:right w:val="single" w:sz="4" w:space="0" w:color="auto"/>
            </w:tcBorders>
            <w:shd w:val="clear" w:color="auto" w:fill="auto"/>
          </w:tcPr>
          <w:p w14:paraId="0C30B41D"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A7</w:t>
            </w:r>
          </w:p>
        </w:tc>
        <w:tc>
          <w:tcPr>
            <w:tcW w:w="4115" w:type="dxa"/>
            <w:tcBorders>
              <w:top w:val="nil"/>
              <w:left w:val="nil"/>
              <w:bottom w:val="single" w:sz="4" w:space="0" w:color="auto"/>
              <w:right w:val="single" w:sz="4" w:space="0" w:color="auto"/>
            </w:tcBorders>
            <w:shd w:val="clear" w:color="auto" w:fill="auto"/>
          </w:tcPr>
          <w:p w14:paraId="437A728F" w14:textId="77777777" w:rsidR="00AC4A51" w:rsidRPr="00C95B29" w:rsidRDefault="00AC4A51" w:rsidP="0087065A">
            <w:pPr>
              <w:jc w:val="left"/>
              <w:rPr>
                <w:color w:val="000000"/>
              </w:rPr>
            </w:pPr>
            <w:r w:rsidRPr="00C95B29">
              <w:rPr>
                <w:rFonts w:cs="Arial"/>
                <w:color w:val="000000"/>
              </w:rPr>
              <w:t>What measures are included to demonstrate improved efficiencies compared to the current arrangements?</w:t>
            </w:r>
          </w:p>
        </w:tc>
        <w:tc>
          <w:tcPr>
            <w:tcW w:w="939" w:type="dxa"/>
            <w:tcBorders>
              <w:top w:val="nil"/>
              <w:left w:val="nil"/>
              <w:bottom w:val="single" w:sz="4" w:space="0" w:color="auto"/>
              <w:right w:val="single" w:sz="4" w:space="0" w:color="auto"/>
            </w:tcBorders>
            <w:shd w:val="clear" w:color="000000" w:fill="FDE9D9"/>
            <w:vAlign w:val="center"/>
          </w:tcPr>
          <w:p w14:paraId="4B89B05D"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tcPr>
          <w:p w14:paraId="7C3FC682"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10</w:t>
            </w:r>
          </w:p>
        </w:tc>
        <w:tc>
          <w:tcPr>
            <w:tcW w:w="1148" w:type="dxa"/>
            <w:tcBorders>
              <w:top w:val="nil"/>
              <w:left w:val="nil"/>
              <w:bottom w:val="single" w:sz="4" w:space="0" w:color="auto"/>
              <w:right w:val="single" w:sz="4" w:space="0" w:color="auto"/>
            </w:tcBorders>
            <w:shd w:val="clear" w:color="000000" w:fill="FDE9D9"/>
            <w:vAlign w:val="center"/>
          </w:tcPr>
          <w:p w14:paraId="35AF6A8E"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100</w:t>
            </w:r>
          </w:p>
        </w:tc>
      </w:tr>
      <w:tr w:rsidR="00AC4A51" w:rsidRPr="00C95B29" w14:paraId="13F16796" w14:textId="77777777" w:rsidTr="0087065A">
        <w:trPr>
          <w:trHeight w:val="900"/>
        </w:trPr>
        <w:tc>
          <w:tcPr>
            <w:tcW w:w="1038" w:type="dxa"/>
            <w:tcBorders>
              <w:top w:val="nil"/>
              <w:left w:val="single" w:sz="4" w:space="0" w:color="auto"/>
              <w:bottom w:val="single" w:sz="4" w:space="0" w:color="auto"/>
              <w:right w:val="single" w:sz="4" w:space="0" w:color="auto"/>
            </w:tcBorders>
            <w:shd w:val="clear" w:color="auto" w:fill="auto"/>
          </w:tcPr>
          <w:p w14:paraId="429C7E58" w14:textId="77777777" w:rsidR="00AC4A51" w:rsidRPr="00C95B29" w:rsidRDefault="00AC4A51" w:rsidP="0087065A">
            <w:pPr>
              <w:jc w:val="lef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A8</w:t>
            </w:r>
          </w:p>
        </w:tc>
        <w:tc>
          <w:tcPr>
            <w:tcW w:w="4115" w:type="dxa"/>
            <w:tcBorders>
              <w:top w:val="nil"/>
              <w:left w:val="nil"/>
              <w:bottom w:val="single" w:sz="4" w:space="0" w:color="auto"/>
              <w:right w:val="single" w:sz="4" w:space="0" w:color="auto"/>
            </w:tcBorders>
            <w:shd w:val="clear" w:color="auto" w:fill="auto"/>
          </w:tcPr>
          <w:p w14:paraId="08A7C193" w14:textId="77777777" w:rsidR="00AC4A51" w:rsidRPr="00C95B29" w:rsidRDefault="00AC4A51" w:rsidP="0087065A">
            <w:pPr>
              <w:jc w:val="left"/>
              <w:rPr>
                <w:color w:val="000000"/>
              </w:rPr>
            </w:pPr>
            <w:r w:rsidRPr="00C95B29">
              <w:rPr>
                <w:rFonts w:eastAsia="Times New Roman" w:cs="Arial"/>
                <w:color w:val="000000"/>
                <w:lang w:eastAsia="en-GB"/>
              </w:rPr>
              <w:t>Describe what measures you can put in place to meet the trusts 4 week delivery timescale on site (A More detailed programme)?</w:t>
            </w:r>
          </w:p>
        </w:tc>
        <w:tc>
          <w:tcPr>
            <w:tcW w:w="939" w:type="dxa"/>
            <w:tcBorders>
              <w:top w:val="nil"/>
              <w:left w:val="nil"/>
              <w:bottom w:val="single" w:sz="4" w:space="0" w:color="auto"/>
              <w:right w:val="single" w:sz="4" w:space="0" w:color="auto"/>
            </w:tcBorders>
            <w:shd w:val="clear" w:color="000000" w:fill="FDE9D9"/>
            <w:vAlign w:val="center"/>
          </w:tcPr>
          <w:p w14:paraId="26B9E272"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10</w:t>
            </w:r>
          </w:p>
        </w:tc>
        <w:tc>
          <w:tcPr>
            <w:tcW w:w="1180" w:type="dxa"/>
            <w:tcBorders>
              <w:top w:val="nil"/>
              <w:left w:val="nil"/>
              <w:bottom w:val="single" w:sz="4" w:space="0" w:color="auto"/>
              <w:right w:val="single" w:sz="4" w:space="0" w:color="auto"/>
            </w:tcBorders>
            <w:shd w:val="clear" w:color="000000" w:fill="FDE9D9"/>
            <w:noWrap/>
            <w:vAlign w:val="center"/>
          </w:tcPr>
          <w:p w14:paraId="4430F22D" w14:textId="77777777" w:rsidR="00AC4A51" w:rsidRPr="00C95B29" w:rsidRDefault="00AC4A51" w:rsidP="0087065A">
            <w:pPr>
              <w:jc w:val="right"/>
              <w:rPr>
                <w:rFonts w:ascii="Calibri" w:eastAsia="Times New Roman" w:hAnsi="Calibri" w:cs="Times New Roman"/>
                <w:color w:val="000000"/>
                <w:sz w:val="22"/>
                <w:szCs w:val="22"/>
                <w:lang w:eastAsia="en-GB"/>
              </w:rPr>
            </w:pPr>
            <w:r w:rsidRPr="00C95B29">
              <w:rPr>
                <w:rFonts w:ascii="Calibri" w:eastAsia="Times New Roman" w:hAnsi="Calibri" w:cs="Times New Roman"/>
                <w:color w:val="000000"/>
                <w:sz w:val="22"/>
                <w:szCs w:val="22"/>
                <w:lang w:eastAsia="en-GB"/>
              </w:rPr>
              <w:t>15</w:t>
            </w:r>
          </w:p>
        </w:tc>
        <w:tc>
          <w:tcPr>
            <w:tcW w:w="1148" w:type="dxa"/>
            <w:tcBorders>
              <w:top w:val="nil"/>
              <w:left w:val="nil"/>
              <w:bottom w:val="single" w:sz="4" w:space="0" w:color="auto"/>
              <w:right w:val="single" w:sz="4" w:space="0" w:color="auto"/>
            </w:tcBorders>
            <w:shd w:val="clear" w:color="000000" w:fill="FDE9D9"/>
            <w:vAlign w:val="center"/>
          </w:tcPr>
          <w:p w14:paraId="24C77C1F" w14:textId="77777777" w:rsidR="00AC4A51" w:rsidRPr="00C95B29" w:rsidRDefault="00AC4A51" w:rsidP="0087065A">
            <w:pPr>
              <w:jc w:val="right"/>
              <w:rPr>
                <w:rFonts w:ascii="Calibri" w:eastAsia="Times New Roman" w:hAnsi="Calibri" w:cs="Times New Roman"/>
                <w:color w:val="000000"/>
                <w:sz w:val="22"/>
                <w:szCs w:val="22"/>
                <w:lang w:eastAsia="en-GB"/>
              </w:rPr>
            </w:pPr>
            <w:r>
              <w:rPr>
                <w:rFonts w:ascii="Calibri" w:eastAsia="Times New Roman" w:hAnsi="Calibri" w:cs="Times New Roman"/>
                <w:color w:val="000000"/>
                <w:sz w:val="22"/>
                <w:szCs w:val="22"/>
                <w:lang w:eastAsia="en-GB"/>
              </w:rPr>
              <w:t>150</w:t>
            </w:r>
          </w:p>
        </w:tc>
      </w:tr>
    </w:tbl>
    <w:p w14:paraId="2F1FB36B" w14:textId="77777777" w:rsidR="00AC4A51" w:rsidRDefault="00AC4A51" w:rsidP="00AC4A51">
      <w:pPr>
        <w:pStyle w:val="MRNumberedHeading2"/>
        <w:numPr>
          <w:ilvl w:val="0"/>
          <w:numId w:val="0"/>
        </w:numPr>
        <w:ind w:left="851"/>
      </w:pPr>
    </w:p>
    <w:p w14:paraId="6E32E61C" w14:textId="77777777" w:rsidR="00AC4A51" w:rsidRDefault="00AC4A51" w:rsidP="00AC4A51">
      <w:pPr>
        <w:pStyle w:val="MRNumberedHeading2"/>
      </w:pPr>
      <w:r w:rsidRPr="001D09AC">
        <w:t>This methodology wou</w:t>
      </w:r>
      <w:r>
        <w:t>ld be repeated for all criteria</w:t>
      </w:r>
      <w:r w:rsidRPr="001D09AC">
        <w:t xml:space="preserve"> identified in table 4.9.1, with the weighted mark for each criteria being added together to give an overall non-financial mark</w:t>
      </w:r>
      <w:r>
        <w:t>.</w:t>
      </w:r>
    </w:p>
    <w:p w14:paraId="31B2C2FF" w14:textId="4AFBBDF7" w:rsidR="00AC4A51" w:rsidRDefault="00AC4A51" w:rsidP="00AC4A51">
      <w:pPr>
        <w:pStyle w:val="MRNumberedHeading2"/>
      </w:pPr>
      <w:r w:rsidRPr="00884E4C">
        <w:t xml:space="preserve">The technical </w:t>
      </w:r>
      <w:r w:rsidR="00545A86">
        <w:t>question PQQ</w:t>
      </w:r>
      <w:r w:rsidRPr="00884E4C">
        <w:t xml:space="preserve"> evaluation will be scored in accordance with the table below: </w:t>
      </w:r>
    </w:p>
    <w:p w14:paraId="31EF902C" w14:textId="77777777" w:rsidR="00AC4A51" w:rsidRPr="006A38D8" w:rsidRDefault="00AC4A51" w:rsidP="00AC4A51">
      <w:pPr>
        <w:pStyle w:val="MRNumberedHeading1"/>
        <w:numPr>
          <w:ilvl w:val="0"/>
          <w:numId w:val="0"/>
        </w:numPr>
        <w:ind w:left="798" w:hanging="720"/>
        <w:rPr>
          <w:b w:val="0"/>
          <w:sz w:val="20"/>
        </w:rPr>
      </w:pPr>
      <w:r w:rsidRPr="006A38D8">
        <w:rPr>
          <w:b w:val="0"/>
          <w:sz w:val="20"/>
        </w:rPr>
        <w:lastRenderedPageBreak/>
        <w:t xml:space="preserve">Each Question to be marked out 0 to 10 by the evaluation group as a whole, using </w:t>
      </w:r>
      <w:r>
        <w:rPr>
          <w:b w:val="0"/>
          <w:sz w:val="20"/>
        </w:rPr>
        <w:t>the scoring system shown below:</w:t>
      </w:r>
    </w:p>
    <w:tbl>
      <w:tblPr>
        <w:tblW w:w="10956"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1322"/>
        <w:gridCol w:w="7873"/>
      </w:tblGrid>
      <w:tr w:rsidR="00AC4A51" w:rsidRPr="00FB62ED" w14:paraId="399B6258" w14:textId="77777777" w:rsidTr="0087065A">
        <w:trPr>
          <w:cantSplit/>
          <w:trHeight w:val="206"/>
        </w:trPr>
        <w:tc>
          <w:tcPr>
            <w:tcW w:w="1761" w:type="dxa"/>
            <w:shd w:val="clear" w:color="auto" w:fill="BFBFBF" w:themeFill="background1" w:themeFillShade="BF"/>
            <w:vAlign w:val="center"/>
          </w:tcPr>
          <w:p w14:paraId="4E7AB22A"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
                <w:bCs/>
                <w:szCs w:val="22"/>
              </w:rPr>
            </w:pPr>
            <w:r w:rsidRPr="00FB62ED">
              <w:rPr>
                <w:rFonts w:eastAsia="Times New Roman" w:cs="Arial"/>
                <w:b/>
                <w:bCs/>
                <w:szCs w:val="22"/>
              </w:rPr>
              <w:t>Grade label</w:t>
            </w:r>
          </w:p>
        </w:tc>
        <w:tc>
          <w:tcPr>
            <w:tcW w:w="1322" w:type="dxa"/>
            <w:shd w:val="clear" w:color="auto" w:fill="BFBFBF" w:themeFill="background1" w:themeFillShade="BF"/>
            <w:vAlign w:val="center"/>
          </w:tcPr>
          <w:p w14:paraId="5411C85A"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
                <w:bCs/>
                <w:szCs w:val="22"/>
              </w:rPr>
            </w:pPr>
            <w:r w:rsidRPr="00FB62ED">
              <w:rPr>
                <w:rFonts w:eastAsia="Times New Roman" w:cs="Arial"/>
                <w:b/>
                <w:bCs/>
                <w:szCs w:val="22"/>
              </w:rPr>
              <w:t>Grade</w:t>
            </w:r>
          </w:p>
        </w:tc>
        <w:tc>
          <w:tcPr>
            <w:tcW w:w="7873" w:type="dxa"/>
            <w:shd w:val="clear" w:color="auto" w:fill="BFBFBF" w:themeFill="background1" w:themeFillShade="BF"/>
            <w:vAlign w:val="center"/>
          </w:tcPr>
          <w:p w14:paraId="49400F65"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
                <w:bCs/>
                <w:szCs w:val="22"/>
              </w:rPr>
            </w:pPr>
            <w:r w:rsidRPr="00FB62ED">
              <w:rPr>
                <w:rFonts w:eastAsia="Times New Roman" w:cs="Arial"/>
                <w:b/>
                <w:bCs/>
                <w:szCs w:val="22"/>
              </w:rPr>
              <w:t>Definition of Grade</w:t>
            </w:r>
          </w:p>
        </w:tc>
      </w:tr>
      <w:tr w:rsidR="00AC4A51" w:rsidRPr="00FB62ED" w14:paraId="188603CA" w14:textId="77777777" w:rsidTr="0087065A">
        <w:trPr>
          <w:cantSplit/>
          <w:trHeight w:val="328"/>
        </w:trPr>
        <w:tc>
          <w:tcPr>
            <w:tcW w:w="1761" w:type="dxa"/>
            <w:shd w:val="clear" w:color="auto" w:fill="auto"/>
            <w:vAlign w:val="center"/>
          </w:tcPr>
          <w:p w14:paraId="19189CD8"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Cs/>
                <w:szCs w:val="22"/>
              </w:rPr>
            </w:pPr>
            <w:r w:rsidRPr="00FB62ED">
              <w:rPr>
                <w:rFonts w:eastAsia="Times New Roman" w:cs="Arial"/>
                <w:bCs/>
                <w:szCs w:val="22"/>
              </w:rPr>
              <w:t>Unacceptable</w:t>
            </w:r>
          </w:p>
        </w:tc>
        <w:tc>
          <w:tcPr>
            <w:tcW w:w="1322" w:type="dxa"/>
            <w:shd w:val="clear" w:color="auto" w:fill="auto"/>
            <w:vAlign w:val="center"/>
          </w:tcPr>
          <w:p w14:paraId="6045B9E6"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Cs/>
                <w:szCs w:val="22"/>
              </w:rPr>
            </w:pPr>
            <w:r w:rsidRPr="00FB62ED">
              <w:rPr>
                <w:rFonts w:eastAsia="Times New Roman" w:cs="Arial"/>
                <w:bCs/>
                <w:szCs w:val="22"/>
              </w:rPr>
              <w:t>0</w:t>
            </w:r>
          </w:p>
        </w:tc>
        <w:tc>
          <w:tcPr>
            <w:tcW w:w="7873" w:type="dxa"/>
            <w:shd w:val="clear" w:color="auto" w:fill="auto"/>
            <w:vAlign w:val="center"/>
          </w:tcPr>
          <w:p w14:paraId="6DF98591" w14:textId="77777777" w:rsidR="00AC4A51" w:rsidRPr="00FB62ED" w:rsidRDefault="00AC4A51" w:rsidP="0087065A">
            <w:pPr>
              <w:keepNext/>
              <w:overflowPunct w:val="0"/>
              <w:autoSpaceDE w:val="0"/>
              <w:autoSpaceDN w:val="0"/>
              <w:adjustRightInd w:val="0"/>
              <w:spacing w:before="240" w:line="240" w:lineRule="atLeast"/>
              <w:ind w:right="130"/>
              <w:textAlignment w:val="baseline"/>
              <w:rPr>
                <w:rFonts w:eastAsia="Times New Roman" w:cs="Arial"/>
                <w:bCs/>
                <w:szCs w:val="22"/>
              </w:rPr>
            </w:pPr>
            <w:r w:rsidRPr="00FB62ED">
              <w:rPr>
                <w:rFonts w:eastAsia="Times New Roman" w:cs="Arial"/>
                <w:bCs/>
                <w:szCs w:val="22"/>
              </w:rPr>
              <w:t>The proposal completely fails to meet the requirements or does not provide an answer.</w:t>
            </w:r>
          </w:p>
        </w:tc>
      </w:tr>
      <w:tr w:rsidR="00AC4A51" w:rsidRPr="00FB62ED" w14:paraId="509CFCBD" w14:textId="77777777" w:rsidTr="0087065A">
        <w:trPr>
          <w:cantSplit/>
          <w:trHeight w:val="328"/>
        </w:trPr>
        <w:tc>
          <w:tcPr>
            <w:tcW w:w="1761" w:type="dxa"/>
            <w:shd w:val="clear" w:color="auto" w:fill="auto"/>
            <w:vAlign w:val="center"/>
          </w:tcPr>
          <w:p w14:paraId="684C1673"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Cs/>
                <w:szCs w:val="22"/>
              </w:rPr>
            </w:pPr>
            <w:r w:rsidRPr="00FB62ED">
              <w:rPr>
                <w:rFonts w:eastAsia="Times New Roman" w:cs="Arial"/>
                <w:bCs/>
                <w:szCs w:val="22"/>
              </w:rPr>
              <w:t>Weak</w:t>
            </w:r>
          </w:p>
        </w:tc>
        <w:tc>
          <w:tcPr>
            <w:tcW w:w="1322" w:type="dxa"/>
            <w:shd w:val="clear" w:color="auto" w:fill="auto"/>
            <w:vAlign w:val="center"/>
          </w:tcPr>
          <w:p w14:paraId="4A063136"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Cs/>
                <w:szCs w:val="22"/>
              </w:rPr>
            </w:pPr>
            <w:r w:rsidRPr="00FB62ED">
              <w:rPr>
                <w:rFonts w:eastAsia="Times New Roman" w:cs="Arial"/>
                <w:bCs/>
                <w:szCs w:val="22"/>
              </w:rPr>
              <w:t>2</w:t>
            </w:r>
          </w:p>
        </w:tc>
        <w:tc>
          <w:tcPr>
            <w:tcW w:w="7873" w:type="dxa"/>
            <w:shd w:val="clear" w:color="auto" w:fill="auto"/>
            <w:vAlign w:val="center"/>
          </w:tcPr>
          <w:p w14:paraId="6A9AD2FC" w14:textId="77777777" w:rsidR="00AC4A51" w:rsidRPr="00FB62ED" w:rsidRDefault="00AC4A51" w:rsidP="0087065A">
            <w:pPr>
              <w:keepNext/>
              <w:overflowPunct w:val="0"/>
              <w:autoSpaceDE w:val="0"/>
              <w:autoSpaceDN w:val="0"/>
              <w:adjustRightInd w:val="0"/>
              <w:spacing w:before="240" w:line="240" w:lineRule="atLeast"/>
              <w:ind w:right="130"/>
              <w:textAlignment w:val="baseline"/>
              <w:rPr>
                <w:rFonts w:eastAsia="Times New Roman" w:cs="Arial"/>
                <w:bCs/>
                <w:szCs w:val="22"/>
              </w:rPr>
            </w:pPr>
            <w:r w:rsidRPr="00FB62ED">
              <w:rPr>
                <w:rFonts w:eastAsia="Times New Roman" w:cs="Arial"/>
                <w:bCs/>
                <w:szCs w:val="22"/>
              </w:rPr>
              <w:t xml:space="preserve">The proposal significantly fails to meet the requirements, contains significant shortcomings, poor or limited evidence provided, and/or is inconsistent with other aspects of the Tender.. </w:t>
            </w:r>
          </w:p>
        </w:tc>
      </w:tr>
      <w:tr w:rsidR="00AC4A51" w:rsidRPr="00FB62ED" w14:paraId="5875CFAF" w14:textId="77777777" w:rsidTr="0087065A">
        <w:trPr>
          <w:cantSplit/>
          <w:trHeight w:val="328"/>
        </w:trPr>
        <w:tc>
          <w:tcPr>
            <w:tcW w:w="1761" w:type="dxa"/>
            <w:shd w:val="clear" w:color="auto" w:fill="auto"/>
            <w:vAlign w:val="center"/>
          </w:tcPr>
          <w:p w14:paraId="3198CDC8"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Cs/>
                <w:szCs w:val="22"/>
              </w:rPr>
            </w:pPr>
            <w:r w:rsidRPr="00FB62ED">
              <w:rPr>
                <w:rFonts w:eastAsia="Times New Roman" w:cs="Arial"/>
                <w:bCs/>
                <w:szCs w:val="22"/>
              </w:rPr>
              <w:t>Satisfactory</w:t>
            </w:r>
          </w:p>
        </w:tc>
        <w:tc>
          <w:tcPr>
            <w:tcW w:w="1322" w:type="dxa"/>
            <w:shd w:val="clear" w:color="auto" w:fill="auto"/>
            <w:vAlign w:val="center"/>
          </w:tcPr>
          <w:p w14:paraId="4E1B3371"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Cs/>
                <w:szCs w:val="22"/>
              </w:rPr>
            </w:pPr>
            <w:r w:rsidRPr="00FB62ED">
              <w:rPr>
                <w:rFonts w:eastAsia="Times New Roman" w:cs="Arial"/>
                <w:bCs/>
                <w:szCs w:val="22"/>
              </w:rPr>
              <w:t>5</w:t>
            </w:r>
          </w:p>
        </w:tc>
        <w:tc>
          <w:tcPr>
            <w:tcW w:w="7873" w:type="dxa"/>
            <w:shd w:val="clear" w:color="auto" w:fill="auto"/>
            <w:vAlign w:val="center"/>
          </w:tcPr>
          <w:p w14:paraId="04916253" w14:textId="77777777" w:rsidR="00AC4A51" w:rsidRPr="00FB62ED" w:rsidRDefault="00AC4A51" w:rsidP="0087065A">
            <w:pPr>
              <w:keepNext/>
              <w:overflowPunct w:val="0"/>
              <w:autoSpaceDE w:val="0"/>
              <w:autoSpaceDN w:val="0"/>
              <w:adjustRightInd w:val="0"/>
              <w:spacing w:before="240" w:line="240" w:lineRule="atLeast"/>
              <w:ind w:right="130"/>
              <w:textAlignment w:val="baseline"/>
              <w:rPr>
                <w:rFonts w:eastAsia="Times New Roman" w:cs="Arial"/>
                <w:bCs/>
                <w:szCs w:val="22"/>
              </w:rPr>
            </w:pPr>
            <w:r w:rsidRPr="00FB62ED">
              <w:rPr>
                <w:rFonts w:eastAsia="Times New Roman" w:cs="Arial"/>
                <w:bCs/>
                <w:szCs w:val="22"/>
              </w:rPr>
              <w:t>The proposal meets the requirements in all material respects, satisfactory evidence provided, with minor concerns.</w:t>
            </w:r>
          </w:p>
        </w:tc>
      </w:tr>
      <w:tr w:rsidR="00AC4A51" w:rsidRPr="00FB62ED" w14:paraId="11CAA612" w14:textId="77777777" w:rsidTr="0087065A">
        <w:trPr>
          <w:cantSplit/>
          <w:trHeight w:val="328"/>
        </w:trPr>
        <w:tc>
          <w:tcPr>
            <w:tcW w:w="1761" w:type="dxa"/>
            <w:shd w:val="clear" w:color="auto" w:fill="auto"/>
            <w:vAlign w:val="center"/>
          </w:tcPr>
          <w:p w14:paraId="3AAD5BFE"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Cs/>
                <w:szCs w:val="22"/>
              </w:rPr>
            </w:pPr>
            <w:r w:rsidRPr="00FB62ED">
              <w:rPr>
                <w:rFonts w:eastAsia="Times New Roman" w:cs="Arial"/>
                <w:bCs/>
                <w:szCs w:val="22"/>
              </w:rPr>
              <w:t>Good</w:t>
            </w:r>
          </w:p>
        </w:tc>
        <w:tc>
          <w:tcPr>
            <w:tcW w:w="1322" w:type="dxa"/>
            <w:shd w:val="clear" w:color="auto" w:fill="auto"/>
            <w:vAlign w:val="center"/>
          </w:tcPr>
          <w:p w14:paraId="27AEFCF0"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Cs/>
                <w:szCs w:val="22"/>
              </w:rPr>
            </w:pPr>
            <w:r w:rsidRPr="00FB62ED">
              <w:rPr>
                <w:rFonts w:eastAsia="Times New Roman" w:cs="Arial"/>
                <w:bCs/>
                <w:szCs w:val="22"/>
              </w:rPr>
              <w:t>7</w:t>
            </w:r>
          </w:p>
        </w:tc>
        <w:tc>
          <w:tcPr>
            <w:tcW w:w="7873" w:type="dxa"/>
            <w:shd w:val="clear" w:color="auto" w:fill="auto"/>
            <w:vAlign w:val="center"/>
          </w:tcPr>
          <w:p w14:paraId="7F2A389C" w14:textId="77777777" w:rsidR="00AC4A51" w:rsidRPr="00FB62ED" w:rsidRDefault="00AC4A51" w:rsidP="0087065A">
            <w:pPr>
              <w:keepNext/>
              <w:overflowPunct w:val="0"/>
              <w:autoSpaceDE w:val="0"/>
              <w:autoSpaceDN w:val="0"/>
              <w:adjustRightInd w:val="0"/>
              <w:spacing w:before="240" w:line="240" w:lineRule="atLeast"/>
              <w:ind w:right="130"/>
              <w:textAlignment w:val="baseline"/>
              <w:rPr>
                <w:rFonts w:eastAsia="Times New Roman" w:cs="Arial"/>
                <w:bCs/>
                <w:szCs w:val="22"/>
              </w:rPr>
            </w:pPr>
            <w:r w:rsidRPr="00FB62ED">
              <w:rPr>
                <w:rFonts w:eastAsia="Times New Roman" w:cs="Arial"/>
                <w:bCs/>
                <w:szCs w:val="22"/>
              </w:rPr>
              <w:t xml:space="preserve">The proposal meets the requirements in all material respects and exceeds some or all of the minor requirements, good evidence provided. </w:t>
            </w:r>
          </w:p>
        </w:tc>
      </w:tr>
      <w:tr w:rsidR="00AC4A51" w:rsidRPr="00FB62ED" w14:paraId="438433F4" w14:textId="77777777" w:rsidTr="0087065A">
        <w:trPr>
          <w:cantSplit/>
          <w:trHeight w:val="328"/>
        </w:trPr>
        <w:tc>
          <w:tcPr>
            <w:tcW w:w="1761" w:type="dxa"/>
            <w:shd w:val="clear" w:color="auto" w:fill="auto"/>
            <w:vAlign w:val="center"/>
          </w:tcPr>
          <w:p w14:paraId="2651BB82" w14:textId="77777777" w:rsidR="00AC4A51" w:rsidRPr="00FB62ED" w:rsidRDefault="00AC4A51" w:rsidP="0087065A">
            <w:pPr>
              <w:keepNext/>
              <w:overflowPunct w:val="0"/>
              <w:autoSpaceDE w:val="0"/>
              <w:autoSpaceDN w:val="0"/>
              <w:adjustRightInd w:val="0"/>
              <w:spacing w:before="240" w:line="240" w:lineRule="atLeast"/>
              <w:ind w:right="130"/>
              <w:jc w:val="left"/>
              <w:textAlignment w:val="baseline"/>
              <w:rPr>
                <w:rFonts w:eastAsia="Times New Roman" w:cs="Arial"/>
                <w:bCs/>
                <w:szCs w:val="22"/>
              </w:rPr>
            </w:pPr>
            <w:r w:rsidRPr="00FB62ED">
              <w:rPr>
                <w:rFonts w:eastAsia="Times New Roman" w:cs="Arial"/>
                <w:bCs/>
                <w:szCs w:val="22"/>
              </w:rPr>
              <w:t>Excellent</w:t>
            </w:r>
          </w:p>
        </w:tc>
        <w:tc>
          <w:tcPr>
            <w:tcW w:w="1322" w:type="dxa"/>
            <w:shd w:val="clear" w:color="auto" w:fill="auto"/>
            <w:vAlign w:val="center"/>
          </w:tcPr>
          <w:p w14:paraId="28934232" w14:textId="77777777" w:rsidR="00AC4A51" w:rsidRPr="00FB62ED" w:rsidRDefault="00AC4A51" w:rsidP="0087065A">
            <w:pPr>
              <w:keepNext/>
              <w:overflowPunct w:val="0"/>
              <w:autoSpaceDE w:val="0"/>
              <w:autoSpaceDN w:val="0"/>
              <w:adjustRightInd w:val="0"/>
              <w:spacing w:before="240" w:line="240" w:lineRule="atLeast"/>
              <w:ind w:right="130"/>
              <w:jc w:val="center"/>
              <w:textAlignment w:val="baseline"/>
              <w:rPr>
                <w:rFonts w:eastAsia="Times New Roman" w:cs="Arial"/>
                <w:bCs/>
                <w:szCs w:val="22"/>
              </w:rPr>
            </w:pPr>
            <w:r w:rsidRPr="00FB62ED">
              <w:rPr>
                <w:rFonts w:eastAsia="Times New Roman" w:cs="Arial"/>
                <w:bCs/>
                <w:szCs w:val="22"/>
              </w:rPr>
              <w:t>10</w:t>
            </w:r>
          </w:p>
        </w:tc>
        <w:tc>
          <w:tcPr>
            <w:tcW w:w="7873" w:type="dxa"/>
            <w:shd w:val="clear" w:color="auto" w:fill="auto"/>
            <w:vAlign w:val="center"/>
          </w:tcPr>
          <w:p w14:paraId="345F3515" w14:textId="77777777" w:rsidR="00AC4A51" w:rsidRPr="00FB62ED" w:rsidRDefault="00AC4A51" w:rsidP="0087065A">
            <w:pPr>
              <w:keepNext/>
              <w:overflowPunct w:val="0"/>
              <w:autoSpaceDE w:val="0"/>
              <w:autoSpaceDN w:val="0"/>
              <w:adjustRightInd w:val="0"/>
              <w:spacing w:before="240" w:line="240" w:lineRule="atLeast"/>
              <w:ind w:right="130"/>
              <w:textAlignment w:val="baseline"/>
              <w:rPr>
                <w:rFonts w:eastAsia="Times New Roman" w:cs="Arial"/>
                <w:bCs/>
                <w:szCs w:val="22"/>
              </w:rPr>
            </w:pPr>
            <w:r w:rsidRPr="00FB62ED">
              <w:rPr>
                <w:rFonts w:eastAsia="Times New Roman" w:cs="Arial"/>
                <w:bCs/>
                <w:szCs w:val="22"/>
              </w:rPr>
              <w:t>The proposal meets the required standard in all respects, and demonstrating best practice or delivering added value, with full supporting evidence.</w:t>
            </w:r>
          </w:p>
        </w:tc>
      </w:tr>
    </w:tbl>
    <w:p w14:paraId="41CA02DD" w14:textId="52C600D0" w:rsidR="00AC4A51" w:rsidRPr="005A2E47" w:rsidRDefault="00AC4A51" w:rsidP="00AC4A51">
      <w:pPr>
        <w:pStyle w:val="Heading1"/>
        <w:spacing w:before="240" w:after="0"/>
        <w:ind w:left="851"/>
      </w:pPr>
      <w:r>
        <w:t>Please see Annex B3</w:t>
      </w:r>
      <w:r w:rsidR="00545A86">
        <w:t>-PQQ</w:t>
      </w:r>
      <w:r>
        <w:t xml:space="preserve"> for Technical questions (Non-Commercial).</w:t>
      </w:r>
      <w:r w:rsidRPr="008E7F55">
        <w:t xml:space="preserve"> </w:t>
      </w:r>
    </w:p>
    <w:p w14:paraId="7DDCAF59" w14:textId="77777777" w:rsidR="00AC4A51" w:rsidRDefault="00AC4A51" w:rsidP="00AC4A51">
      <w:pPr>
        <w:pStyle w:val="MRNumberedHeading2"/>
        <w:numPr>
          <w:ilvl w:val="0"/>
          <w:numId w:val="0"/>
        </w:numPr>
        <w:ind w:left="851"/>
      </w:pPr>
      <w:r w:rsidRPr="002675E3">
        <w:t>The score for each element will be added together and then multiplied by the weighting factor for the criteria. For example, if a bidder scores a mark of 10 for a question with a weighting of 20, the maximum weighted score for that question would be 200. If the bidder scored 2, the maximum weighted mark would be 40.</w:t>
      </w:r>
    </w:p>
    <w:p w14:paraId="163FEC16" w14:textId="77777777" w:rsidR="00AC4A51" w:rsidRPr="001D09AC" w:rsidRDefault="00AC4A51" w:rsidP="00AC4A51">
      <w:pPr>
        <w:pStyle w:val="MRNumberedHeading2"/>
        <w:numPr>
          <w:ilvl w:val="0"/>
          <w:numId w:val="0"/>
        </w:numPr>
        <w:ind w:left="851"/>
      </w:pPr>
    </w:p>
    <w:p w14:paraId="2D50BA1F" w14:textId="77777777" w:rsidR="00AC4A51" w:rsidRPr="00277DBE" w:rsidRDefault="00AC4A51" w:rsidP="00AC4A51">
      <w:pPr>
        <w:pStyle w:val="MRNumberedHeading2"/>
      </w:pPr>
      <w:r w:rsidRPr="001D09AC">
        <w:t xml:space="preserve">To assist the Trust as part of the evaluation process the Trust can request bidders to meet with the project group to clarify any aspects of their bid. </w:t>
      </w:r>
    </w:p>
    <w:p w14:paraId="0D00FE99" w14:textId="29AC1908" w:rsidR="00AC4A51" w:rsidRPr="00326B26" w:rsidRDefault="00AC4A51" w:rsidP="00AC4A51">
      <w:pPr>
        <w:pStyle w:val="MRNumberedHeading2"/>
      </w:pPr>
      <w:r w:rsidRPr="00277DBE">
        <w:t xml:space="preserve">The Suppliers rank in the </w:t>
      </w:r>
      <w:r w:rsidR="00545A86">
        <w:t>top 5</w:t>
      </w:r>
      <w:r w:rsidRPr="00326B26">
        <w:t>/</w:t>
      </w:r>
      <w:r w:rsidR="00545A86">
        <w:t>8</w:t>
      </w:r>
      <w:r w:rsidRPr="00326B26">
        <w:t xml:space="preserve"> may be invited into the Trust to present on questions related to the technical question. The prese</w:t>
      </w:r>
      <w:r>
        <w:t>ntation will be scored (out of 10</w:t>
      </w:r>
      <w:r w:rsidRPr="00326B26">
        <w:t xml:space="preserve"> for each question asked) and the additional score added to the technical/quality score. </w:t>
      </w:r>
    </w:p>
    <w:p w14:paraId="7A33E40F" w14:textId="414E3642" w:rsidR="00AC4A51" w:rsidRPr="00277DBE" w:rsidRDefault="00AC4A51" w:rsidP="00AC4A51">
      <w:pPr>
        <w:pStyle w:val="MRNumberedHeading2"/>
      </w:pPr>
      <w:r w:rsidRPr="00326B26">
        <w:t>The presentation questions will be sent out at least 48 hours before the presentation, each question will be scored in line with the scoring system in 4.1</w:t>
      </w:r>
      <w:r>
        <w:t>1</w:t>
      </w:r>
      <w:r w:rsidRPr="00326B26">
        <w:t>,</w:t>
      </w:r>
      <w:r w:rsidRPr="00277DBE">
        <w:t xml:space="preserve"> and the same subheadings will be used as in the scoring criteria. The session will also be used to confirm the technical / quality score assessments of the Tender evaluation.  As such, scores achieved during the written </w:t>
      </w:r>
      <w:r w:rsidR="00545A86">
        <w:t>PQQ</w:t>
      </w:r>
      <w:r w:rsidRPr="00277DBE">
        <w:t xml:space="preserve"> evaluation may be adjusted (up or down) and the consolidated score of a Bidder amended.  </w:t>
      </w:r>
    </w:p>
    <w:p w14:paraId="33C1014C" w14:textId="77777777" w:rsidR="00AC4A51" w:rsidRDefault="00AC4A51" w:rsidP="00AC4A51">
      <w:pPr>
        <w:pStyle w:val="Heading2"/>
        <w:numPr>
          <w:ilvl w:val="0"/>
          <w:numId w:val="0"/>
        </w:numPr>
        <w:ind w:left="851" w:hanging="851"/>
        <w:rPr>
          <w:b/>
        </w:rPr>
      </w:pPr>
    </w:p>
    <w:p w14:paraId="0E5B7F2E" w14:textId="2C0B673C" w:rsidR="00AC4A51" w:rsidRPr="007C2F2F" w:rsidRDefault="00AC4A51" w:rsidP="00AC4A51">
      <w:pPr>
        <w:pStyle w:val="Heading1"/>
        <w:spacing w:before="240" w:after="0"/>
        <w:ind w:left="851"/>
      </w:pPr>
      <w:bookmarkStart w:id="157" w:name="_Toc403555175"/>
      <w:r w:rsidRPr="007C2F2F">
        <w:t>Criteria – Scored Questions</w:t>
      </w:r>
      <w:r>
        <w:t>:  pricing evaluation</w:t>
      </w:r>
      <w:bookmarkEnd w:id="157"/>
      <w:r w:rsidR="00545A86">
        <w:t xml:space="preserve"> – </w:t>
      </w:r>
      <w:r w:rsidR="00545A86" w:rsidRPr="00545A86">
        <w:rPr>
          <w:u w:val="single"/>
        </w:rPr>
        <w:t>Not Applicable for PQQ stage</w:t>
      </w:r>
    </w:p>
    <w:p w14:paraId="672AAE86" w14:textId="77777777" w:rsidR="00AC4A51" w:rsidRDefault="00AC4A51" w:rsidP="00AC4A51">
      <w:pPr>
        <w:pStyle w:val="Heading2"/>
        <w:numPr>
          <w:ilvl w:val="0"/>
          <w:numId w:val="0"/>
        </w:numPr>
        <w:ind w:left="851" w:firstLine="849"/>
      </w:pPr>
      <w:bookmarkStart w:id="158" w:name="_Toc403555177"/>
      <w:bookmarkStart w:id="159" w:name="_Ref405453293"/>
      <w:r>
        <w:rPr>
          <w:noProof/>
        </w:rPr>
        <mc:AlternateContent>
          <mc:Choice Requires="wps">
            <w:drawing>
              <wp:anchor distT="0" distB="0" distL="114300" distR="114300" simplePos="0" relativeHeight="251751424" behindDoc="0" locked="0" layoutInCell="1" allowOverlap="1" wp14:anchorId="777841CE" wp14:editId="5B816329">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ysClr val="window" lastClr="FFFFFF"/>
                        </a:solidFill>
                        <a:ln w="6350">
                          <a:noFill/>
                        </a:ln>
                        <a:effectLst/>
                      </wps:spPr>
                      <wps:txbx>
                        <w:txbxContent>
                          <w:bookmarkStart w:id="160" w:name="handfourten"/>
                          <w:bookmarkEnd w:id="160"/>
                          <w:p w14:paraId="418FFE53" w14:textId="77777777" w:rsidR="00AC4A51" w:rsidRPr="00362AE0" w:rsidRDefault="00AC4A51" w:rsidP="00AC4A5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14:paraId="4C1C941D" w14:textId="77777777" w:rsidR="00AC4A51" w:rsidRDefault="00AC4A51" w:rsidP="00AC4A51">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841CE" id="Text Box 28" o:spid="_x0000_s1046" type="#_x0000_t202" style="position:absolute;left:0;text-align:left;margin-left:460.7pt;margin-top:-10.3pt;width:37.55pt;height:31.9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" fillcolor="window" stroked="f" strokeweight=".5pt">
                <v:textbox>
                  <w:txbxContent>
                    <w:bookmarkStart w:id="161" w:name="handfourten"/>
                    <w:bookmarkEnd w:id="161"/>
                    <w:p w14:paraId="418FFE53" w14:textId="77777777" w:rsidR="00AC4A51" w:rsidRPr="00362AE0" w:rsidRDefault="00AC4A51" w:rsidP="00AC4A5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14:paraId="4C1C941D" w14:textId="77777777" w:rsidR="00AC4A51" w:rsidRDefault="00AC4A51" w:rsidP="00AC4A51">
                      <w:r>
                        <w:rPr>
                          <w:rFonts w:ascii="Arial Bold" w:hAnsi="Arial Bold"/>
                          <w:b/>
                          <w:color w:val="FF0000"/>
                          <w:sz w:val="44"/>
                          <w:szCs w:val="44"/>
                        </w:rPr>
                        <w:fldChar w:fldCharType="end"/>
                      </w:r>
                    </w:p>
                  </w:txbxContent>
                </v:textbox>
              </v:shape>
            </w:pict>
          </mc:Fallback>
        </mc:AlternateContent>
      </w:r>
      <w:bookmarkEnd w:id="158"/>
      <w:bookmarkEnd w:id="159"/>
    </w:p>
    <w:p w14:paraId="6B7627F7" w14:textId="77777777" w:rsidR="00AC4A51" w:rsidRPr="000D403C" w:rsidRDefault="00AC4A51" w:rsidP="00AC4A51">
      <w:pPr>
        <w:pStyle w:val="MRNumberedHeading2"/>
        <w:tabs>
          <w:tab w:val="clear" w:pos="851"/>
          <w:tab w:val="num" w:pos="720"/>
        </w:tabs>
        <w:ind w:left="720" w:hanging="720"/>
      </w:pPr>
      <w:r w:rsidRPr="000D403C">
        <w:rPr>
          <w:rFonts w:cs="Arial"/>
          <w:szCs w:val="20"/>
        </w:rPr>
        <w:t>The price submitted by the bidders, will then be assessed against their final overall non-financial mark to give a £ per assessed benefit.</w:t>
      </w:r>
    </w:p>
    <w:p w14:paraId="2EE80E0A" w14:textId="77777777" w:rsidR="00AC4A51" w:rsidRDefault="00AC4A51" w:rsidP="00AC4A51">
      <w:pPr>
        <w:tabs>
          <w:tab w:val="left" w:pos="709"/>
        </w:tabs>
        <w:spacing w:before="240"/>
        <w:ind w:left="709"/>
        <w:outlineLvl w:val="1"/>
        <w:rPr>
          <w:rFonts w:eastAsia="Times New Roman" w:cs="Times New Roman"/>
          <w:szCs w:val="24"/>
          <w:lang w:eastAsia="en-GB"/>
        </w:rPr>
      </w:pPr>
      <w:r w:rsidRPr="000D403C">
        <w:rPr>
          <w:rFonts w:eastAsia="Times New Roman" w:cs="Times New Roman"/>
          <w:szCs w:val="24"/>
          <w:lang w:eastAsia="en-GB"/>
        </w:rPr>
        <w:t>If it appears to the Authority that any Tender may be abnormally low then the Authority may ask the Bidder to explain its price or costs.  If following the Bidder's explanations the Authority is not satisfied with the Bidder's account for the low level of price or cost in the Tender, the Authority may treat the Tender</w:t>
      </w:r>
      <w:r>
        <w:rPr>
          <w:rFonts w:eastAsia="Times New Roman" w:cs="Times New Roman"/>
          <w:szCs w:val="24"/>
          <w:lang w:eastAsia="en-GB"/>
        </w:rPr>
        <w:t xml:space="preserve"> as non-compliant and reject it. </w:t>
      </w:r>
    </w:p>
    <w:p w14:paraId="176F7146" w14:textId="77777777" w:rsidR="00AC4A51" w:rsidRPr="000D403C" w:rsidRDefault="00AC4A51" w:rsidP="00AC4A51">
      <w:pPr>
        <w:tabs>
          <w:tab w:val="left" w:pos="709"/>
        </w:tabs>
        <w:spacing w:before="240"/>
        <w:outlineLvl w:val="1"/>
        <w:rPr>
          <w:rFonts w:eastAsia="Times New Roman" w:cs="Times New Roman"/>
          <w:szCs w:val="24"/>
          <w:lang w:eastAsia="en-GB"/>
        </w:rPr>
      </w:pPr>
      <w:r>
        <w:rPr>
          <w:rFonts w:eastAsia="Times New Roman" w:cs="Times New Roman"/>
          <w:szCs w:val="24"/>
          <w:lang w:eastAsia="en-GB"/>
        </w:rPr>
        <w:t xml:space="preserve">4.15 </w:t>
      </w:r>
      <w:r>
        <w:rPr>
          <w:rFonts w:eastAsia="Times New Roman" w:cs="Times New Roman"/>
          <w:szCs w:val="24"/>
          <w:lang w:eastAsia="en-GB"/>
        </w:rPr>
        <w:tab/>
      </w:r>
      <w:r w:rsidRPr="000D403C">
        <w:rPr>
          <w:rFonts w:eastAsia="Times New Roman" w:cs="Times New Roman"/>
          <w:szCs w:val="24"/>
          <w:lang w:eastAsia="en-GB"/>
        </w:rPr>
        <w:t>The formula to give a £per assessed benefit is as follows:</w:t>
      </w:r>
    </w:p>
    <w:p w14:paraId="29594387"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lastRenderedPageBreak/>
        <w:t>Bidders price / by bidders non-financial mark = £ per assessed benefit.</w:t>
      </w:r>
    </w:p>
    <w:p w14:paraId="60805541"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t>For example;</w:t>
      </w:r>
    </w:p>
    <w:p w14:paraId="365375D5" w14:textId="77777777" w:rsidR="00AC4A51" w:rsidRPr="000D403C" w:rsidRDefault="00AC4A51" w:rsidP="00AC4A51">
      <w:pPr>
        <w:spacing w:before="240"/>
        <w:ind w:left="851"/>
        <w:outlineLvl w:val="1"/>
        <w:rPr>
          <w:rFonts w:eastAsia="Times New Roman" w:cs="Times New Roman"/>
          <w:b/>
          <w:szCs w:val="24"/>
          <w:lang w:eastAsia="en-GB"/>
        </w:rPr>
      </w:pPr>
      <w:r w:rsidRPr="000D403C">
        <w:rPr>
          <w:rFonts w:eastAsia="Times New Roman" w:cs="Times New Roman"/>
          <w:b/>
          <w:szCs w:val="24"/>
          <w:lang w:eastAsia="en-GB"/>
        </w:rPr>
        <w:t>Bidder A</w:t>
      </w:r>
    </w:p>
    <w:p w14:paraId="3ADC3057"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t>£50,000 (bidders price) / by 500 (bidders non-financial mark) = £100 (£per assessed benefit)</w:t>
      </w:r>
    </w:p>
    <w:p w14:paraId="2C3749C8" w14:textId="77777777" w:rsidR="00AC4A51" w:rsidRPr="000D403C" w:rsidRDefault="00AC4A51" w:rsidP="00AC4A51">
      <w:pPr>
        <w:spacing w:before="240"/>
        <w:ind w:left="851"/>
        <w:outlineLvl w:val="1"/>
        <w:rPr>
          <w:rFonts w:eastAsia="Times New Roman" w:cs="Times New Roman"/>
          <w:b/>
          <w:szCs w:val="24"/>
          <w:lang w:eastAsia="en-GB"/>
        </w:rPr>
      </w:pPr>
      <w:r w:rsidRPr="000D403C">
        <w:rPr>
          <w:rFonts w:eastAsia="Times New Roman" w:cs="Times New Roman"/>
          <w:b/>
          <w:szCs w:val="24"/>
          <w:lang w:eastAsia="en-GB"/>
        </w:rPr>
        <w:t>Bidder B</w:t>
      </w:r>
    </w:p>
    <w:p w14:paraId="60163EC4"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t>£60,000 (bidders price) / by 750 (bidders non-financial mark) = £80 (£per assessed benefit)</w:t>
      </w:r>
    </w:p>
    <w:p w14:paraId="5072DF7C" w14:textId="77777777" w:rsidR="00AC4A51" w:rsidRPr="000D403C" w:rsidRDefault="00AC4A51" w:rsidP="00AC4A51">
      <w:pPr>
        <w:spacing w:before="240"/>
        <w:ind w:left="851"/>
        <w:outlineLvl w:val="1"/>
        <w:rPr>
          <w:rFonts w:eastAsia="Times New Roman" w:cs="Times New Roman"/>
          <w:b/>
          <w:szCs w:val="24"/>
          <w:lang w:eastAsia="en-GB"/>
        </w:rPr>
      </w:pPr>
      <w:r w:rsidRPr="000D403C">
        <w:rPr>
          <w:rFonts w:eastAsia="Times New Roman" w:cs="Times New Roman"/>
          <w:b/>
          <w:szCs w:val="24"/>
          <w:lang w:eastAsia="en-GB"/>
        </w:rPr>
        <w:t>Bidder C</w:t>
      </w:r>
    </w:p>
    <w:p w14:paraId="61F482AB"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t>£55,000 (bidders price) / by 700 (bidders non-financial mark) = £78.57 (£per assessed benefit)</w:t>
      </w:r>
    </w:p>
    <w:p w14:paraId="7C45C62A" w14:textId="77777777" w:rsidR="00AC4A51" w:rsidRPr="000D403C" w:rsidRDefault="00AC4A51" w:rsidP="00AC4A51">
      <w:pPr>
        <w:spacing w:before="240"/>
        <w:ind w:left="851"/>
        <w:outlineLvl w:val="1"/>
        <w:rPr>
          <w:rFonts w:eastAsia="Times New Roman" w:cs="Times New Roman"/>
          <w:szCs w:val="24"/>
          <w:lang w:eastAsia="en-GB"/>
        </w:rPr>
      </w:pPr>
      <w:r w:rsidRPr="000D403C">
        <w:rPr>
          <w:rFonts w:eastAsia="Times New Roman" w:cs="Times New Roman"/>
          <w:szCs w:val="24"/>
          <w:lang w:eastAsia="en-GB"/>
        </w:rPr>
        <w:t>In the example above, Bidder C would be ranked the most economically advantageous bid.</w:t>
      </w:r>
    </w:p>
    <w:p w14:paraId="1BD0369E" w14:textId="77777777" w:rsidR="00AC4A51" w:rsidRPr="000D403C" w:rsidRDefault="00AC4A51" w:rsidP="00AC4A51">
      <w:pPr>
        <w:spacing w:before="240"/>
        <w:ind w:left="851" w:hanging="851"/>
        <w:outlineLvl w:val="1"/>
        <w:rPr>
          <w:rFonts w:eastAsia="Times New Roman" w:cs="Times New Roman"/>
          <w:szCs w:val="24"/>
          <w:lang w:eastAsia="en-GB"/>
        </w:rPr>
      </w:pPr>
      <w:r w:rsidRPr="000D403C">
        <w:rPr>
          <w:rFonts w:eastAsia="Times New Roman" w:cs="Times New Roman"/>
          <w:szCs w:val="24"/>
          <w:lang w:eastAsia="en-GB"/>
        </w:rPr>
        <w:t>4.16</w:t>
      </w:r>
      <w:r w:rsidRPr="000D403C">
        <w:rPr>
          <w:rFonts w:eastAsia="Times New Roman" w:cs="Times New Roman"/>
          <w:szCs w:val="24"/>
          <w:lang w:eastAsia="en-GB"/>
        </w:rPr>
        <w:tab/>
        <w:t xml:space="preserve">The £ per assessed benefit will be completed after the technical evaluation to determine the 2/3 highest ranked suppliers and then again after the presentation scoring to determine the final ranking.   </w:t>
      </w:r>
    </w:p>
    <w:p w14:paraId="1DCBFA88" w14:textId="77777777" w:rsidR="00AC4A51" w:rsidRDefault="00AC4A51" w:rsidP="00AC4A51">
      <w:pPr>
        <w:pStyle w:val="MRNumberedHeading2"/>
        <w:numPr>
          <w:ilvl w:val="0"/>
          <w:numId w:val="0"/>
        </w:numPr>
        <w:ind w:left="851" w:hanging="851"/>
        <w:rPr>
          <w:rFonts w:eastAsiaTheme="minorHAnsi" w:cs="Arial"/>
          <w:szCs w:val="20"/>
          <w:lang w:eastAsia="en-US"/>
        </w:rPr>
      </w:pPr>
      <w:r w:rsidRPr="000D403C">
        <w:rPr>
          <w:rFonts w:eastAsiaTheme="minorHAnsi" w:cstheme="minorBidi"/>
          <w:szCs w:val="20"/>
          <w:lang w:eastAsia="en-US"/>
        </w:rPr>
        <w:t>4.17</w:t>
      </w:r>
      <w:r w:rsidRPr="000D403C">
        <w:rPr>
          <w:rFonts w:eastAsiaTheme="minorHAnsi" w:cstheme="minorBidi"/>
          <w:szCs w:val="20"/>
          <w:lang w:eastAsia="en-US"/>
        </w:rPr>
        <w:tab/>
      </w:r>
      <w:r w:rsidRPr="000D403C">
        <w:rPr>
          <w:rFonts w:eastAsiaTheme="minorHAnsi" w:cs="Arial"/>
          <w:szCs w:val="20"/>
          <w:lang w:eastAsia="en-US"/>
        </w:rPr>
        <w:t>The Trust may then award a contract to the Bidder who in its sole opinion Tenders the most economically advantageous bid (the lowest £ per assessed benefit) following the completion of the evaluation process.</w:t>
      </w:r>
    </w:p>
    <w:p w14:paraId="20C73992" w14:textId="6D335827" w:rsidR="005E4E9D" w:rsidRDefault="005E4E9D" w:rsidP="00AC4A51">
      <w:pPr>
        <w:pStyle w:val="MRNumberedHeading1"/>
        <w:numPr>
          <w:ilvl w:val="0"/>
          <w:numId w:val="0"/>
        </w:numPr>
        <w:ind w:left="798" w:hanging="720"/>
        <w:rPr>
          <w:b w:val="0"/>
        </w:rPr>
      </w:pPr>
    </w:p>
    <w:p w14:paraId="65C9C9ED" w14:textId="6B9B0E9E" w:rsidR="00AC4A51" w:rsidRDefault="00AC4A51" w:rsidP="00AC4A51">
      <w:pPr>
        <w:pStyle w:val="MRNumberedHeading1"/>
        <w:numPr>
          <w:ilvl w:val="0"/>
          <w:numId w:val="0"/>
        </w:numPr>
        <w:ind w:left="798" w:hanging="720"/>
        <w:rPr>
          <w:b w:val="0"/>
        </w:rPr>
      </w:pPr>
    </w:p>
    <w:p w14:paraId="368CAA93" w14:textId="706123C6" w:rsidR="00AC4A51" w:rsidRDefault="00AC4A51" w:rsidP="00AC4A51">
      <w:pPr>
        <w:pStyle w:val="MRNumberedHeading1"/>
        <w:numPr>
          <w:ilvl w:val="0"/>
          <w:numId w:val="0"/>
        </w:numPr>
        <w:ind w:left="798" w:hanging="720"/>
        <w:rPr>
          <w:b w:val="0"/>
        </w:rPr>
      </w:pPr>
    </w:p>
    <w:p w14:paraId="59A64862" w14:textId="2406B6A9" w:rsidR="00AC4A51" w:rsidRDefault="00AC4A51" w:rsidP="00AC4A51">
      <w:pPr>
        <w:pStyle w:val="MRNumberedHeading1"/>
        <w:numPr>
          <w:ilvl w:val="0"/>
          <w:numId w:val="0"/>
        </w:numPr>
        <w:ind w:left="798" w:hanging="720"/>
        <w:rPr>
          <w:b w:val="0"/>
        </w:rPr>
      </w:pPr>
    </w:p>
    <w:p w14:paraId="309A3522" w14:textId="597B27F4" w:rsidR="00AC4A51" w:rsidRDefault="00AC4A51" w:rsidP="00AC4A51">
      <w:pPr>
        <w:pStyle w:val="MRNumberedHeading1"/>
        <w:numPr>
          <w:ilvl w:val="0"/>
          <w:numId w:val="0"/>
        </w:numPr>
        <w:ind w:left="798" w:hanging="720"/>
        <w:rPr>
          <w:b w:val="0"/>
        </w:rPr>
      </w:pPr>
    </w:p>
    <w:p w14:paraId="64B8B0D4" w14:textId="2EBF9903" w:rsidR="00AC4A51" w:rsidRDefault="00AC4A51" w:rsidP="00AC4A51">
      <w:pPr>
        <w:pStyle w:val="MRNumberedHeading1"/>
        <w:numPr>
          <w:ilvl w:val="0"/>
          <w:numId w:val="0"/>
        </w:numPr>
        <w:ind w:left="798" w:hanging="720"/>
        <w:rPr>
          <w:b w:val="0"/>
        </w:rPr>
      </w:pPr>
    </w:p>
    <w:p w14:paraId="075DE6CE" w14:textId="090EF26F" w:rsidR="00AC4A51" w:rsidRDefault="00AC4A51" w:rsidP="00AC4A51">
      <w:pPr>
        <w:pStyle w:val="MRNumberedHeading1"/>
        <w:numPr>
          <w:ilvl w:val="0"/>
          <w:numId w:val="0"/>
        </w:numPr>
        <w:ind w:left="798" w:hanging="720"/>
        <w:rPr>
          <w:b w:val="0"/>
        </w:rPr>
      </w:pPr>
    </w:p>
    <w:p w14:paraId="1D7732FD" w14:textId="11570FEF" w:rsidR="00AC4A51" w:rsidRDefault="00AC4A51" w:rsidP="00AC4A51">
      <w:pPr>
        <w:pStyle w:val="MRNumberedHeading1"/>
        <w:numPr>
          <w:ilvl w:val="0"/>
          <w:numId w:val="0"/>
        </w:numPr>
        <w:ind w:left="798" w:hanging="720"/>
        <w:rPr>
          <w:b w:val="0"/>
        </w:rPr>
      </w:pPr>
    </w:p>
    <w:p w14:paraId="540B0F93" w14:textId="28A4B9CD" w:rsidR="00AC4A51" w:rsidRDefault="00AC4A51" w:rsidP="00AC4A51">
      <w:pPr>
        <w:pStyle w:val="MRNumberedHeading1"/>
        <w:numPr>
          <w:ilvl w:val="0"/>
          <w:numId w:val="0"/>
        </w:numPr>
        <w:ind w:left="798" w:hanging="720"/>
        <w:rPr>
          <w:b w:val="0"/>
        </w:rPr>
      </w:pPr>
    </w:p>
    <w:p w14:paraId="5278C31D" w14:textId="1C7E14E3" w:rsidR="00AC4A51" w:rsidRDefault="00AC4A51" w:rsidP="00AC4A51">
      <w:pPr>
        <w:pStyle w:val="MRNumberedHeading1"/>
        <w:numPr>
          <w:ilvl w:val="0"/>
          <w:numId w:val="0"/>
        </w:numPr>
        <w:ind w:left="798" w:hanging="720"/>
        <w:rPr>
          <w:b w:val="0"/>
        </w:rPr>
      </w:pPr>
    </w:p>
    <w:p w14:paraId="6FE49610" w14:textId="2BB45DEB" w:rsidR="00AC4A51" w:rsidRDefault="00AC4A51" w:rsidP="00AC4A51">
      <w:pPr>
        <w:pStyle w:val="MRNumberedHeading1"/>
        <w:numPr>
          <w:ilvl w:val="0"/>
          <w:numId w:val="0"/>
        </w:numPr>
        <w:ind w:left="798" w:hanging="720"/>
        <w:rPr>
          <w:b w:val="0"/>
        </w:rPr>
      </w:pPr>
    </w:p>
    <w:p w14:paraId="4183DBDC" w14:textId="77777777" w:rsidR="00AC4A51" w:rsidRDefault="00AC4A51" w:rsidP="00AC4A51">
      <w:pPr>
        <w:pStyle w:val="MRNumberedHeading1"/>
        <w:numPr>
          <w:ilvl w:val="0"/>
          <w:numId w:val="0"/>
        </w:numPr>
        <w:ind w:left="798" w:hanging="720"/>
        <w:rPr>
          <w:b w:val="0"/>
        </w:rPr>
      </w:pPr>
    </w:p>
    <w:p w14:paraId="65C57DFA" w14:textId="77777777" w:rsidR="00AC4A51" w:rsidRPr="00EE57C8" w:rsidRDefault="00AC4A51" w:rsidP="00AC4A51">
      <w:pPr>
        <w:pStyle w:val="MRNumberedHeading1"/>
        <w:numPr>
          <w:ilvl w:val="0"/>
          <w:numId w:val="0"/>
        </w:numPr>
        <w:ind w:left="798" w:hanging="720"/>
        <w:rPr>
          <w:b w:val="0"/>
        </w:rPr>
      </w:pPr>
    </w:p>
    <w:p w14:paraId="418DA729" w14:textId="77777777" w:rsidR="00450594" w:rsidRDefault="005E4E9D" w:rsidP="00401FF0">
      <w:pPr>
        <w:pStyle w:val="MainHeading"/>
        <w:spacing w:line="480" w:lineRule="auto"/>
        <w:ind w:left="0"/>
        <w:jc w:val="center"/>
        <w:rPr>
          <w:b/>
        </w:rPr>
      </w:pPr>
      <w:bookmarkStart w:id="162" w:name="_Toc403556511"/>
      <w:bookmarkStart w:id="163" w:name="_Toc406674974"/>
      <w:bookmarkStart w:id="164" w:name="_Toc412621216"/>
      <w:bookmarkStart w:id="165" w:name="_Toc412715226"/>
      <w:r w:rsidRPr="005B59B7">
        <w:rPr>
          <w:b/>
        </w:rPr>
        <w:t>ANNEX A1</w:t>
      </w:r>
    </w:p>
    <w:bookmarkEnd w:id="162"/>
    <w:bookmarkEnd w:id="163"/>
    <w:bookmarkEnd w:id="164"/>
    <w:bookmarkEnd w:id="165"/>
    <w:p w14:paraId="20C7399C" w14:textId="5BC8F00C" w:rsidR="005E4E9D" w:rsidRDefault="004C22CD" w:rsidP="005E4E9D">
      <w:pPr>
        <w:pStyle w:val="Body1"/>
        <w:ind w:left="0"/>
        <w:rPr>
          <w:i/>
          <w:color w:val="808080" w:themeColor="background1" w:themeShade="80"/>
        </w:rPr>
      </w:pPr>
      <w:r w:rsidRPr="00EE57C8">
        <w:t>The Authority intends to enter into a contract with th</w:t>
      </w:r>
      <w:r w:rsidR="00EE0049">
        <w:t xml:space="preserve">e successful Bidder on </w:t>
      </w:r>
      <w:r w:rsidR="0051414E" w:rsidRPr="0051414E">
        <w:t>JCT Standard Form with Contractors Design</w:t>
      </w:r>
      <w:r w:rsidR="00052201">
        <w:t>.</w:t>
      </w:r>
    </w:p>
    <w:p w14:paraId="20C739A4" w14:textId="7D5F344A" w:rsidR="00CF6718" w:rsidRDefault="00CF6718" w:rsidP="00097B3D">
      <w:pPr>
        <w:pStyle w:val="Body1"/>
        <w:ind w:left="0"/>
        <w:rPr>
          <w:b/>
        </w:rPr>
      </w:pPr>
    </w:p>
    <w:sectPr w:rsidR="00CF6718"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739EF" w14:textId="77777777" w:rsidR="0009642C" w:rsidRDefault="0009642C" w:rsidP="00C82318">
      <w:r>
        <w:separator/>
      </w:r>
    </w:p>
  </w:endnote>
  <w:endnote w:type="continuationSeparator" w:id="0">
    <w:p w14:paraId="20C739F0" w14:textId="77777777" w:rsidR="0009642C" w:rsidRDefault="0009642C"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39F8" w14:textId="55917BAC" w:rsidR="0009642C" w:rsidRPr="00100953" w:rsidRDefault="0009642C"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9" w14:textId="77777777" w:rsidR="0009642C" w:rsidRDefault="0009642C">
    <w:pPr>
      <w:pStyle w:val="Footer"/>
      <w:jc w:val="center"/>
    </w:pPr>
  </w:p>
  <w:p w14:paraId="20C739FA" w14:textId="77777777" w:rsidR="0009642C" w:rsidRDefault="0009642C"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39FC" w14:textId="77777777" w:rsidR="0009642C" w:rsidRDefault="0009642C">
    <w:pPr>
      <w:pStyle w:val="Footer"/>
      <w:jc w:val="center"/>
    </w:pPr>
  </w:p>
  <w:p w14:paraId="20C739FD" w14:textId="77777777" w:rsidR="0009642C" w:rsidRDefault="00096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249746"/>
      <w:docPartObj>
        <w:docPartGallery w:val="Page Numbers (Bottom of Page)"/>
        <w:docPartUnique/>
      </w:docPartObj>
    </w:sdtPr>
    <w:sdtEndPr>
      <w:rPr>
        <w:noProof/>
      </w:rPr>
    </w:sdtEndPr>
    <w:sdtContent>
      <w:p w14:paraId="20C739FE" w14:textId="5F418202" w:rsidR="0009642C" w:rsidRPr="00100953" w:rsidRDefault="0009642C"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9FF" w14:textId="5B04176A" w:rsidR="0009642C" w:rsidRDefault="0009642C">
        <w:pPr>
          <w:pStyle w:val="Footer"/>
          <w:jc w:val="center"/>
        </w:pPr>
        <w:r>
          <w:fldChar w:fldCharType="begin"/>
        </w:r>
        <w:r>
          <w:instrText xml:space="preserve"> PAGE   \* MERGEFORMAT </w:instrText>
        </w:r>
        <w:r>
          <w:fldChar w:fldCharType="separate"/>
        </w:r>
        <w:r w:rsidR="004660D0">
          <w:rPr>
            <w:noProof/>
          </w:rPr>
          <w:t>2</w:t>
        </w:r>
        <w:r>
          <w:rPr>
            <w:noProof/>
          </w:rPr>
          <w:fldChar w:fldCharType="end"/>
        </w:r>
      </w:p>
    </w:sdtContent>
  </w:sdt>
  <w:p w14:paraId="20C73A00" w14:textId="77777777" w:rsidR="0009642C" w:rsidRDefault="0009642C"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96238"/>
      <w:docPartObj>
        <w:docPartGallery w:val="Page Numbers (Bottom of Page)"/>
        <w:docPartUnique/>
      </w:docPartObj>
    </w:sdtPr>
    <w:sdtEndPr>
      <w:rPr>
        <w:noProof/>
      </w:rPr>
    </w:sdtEndPr>
    <w:sdtContent>
      <w:p w14:paraId="20C73A01" w14:textId="63628EB3" w:rsidR="0009642C" w:rsidRPr="00100953" w:rsidRDefault="0009642C"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20C73A02" w14:textId="520F08B9" w:rsidR="0009642C" w:rsidRDefault="0009642C">
        <w:pPr>
          <w:pStyle w:val="Footer"/>
          <w:jc w:val="center"/>
        </w:pPr>
        <w:r>
          <w:fldChar w:fldCharType="begin"/>
        </w:r>
        <w:r>
          <w:instrText xml:space="preserve"> PAGE   \* MERGEFORMAT </w:instrText>
        </w:r>
        <w:r>
          <w:fldChar w:fldCharType="separate"/>
        </w:r>
        <w:r w:rsidR="004660D0">
          <w:rPr>
            <w:noProof/>
          </w:rPr>
          <w:t>1</w:t>
        </w:r>
        <w:r>
          <w:rPr>
            <w:noProof/>
          </w:rPr>
          <w:fldChar w:fldCharType="end"/>
        </w:r>
      </w:p>
    </w:sdtContent>
  </w:sdt>
  <w:p w14:paraId="20C73A03" w14:textId="77777777" w:rsidR="0009642C" w:rsidRDefault="00096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739ED" w14:textId="77777777" w:rsidR="0009642C" w:rsidRDefault="0009642C" w:rsidP="00C82318">
      <w:r>
        <w:separator/>
      </w:r>
    </w:p>
  </w:footnote>
  <w:footnote w:type="continuationSeparator" w:id="0">
    <w:p w14:paraId="20C739EE" w14:textId="77777777" w:rsidR="0009642C" w:rsidRDefault="0009642C" w:rsidP="00C82318">
      <w:r>
        <w:continuationSeparator/>
      </w:r>
    </w:p>
  </w:footnote>
  <w:footnote w:id="1">
    <w:p w14:paraId="06C68716" w14:textId="77777777" w:rsidR="0009642C" w:rsidRDefault="0009642C" w:rsidP="009274BB">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09391D47" w14:textId="77777777" w:rsidR="0009642C" w:rsidRPr="001409AB" w:rsidRDefault="004660D0" w:rsidP="009274BB">
      <w:pPr>
        <w:pStyle w:val="FootnoteText"/>
        <w:rPr>
          <w:sz w:val="16"/>
          <w:szCs w:val="16"/>
        </w:rPr>
      </w:pPr>
      <w:hyperlink r:id="rId1" w:history="1">
        <w:r w:rsidR="0009642C" w:rsidRPr="001409AB">
          <w:rPr>
            <w:rStyle w:val="Hyperlink"/>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A60EDBE8"/>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5"/>
        </w:tabs>
        <w:ind w:left="2215" w:hanging="1080"/>
      </w:pPr>
      <w:rPr>
        <w:rFonts w:ascii="Arial" w:hAnsi="Arial" w:cs="Times New Roman" w:hint="default"/>
        <w:b w:val="0"/>
        <w:i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0D07F89"/>
    <w:multiLevelType w:val="multilevel"/>
    <w:tmpl w:val="98EE8466"/>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rPr>
    </w:lvl>
    <w:lvl w:ilvl="2">
      <w:start w:val="1"/>
      <w:numFmt w:val="bullet"/>
      <w:lvlText w:val=""/>
      <w:lvlJc w:val="left"/>
      <w:pPr>
        <w:tabs>
          <w:tab w:val="num" w:pos="2520"/>
        </w:tabs>
        <w:ind w:left="2520" w:hanging="360"/>
      </w:pPr>
      <w:rPr>
        <w:rFonts w:ascii="Wingdings" w:hAnsi="Wingdings" w:hint="default"/>
        <w:sz w:val="20"/>
      </w:rPr>
    </w:lvl>
    <w:lvl w:ilvl="3">
      <w:start w:val="6"/>
      <w:numFmt w:val="decimal"/>
      <w:lvlText w:val="%4."/>
      <w:lvlJc w:val="left"/>
      <w:pPr>
        <w:ind w:left="3240" w:hanging="360"/>
      </w:pPr>
      <w:rPr>
        <w:rFonts w:hint="default"/>
        <w:b/>
      </w:rPr>
    </w:lvl>
    <w:lvl w:ilvl="4">
      <w:start w:val="1"/>
      <w:numFmt w:val="decimal"/>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3AD6542"/>
    <w:multiLevelType w:val="hybridMultilevel"/>
    <w:tmpl w:val="ED5ED486"/>
    <w:lvl w:ilvl="0" w:tplc="6360D75E">
      <w:start w:val="121"/>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8"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6"/>
  </w:num>
  <w:num w:numId="4">
    <w:abstractNumId w:val="18"/>
  </w:num>
  <w:num w:numId="5">
    <w:abstractNumId w:val="18"/>
  </w:num>
  <w:num w:numId="6">
    <w:abstractNumId w:val="2"/>
  </w:num>
  <w:num w:numId="7">
    <w:abstractNumId w:val="10"/>
  </w:num>
  <w:num w:numId="8">
    <w:abstractNumId w:val="25"/>
  </w:num>
  <w:num w:numId="9">
    <w:abstractNumId w:val="0"/>
  </w:num>
  <w:num w:numId="10">
    <w:abstractNumId w:val="30"/>
  </w:num>
  <w:num w:numId="11">
    <w:abstractNumId w:val="22"/>
  </w:num>
  <w:num w:numId="12">
    <w:abstractNumId w:val="23"/>
  </w:num>
  <w:num w:numId="13">
    <w:abstractNumId w:val="27"/>
  </w:num>
  <w:num w:numId="14">
    <w:abstractNumId w:val="9"/>
  </w:num>
  <w:num w:numId="15">
    <w:abstractNumId w:val="11"/>
  </w:num>
  <w:num w:numId="16">
    <w:abstractNumId w:val="31"/>
  </w:num>
  <w:num w:numId="17">
    <w:abstractNumId w:val="14"/>
  </w:num>
  <w:num w:numId="18">
    <w:abstractNumId w:val="26"/>
  </w:num>
  <w:num w:numId="19">
    <w:abstractNumId w:val="1"/>
  </w:num>
  <w:num w:numId="20">
    <w:abstractNumId w:val="3"/>
  </w:num>
  <w:num w:numId="21">
    <w:abstractNumId w:val="15"/>
  </w:num>
  <w:num w:numId="22">
    <w:abstractNumId w:val="2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7"/>
  </w:num>
  <w:num w:numId="30">
    <w:abstractNumId w:val="17"/>
  </w:num>
  <w:num w:numId="31">
    <w:abstractNumId w:val="12"/>
  </w:num>
  <w:num w:numId="32">
    <w:abstractNumId w:val="28"/>
  </w:num>
  <w:num w:numId="33">
    <w:abstractNumId w:val="2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9"/>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0"/>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1761"/>
    <w:rsid w:val="00003ECB"/>
    <w:rsid w:val="000052A2"/>
    <w:rsid w:val="00007458"/>
    <w:rsid w:val="00010DCA"/>
    <w:rsid w:val="0001507C"/>
    <w:rsid w:val="00017AD9"/>
    <w:rsid w:val="000226A1"/>
    <w:rsid w:val="00026F16"/>
    <w:rsid w:val="00030477"/>
    <w:rsid w:val="00030FC3"/>
    <w:rsid w:val="000320FF"/>
    <w:rsid w:val="00032D33"/>
    <w:rsid w:val="000354F5"/>
    <w:rsid w:val="00036C7D"/>
    <w:rsid w:val="00040181"/>
    <w:rsid w:val="000410D8"/>
    <w:rsid w:val="00041C11"/>
    <w:rsid w:val="00046170"/>
    <w:rsid w:val="000477E9"/>
    <w:rsid w:val="00052201"/>
    <w:rsid w:val="0005222A"/>
    <w:rsid w:val="00053672"/>
    <w:rsid w:val="00060F58"/>
    <w:rsid w:val="000627AD"/>
    <w:rsid w:val="00065291"/>
    <w:rsid w:val="00070790"/>
    <w:rsid w:val="00072B64"/>
    <w:rsid w:val="00076883"/>
    <w:rsid w:val="00076CFE"/>
    <w:rsid w:val="000800FA"/>
    <w:rsid w:val="00081B88"/>
    <w:rsid w:val="000831C0"/>
    <w:rsid w:val="00083AC5"/>
    <w:rsid w:val="000849EC"/>
    <w:rsid w:val="00087CBF"/>
    <w:rsid w:val="00091F39"/>
    <w:rsid w:val="00094EC7"/>
    <w:rsid w:val="00095993"/>
    <w:rsid w:val="0009642C"/>
    <w:rsid w:val="00097408"/>
    <w:rsid w:val="000974B1"/>
    <w:rsid w:val="00097B3D"/>
    <w:rsid w:val="000A0DF7"/>
    <w:rsid w:val="000A1152"/>
    <w:rsid w:val="000A1883"/>
    <w:rsid w:val="000A2C78"/>
    <w:rsid w:val="000A4844"/>
    <w:rsid w:val="000B1075"/>
    <w:rsid w:val="000B31A2"/>
    <w:rsid w:val="000C031E"/>
    <w:rsid w:val="000C0CA2"/>
    <w:rsid w:val="000C7354"/>
    <w:rsid w:val="000C7CDE"/>
    <w:rsid w:val="000D1451"/>
    <w:rsid w:val="000D5CAA"/>
    <w:rsid w:val="000D7C50"/>
    <w:rsid w:val="000E0132"/>
    <w:rsid w:val="000E07E4"/>
    <w:rsid w:val="000E189B"/>
    <w:rsid w:val="000E363E"/>
    <w:rsid w:val="000E408B"/>
    <w:rsid w:val="000E5634"/>
    <w:rsid w:val="000E56A8"/>
    <w:rsid w:val="000E5C37"/>
    <w:rsid w:val="000E7C13"/>
    <w:rsid w:val="000F251E"/>
    <w:rsid w:val="000F2E39"/>
    <w:rsid w:val="000F79D6"/>
    <w:rsid w:val="0010037F"/>
    <w:rsid w:val="00103065"/>
    <w:rsid w:val="001039C4"/>
    <w:rsid w:val="00105BDB"/>
    <w:rsid w:val="001065C5"/>
    <w:rsid w:val="00112B59"/>
    <w:rsid w:val="00113020"/>
    <w:rsid w:val="00116860"/>
    <w:rsid w:val="001215FE"/>
    <w:rsid w:val="0012295A"/>
    <w:rsid w:val="00127E19"/>
    <w:rsid w:val="00130B5F"/>
    <w:rsid w:val="00131271"/>
    <w:rsid w:val="001315D2"/>
    <w:rsid w:val="001338B0"/>
    <w:rsid w:val="00134D04"/>
    <w:rsid w:val="00134E47"/>
    <w:rsid w:val="00136596"/>
    <w:rsid w:val="00136899"/>
    <w:rsid w:val="001375C3"/>
    <w:rsid w:val="0013762C"/>
    <w:rsid w:val="00137E1C"/>
    <w:rsid w:val="00145A4D"/>
    <w:rsid w:val="00151149"/>
    <w:rsid w:val="00152C7C"/>
    <w:rsid w:val="001601C8"/>
    <w:rsid w:val="00161FF0"/>
    <w:rsid w:val="00162244"/>
    <w:rsid w:val="00164BA8"/>
    <w:rsid w:val="001664D9"/>
    <w:rsid w:val="0017043F"/>
    <w:rsid w:val="00173842"/>
    <w:rsid w:val="001739A7"/>
    <w:rsid w:val="00173E4A"/>
    <w:rsid w:val="00173FAB"/>
    <w:rsid w:val="00176B20"/>
    <w:rsid w:val="00181236"/>
    <w:rsid w:val="00184371"/>
    <w:rsid w:val="00192DD4"/>
    <w:rsid w:val="00193011"/>
    <w:rsid w:val="001930C3"/>
    <w:rsid w:val="00193C4A"/>
    <w:rsid w:val="00194490"/>
    <w:rsid w:val="001945BD"/>
    <w:rsid w:val="001A0407"/>
    <w:rsid w:val="001A0E3F"/>
    <w:rsid w:val="001A3B2A"/>
    <w:rsid w:val="001A504D"/>
    <w:rsid w:val="001A5DF8"/>
    <w:rsid w:val="001A72F9"/>
    <w:rsid w:val="001A786B"/>
    <w:rsid w:val="001B1C55"/>
    <w:rsid w:val="001B1D05"/>
    <w:rsid w:val="001B20BF"/>
    <w:rsid w:val="001B25EC"/>
    <w:rsid w:val="001B2E14"/>
    <w:rsid w:val="001B4EA3"/>
    <w:rsid w:val="001B5F4F"/>
    <w:rsid w:val="001B65C7"/>
    <w:rsid w:val="001B71E4"/>
    <w:rsid w:val="001B7E88"/>
    <w:rsid w:val="001C30BB"/>
    <w:rsid w:val="001C4CA0"/>
    <w:rsid w:val="001C747B"/>
    <w:rsid w:val="001D1489"/>
    <w:rsid w:val="001D1FC8"/>
    <w:rsid w:val="001D268B"/>
    <w:rsid w:val="001D32FA"/>
    <w:rsid w:val="001D5671"/>
    <w:rsid w:val="001D5911"/>
    <w:rsid w:val="001D7258"/>
    <w:rsid w:val="001D79DD"/>
    <w:rsid w:val="001E27EC"/>
    <w:rsid w:val="001E3AEF"/>
    <w:rsid w:val="001E5F7F"/>
    <w:rsid w:val="001E7C74"/>
    <w:rsid w:val="001E7D3C"/>
    <w:rsid w:val="001F110F"/>
    <w:rsid w:val="001F3352"/>
    <w:rsid w:val="001F37D7"/>
    <w:rsid w:val="001F4509"/>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50FA"/>
    <w:rsid w:val="0022652F"/>
    <w:rsid w:val="00227073"/>
    <w:rsid w:val="0022707C"/>
    <w:rsid w:val="002273F5"/>
    <w:rsid w:val="00231397"/>
    <w:rsid w:val="0023313D"/>
    <w:rsid w:val="00235829"/>
    <w:rsid w:val="0023694C"/>
    <w:rsid w:val="00236A55"/>
    <w:rsid w:val="0023768D"/>
    <w:rsid w:val="00240D2A"/>
    <w:rsid w:val="002449D5"/>
    <w:rsid w:val="00246555"/>
    <w:rsid w:val="00246C62"/>
    <w:rsid w:val="002471B4"/>
    <w:rsid w:val="00247F0F"/>
    <w:rsid w:val="00250427"/>
    <w:rsid w:val="0025200C"/>
    <w:rsid w:val="0025300A"/>
    <w:rsid w:val="0025411E"/>
    <w:rsid w:val="002550F5"/>
    <w:rsid w:val="002556D8"/>
    <w:rsid w:val="002557EB"/>
    <w:rsid w:val="00257686"/>
    <w:rsid w:val="00257EF9"/>
    <w:rsid w:val="0026116A"/>
    <w:rsid w:val="00262D1B"/>
    <w:rsid w:val="002651E8"/>
    <w:rsid w:val="00267486"/>
    <w:rsid w:val="00270180"/>
    <w:rsid w:val="002705A5"/>
    <w:rsid w:val="002734C0"/>
    <w:rsid w:val="00273EB1"/>
    <w:rsid w:val="002741B5"/>
    <w:rsid w:val="0027505F"/>
    <w:rsid w:val="002752E5"/>
    <w:rsid w:val="00276E1B"/>
    <w:rsid w:val="00277BB6"/>
    <w:rsid w:val="00277DBE"/>
    <w:rsid w:val="002820AF"/>
    <w:rsid w:val="002822CE"/>
    <w:rsid w:val="0028393A"/>
    <w:rsid w:val="00285970"/>
    <w:rsid w:val="00285BB4"/>
    <w:rsid w:val="002869D0"/>
    <w:rsid w:val="00287298"/>
    <w:rsid w:val="00287614"/>
    <w:rsid w:val="00287834"/>
    <w:rsid w:val="00296CD1"/>
    <w:rsid w:val="00296E12"/>
    <w:rsid w:val="002A6D76"/>
    <w:rsid w:val="002A718A"/>
    <w:rsid w:val="002A73DD"/>
    <w:rsid w:val="002B3866"/>
    <w:rsid w:val="002B67D0"/>
    <w:rsid w:val="002B7BAF"/>
    <w:rsid w:val="002C0B25"/>
    <w:rsid w:val="002C1FFB"/>
    <w:rsid w:val="002C28D2"/>
    <w:rsid w:val="002C41FB"/>
    <w:rsid w:val="002C56F6"/>
    <w:rsid w:val="002C6631"/>
    <w:rsid w:val="002C7609"/>
    <w:rsid w:val="002D0E12"/>
    <w:rsid w:val="002D2E91"/>
    <w:rsid w:val="002D35EC"/>
    <w:rsid w:val="002E072D"/>
    <w:rsid w:val="002E0D88"/>
    <w:rsid w:val="002E1DD8"/>
    <w:rsid w:val="002E22B8"/>
    <w:rsid w:val="002E2E62"/>
    <w:rsid w:val="002F1591"/>
    <w:rsid w:val="002F18DD"/>
    <w:rsid w:val="002F23DC"/>
    <w:rsid w:val="002F4080"/>
    <w:rsid w:val="003003CB"/>
    <w:rsid w:val="00302870"/>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3763"/>
    <w:rsid w:val="00345B84"/>
    <w:rsid w:val="00345E83"/>
    <w:rsid w:val="0034772F"/>
    <w:rsid w:val="00347CA3"/>
    <w:rsid w:val="003549F4"/>
    <w:rsid w:val="0035766D"/>
    <w:rsid w:val="00357E40"/>
    <w:rsid w:val="00361A90"/>
    <w:rsid w:val="00362AE0"/>
    <w:rsid w:val="00364CB2"/>
    <w:rsid w:val="00366F30"/>
    <w:rsid w:val="003702BE"/>
    <w:rsid w:val="003751FF"/>
    <w:rsid w:val="0038098B"/>
    <w:rsid w:val="00381D56"/>
    <w:rsid w:val="003854DB"/>
    <w:rsid w:val="0038789F"/>
    <w:rsid w:val="00390E8B"/>
    <w:rsid w:val="003A031F"/>
    <w:rsid w:val="003A0A98"/>
    <w:rsid w:val="003A0D57"/>
    <w:rsid w:val="003A1D39"/>
    <w:rsid w:val="003A1E3E"/>
    <w:rsid w:val="003A2543"/>
    <w:rsid w:val="003A4AB5"/>
    <w:rsid w:val="003A5CAB"/>
    <w:rsid w:val="003A7091"/>
    <w:rsid w:val="003B0F3B"/>
    <w:rsid w:val="003B430C"/>
    <w:rsid w:val="003B7C51"/>
    <w:rsid w:val="003B7E1D"/>
    <w:rsid w:val="003C35CA"/>
    <w:rsid w:val="003C3C19"/>
    <w:rsid w:val="003C3F85"/>
    <w:rsid w:val="003C6F2C"/>
    <w:rsid w:val="003D47AA"/>
    <w:rsid w:val="003D6B24"/>
    <w:rsid w:val="003E082E"/>
    <w:rsid w:val="003E1425"/>
    <w:rsid w:val="003E3276"/>
    <w:rsid w:val="003E3454"/>
    <w:rsid w:val="003E3EE7"/>
    <w:rsid w:val="003F6B40"/>
    <w:rsid w:val="003F79E7"/>
    <w:rsid w:val="004006F1"/>
    <w:rsid w:val="004010FB"/>
    <w:rsid w:val="00401301"/>
    <w:rsid w:val="00401FF0"/>
    <w:rsid w:val="00402056"/>
    <w:rsid w:val="00411DBC"/>
    <w:rsid w:val="00412476"/>
    <w:rsid w:val="0041501A"/>
    <w:rsid w:val="004164C8"/>
    <w:rsid w:val="0042050D"/>
    <w:rsid w:val="00420F48"/>
    <w:rsid w:val="004230E7"/>
    <w:rsid w:val="00424A57"/>
    <w:rsid w:val="004251F8"/>
    <w:rsid w:val="00425400"/>
    <w:rsid w:val="004270D9"/>
    <w:rsid w:val="00430158"/>
    <w:rsid w:val="004411D8"/>
    <w:rsid w:val="00442895"/>
    <w:rsid w:val="00447D19"/>
    <w:rsid w:val="00450594"/>
    <w:rsid w:val="00453A99"/>
    <w:rsid w:val="00456FE6"/>
    <w:rsid w:val="00457D9A"/>
    <w:rsid w:val="004617C9"/>
    <w:rsid w:val="00461A05"/>
    <w:rsid w:val="00465EF9"/>
    <w:rsid w:val="004660D0"/>
    <w:rsid w:val="004736F8"/>
    <w:rsid w:val="004756F5"/>
    <w:rsid w:val="004834F5"/>
    <w:rsid w:val="00486F32"/>
    <w:rsid w:val="004900DB"/>
    <w:rsid w:val="00490EBA"/>
    <w:rsid w:val="00491560"/>
    <w:rsid w:val="00491808"/>
    <w:rsid w:val="0049521F"/>
    <w:rsid w:val="00496B53"/>
    <w:rsid w:val="004A060D"/>
    <w:rsid w:val="004A3593"/>
    <w:rsid w:val="004B1576"/>
    <w:rsid w:val="004B1A24"/>
    <w:rsid w:val="004B3FAF"/>
    <w:rsid w:val="004B5F67"/>
    <w:rsid w:val="004B6544"/>
    <w:rsid w:val="004B7FB0"/>
    <w:rsid w:val="004C22CD"/>
    <w:rsid w:val="004C3605"/>
    <w:rsid w:val="004C3B98"/>
    <w:rsid w:val="004C49B2"/>
    <w:rsid w:val="004C58D8"/>
    <w:rsid w:val="004D1477"/>
    <w:rsid w:val="004D1F31"/>
    <w:rsid w:val="004D33A7"/>
    <w:rsid w:val="004D4135"/>
    <w:rsid w:val="004E1893"/>
    <w:rsid w:val="004E1ABD"/>
    <w:rsid w:val="004E51D1"/>
    <w:rsid w:val="004E71FF"/>
    <w:rsid w:val="004E775C"/>
    <w:rsid w:val="004F02F9"/>
    <w:rsid w:val="004F0BA3"/>
    <w:rsid w:val="004F391B"/>
    <w:rsid w:val="005000E8"/>
    <w:rsid w:val="00503BB6"/>
    <w:rsid w:val="00503E32"/>
    <w:rsid w:val="00504FA1"/>
    <w:rsid w:val="00505AD7"/>
    <w:rsid w:val="00511787"/>
    <w:rsid w:val="0051414E"/>
    <w:rsid w:val="00520787"/>
    <w:rsid w:val="005207B7"/>
    <w:rsid w:val="00523CAB"/>
    <w:rsid w:val="00526454"/>
    <w:rsid w:val="005275E6"/>
    <w:rsid w:val="005308BB"/>
    <w:rsid w:val="00533CB2"/>
    <w:rsid w:val="0053546C"/>
    <w:rsid w:val="00541CDA"/>
    <w:rsid w:val="0054310C"/>
    <w:rsid w:val="00545A86"/>
    <w:rsid w:val="00545F93"/>
    <w:rsid w:val="00547486"/>
    <w:rsid w:val="00550EFF"/>
    <w:rsid w:val="00554143"/>
    <w:rsid w:val="0055489F"/>
    <w:rsid w:val="00556A0A"/>
    <w:rsid w:val="00557DBA"/>
    <w:rsid w:val="00561F1C"/>
    <w:rsid w:val="00562B64"/>
    <w:rsid w:val="00570C7F"/>
    <w:rsid w:val="005717F4"/>
    <w:rsid w:val="0057635B"/>
    <w:rsid w:val="00581A29"/>
    <w:rsid w:val="00585FA5"/>
    <w:rsid w:val="00586837"/>
    <w:rsid w:val="005957B2"/>
    <w:rsid w:val="00596CA5"/>
    <w:rsid w:val="00597FCE"/>
    <w:rsid w:val="005A144B"/>
    <w:rsid w:val="005A1470"/>
    <w:rsid w:val="005A16A5"/>
    <w:rsid w:val="005A1CC2"/>
    <w:rsid w:val="005A2D2A"/>
    <w:rsid w:val="005A2E47"/>
    <w:rsid w:val="005A2EA3"/>
    <w:rsid w:val="005A53CA"/>
    <w:rsid w:val="005A5EF5"/>
    <w:rsid w:val="005A7AD6"/>
    <w:rsid w:val="005B39A7"/>
    <w:rsid w:val="005B4FA2"/>
    <w:rsid w:val="005B59B7"/>
    <w:rsid w:val="005C16F0"/>
    <w:rsid w:val="005C2E1E"/>
    <w:rsid w:val="005C423B"/>
    <w:rsid w:val="005C47BD"/>
    <w:rsid w:val="005C55FB"/>
    <w:rsid w:val="005C5973"/>
    <w:rsid w:val="005C64CE"/>
    <w:rsid w:val="005D01C4"/>
    <w:rsid w:val="005D52ED"/>
    <w:rsid w:val="005D7098"/>
    <w:rsid w:val="005E10B8"/>
    <w:rsid w:val="005E16C4"/>
    <w:rsid w:val="005E195E"/>
    <w:rsid w:val="005E4053"/>
    <w:rsid w:val="005E4107"/>
    <w:rsid w:val="005E4E9D"/>
    <w:rsid w:val="005E524C"/>
    <w:rsid w:val="005E7402"/>
    <w:rsid w:val="005F3F33"/>
    <w:rsid w:val="005F42C5"/>
    <w:rsid w:val="005F4C9F"/>
    <w:rsid w:val="005F71BC"/>
    <w:rsid w:val="00600BCE"/>
    <w:rsid w:val="00601937"/>
    <w:rsid w:val="006032F2"/>
    <w:rsid w:val="00603452"/>
    <w:rsid w:val="00603A0D"/>
    <w:rsid w:val="006059FF"/>
    <w:rsid w:val="00610AC8"/>
    <w:rsid w:val="00611712"/>
    <w:rsid w:val="00612B4A"/>
    <w:rsid w:val="00612E94"/>
    <w:rsid w:val="00613038"/>
    <w:rsid w:val="00614AB3"/>
    <w:rsid w:val="0061647F"/>
    <w:rsid w:val="006217DD"/>
    <w:rsid w:val="00623252"/>
    <w:rsid w:val="00630843"/>
    <w:rsid w:val="00631612"/>
    <w:rsid w:val="0063373D"/>
    <w:rsid w:val="00636468"/>
    <w:rsid w:val="00637C62"/>
    <w:rsid w:val="00643075"/>
    <w:rsid w:val="0064464B"/>
    <w:rsid w:val="00645517"/>
    <w:rsid w:val="00647144"/>
    <w:rsid w:val="00647ADF"/>
    <w:rsid w:val="006501D8"/>
    <w:rsid w:val="0065066E"/>
    <w:rsid w:val="00651438"/>
    <w:rsid w:val="00651873"/>
    <w:rsid w:val="00651B67"/>
    <w:rsid w:val="00652792"/>
    <w:rsid w:val="006534CF"/>
    <w:rsid w:val="00653DCC"/>
    <w:rsid w:val="006550B3"/>
    <w:rsid w:val="0065628C"/>
    <w:rsid w:val="00661324"/>
    <w:rsid w:val="00665648"/>
    <w:rsid w:val="006661A5"/>
    <w:rsid w:val="006673B7"/>
    <w:rsid w:val="006705FE"/>
    <w:rsid w:val="0067177E"/>
    <w:rsid w:val="00674287"/>
    <w:rsid w:val="00676DDF"/>
    <w:rsid w:val="00680879"/>
    <w:rsid w:val="006856A7"/>
    <w:rsid w:val="00690AAF"/>
    <w:rsid w:val="0069159F"/>
    <w:rsid w:val="00692251"/>
    <w:rsid w:val="00692B07"/>
    <w:rsid w:val="00693E67"/>
    <w:rsid w:val="00694024"/>
    <w:rsid w:val="00694DAF"/>
    <w:rsid w:val="00696981"/>
    <w:rsid w:val="006A3BFB"/>
    <w:rsid w:val="006A7F8F"/>
    <w:rsid w:val="006B3EFA"/>
    <w:rsid w:val="006B54D6"/>
    <w:rsid w:val="006B60E4"/>
    <w:rsid w:val="006B7110"/>
    <w:rsid w:val="006C158D"/>
    <w:rsid w:val="006C1E7E"/>
    <w:rsid w:val="006C6F13"/>
    <w:rsid w:val="006C6F4A"/>
    <w:rsid w:val="006D186C"/>
    <w:rsid w:val="006D2CD0"/>
    <w:rsid w:val="006D312E"/>
    <w:rsid w:val="006E0759"/>
    <w:rsid w:val="006E1D9F"/>
    <w:rsid w:val="006E2D76"/>
    <w:rsid w:val="006E3892"/>
    <w:rsid w:val="006E500B"/>
    <w:rsid w:val="006E7E7E"/>
    <w:rsid w:val="006F4A5B"/>
    <w:rsid w:val="006F5AC0"/>
    <w:rsid w:val="006F6ABF"/>
    <w:rsid w:val="006F782D"/>
    <w:rsid w:val="0070095E"/>
    <w:rsid w:val="0070356D"/>
    <w:rsid w:val="00703A4B"/>
    <w:rsid w:val="00706027"/>
    <w:rsid w:val="00706586"/>
    <w:rsid w:val="00706A06"/>
    <w:rsid w:val="007109F5"/>
    <w:rsid w:val="00710E96"/>
    <w:rsid w:val="0071468F"/>
    <w:rsid w:val="0071620F"/>
    <w:rsid w:val="00721F4F"/>
    <w:rsid w:val="007234DB"/>
    <w:rsid w:val="00727643"/>
    <w:rsid w:val="007301E9"/>
    <w:rsid w:val="00730C14"/>
    <w:rsid w:val="0073556F"/>
    <w:rsid w:val="00737549"/>
    <w:rsid w:val="00740710"/>
    <w:rsid w:val="00740C0F"/>
    <w:rsid w:val="00742A8D"/>
    <w:rsid w:val="00743DBC"/>
    <w:rsid w:val="00746CCF"/>
    <w:rsid w:val="00750F40"/>
    <w:rsid w:val="0075474E"/>
    <w:rsid w:val="0075483B"/>
    <w:rsid w:val="00755B93"/>
    <w:rsid w:val="00756A81"/>
    <w:rsid w:val="00756EB7"/>
    <w:rsid w:val="0077089B"/>
    <w:rsid w:val="007724D1"/>
    <w:rsid w:val="00773116"/>
    <w:rsid w:val="007779DB"/>
    <w:rsid w:val="00781C9C"/>
    <w:rsid w:val="007829E9"/>
    <w:rsid w:val="00785747"/>
    <w:rsid w:val="00785D65"/>
    <w:rsid w:val="00785DDF"/>
    <w:rsid w:val="00791CF0"/>
    <w:rsid w:val="0079332F"/>
    <w:rsid w:val="007A34D4"/>
    <w:rsid w:val="007A3602"/>
    <w:rsid w:val="007B03E7"/>
    <w:rsid w:val="007B2282"/>
    <w:rsid w:val="007B6206"/>
    <w:rsid w:val="007B74E1"/>
    <w:rsid w:val="007C0526"/>
    <w:rsid w:val="007C08CE"/>
    <w:rsid w:val="007C198C"/>
    <w:rsid w:val="007C2491"/>
    <w:rsid w:val="007C2F2F"/>
    <w:rsid w:val="007C364A"/>
    <w:rsid w:val="007C3AE6"/>
    <w:rsid w:val="007C4EFB"/>
    <w:rsid w:val="007D40C6"/>
    <w:rsid w:val="007D7562"/>
    <w:rsid w:val="007E1147"/>
    <w:rsid w:val="007E124C"/>
    <w:rsid w:val="007E269D"/>
    <w:rsid w:val="007E379F"/>
    <w:rsid w:val="007F129F"/>
    <w:rsid w:val="007F5F02"/>
    <w:rsid w:val="008051BF"/>
    <w:rsid w:val="00807CF7"/>
    <w:rsid w:val="00811FA0"/>
    <w:rsid w:val="00814588"/>
    <w:rsid w:val="00815813"/>
    <w:rsid w:val="00816028"/>
    <w:rsid w:val="00817961"/>
    <w:rsid w:val="008215C5"/>
    <w:rsid w:val="00824926"/>
    <w:rsid w:val="00824E99"/>
    <w:rsid w:val="00825FC5"/>
    <w:rsid w:val="008306CC"/>
    <w:rsid w:val="00830FE1"/>
    <w:rsid w:val="00831204"/>
    <w:rsid w:val="00831521"/>
    <w:rsid w:val="008347D9"/>
    <w:rsid w:val="00835878"/>
    <w:rsid w:val="0083677A"/>
    <w:rsid w:val="008371D6"/>
    <w:rsid w:val="008413F3"/>
    <w:rsid w:val="00844254"/>
    <w:rsid w:val="0084498C"/>
    <w:rsid w:val="00846B8F"/>
    <w:rsid w:val="008523D8"/>
    <w:rsid w:val="00852A24"/>
    <w:rsid w:val="00852C8E"/>
    <w:rsid w:val="00853B21"/>
    <w:rsid w:val="008543D2"/>
    <w:rsid w:val="00857705"/>
    <w:rsid w:val="00861604"/>
    <w:rsid w:val="00863629"/>
    <w:rsid w:val="008644BC"/>
    <w:rsid w:val="0087001B"/>
    <w:rsid w:val="00871C8E"/>
    <w:rsid w:val="008731E8"/>
    <w:rsid w:val="00873854"/>
    <w:rsid w:val="00874EA8"/>
    <w:rsid w:val="00876C2C"/>
    <w:rsid w:val="008824CC"/>
    <w:rsid w:val="008852C8"/>
    <w:rsid w:val="0088639D"/>
    <w:rsid w:val="00891FFA"/>
    <w:rsid w:val="00893339"/>
    <w:rsid w:val="00897556"/>
    <w:rsid w:val="0089780F"/>
    <w:rsid w:val="008A00B3"/>
    <w:rsid w:val="008A56A2"/>
    <w:rsid w:val="008A752A"/>
    <w:rsid w:val="008A7E2A"/>
    <w:rsid w:val="008B0CA8"/>
    <w:rsid w:val="008B2936"/>
    <w:rsid w:val="008B29D8"/>
    <w:rsid w:val="008B4DA2"/>
    <w:rsid w:val="008B6BAF"/>
    <w:rsid w:val="008B799D"/>
    <w:rsid w:val="008D167F"/>
    <w:rsid w:val="008D1CB8"/>
    <w:rsid w:val="008D2128"/>
    <w:rsid w:val="008D3217"/>
    <w:rsid w:val="008D700B"/>
    <w:rsid w:val="008E17CD"/>
    <w:rsid w:val="008E2B30"/>
    <w:rsid w:val="008E363A"/>
    <w:rsid w:val="008E36F0"/>
    <w:rsid w:val="008E6BB3"/>
    <w:rsid w:val="008E6EC7"/>
    <w:rsid w:val="008E7E5A"/>
    <w:rsid w:val="008E7F55"/>
    <w:rsid w:val="008F25B4"/>
    <w:rsid w:val="008F3D2C"/>
    <w:rsid w:val="008F6885"/>
    <w:rsid w:val="008F79E8"/>
    <w:rsid w:val="00901017"/>
    <w:rsid w:val="0090173A"/>
    <w:rsid w:val="009020D8"/>
    <w:rsid w:val="009023EF"/>
    <w:rsid w:val="00905CAE"/>
    <w:rsid w:val="00911444"/>
    <w:rsid w:val="00912243"/>
    <w:rsid w:val="00914926"/>
    <w:rsid w:val="009158CB"/>
    <w:rsid w:val="00920D31"/>
    <w:rsid w:val="0092512E"/>
    <w:rsid w:val="0092538F"/>
    <w:rsid w:val="0092698E"/>
    <w:rsid w:val="009274BB"/>
    <w:rsid w:val="0093337B"/>
    <w:rsid w:val="009349DC"/>
    <w:rsid w:val="00935045"/>
    <w:rsid w:val="009353CA"/>
    <w:rsid w:val="0093694C"/>
    <w:rsid w:val="009408F8"/>
    <w:rsid w:val="00944251"/>
    <w:rsid w:val="009443CF"/>
    <w:rsid w:val="009464EA"/>
    <w:rsid w:val="00947820"/>
    <w:rsid w:val="0095006A"/>
    <w:rsid w:val="00951656"/>
    <w:rsid w:val="009518B5"/>
    <w:rsid w:val="00951B7E"/>
    <w:rsid w:val="00951BB4"/>
    <w:rsid w:val="00953953"/>
    <w:rsid w:val="00953B6C"/>
    <w:rsid w:val="00955490"/>
    <w:rsid w:val="00955E7B"/>
    <w:rsid w:val="009570B6"/>
    <w:rsid w:val="0095789C"/>
    <w:rsid w:val="0096561D"/>
    <w:rsid w:val="009675E1"/>
    <w:rsid w:val="009719DE"/>
    <w:rsid w:val="00971EAA"/>
    <w:rsid w:val="0097584E"/>
    <w:rsid w:val="00982C42"/>
    <w:rsid w:val="00985051"/>
    <w:rsid w:val="009852C1"/>
    <w:rsid w:val="00985FE8"/>
    <w:rsid w:val="00986ACE"/>
    <w:rsid w:val="00986C82"/>
    <w:rsid w:val="00990CF5"/>
    <w:rsid w:val="00993534"/>
    <w:rsid w:val="00994051"/>
    <w:rsid w:val="00994BDD"/>
    <w:rsid w:val="00995EFC"/>
    <w:rsid w:val="00996A27"/>
    <w:rsid w:val="009A00BA"/>
    <w:rsid w:val="009A32E3"/>
    <w:rsid w:val="009A3E29"/>
    <w:rsid w:val="009A5AE5"/>
    <w:rsid w:val="009A6B8A"/>
    <w:rsid w:val="009B12C4"/>
    <w:rsid w:val="009B2F74"/>
    <w:rsid w:val="009B3CCF"/>
    <w:rsid w:val="009B4115"/>
    <w:rsid w:val="009B57EA"/>
    <w:rsid w:val="009C41C3"/>
    <w:rsid w:val="009C4CA5"/>
    <w:rsid w:val="009C4F4A"/>
    <w:rsid w:val="009C5E46"/>
    <w:rsid w:val="009C6BEF"/>
    <w:rsid w:val="009D22F2"/>
    <w:rsid w:val="009D5F0B"/>
    <w:rsid w:val="009D7244"/>
    <w:rsid w:val="009E25A6"/>
    <w:rsid w:val="009E4D46"/>
    <w:rsid w:val="009E70CC"/>
    <w:rsid w:val="009F2165"/>
    <w:rsid w:val="009F7574"/>
    <w:rsid w:val="009F79AA"/>
    <w:rsid w:val="00A04307"/>
    <w:rsid w:val="00A04CCE"/>
    <w:rsid w:val="00A05951"/>
    <w:rsid w:val="00A109FC"/>
    <w:rsid w:val="00A122BB"/>
    <w:rsid w:val="00A12D10"/>
    <w:rsid w:val="00A14C3B"/>
    <w:rsid w:val="00A15ADC"/>
    <w:rsid w:val="00A20564"/>
    <w:rsid w:val="00A217CE"/>
    <w:rsid w:val="00A2187F"/>
    <w:rsid w:val="00A21DFB"/>
    <w:rsid w:val="00A242B7"/>
    <w:rsid w:val="00A2742F"/>
    <w:rsid w:val="00A30764"/>
    <w:rsid w:val="00A3127A"/>
    <w:rsid w:val="00A31827"/>
    <w:rsid w:val="00A34191"/>
    <w:rsid w:val="00A4315A"/>
    <w:rsid w:val="00A432D4"/>
    <w:rsid w:val="00A4489A"/>
    <w:rsid w:val="00A51144"/>
    <w:rsid w:val="00A52A19"/>
    <w:rsid w:val="00A53B21"/>
    <w:rsid w:val="00A53DAE"/>
    <w:rsid w:val="00A57B30"/>
    <w:rsid w:val="00A57D02"/>
    <w:rsid w:val="00A6090F"/>
    <w:rsid w:val="00A60BD1"/>
    <w:rsid w:val="00A62099"/>
    <w:rsid w:val="00A62A98"/>
    <w:rsid w:val="00A6558E"/>
    <w:rsid w:val="00A66B5D"/>
    <w:rsid w:val="00A7044C"/>
    <w:rsid w:val="00A740CF"/>
    <w:rsid w:val="00A7423D"/>
    <w:rsid w:val="00A7430F"/>
    <w:rsid w:val="00A77338"/>
    <w:rsid w:val="00A77505"/>
    <w:rsid w:val="00A80B50"/>
    <w:rsid w:val="00A80F52"/>
    <w:rsid w:val="00A8407A"/>
    <w:rsid w:val="00A858C9"/>
    <w:rsid w:val="00A8648E"/>
    <w:rsid w:val="00A93736"/>
    <w:rsid w:val="00A93755"/>
    <w:rsid w:val="00A93A32"/>
    <w:rsid w:val="00A93B16"/>
    <w:rsid w:val="00A9537F"/>
    <w:rsid w:val="00A95AAC"/>
    <w:rsid w:val="00AA2C15"/>
    <w:rsid w:val="00AA3CCC"/>
    <w:rsid w:val="00AA402D"/>
    <w:rsid w:val="00AA56AE"/>
    <w:rsid w:val="00AB7050"/>
    <w:rsid w:val="00AC10C4"/>
    <w:rsid w:val="00AC1844"/>
    <w:rsid w:val="00AC4A51"/>
    <w:rsid w:val="00AD037C"/>
    <w:rsid w:val="00AD0C96"/>
    <w:rsid w:val="00AD14A4"/>
    <w:rsid w:val="00AD3446"/>
    <w:rsid w:val="00AD4DB1"/>
    <w:rsid w:val="00AE06D5"/>
    <w:rsid w:val="00AE08E7"/>
    <w:rsid w:val="00AE15CC"/>
    <w:rsid w:val="00AE18C1"/>
    <w:rsid w:val="00AE359D"/>
    <w:rsid w:val="00AE4ABC"/>
    <w:rsid w:val="00AE64FF"/>
    <w:rsid w:val="00AE7ABC"/>
    <w:rsid w:val="00AF015C"/>
    <w:rsid w:val="00AF3418"/>
    <w:rsid w:val="00AF3925"/>
    <w:rsid w:val="00AF5CF2"/>
    <w:rsid w:val="00AF6234"/>
    <w:rsid w:val="00AF6BF8"/>
    <w:rsid w:val="00B00C70"/>
    <w:rsid w:val="00B018D2"/>
    <w:rsid w:val="00B01DCF"/>
    <w:rsid w:val="00B02442"/>
    <w:rsid w:val="00B03406"/>
    <w:rsid w:val="00B12F1E"/>
    <w:rsid w:val="00B13ADE"/>
    <w:rsid w:val="00B25323"/>
    <w:rsid w:val="00B30006"/>
    <w:rsid w:val="00B31333"/>
    <w:rsid w:val="00B33B1E"/>
    <w:rsid w:val="00B33EB1"/>
    <w:rsid w:val="00B35665"/>
    <w:rsid w:val="00B42156"/>
    <w:rsid w:val="00B44457"/>
    <w:rsid w:val="00B44E25"/>
    <w:rsid w:val="00B45130"/>
    <w:rsid w:val="00B46DA5"/>
    <w:rsid w:val="00B471B3"/>
    <w:rsid w:val="00B50EAD"/>
    <w:rsid w:val="00B51C48"/>
    <w:rsid w:val="00B575CE"/>
    <w:rsid w:val="00B601B3"/>
    <w:rsid w:val="00B61061"/>
    <w:rsid w:val="00B667F9"/>
    <w:rsid w:val="00B80A50"/>
    <w:rsid w:val="00B81375"/>
    <w:rsid w:val="00B853EE"/>
    <w:rsid w:val="00B863A2"/>
    <w:rsid w:val="00B9789B"/>
    <w:rsid w:val="00B97D75"/>
    <w:rsid w:val="00BA0379"/>
    <w:rsid w:val="00BA0984"/>
    <w:rsid w:val="00BA09A1"/>
    <w:rsid w:val="00BA0AB7"/>
    <w:rsid w:val="00BA173E"/>
    <w:rsid w:val="00BA1850"/>
    <w:rsid w:val="00BB03F9"/>
    <w:rsid w:val="00BB233A"/>
    <w:rsid w:val="00BB2DB2"/>
    <w:rsid w:val="00BC0939"/>
    <w:rsid w:val="00BC122D"/>
    <w:rsid w:val="00BC2A7C"/>
    <w:rsid w:val="00BC373F"/>
    <w:rsid w:val="00BC39C2"/>
    <w:rsid w:val="00BC4757"/>
    <w:rsid w:val="00BC5E86"/>
    <w:rsid w:val="00BC5EAC"/>
    <w:rsid w:val="00BD09FF"/>
    <w:rsid w:val="00BD1007"/>
    <w:rsid w:val="00BD1F42"/>
    <w:rsid w:val="00BD2C5B"/>
    <w:rsid w:val="00BD4D8C"/>
    <w:rsid w:val="00BD53EA"/>
    <w:rsid w:val="00BD5DCC"/>
    <w:rsid w:val="00BD5DF5"/>
    <w:rsid w:val="00BE0FBA"/>
    <w:rsid w:val="00BE10FD"/>
    <w:rsid w:val="00BE38AA"/>
    <w:rsid w:val="00BE3F9E"/>
    <w:rsid w:val="00BE4069"/>
    <w:rsid w:val="00BE48DB"/>
    <w:rsid w:val="00BE6503"/>
    <w:rsid w:val="00BE67F2"/>
    <w:rsid w:val="00BF0413"/>
    <w:rsid w:val="00BF22E3"/>
    <w:rsid w:val="00BF396F"/>
    <w:rsid w:val="00BF48A1"/>
    <w:rsid w:val="00BF698B"/>
    <w:rsid w:val="00C03098"/>
    <w:rsid w:val="00C03863"/>
    <w:rsid w:val="00C06438"/>
    <w:rsid w:val="00C07130"/>
    <w:rsid w:val="00C12C7F"/>
    <w:rsid w:val="00C13E92"/>
    <w:rsid w:val="00C1440D"/>
    <w:rsid w:val="00C14AA9"/>
    <w:rsid w:val="00C14D48"/>
    <w:rsid w:val="00C16D12"/>
    <w:rsid w:val="00C2061F"/>
    <w:rsid w:val="00C20D15"/>
    <w:rsid w:val="00C21DD3"/>
    <w:rsid w:val="00C22CB2"/>
    <w:rsid w:val="00C23B02"/>
    <w:rsid w:val="00C259A7"/>
    <w:rsid w:val="00C261A8"/>
    <w:rsid w:val="00C26BAF"/>
    <w:rsid w:val="00C27CC2"/>
    <w:rsid w:val="00C30389"/>
    <w:rsid w:val="00C33C6D"/>
    <w:rsid w:val="00C34D42"/>
    <w:rsid w:val="00C40404"/>
    <w:rsid w:val="00C4191F"/>
    <w:rsid w:val="00C41E96"/>
    <w:rsid w:val="00C432F8"/>
    <w:rsid w:val="00C4359C"/>
    <w:rsid w:val="00C45A8E"/>
    <w:rsid w:val="00C45B3B"/>
    <w:rsid w:val="00C475F8"/>
    <w:rsid w:val="00C50786"/>
    <w:rsid w:val="00C50E44"/>
    <w:rsid w:val="00C516F4"/>
    <w:rsid w:val="00C52D6B"/>
    <w:rsid w:val="00C571B3"/>
    <w:rsid w:val="00C573A4"/>
    <w:rsid w:val="00C577E6"/>
    <w:rsid w:val="00C62D28"/>
    <w:rsid w:val="00C63E53"/>
    <w:rsid w:val="00C66EE9"/>
    <w:rsid w:val="00C7276F"/>
    <w:rsid w:val="00C76F69"/>
    <w:rsid w:val="00C77F13"/>
    <w:rsid w:val="00C80692"/>
    <w:rsid w:val="00C81A31"/>
    <w:rsid w:val="00C82318"/>
    <w:rsid w:val="00C8363F"/>
    <w:rsid w:val="00C846A0"/>
    <w:rsid w:val="00C863F5"/>
    <w:rsid w:val="00C9108B"/>
    <w:rsid w:val="00C915C2"/>
    <w:rsid w:val="00C92F81"/>
    <w:rsid w:val="00C95CD4"/>
    <w:rsid w:val="00CA5542"/>
    <w:rsid w:val="00CA690D"/>
    <w:rsid w:val="00CA6C8A"/>
    <w:rsid w:val="00CB1674"/>
    <w:rsid w:val="00CB1B63"/>
    <w:rsid w:val="00CB244E"/>
    <w:rsid w:val="00CB352F"/>
    <w:rsid w:val="00CB3D83"/>
    <w:rsid w:val="00CB59C3"/>
    <w:rsid w:val="00CC15CC"/>
    <w:rsid w:val="00CC28C1"/>
    <w:rsid w:val="00CC2B5A"/>
    <w:rsid w:val="00CC2F4C"/>
    <w:rsid w:val="00CC3915"/>
    <w:rsid w:val="00CC3C75"/>
    <w:rsid w:val="00CC4072"/>
    <w:rsid w:val="00CC6348"/>
    <w:rsid w:val="00CC6A3C"/>
    <w:rsid w:val="00CD1C9B"/>
    <w:rsid w:val="00CD3F79"/>
    <w:rsid w:val="00CD6046"/>
    <w:rsid w:val="00CD62B6"/>
    <w:rsid w:val="00CD778C"/>
    <w:rsid w:val="00CE0819"/>
    <w:rsid w:val="00CE133E"/>
    <w:rsid w:val="00CE2251"/>
    <w:rsid w:val="00CE2FEF"/>
    <w:rsid w:val="00CE369C"/>
    <w:rsid w:val="00CE4B87"/>
    <w:rsid w:val="00CE66B9"/>
    <w:rsid w:val="00CF0157"/>
    <w:rsid w:val="00CF3319"/>
    <w:rsid w:val="00CF3476"/>
    <w:rsid w:val="00CF3813"/>
    <w:rsid w:val="00CF3C3F"/>
    <w:rsid w:val="00CF5955"/>
    <w:rsid w:val="00CF60B2"/>
    <w:rsid w:val="00CF6718"/>
    <w:rsid w:val="00CF6B32"/>
    <w:rsid w:val="00CF72F4"/>
    <w:rsid w:val="00D107D8"/>
    <w:rsid w:val="00D11BC1"/>
    <w:rsid w:val="00D134FB"/>
    <w:rsid w:val="00D146E1"/>
    <w:rsid w:val="00D149A8"/>
    <w:rsid w:val="00D230EF"/>
    <w:rsid w:val="00D2555F"/>
    <w:rsid w:val="00D27579"/>
    <w:rsid w:val="00D27683"/>
    <w:rsid w:val="00D3206D"/>
    <w:rsid w:val="00D3489C"/>
    <w:rsid w:val="00D375C0"/>
    <w:rsid w:val="00D4251F"/>
    <w:rsid w:val="00D433DF"/>
    <w:rsid w:val="00D43C76"/>
    <w:rsid w:val="00D64977"/>
    <w:rsid w:val="00D64EA9"/>
    <w:rsid w:val="00D66B01"/>
    <w:rsid w:val="00D77AFC"/>
    <w:rsid w:val="00D82A34"/>
    <w:rsid w:val="00D83163"/>
    <w:rsid w:val="00D92C7C"/>
    <w:rsid w:val="00D938CE"/>
    <w:rsid w:val="00D944E3"/>
    <w:rsid w:val="00D94FBD"/>
    <w:rsid w:val="00D9565A"/>
    <w:rsid w:val="00DA07F4"/>
    <w:rsid w:val="00DA1E23"/>
    <w:rsid w:val="00DA7146"/>
    <w:rsid w:val="00DB5CBF"/>
    <w:rsid w:val="00DB6EAC"/>
    <w:rsid w:val="00DC0F21"/>
    <w:rsid w:val="00DC2A66"/>
    <w:rsid w:val="00DC3206"/>
    <w:rsid w:val="00DC6E9A"/>
    <w:rsid w:val="00DD5A7F"/>
    <w:rsid w:val="00DD6115"/>
    <w:rsid w:val="00DE48E3"/>
    <w:rsid w:val="00DE4917"/>
    <w:rsid w:val="00DE4A99"/>
    <w:rsid w:val="00DE5D14"/>
    <w:rsid w:val="00DE6938"/>
    <w:rsid w:val="00DE72A1"/>
    <w:rsid w:val="00DE7630"/>
    <w:rsid w:val="00DE7A8C"/>
    <w:rsid w:val="00DF2836"/>
    <w:rsid w:val="00DF3E49"/>
    <w:rsid w:val="00DF5E45"/>
    <w:rsid w:val="00DF6087"/>
    <w:rsid w:val="00E015A3"/>
    <w:rsid w:val="00E02618"/>
    <w:rsid w:val="00E0262D"/>
    <w:rsid w:val="00E02FBA"/>
    <w:rsid w:val="00E0408F"/>
    <w:rsid w:val="00E07155"/>
    <w:rsid w:val="00E073C3"/>
    <w:rsid w:val="00E10B5F"/>
    <w:rsid w:val="00E1360F"/>
    <w:rsid w:val="00E13918"/>
    <w:rsid w:val="00E17A66"/>
    <w:rsid w:val="00E20603"/>
    <w:rsid w:val="00E2328D"/>
    <w:rsid w:val="00E23574"/>
    <w:rsid w:val="00E271B9"/>
    <w:rsid w:val="00E27AC2"/>
    <w:rsid w:val="00E30C8C"/>
    <w:rsid w:val="00E3284A"/>
    <w:rsid w:val="00E329DB"/>
    <w:rsid w:val="00E335DF"/>
    <w:rsid w:val="00E34403"/>
    <w:rsid w:val="00E35A17"/>
    <w:rsid w:val="00E37725"/>
    <w:rsid w:val="00E41C42"/>
    <w:rsid w:val="00E41F1B"/>
    <w:rsid w:val="00E427D8"/>
    <w:rsid w:val="00E43AB8"/>
    <w:rsid w:val="00E45B91"/>
    <w:rsid w:val="00E47F1B"/>
    <w:rsid w:val="00E50C43"/>
    <w:rsid w:val="00E51E85"/>
    <w:rsid w:val="00E5394A"/>
    <w:rsid w:val="00E5640E"/>
    <w:rsid w:val="00E56C05"/>
    <w:rsid w:val="00E56F27"/>
    <w:rsid w:val="00E62354"/>
    <w:rsid w:val="00E6376E"/>
    <w:rsid w:val="00E64C52"/>
    <w:rsid w:val="00E6654B"/>
    <w:rsid w:val="00E66D1F"/>
    <w:rsid w:val="00E67223"/>
    <w:rsid w:val="00E67376"/>
    <w:rsid w:val="00E6774E"/>
    <w:rsid w:val="00E7163F"/>
    <w:rsid w:val="00E71A83"/>
    <w:rsid w:val="00E72C48"/>
    <w:rsid w:val="00E82493"/>
    <w:rsid w:val="00E84011"/>
    <w:rsid w:val="00E84532"/>
    <w:rsid w:val="00E85257"/>
    <w:rsid w:val="00E852D8"/>
    <w:rsid w:val="00E9322B"/>
    <w:rsid w:val="00E93328"/>
    <w:rsid w:val="00E9451F"/>
    <w:rsid w:val="00E9460D"/>
    <w:rsid w:val="00E95B41"/>
    <w:rsid w:val="00E971AF"/>
    <w:rsid w:val="00EA15AE"/>
    <w:rsid w:val="00EA3E9E"/>
    <w:rsid w:val="00EA5B9F"/>
    <w:rsid w:val="00EA7D29"/>
    <w:rsid w:val="00EB00F8"/>
    <w:rsid w:val="00EB2045"/>
    <w:rsid w:val="00EB315E"/>
    <w:rsid w:val="00EB428C"/>
    <w:rsid w:val="00EC2B55"/>
    <w:rsid w:val="00EC361F"/>
    <w:rsid w:val="00ED0968"/>
    <w:rsid w:val="00ED2376"/>
    <w:rsid w:val="00ED3972"/>
    <w:rsid w:val="00ED4669"/>
    <w:rsid w:val="00EE0049"/>
    <w:rsid w:val="00EE096D"/>
    <w:rsid w:val="00EE2543"/>
    <w:rsid w:val="00EE347C"/>
    <w:rsid w:val="00EE3A88"/>
    <w:rsid w:val="00EE3E27"/>
    <w:rsid w:val="00EE5E83"/>
    <w:rsid w:val="00EE5EB0"/>
    <w:rsid w:val="00EE6E3A"/>
    <w:rsid w:val="00EE71C9"/>
    <w:rsid w:val="00EF1459"/>
    <w:rsid w:val="00EF19F5"/>
    <w:rsid w:val="00EF3AA4"/>
    <w:rsid w:val="00EF6D74"/>
    <w:rsid w:val="00EF71DD"/>
    <w:rsid w:val="00F00A88"/>
    <w:rsid w:val="00F00FE7"/>
    <w:rsid w:val="00F02C90"/>
    <w:rsid w:val="00F03443"/>
    <w:rsid w:val="00F102F0"/>
    <w:rsid w:val="00F10ACE"/>
    <w:rsid w:val="00F145F8"/>
    <w:rsid w:val="00F204D3"/>
    <w:rsid w:val="00F23ECD"/>
    <w:rsid w:val="00F24035"/>
    <w:rsid w:val="00F2585C"/>
    <w:rsid w:val="00F269B7"/>
    <w:rsid w:val="00F30D1D"/>
    <w:rsid w:val="00F3175D"/>
    <w:rsid w:val="00F35E09"/>
    <w:rsid w:val="00F36F19"/>
    <w:rsid w:val="00F36FE2"/>
    <w:rsid w:val="00F370BE"/>
    <w:rsid w:val="00F4540C"/>
    <w:rsid w:val="00F4559E"/>
    <w:rsid w:val="00F5045A"/>
    <w:rsid w:val="00F53CC3"/>
    <w:rsid w:val="00F54160"/>
    <w:rsid w:val="00F54543"/>
    <w:rsid w:val="00F62E1E"/>
    <w:rsid w:val="00F6415F"/>
    <w:rsid w:val="00F64183"/>
    <w:rsid w:val="00F65D83"/>
    <w:rsid w:val="00F70121"/>
    <w:rsid w:val="00F7166A"/>
    <w:rsid w:val="00F721F3"/>
    <w:rsid w:val="00F72447"/>
    <w:rsid w:val="00F72C04"/>
    <w:rsid w:val="00F73857"/>
    <w:rsid w:val="00F76258"/>
    <w:rsid w:val="00F77A11"/>
    <w:rsid w:val="00F80535"/>
    <w:rsid w:val="00F81325"/>
    <w:rsid w:val="00F816A5"/>
    <w:rsid w:val="00F821A1"/>
    <w:rsid w:val="00F84EC3"/>
    <w:rsid w:val="00F85C8C"/>
    <w:rsid w:val="00F867C8"/>
    <w:rsid w:val="00F9018D"/>
    <w:rsid w:val="00F91289"/>
    <w:rsid w:val="00F91F7B"/>
    <w:rsid w:val="00F92753"/>
    <w:rsid w:val="00F94E38"/>
    <w:rsid w:val="00F95447"/>
    <w:rsid w:val="00F954F8"/>
    <w:rsid w:val="00F962EA"/>
    <w:rsid w:val="00F977E8"/>
    <w:rsid w:val="00FA1419"/>
    <w:rsid w:val="00FA504A"/>
    <w:rsid w:val="00FA6764"/>
    <w:rsid w:val="00FA6C22"/>
    <w:rsid w:val="00FB0878"/>
    <w:rsid w:val="00FB0F12"/>
    <w:rsid w:val="00FB21E9"/>
    <w:rsid w:val="00FB2F95"/>
    <w:rsid w:val="00FB2FE9"/>
    <w:rsid w:val="00FB6821"/>
    <w:rsid w:val="00FB6FA0"/>
    <w:rsid w:val="00FC24F6"/>
    <w:rsid w:val="00FC39E4"/>
    <w:rsid w:val="00FD597F"/>
    <w:rsid w:val="00FD6702"/>
    <w:rsid w:val="00FD68D3"/>
    <w:rsid w:val="00FE07BA"/>
    <w:rsid w:val="00FE61F5"/>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20C73684"/>
  <w15:docId w15:val="{489E2B9F-B992-4479-9D33-838FADCE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0410D8"/>
    <w:pPr>
      <w:tabs>
        <w:tab w:val="left" w:pos="1418"/>
        <w:tab w:val="right" w:leader="dot" w:pos="9061"/>
      </w:tabs>
      <w:spacing w:after="0" w:line="240" w:lineRule="atLeast"/>
      <w:ind w:left="567" w:hanging="567"/>
    </w:pPr>
    <w:rPr>
      <w:rFonts w:eastAsia="Times New Roman" w:cs="Times New Roman"/>
      <w:b/>
      <w:noProof/>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870">
      <w:bodyDiv w:val="1"/>
      <w:marLeft w:val="0"/>
      <w:marRight w:val="0"/>
      <w:marTop w:val="0"/>
      <w:marBottom w:val="0"/>
      <w:divBdr>
        <w:top w:val="none" w:sz="0" w:space="0" w:color="auto"/>
        <w:left w:val="none" w:sz="0" w:space="0" w:color="auto"/>
        <w:bottom w:val="none" w:sz="0" w:space="0" w:color="auto"/>
        <w:right w:val="none" w:sz="0" w:space="0" w:color="auto"/>
      </w:divBdr>
    </w:div>
    <w:div w:id="249314032">
      <w:bodyDiv w:val="1"/>
      <w:marLeft w:val="0"/>
      <w:marRight w:val="0"/>
      <w:marTop w:val="0"/>
      <w:marBottom w:val="0"/>
      <w:divBdr>
        <w:top w:val="none" w:sz="0" w:space="0" w:color="auto"/>
        <w:left w:val="none" w:sz="0" w:space="0" w:color="auto"/>
        <w:bottom w:val="none" w:sz="0" w:space="0" w:color="auto"/>
        <w:right w:val="none" w:sz="0" w:space="0" w:color="auto"/>
      </w:divBdr>
    </w:div>
    <w:div w:id="458183086">
      <w:bodyDiv w:val="1"/>
      <w:marLeft w:val="0"/>
      <w:marRight w:val="0"/>
      <w:marTop w:val="0"/>
      <w:marBottom w:val="0"/>
      <w:divBdr>
        <w:top w:val="none" w:sz="0" w:space="0" w:color="auto"/>
        <w:left w:val="none" w:sz="0" w:space="0" w:color="auto"/>
        <w:bottom w:val="none" w:sz="0" w:space="0" w:color="auto"/>
        <w:right w:val="none" w:sz="0" w:space="0" w:color="auto"/>
      </w:divBdr>
    </w:div>
    <w:div w:id="461583224">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tamis.cloudforce.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nfo@atamis.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pport-health@atamis.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DF68-3E23-4005-A672-E828F86D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18</Pages>
  <Words>6066</Words>
  <Characters>34580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Ivan Kirov</cp:lastModifiedBy>
  <cp:revision>133</cp:revision>
  <cp:lastPrinted>2019-04-12T11:17:00Z</cp:lastPrinted>
  <dcterms:created xsi:type="dcterms:W3CDTF">2021-09-27T10:08:00Z</dcterms:created>
  <dcterms:modified xsi:type="dcterms:W3CDTF">2023-04-14T17:19:00Z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