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AE5765" w14:textId="77777777" w:rsidR="003F3427" w:rsidRDefault="008E56E5">
      <w:pPr>
        <w:tabs>
          <w:tab w:val="left" w:pos="142"/>
        </w:tabs>
        <w:spacing w:before="120"/>
        <w:jc w:val="center"/>
        <w:rPr>
          <w:rFonts w:ascii="Arial" w:eastAsia="Arial" w:hAnsi="Arial" w:cs="Arial"/>
          <w:b/>
          <w:smallCaps/>
        </w:rPr>
      </w:pPr>
      <w:bookmarkStart w:id="0" w:name="1vsw3ci" w:colFirst="0" w:colLast="0"/>
      <w:bookmarkEnd w:id="0"/>
      <w:r>
        <w:rPr>
          <w:rFonts w:ascii="Arial" w:eastAsia="Arial" w:hAnsi="Arial" w:cs="Arial"/>
          <w:b/>
          <w:smallCaps/>
        </w:rPr>
        <w:t>DPS</w:t>
      </w:r>
      <w:r w:rsidR="002E7F3C">
        <w:rPr>
          <w:rFonts w:ascii="Arial" w:eastAsia="Arial" w:hAnsi="Arial" w:cs="Arial"/>
          <w:b/>
          <w:smallCaps/>
        </w:rPr>
        <w:t xml:space="preserve"> </w:t>
      </w:r>
      <w:r w:rsidR="00D34498">
        <w:rPr>
          <w:rFonts w:ascii="Arial" w:eastAsia="Arial" w:hAnsi="Arial" w:cs="Arial"/>
          <w:b/>
          <w:smallCaps/>
        </w:rPr>
        <w:t xml:space="preserve">FRAMEWORK </w:t>
      </w:r>
      <w:r w:rsidR="002E7F3C">
        <w:rPr>
          <w:rFonts w:ascii="Arial" w:eastAsia="Arial" w:hAnsi="Arial" w:cs="Arial"/>
          <w:b/>
          <w:smallCaps/>
        </w:rPr>
        <w:t xml:space="preserve">SCHEDULE 4: LETTER OF APPOINTMENT AND </w:t>
      </w:r>
      <w:r w:rsidR="00412467">
        <w:rPr>
          <w:rFonts w:ascii="Arial" w:eastAsia="Arial" w:hAnsi="Arial" w:cs="Arial"/>
          <w:b/>
          <w:smallCaps/>
        </w:rPr>
        <w:t xml:space="preserve">CONTRACT </w:t>
      </w:r>
      <w:r w:rsidR="002E7F3C">
        <w:rPr>
          <w:rFonts w:ascii="Arial" w:eastAsia="Arial" w:hAnsi="Arial" w:cs="Arial"/>
          <w:b/>
          <w:smallCaps/>
        </w:rPr>
        <w:t>TERMS</w:t>
      </w:r>
      <w:bookmarkStart w:id="1" w:name="4fsjm0b" w:colFirst="0" w:colLast="0"/>
      <w:bookmarkEnd w:id="1"/>
    </w:p>
    <w:p w14:paraId="2A00C2E0" w14:textId="28CE3AB1" w:rsidR="0013786D" w:rsidRDefault="00185457">
      <w:pPr>
        <w:tabs>
          <w:tab w:val="left" w:pos="142"/>
        </w:tabs>
        <w:spacing w:before="120"/>
        <w:jc w:val="center"/>
        <w:rPr>
          <w:rFonts w:ascii="Arial" w:eastAsia="Arial" w:hAnsi="Arial" w:cs="Arial"/>
        </w:rPr>
      </w:pPr>
      <w:r w:rsidRPr="00185457">
        <w:rPr>
          <w:rFonts w:ascii="Arial" w:eastAsia="Arial" w:hAnsi="Arial" w:cs="Arial"/>
          <w:b/>
          <w:smallCaps/>
        </w:rPr>
        <w:t>CCSN19A34 SOCIAL RESEARCH ON REDUCING ROAD CONGESTION USING DELIBERATIVE PUBLIC ENGAGEMENT METHODOLOGIES</w:t>
      </w:r>
    </w:p>
    <w:p w14:paraId="7A40C212" w14:textId="77777777" w:rsidR="0013786D" w:rsidRDefault="002E7F3C" w:rsidP="000E2A3E">
      <w:pPr>
        <w:numPr>
          <w:ilvl w:val="1"/>
          <w:numId w:val="1"/>
        </w:numPr>
        <w:spacing w:after="100" w:line="276" w:lineRule="auto"/>
        <w:ind w:left="-30" w:firstLine="0"/>
        <w:jc w:val="left"/>
        <w:rPr>
          <w:rFonts w:ascii="Arial" w:eastAsia="Arial" w:hAnsi="Arial" w:cs="Arial"/>
          <w:b/>
          <w:sz w:val="20"/>
          <w:szCs w:val="20"/>
        </w:rPr>
      </w:pPr>
      <w:bookmarkStart w:id="2" w:name="2uxtw84" w:colFirst="0" w:colLast="0"/>
      <w:bookmarkEnd w:id="2"/>
      <w:r>
        <w:rPr>
          <w:rFonts w:ascii="Arial" w:eastAsia="Arial" w:hAnsi="Arial" w:cs="Arial"/>
          <w:b/>
          <w:sz w:val="20"/>
          <w:szCs w:val="20"/>
        </w:rPr>
        <w:t>Letter of Appointment</w:t>
      </w:r>
    </w:p>
    <w:p w14:paraId="21621D4F" w14:textId="77777777" w:rsidR="0013786D" w:rsidRDefault="0013786D">
      <w:pPr>
        <w:spacing w:after="100"/>
        <w:ind w:left="720"/>
        <w:jc w:val="left"/>
        <w:rPr>
          <w:rFonts w:ascii="Arial" w:eastAsia="Arial" w:hAnsi="Arial" w:cs="Arial"/>
        </w:rPr>
      </w:pPr>
      <w:bookmarkStart w:id="3" w:name="1a346fx" w:colFirst="0" w:colLast="0"/>
      <w:bookmarkEnd w:id="3"/>
    </w:p>
    <w:p w14:paraId="13AF64FC" w14:textId="1E96469B" w:rsidR="00CD099C" w:rsidRDefault="005570B9">
      <w:pPr>
        <w:spacing w:after="100"/>
        <w:jc w:val="left"/>
        <w:rPr>
          <w:rFonts w:ascii="Arial" w:eastAsia="Arial" w:hAnsi="Arial" w:cs="Arial"/>
        </w:rPr>
      </w:pPr>
      <w:bookmarkStart w:id="4" w:name="3u2rp3q" w:colFirst="0" w:colLast="0"/>
      <w:bookmarkEnd w:id="4"/>
      <w:proofErr w:type="spellStart"/>
      <w:r>
        <w:rPr>
          <w:rFonts w:ascii="Arial" w:eastAsia="Arial" w:hAnsi="Arial" w:cs="Arial"/>
        </w:rPr>
        <w:t>BritainThinks</w:t>
      </w:r>
      <w:proofErr w:type="spellEnd"/>
    </w:p>
    <w:p w14:paraId="4C0B2169" w14:textId="14CEEE5D" w:rsidR="0013786D" w:rsidRDefault="005570B9">
      <w:pPr>
        <w:spacing w:after="100"/>
        <w:jc w:val="left"/>
        <w:rPr>
          <w:rFonts w:ascii="Arial" w:eastAsia="Arial" w:hAnsi="Arial" w:cs="Arial"/>
        </w:rPr>
      </w:pPr>
      <w:r>
        <w:rPr>
          <w:rFonts w:ascii="Arial" w:eastAsia="Arial" w:hAnsi="Arial" w:cs="Arial"/>
        </w:rPr>
        <w:t>[REDACTED]</w:t>
      </w:r>
    </w:p>
    <w:p w14:paraId="620D9E72" w14:textId="77777777" w:rsidR="0013786D" w:rsidRDefault="002E7F3C">
      <w:pPr>
        <w:spacing w:after="100"/>
        <w:jc w:val="left"/>
        <w:rPr>
          <w:rFonts w:ascii="Arial" w:eastAsia="Arial" w:hAnsi="Arial" w:cs="Arial"/>
        </w:rPr>
      </w:pPr>
      <w:bookmarkStart w:id="5" w:name="2981zbj" w:colFirst="0" w:colLast="0"/>
      <w:bookmarkEnd w:id="5"/>
      <w:r>
        <w:rPr>
          <w:rFonts w:ascii="Arial" w:eastAsia="Arial" w:hAnsi="Arial" w:cs="Arial"/>
          <w:sz w:val="20"/>
          <w:szCs w:val="20"/>
        </w:rPr>
        <w:t xml:space="preserve"> </w:t>
      </w:r>
    </w:p>
    <w:p w14:paraId="3F846B6F" w14:textId="165F14E8" w:rsidR="0013786D" w:rsidRDefault="004A37FB">
      <w:pPr>
        <w:spacing w:after="100"/>
        <w:jc w:val="left"/>
        <w:rPr>
          <w:rFonts w:ascii="Arial" w:eastAsia="Arial" w:hAnsi="Arial" w:cs="Arial"/>
        </w:rPr>
      </w:pPr>
      <w:bookmarkStart w:id="6" w:name="odc9jc" w:colFirst="0" w:colLast="0"/>
      <w:bookmarkEnd w:id="6"/>
      <w:r>
        <w:rPr>
          <w:rFonts w:ascii="Arial" w:eastAsia="Arial" w:hAnsi="Arial" w:cs="Arial"/>
          <w:sz w:val="20"/>
          <w:szCs w:val="20"/>
        </w:rPr>
        <w:t xml:space="preserve">Dear </w:t>
      </w:r>
      <w:r w:rsidR="005570B9">
        <w:rPr>
          <w:rFonts w:ascii="Arial" w:eastAsia="Arial" w:hAnsi="Arial" w:cs="Arial"/>
          <w:sz w:val="20"/>
          <w:szCs w:val="20"/>
        </w:rPr>
        <w:t>[REDACTED]</w:t>
      </w:r>
      <w:r>
        <w:rPr>
          <w:rFonts w:ascii="Arial" w:eastAsia="Arial" w:hAnsi="Arial" w:cs="Arial"/>
          <w:sz w:val="20"/>
          <w:szCs w:val="20"/>
        </w:rPr>
        <w:t>,</w:t>
      </w:r>
    </w:p>
    <w:p w14:paraId="561A4A01" w14:textId="77777777" w:rsidR="0013786D" w:rsidRDefault="0013786D">
      <w:pPr>
        <w:spacing w:after="100"/>
        <w:jc w:val="left"/>
        <w:rPr>
          <w:rFonts w:ascii="Arial" w:eastAsia="Arial" w:hAnsi="Arial" w:cs="Arial"/>
        </w:rPr>
      </w:pPr>
      <w:bookmarkStart w:id="7" w:name="38czs75" w:colFirst="0" w:colLast="0"/>
      <w:bookmarkEnd w:id="7"/>
    </w:p>
    <w:p w14:paraId="4995E98C" w14:textId="77777777" w:rsidR="0013786D" w:rsidRDefault="002E7F3C">
      <w:pPr>
        <w:spacing w:after="100"/>
        <w:jc w:val="left"/>
        <w:rPr>
          <w:rFonts w:ascii="Arial" w:eastAsia="Arial" w:hAnsi="Arial" w:cs="Arial"/>
        </w:rPr>
      </w:pPr>
      <w:bookmarkStart w:id="8" w:name="1nia2ey" w:colFirst="0" w:colLast="0"/>
      <w:bookmarkEnd w:id="8"/>
      <w:r>
        <w:rPr>
          <w:rFonts w:ascii="Arial" w:eastAsia="Arial" w:hAnsi="Arial" w:cs="Arial"/>
          <w:b/>
          <w:sz w:val="20"/>
          <w:szCs w:val="20"/>
        </w:rPr>
        <w:t>Letter of Appointment</w:t>
      </w:r>
    </w:p>
    <w:p w14:paraId="172D69E4" w14:textId="77777777" w:rsidR="0013786D" w:rsidRDefault="0013786D">
      <w:pPr>
        <w:spacing w:after="100"/>
        <w:jc w:val="left"/>
        <w:rPr>
          <w:rFonts w:ascii="Arial" w:eastAsia="Arial" w:hAnsi="Arial" w:cs="Arial"/>
        </w:rPr>
      </w:pPr>
      <w:bookmarkStart w:id="9" w:name="47hxl2r" w:colFirst="0" w:colLast="0"/>
      <w:bookmarkEnd w:id="9"/>
    </w:p>
    <w:p w14:paraId="444414FD" w14:textId="55CF2DFE" w:rsidR="0013786D" w:rsidRDefault="002E7F3C">
      <w:pPr>
        <w:spacing w:after="100"/>
        <w:jc w:val="left"/>
        <w:rPr>
          <w:rFonts w:ascii="Arial" w:eastAsia="Arial" w:hAnsi="Arial" w:cs="Arial"/>
        </w:rPr>
      </w:pPr>
      <w:bookmarkStart w:id="10" w:name="2mn7vak" w:colFirst="0" w:colLast="0"/>
      <w:bookmarkEnd w:id="10"/>
      <w:r>
        <w:rPr>
          <w:rFonts w:ascii="Arial" w:eastAsia="Arial" w:hAnsi="Arial" w:cs="Arial"/>
          <w:sz w:val="20"/>
          <w:szCs w:val="20"/>
        </w:rPr>
        <w:t>This letter of Appointment</w:t>
      </w:r>
      <w:r w:rsidR="00E755C6">
        <w:rPr>
          <w:rFonts w:ascii="Arial" w:eastAsia="Arial" w:hAnsi="Arial" w:cs="Arial"/>
          <w:sz w:val="20"/>
          <w:szCs w:val="20"/>
        </w:rPr>
        <w:t xml:space="preserve"> </w:t>
      </w:r>
      <w:r w:rsidR="00E755C6" w:rsidRPr="006C1E88">
        <w:rPr>
          <w:rFonts w:ascii="Arial" w:eastAsia="Arial" w:hAnsi="Arial" w:cs="Arial"/>
          <w:sz w:val="20"/>
          <w:szCs w:val="20"/>
        </w:rPr>
        <w:t>dated</w:t>
      </w:r>
      <w:r w:rsidR="00CE516D">
        <w:rPr>
          <w:rFonts w:ascii="Arial" w:eastAsia="Arial" w:hAnsi="Arial" w:cs="Arial"/>
          <w:sz w:val="20"/>
          <w:szCs w:val="20"/>
        </w:rPr>
        <w:t xml:space="preserve"> 19</w:t>
      </w:r>
      <w:r w:rsidR="006C1E88" w:rsidRPr="006C1E88">
        <w:rPr>
          <w:rFonts w:ascii="Arial" w:eastAsia="Arial" w:hAnsi="Arial" w:cs="Arial"/>
          <w:sz w:val="20"/>
          <w:szCs w:val="20"/>
          <w:vertAlign w:val="superscript"/>
        </w:rPr>
        <w:t>th</w:t>
      </w:r>
      <w:r w:rsidR="006C1E88" w:rsidRPr="006C1E88">
        <w:rPr>
          <w:rFonts w:ascii="Arial" w:eastAsia="Arial" w:hAnsi="Arial" w:cs="Arial"/>
          <w:sz w:val="20"/>
          <w:szCs w:val="20"/>
        </w:rPr>
        <w:t xml:space="preserve"> September</w:t>
      </w:r>
      <w:r w:rsidR="006C1E88">
        <w:rPr>
          <w:rFonts w:ascii="Arial" w:eastAsia="Arial" w:hAnsi="Arial" w:cs="Arial"/>
          <w:sz w:val="20"/>
          <w:szCs w:val="20"/>
        </w:rPr>
        <w:t xml:space="preserve"> 2019</w:t>
      </w:r>
      <w:r w:rsidR="00E755C6">
        <w:rPr>
          <w:rFonts w:ascii="Arial" w:eastAsia="Arial" w:hAnsi="Arial" w:cs="Arial"/>
          <w:sz w:val="20"/>
          <w:szCs w:val="20"/>
        </w:rPr>
        <w:t>,</w:t>
      </w:r>
      <w:r>
        <w:rPr>
          <w:rFonts w:ascii="Arial" w:eastAsia="Arial" w:hAnsi="Arial" w:cs="Arial"/>
          <w:sz w:val="20"/>
          <w:szCs w:val="20"/>
        </w:rPr>
        <w:t xml:space="preserve"> is issued in accordance with the provisions of the </w:t>
      </w:r>
      <w:r w:rsidR="008E56E5">
        <w:rPr>
          <w:rFonts w:ascii="Arial" w:eastAsia="Arial" w:hAnsi="Arial" w:cs="Arial"/>
          <w:sz w:val="20"/>
          <w:szCs w:val="20"/>
        </w:rPr>
        <w:t>DPS</w:t>
      </w:r>
      <w:r>
        <w:rPr>
          <w:rFonts w:ascii="Arial" w:eastAsia="Arial" w:hAnsi="Arial" w:cs="Arial"/>
          <w:sz w:val="20"/>
          <w:szCs w:val="20"/>
        </w:rPr>
        <w:t xml:space="preserve"> Agreement (R</w:t>
      </w:r>
      <w:r w:rsidR="00D34498">
        <w:rPr>
          <w:rFonts w:ascii="Arial" w:eastAsia="Arial" w:hAnsi="Arial" w:cs="Arial"/>
          <w:sz w:val="20"/>
          <w:szCs w:val="20"/>
        </w:rPr>
        <w:t>M6018</w:t>
      </w:r>
      <w:r>
        <w:rPr>
          <w:rFonts w:ascii="Arial" w:eastAsia="Arial" w:hAnsi="Arial" w:cs="Arial"/>
          <w:sz w:val="20"/>
          <w:szCs w:val="20"/>
        </w:rPr>
        <w:t>) between CCS and the Supplier.</w:t>
      </w:r>
    </w:p>
    <w:p w14:paraId="02E5FA7E" w14:textId="41B2F8C9" w:rsidR="0013786D" w:rsidRDefault="002E7F3C">
      <w:pPr>
        <w:spacing w:after="100"/>
        <w:jc w:val="left"/>
        <w:rPr>
          <w:rFonts w:ascii="Arial" w:eastAsia="Arial" w:hAnsi="Arial" w:cs="Arial"/>
        </w:rPr>
      </w:pPr>
      <w:bookmarkStart w:id="11" w:name="11si5id" w:colFirst="0" w:colLast="0"/>
      <w:bookmarkEnd w:id="11"/>
      <w:r>
        <w:rPr>
          <w:rFonts w:ascii="Arial" w:eastAsia="Arial" w:hAnsi="Arial" w:cs="Arial"/>
          <w:sz w:val="20"/>
          <w:szCs w:val="20"/>
        </w:rPr>
        <w:t xml:space="preserve">Capitalised terms and expressions used in this letter have the same meanings as in the </w:t>
      </w:r>
      <w:r w:rsidR="00412467">
        <w:rPr>
          <w:rFonts w:ascii="Arial" w:eastAsia="Arial" w:hAnsi="Arial" w:cs="Arial"/>
          <w:sz w:val="20"/>
          <w:szCs w:val="20"/>
        </w:rPr>
        <w:t xml:space="preserve">Contract </w:t>
      </w:r>
      <w:r>
        <w:rPr>
          <w:rFonts w:ascii="Arial" w:eastAsia="Arial" w:hAnsi="Arial" w:cs="Arial"/>
          <w:sz w:val="20"/>
          <w:szCs w:val="20"/>
        </w:rPr>
        <w:t>Terms unless the context otherwise requires.</w:t>
      </w:r>
    </w:p>
    <w:p w14:paraId="4BC75950" w14:textId="77777777" w:rsidR="0013786D" w:rsidRDefault="0013786D">
      <w:pPr>
        <w:spacing w:after="0"/>
        <w:jc w:val="left"/>
        <w:rPr>
          <w:rFonts w:ascii="Arial" w:eastAsia="Arial" w:hAnsi="Arial" w:cs="Arial"/>
        </w:rPr>
      </w:pPr>
      <w:bookmarkStart w:id="12" w:name="3ls5o66" w:colFirst="0" w:colLast="0"/>
      <w:bookmarkEnd w:id="12"/>
    </w:p>
    <w:tbl>
      <w:tblPr>
        <w:tblStyle w:val="11"/>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13786D" w14:paraId="517C726F"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A2BFB" w14:textId="77777777" w:rsidR="0013786D" w:rsidRDefault="002E7F3C">
            <w:pPr>
              <w:spacing w:after="100"/>
              <w:jc w:val="left"/>
              <w:rPr>
                <w:rFonts w:ascii="Arial" w:eastAsia="Arial" w:hAnsi="Arial" w:cs="Arial"/>
              </w:rPr>
            </w:pPr>
            <w:r>
              <w:rPr>
                <w:rFonts w:ascii="Arial" w:eastAsia="Arial" w:hAnsi="Arial" w:cs="Arial"/>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360577" w14:textId="294E2CE9" w:rsidR="0013786D" w:rsidRPr="004A37FB" w:rsidRDefault="004A37FB">
            <w:pPr>
              <w:spacing w:after="100"/>
              <w:jc w:val="left"/>
              <w:rPr>
                <w:rFonts w:ascii="Arial" w:eastAsia="Arial" w:hAnsi="Arial" w:cs="Arial"/>
              </w:rPr>
            </w:pPr>
            <w:r w:rsidRPr="004A37FB">
              <w:rPr>
                <w:rFonts w:ascii="Arial" w:eastAsia="Arial" w:hAnsi="Arial" w:cs="Arial"/>
                <w:sz w:val="20"/>
                <w:szCs w:val="20"/>
              </w:rPr>
              <w:t>To Be Provided by the Customer on Contract Placement</w:t>
            </w:r>
          </w:p>
        </w:tc>
      </w:tr>
      <w:tr w:rsidR="0013786D" w14:paraId="403EC70C"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3EDBC0" w14:textId="77777777" w:rsidR="0013786D" w:rsidRDefault="002E7F3C">
            <w:pPr>
              <w:spacing w:after="100"/>
              <w:jc w:val="left"/>
              <w:rPr>
                <w:rFonts w:ascii="Arial" w:eastAsia="Arial" w:hAnsi="Arial" w:cs="Arial"/>
              </w:rPr>
            </w:pPr>
            <w:r>
              <w:rPr>
                <w:rFonts w:ascii="Arial" w:eastAsia="Arial" w:hAnsi="Arial" w:cs="Arial"/>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3C811CE8" w14:textId="6931B1DF" w:rsidR="0013786D" w:rsidRPr="004A37FB" w:rsidRDefault="004A37FB">
            <w:pPr>
              <w:spacing w:after="100"/>
              <w:jc w:val="left"/>
              <w:rPr>
                <w:rFonts w:ascii="Arial" w:eastAsia="Arial" w:hAnsi="Arial" w:cs="Arial"/>
              </w:rPr>
            </w:pPr>
            <w:r w:rsidRPr="004A37FB">
              <w:rPr>
                <w:rFonts w:ascii="Arial" w:eastAsia="Arial" w:hAnsi="Arial" w:cs="Arial"/>
                <w:sz w:val="20"/>
                <w:szCs w:val="20"/>
              </w:rPr>
              <w:t>The National Infrastructure Commission</w:t>
            </w:r>
            <w:r w:rsidR="002E7F3C" w:rsidRPr="004A37FB">
              <w:rPr>
                <w:rFonts w:ascii="Arial" w:eastAsia="Arial" w:hAnsi="Arial" w:cs="Arial"/>
                <w:sz w:val="20"/>
                <w:szCs w:val="20"/>
              </w:rPr>
              <w:t xml:space="preserve"> ("Customer")</w:t>
            </w:r>
          </w:p>
        </w:tc>
      </w:tr>
      <w:tr w:rsidR="0013786D" w14:paraId="29A38DE5"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66FE3C" w14:textId="77777777" w:rsidR="0013786D" w:rsidRDefault="002E7F3C">
            <w:pPr>
              <w:spacing w:after="100"/>
              <w:jc w:val="left"/>
              <w:rPr>
                <w:rFonts w:ascii="Arial" w:eastAsia="Arial" w:hAnsi="Arial" w:cs="Arial"/>
              </w:rPr>
            </w:pPr>
            <w:r>
              <w:rPr>
                <w:rFonts w:ascii="Arial" w:eastAsia="Arial" w:hAnsi="Arial" w:cs="Arial"/>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61342CB2" w14:textId="51B95A7B" w:rsidR="0013786D" w:rsidRDefault="004A37FB">
            <w:pPr>
              <w:spacing w:after="100"/>
              <w:jc w:val="left"/>
              <w:rPr>
                <w:rFonts w:ascii="Arial" w:eastAsia="Arial" w:hAnsi="Arial" w:cs="Arial"/>
              </w:rPr>
            </w:pPr>
            <w:r w:rsidRPr="004A37FB">
              <w:rPr>
                <w:rFonts w:ascii="Arial" w:eastAsia="Arial" w:hAnsi="Arial" w:cs="Arial"/>
                <w:sz w:val="20"/>
                <w:szCs w:val="20"/>
              </w:rPr>
              <w:t>C M MONITOR (BRITAIN THINKS) LTD</w:t>
            </w:r>
            <w:r w:rsidR="002E7F3C">
              <w:rPr>
                <w:rFonts w:ascii="Arial" w:eastAsia="Arial" w:hAnsi="Arial" w:cs="Arial"/>
                <w:sz w:val="20"/>
                <w:szCs w:val="20"/>
              </w:rPr>
              <w:t xml:space="preserve"> ("Supplier")</w:t>
            </w:r>
          </w:p>
        </w:tc>
      </w:tr>
    </w:tbl>
    <w:p w14:paraId="02874CE2"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10"/>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14:paraId="0073B81C"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208B" w14:textId="77777777" w:rsidR="0013786D" w:rsidRDefault="002E7F3C">
            <w:pPr>
              <w:spacing w:after="100"/>
              <w:jc w:val="left"/>
              <w:rPr>
                <w:rFonts w:ascii="Arial" w:eastAsia="Arial" w:hAnsi="Arial" w:cs="Arial"/>
              </w:rPr>
            </w:pPr>
            <w:r>
              <w:rPr>
                <w:rFonts w:ascii="Arial" w:eastAsia="Arial" w:hAnsi="Arial" w:cs="Arial"/>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F62EF1" w14:textId="15FDB5EF" w:rsidR="0013786D" w:rsidRDefault="004A37FB">
            <w:pPr>
              <w:spacing w:after="100"/>
              <w:jc w:val="left"/>
              <w:rPr>
                <w:rFonts w:ascii="Arial" w:eastAsia="Arial" w:hAnsi="Arial" w:cs="Arial"/>
              </w:rPr>
            </w:pPr>
            <w:r w:rsidRPr="004A37FB">
              <w:rPr>
                <w:rFonts w:ascii="Arial" w:eastAsia="Arial" w:hAnsi="Arial" w:cs="Arial"/>
                <w:sz w:val="20"/>
                <w:szCs w:val="20"/>
              </w:rPr>
              <w:t>23</w:t>
            </w:r>
            <w:r w:rsidRPr="004A37FB">
              <w:rPr>
                <w:rFonts w:ascii="Arial" w:eastAsia="Arial" w:hAnsi="Arial" w:cs="Arial"/>
                <w:sz w:val="20"/>
                <w:szCs w:val="20"/>
                <w:vertAlign w:val="superscript"/>
              </w:rPr>
              <w:t>rd</w:t>
            </w:r>
            <w:r w:rsidRPr="004A37FB">
              <w:rPr>
                <w:rFonts w:ascii="Arial" w:eastAsia="Arial" w:hAnsi="Arial" w:cs="Arial"/>
                <w:sz w:val="20"/>
                <w:szCs w:val="20"/>
              </w:rPr>
              <w:t xml:space="preserve"> September 2019</w:t>
            </w:r>
          </w:p>
        </w:tc>
      </w:tr>
      <w:tr w:rsidR="0013786D" w14:paraId="5D4418F4"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6AB4A7" w14:textId="77777777" w:rsidR="0013786D" w:rsidRDefault="002E7F3C">
            <w:pPr>
              <w:spacing w:after="100"/>
              <w:jc w:val="left"/>
              <w:rPr>
                <w:rFonts w:ascii="Arial" w:eastAsia="Arial" w:hAnsi="Arial" w:cs="Arial"/>
              </w:rPr>
            </w:pPr>
            <w:r>
              <w:rPr>
                <w:rFonts w:ascii="Arial" w:eastAsia="Arial" w:hAnsi="Arial" w:cs="Arial"/>
                <w:sz w:val="20"/>
                <w:szCs w:val="20"/>
              </w:rPr>
              <w:t>Expiry Date:</w:t>
            </w:r>
          </w:p>
          <w:p w14:paraId="02A16A80"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p w14:paraId="057F6ADF"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0433B39A" w14:textId="506FE56C" w:rsidR="0013786D" w:rsidRDefault="005D5672">
            <w:pPr>
              <w:spacing w:after="100"/>
              <w:jc w:val="left"/>
              <w:rPr>
                <w:rFonts w:ascii="Arial" w:eastAsia="Arial" w:hAnsi="Arial" w:cs="Arial"/>
              </w:rPr>
            </w:pPr>
            <w:r>
              <w:rPr>
                <w:rFonts w:ascii="Arial" w:eastAsia="Arial" w:hAnsi="Arial" w:cs="Arial"/>
                <w:sz w:val="20"/>
                <w:szCs w:val="20"/>
              </w:rPr>
              <w:t>End date of Contract</w:t>
            </w:r>
            <w:r w:rsidR="002E7F3C">
              <w:rPr>
                <w:rFonts w:ascii="Arial" w:eastAsia="Arial" w:hAnsi="Arial" w:cs="Arial"/>
                <w:sz w:val="20"/>
                <w:szCs w:val="20"/>
              </w:rPr>
              <w:t xml:space="preserve"> Period</w:t>
            </w:r>
            <w:r>
              <w:rPr>
                <w:rFonts w:ascii="Arial" w:eastAsia="Arial" w:hAnsi="Arial" w:cs="Arial"/>
                <w:sz w:val="20"/>
                <w:szCs w:val="20"/>
              </w:rPr>
              <w:t>: 31</w:t>
            </w:r>
            <w:r w:rsidRPr="005D5672">
              <w:rPr>
                <w:rFonts w:ascii="Arial" w:eastAsia="Arial" w:hAnsi="Arial" w:cs="Arial"/>
                <w:sz w:val="20"/>
                <w:szCs w:val="20"/>
                <w:vertAlign w:val="superscript"/>
              </w:rPr>
              <w:t>st</w:t>
            </w:r>
            <w:r>
              <w:rPr>
                <w:rFonts w:ascii="Arial" w:eastAsia="Arial" w:hAnsi="Arial" w:cs="Arial"/>
                <w:sz w:val="20"/>
                <w:szCs w:val="20"/>
              </w:rPr>
              <w:t xml:space="preserve"> March 2020.</w:t>
            </w:r>
          </w:p>
          <w:p w14:paraId="4E7DC319" w14:textId="19DADF19" w:rsidR="0013786D" w:rsidRDefault="002E7F3C">
            <w:pPr>
              <w:spacing w:after="100"/>
              <w:jc w:val="left"/>
              <w:rPr>
                <w:rFonts w:ascii="Arial" w:eastAsia="Arial" w:hAnsi="Arial" w:cs="Arial"/>
              </w:rPr>
            </w:pPr>
            <w:r>
              <w:rPr>
                <w:rFonts w:ascii="Arial" w:eastAsia="Arial" w:hAnsi="Arial" w:cs="Arial"/>
                <w:sz w:val="20"/>
                <w:szCs w:val="20"/>
              </w:rPr>
              <w:t>End date of Maximum Extension Period</w:t>
            </w:r>
            <w:r w:rsidR="005D5672" w:rsidRPr="005D5672">
              <w:rPr>
                <w:rFonts w:ascii="Arial" w:eastAsia="Arial" w:hAnsi="Arial" w:cs="Arial"/>
                <w:sz w:val="20"/>
                <w:szCs w:val="20"/>
              </w:rPr>
              <w:t>: Not Applicable, there is no option to extend the Contract.</w:t>
            </w:r>
          </w:p>
          <w:p w14:paraId="49B26E73" w14:textId="10C6D683" w:rsidR="0013786D" w:rsidRDefault="002E7F3C">
            <w:pPr>
              <w:spacing w:after="100"/>
              <w:jc w:val="left"/>
              <w:rPr>
                <w:rFonts w:ascii="Arial" w:eastAsia="Arial" w:hAnsi="Arial" w:cs="Arial"/>
              </w:rPr>
            </w:pPr>
            <w:r>
              <w:rPr>
                <w:rFonts w:ascii="Arial" w:eastAsia="Arial" w:hAnsi="Arial" w:cs="Arial"/>
                <w:sz w:val="20"/>
                <w:szCs w:val="20"/>
              </w:rPr>
              <w:t xml:space="preserve">Minimum </w:t>
            </w:r>
            <w:r w:rsidRPr="005D5672">
              <w:rPr>
                <w:rFonts w:ascii="Arial" w:eastAsia="Arial" w:hAnsi="Arial" w:cs="Arial"/>
                <w:sz w:val="20"/>
                <w:szCs w:val="20"/>
              </w:rPr>
              <w:t>written notice to Supplier in respect of extension:</w:t>
            </w:r>
            <w:r w:rsidR="005D5672" w:rsidRPr="005D5672">
              <w:rPr>
                <w:rFonts w:ascii="Arial" w:eastAsia="Arial" w:hAnsi="Arial" w:cs="Arial"/>
                <w:sz w:val="20"/>
                <w:szCs w:val="20"/>
              </w:rPr>
              <w:t xml:space="preserve"> Not Applicable.</w:t>
            </w:r>
          </w:p>
        </w:tc>
      </w:tr>
    </w:tbl>
    <w:p w14:paraId="187E270E"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9"/>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14:paraId="1C292ACF"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CF278" w14:textId="77777777" w:rsidR="0013786D" w:rsidRDefault="002E7F3C">
            <w:pPr>
              <w:spacing w:after="100"/>
              <w:jc w:val="left"/>
              <w:rPr>
                <w:rFonts w:ascii="Arial" w:eastAsia="Arial" w:hAnsi="Arial" w:cs="Arial"/>
              </w:rPr>
            </w:pPr>
            <w:r>
              <w:rPr>
                <w:rFonts w:ascii="Arial" w:eastAsia="Arial" w:hAnsi="Arial" w:cs="Arial"/>
                <w:sz w:val="20"/>
                <w:szCs w:val="20"/>
              </w:rPr>
              <w:t>Services required:</w:t>
            </w:r>
          </w:p>
          <w:p w14:paraId="17DEA9C8"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p w14:paraId="54241C5F"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6143A1" w14:textId="53AEA4D2" w:rsidR="0013786D" w:rsidRDefault="00BA1F16">
            <w:pPr>
              <w:spacing w:after="100"/>
              <w:jc w:val="left"/>
              <w:rPr>
                <w:rFonts w:ascii="Arial" w:eastAsia="Arial" w:hAnsi="Arial" w:cs="Arial"/>
              </w:rPr>
            </w:pPr>
            <w:r>
              <w:rPr>
                <w:rFonts w:ascii="Arial" w:eastAsia="Arial" w:hAnsi="Arial" w:cs="Arial"/>
                <w:sz w:val="20"/>
                <w:szCs w:val="20"/>
              </w:rPr>
              <w:t xml:space="preserve">Set out in </w:t>
            </w:r>
            <w:r w:rsidR="007F070D">
              <w:rPr>
                <w:rFonts w:ascii="Arial" w:eastAsia="Arial" w:hAnsi="Arial" w:cs="Arial"/>
                <w:sz w:val="20"/>
                <w:szCs w:val="20"/>
              </w:rPr>
              <w:t xml:space="preserve">Section 2, Part B </w:t>
            </w:r>
            <w:r>
              <w:rPr>
                <w:rFonts w:ascii="Arial" w:eastAsia="Arial" w:hAnsi="Arial" w:cs="Arial"/>
                <w:sz w:val="20"/>
                <w:szCs w:val="20"/>
              </w:rPr>
              <w:t>(Specification</w:t>
            </w:r>
            <w:r w:rsidR="002E7F3C">
              <w:rPr>
                <w:rFonts w:ascii="Arial" w:eastAsia="Arial" w:hAnsi="Arial" w:cs="Arial"/>
                <w:sz w:val="20"/>
                <w:szCs w:val="20"/>
              </w:rPr>
              <w:t xml:space="preserve">) of the </w:t>
            </w:r>
            <w:r w:rsidR="008E56E5">
              <w:rPr>
                <w:rFonts w:ascii="Arial" w:eastAsia="Arial" w:hAnsi="Arial" w:cs="Arial"/>
                <w:sz w:val="20"/>
                <w:szCs w:val="20"/>
              </w:rPr>
              <w:t>DPS</w:t>
            </w:r>
            <w:r w:rsidR="002E7F3C">
              <w:rPr>
                <w:rFonts w:ascii="Arial" w:eastAsia="Arial" w:hAnsi="Arial" w:cs="Arial"/>
                <w:sz w:val="20"/>
                <w:szCs w:val="20"/>
              </w:rPr>
              <w:t xml:space="preserve"> Agreement and refined by:</w:t>
            </w:r>
          </w:p>
          <w:p w14:paraId="4E011FAE" w14:textId="45693519" w:rsidR="0013786D" w:rsidRDefault="002E7F3C">
            <w:pPr>
              <w:spacing w:after="100"/>
              <w:jc w:val="left"/>
              <w:rPr>
                <w:rFonts w:ascii="Arial" w:eastAsia="Arial" w:hAnsi="Arial" w:cs="Arial"/>
              </w:rPr>
            </w:pPr>
            <w:r w:rsidRPr="004A37FB">
              <w:rPr>
                <w:rFonts w:ascii="Arial" w:eastAsia="Arial" w:hAnsi="Arial" w:cs="Arial"/>
                <w:sz w:val="20"/>
                <w:szCs w:val="20"/>
              </w:rPr>
              <w:t xml:space="preserve">·  the Customer’s </w:t>
            </w:r>
            <w:r w:rsidR="004A37FB" w:rsidRPr="004A37FB">
              <w:rPr>
                <w:rFonts w:ascii="Arial" w:eastAsia="Arial" w:hAnsi="Arial" w:cs="Arial"/>
                <w:sz w:val="20"/>
                <w:szCs w:val="20"/>
              </w:rPr>
              <w:t>Statement of Requirements</w:t>
            </w:r>
            <w:r w:rsidR="00740626" w:rsidRPr="004A37FB">
              <w:rPr>
                <w:rFonts w:ascii="Arial" w:eastAsia="Arial" w:hAnsi="Arial" w:cs="Arial"/>
                <w:sz w:val="20"/>
                <w:szCs w:val="20"/>
              </w:rPr>
              <w:t xml:space="preserve"> </w:t>
            </w:r>
            <w:r w:rsidRPr="004A37FB">
              <w:rPr>
                <w:rFonts w:ascii="Arial" w:eastAsia="Arial" w:hAnsi="Arial" w:cs="Arial"/>
                <w:sz w:val="20"/>
                <w:szCs w:val="20"/>
              </w:rPr>
              <w:t>attached at Annex A and the Supplier’s Proposal attached at Annex</w:t>
            </w:r>
            <w:r w:rsidR="004A37FB">
              <w:rPr>
                <w:rFonts w:ascii="Arial" w:eastAsia="Arial" w:hAnsi="Arial" w:cs="Arial"/>
                <w:sz w:val="20"/>
                <w:szCs w:val="20"/>
              </w:rPr>
              <w:t xml:space="preserve"> B</w:t>
            </w:r>
            <w:r w:rsidR="00277851">
              <w:rPr>
                <w:rFonts w:ascii="Arial" w:eastAsia="Arial" w:hAnsi="Arial" w:cs="Arial"/>
                <w:sz w:val="20"/>
                <w:szCs w:val="20"/>
              </w:rPr>
              <w:t xml:space="preserve"> [REDACTED]</w:t>
            </w:r>
          </w:p>
        </w:tc>
      </w:tr>
    </w:tbl>
    <w:p w14:paraId="725BFD72"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8"/>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14:paraId="2071C05B"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6EBBC" w14:textId="77777777" w:rsidR="0013786D" w:rsidRDefault="002E7F3C">
            <w:pPr>
              <w:spacing w:after="100"/>
              <w:jc w:val="left"/>
              <w:rPr>
                <w:rFonts w:ascii="Arial" w:eastAsia="Arial" w:hAnsi="Arial" w:cs="Arial"/>
              </w:rPr>
            </w:pPr>
            <w:r>
              <w:rPr>
                <w:rFonts w:ascii="Arial" w:eastAsia="Arial" w:hAnsi="Arial" w:cs="Arial"/>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8D3F6E" w14:textId="77777777" w:rsidR="0013786D" w:rsidRPr="00CD099C" w:rsidRDefault="00CD099C">
            <w:pPr>
              <w:spacing w:after="100"/>
              <w:jc w:val="left"/>
              <w:rPr>
                <w:rFonts w:ascii="Arial" w:eastAsia="Arial" w:hAnsi="Arial" w:cs="Arial"/>
                <w:b/>
                <w:sz w:val="20"/>
                <w:szCs w:val="20"/>
              </w:rPr>
            </w:pPr>
            <w:r w:rsidRPr="00CD099C">
              <w:rPr>
                <w:rFonts w:ascii="Arial" w:eastAsia="Arial" w:hAnsi="Arial" w:cs="Arial"/>
                <w:b/>
                <w:sz w:val="20"/>
                <w:szCs w:val="20"/>
              </w:rPr>
              <w:t>Customer</w:t>
            </w:r>
          </w:p>
          <w:p w14:paraId="6EE3B789" w14:textId="40D8FA07" w:rsidR="00CD099C" w:rsidRDefault="005570B9">
            <w:pPr>
              <w:spacing w:after="100"/>
              <w:jc w:val="left"/>
              <w:rPr>
                <w:rFonts w:ascii="Arial" w:eastAsia="Arial" w:hAnsi="Arial" w:cs="Arial"/>
                <w:sz w:val="20"/>
                <w:szCs w:val="20"/>
              </w:rPr>
            </w:pPr>
            <w:r>
              <w:rPr>
                <w:rFonts w:ascii="Arial" w:eastAsia="Arial" w:hAnsi="Arial" w:cs="Arial"/>
                <w:sz w:val="20"/>
                <w:szCs w:val="20"/>
              </w:rPr>
              <w:t>[REDACTED]</w:t>
            </w:r>
          </w:p>
          <w:p w14:paraId="16EF0CFC" w14:textId="77777777" w:rsidR="0074696B" w:rsidRDefault="0074696B">
            <w:pPr>
              <w:spacing w:after="100"/>
              <w:jc w:val="left"/>
              <w:rPr>
                <w:rFonts w:ascii="Arial" w:eastAsia="Arial" w:hAnsi="Arial" w:cs="Arial"/>
                <w:b/>
                <w:sz w:val="20"/>
                <w:szCs w:val="20"/>
              </w:rPr>
            </w:pPr>
          </w:p>
          <w:p w14:paraId="227B2B7D" w14:textId="64B88C66" w:rsidR="00CD099C" w:rsidRPr="00CD099C" w:rsidRDefault="00CD099C">
            <w:pPr>
              <w:spacing w:after="100"/>
              <w:jc w:val="left"/>
              <w:rPr>
                <w:rFonts w:ascii="Arial" w:eastAsia="Arial" w:hAnsi="Arial" w:cs="Arial"/>
                <w:b/>
                <w:sz w:val="20"/>
                <w:szCs w:val="20"/>
              </w:rPr>
            </w:pPr>
            <w:bookmarkStart w:id="13" w:name="_GoBack"/>
            <w:bookmarkEnd w:id="13"/>
            <w:r w:rsidRPr="00CD099C">
              <w:rPr>
                <w:rFonts w:ascii="Arial" w:eastAsia="Arial" w:hAnsi="Arial" w:cs="Arial"/>
                <w:b/>
                <w:sz w:val="20"/>
                <w:szCs w:val="20"/>
              </w:rPr>
              <w:lastRenderedPageBreak/>
              <w:t>Supplier</w:t>
            </w:r>
          </w:p>
          <w:p w14:paraId="605E65BC" w14:textId="5B43FB78" w:rsidR="001C573E" w:rsidRDefault="005570B9">
            <w:pPr>
              <w:spacing w:after="100"/>
              <w:jc w:val="left"/>
              <w:rPr>
                <w:rFonts w:ascii="Arial" w:eastAsia="Arial" w:hAnsi="Arial" w:cs="Arial"/>
              </w:rPr>
            </w:pPr>
            <w:r>
              <w:rPr>
                <w:rFonts w:ascii="Arial" w:eastAsia="Arial" w:hAnsi="Arial" w:cs="Arial"/>
                <w:sz w:val="20"/>
                <w:szCs w:val="20"/>
              </w:rPr>
              <w:t>[REDACTED]</w:t>
            </w:r>
          </w:p>
        </w:tc>
      </w:tr>
      <w:tr w:rsidR="0013786D" w14:paraId="7AFCB039"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D1B7B" w14:textId="036726C1" w:rsidR="0013786D" w:rsidRDefault="00180162">
            <w:pPr>
              <w:spacing w:after="100"/>
              <w:jc w:val="left"/>
              <w:rPr>
                <w:rFonts w:ascii="Arial" w:eastAsia="Arial" w:hAnsi="Arial" w:cs="Arial"/>
              </w:rPr>
            </w:pPr>
            <w:r>
              <w:rPr>
                <w:rFonts w:ascii="Arial" w:eastAsia="Arial" w:hAnsi="Arial" w:cs="Arial"/>
                <w:sz w:val="20"/>
                <w:szCs w:val="20"/>
              </w:rPr>
              <w:lastRenderedPageBreak/>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440EE9" w14:textId="5D2E2807" w:rsidR="0013786D" w:rsidRDefault="00180162">
            <w:pPr>
              <w:spacing w:after="100"/>
              <w:jc w:val="left"/>
              <w:rPr>
                <w:rFonts w:ascii="Arial" w:eastAsia="Arial" w:hAnsi="Arial" w:cs="Arial"/>
              </w:rPr>
            </w:pPr>
            <w:r w:rsidRPr="00180162">
              <w:rPr>
                <w:rFonts w:ascii="Arial" w:eastAsia="Arial" w:hAnsi="Arial" w:cs="Arial"/>
                <w:sz w:val="20"/>
                <w:szCs w:val="20"/>
              </w:rPr>
              <w:t>Not Applicable</w:t>
            </w:r>
          </w:p>
        </w:tc>
      </w:tr>
    </w:tbl>
    <w:p w14:paraId="4B0161A8"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7"/>
        <w:tblpPr w:leftFromText="180" w:rightFromText="180" w:vertAnchor="text" w:tblpY="1"/>
        <w:tblOverlap w:val="neve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13786D" w14:paraId="345CE99A"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C5A0D" w14:textId="06B606CD" w:rsidR="0013786D" w:rsidRDefault="002E7F3C" w:rsidP="0030655F">
            <w:pPr>
              <w:spacing w:after="100"/>
              <w:jc w:val="left"/>
              <w:rPr>
                <w:rFonts w:ascii="Arial" w:eastAsia="Arial" w:hAnsi="Arial" w:cs="Arial"/>
              </w:rPr>
            </w:pPr>
            <w:r>
              <w:rPr>
                <w:rFonts w:ascii="Arial" w:eastAsia="Arial" w:hAnsi="Arial" w:cs="Arial"/>
                <w:sz w:val="20"/>
                <w:szCs w:val="20"/>
              </w:rPr>
              <w:t>Contract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CD6AA8" w14:textId="2FFCBCE1" w:rsidR="00180162" w:rsidRPr="00180162" w:rsidRDefault="00C32B7A" w:rsidP="0030655F">
            <w:pPr>
              <w:rPr>
                <w:rFonts w:ascii="Arial" w:eastAsia="Arial" w:hAnsi="Arial" w:cs="Arial"/>
                <w:sz w:val="20"/>
                <w:szCs w:val="20"/>
              </w:rPr>
            </w:pPr>
            <w:r w:rsidRPr="00180162">
              <w:rPr>
                <w:rFonts w:ascii="Arial" w:eastAsia="Arial" w:hAnsi="Arial" w:cs="Arial"/>
                <w:sz w:val="20"/>
                <w:szCs w:val="20"/>
              </w:rPr>
              <w:t xml:space="preserve">The </w:t>
            </w:r>
            <w:r w:rsidR="00CD099C">
              <w:rPr>
                <w:rFonts w:ascii="Arial" w:eastAsia="Arial" w:hAnsi="Arial" w:cs="Arial"/>
                <w:sz w:val="20"/>
                <w:szCs w:val="20"/>
              </w:rPr>
              <w:t xml:space="preserve">maximum </w:t>
            </w:r>
            <w:r w:rsidR="006C1E88" w:rsidRPr="00180162">
              <w:rPr>
                <w:rFonts w:ascii="Arial" w:eastAsia="Arial" w:hAnsi="Arial" w:cs="Arial"/>
                <w:sz w:val="20"/>
                <w:szCs w:val="20"/>
              </w:rPr>
              <w:t xml:space="preserve">total contract value shall be up to </w:t>
            </w:r>
            <w:r w:rsidR="006C1E88" w:rsidRPr="00CD099C">
              <w:rPr>
                <w:rFonts w:ascii="Arial" w:eastAsia="Arial" w:hAnsi="Arial" w:cs="Arial"/>
                <w:b/>
                <w:sz w:val="20"/>
                <w:szCs w:val="20"/>
              </w:rPr>
              <w:t>£135,000.00 excluding VAT</w:t>
            </w:r>
            <w:r w:rsidR="006C1E88" w:rsidRPr="00180162">
              <w:rPr>
                <w:rFonts w:ascii="Arial" w:eastAsia="Arial" w:hAnsi="Arial" w:cs="Arial"/>
                <w:sz w:val="20"/>
                <w:szCs w:val="20"/>
              </w:rPr>
              <w:t>.</w:t>
            </w:r>
          </w:p>
          <w:p w14:paraId="5310A019" w14:textId="77777777" w:rsidR="00CD099C" w:rsidRDefault="00CD099C" w:rsidP="00180162">
            <w:pPr>
              <w:rPr>
                <w:rFonts w:ascii="Arial" w:eastAsia="Arial" w:hAnsi="Arial" w:cs="Arial"/>
                <w:sz w:val="20"/>
                <w:szCs w:val="20"/>
              </w:rPr>
            </w:pPr>
          </w:p>
          <w:p w14:paraId="67E76D67" w14:textId="0A0D8DCC" w:rsidR="0013786D" w:rsidRPr="00180162" w:rsidRDefault="00180162" w:rsidP="00CD099C">
            <w:pPr>
              <w:rPr>
                <w:rFonts w:ascii="Arial" w:eastAsia="Arial" w:hAnsi="Arial" w:cs="Arial"/>
              </w:rPr>
            </w:pPr>
            <w:r>
              <w:rPr>
                <w:rFonts w:ascii="Arial" w:eastAsia="Arial" w:hAnsi="Arial" w:cs="Arial"/>
                <w:sz w:val="20"/>
                <w:szCs w:val="20"/>
              </w:rPr>
              <w:t xml:space="preserve">The Contract Charges are </w:t>
            </w:r>
            <w:r w:rsidR="00CD099C">
              <w:rPr>
                <w:rFonts w:ascii="Arial" w:eastAsia="Arial" w:hAnsi="Arial" w:cs="Arial"/>
                <w:sz w:val="20"/>
                <w:szCs w:val="20"/>
              </w:rPr>
              <w:t xml:space="preserve">as </w:t>
            </w:r>
            <w:r>
              <w:rPr>
                <w:rFonts w:ascii="Arial" w:eastAsia="Arial" w:hAnsi="Arial" w:cs="Arial"/>
                <w:sz w:val="20"/>
                <w:szCs w:val="20"/>
              </w:rPr>
              <w:t xml:space="preserve">set out in the </w:t>
            </w:r>
            <w:r w:rsidR="00CD099C">
              <w:rPr>
                <w:rFonts w:ascii="Arial" w:eastAsia="Arial" w:hAnsi="Arial" w:cs="Arial"/>
                <w:sz w:val="20"/>
                <w:szCs w:val="20"/>
              </w:rPr>
              <w:t>Contract Terms</w:t>
            </w:r>
            <w:r>
              <w:rPr>
                <w:rFonts w:ascii="Arial" w:eastAsia="Arial" w:hAnsi="Arial" w:cs="Arial"/>
                <w:sz w:val="20"/>
                <w:szCs w:val="20"/>
              </w:rPr>
              <w:t xml:space="preserve"> </w:t>
            </w:r>
            <w:r w:rsidRPr="00180162">
              <w:rPr>
                <w:rFonts w:ascii="Arial" w:eastAsia="Arial" w:hAnsi="Arial" w:cs="Arial"/>
                <w:sz w:val="20"/>
                <w:szCs w:val="20"/>
              </w:rPr>
              <w:t xml:space="preserve">Schedule 6 </w:t>
            </w:r>
            <w:r w:rsidR="00CD099C">
              <w:rPr>
                <w:rFonts w:ascii="Arial" w:eastAsia="Arial" w:hAnsi="Arial" w:cs="Arial"/>
                <w:sz w:val="20"/>
                <w:szCs w:val="20"/>
              </w:rPr>
              <w:t>(</w:t>
            </w:r>
            <w:r w:rsidRPr="00180162">
              <w:rPr>
                <w:rFonts w:ascii="Arial" w:eastAsia="Arial" w:hAnsi="Arial" w:cs="Arial"/>
                <w:sz w:val="20"/>
                <w:szCs w:val="20"/>
              </w:rPr>
              <w:t>Contract Charges</w:t>
            </w:r>
            <w:r w:rsidR="00CD099C">
              <w:rPr>
                <w:rFonts w:ascii="Arial" w:eastAsia="Arial" w:hAnsi="Arial" w:cs="Arial"/>
                <w:sz w:val="20"/>
                <w:szCs w:val="20"/>
              </w:rPr>
              <w:t>)</w:t>
            </w:r>
            <w:r w:rsidR="00277851">
              <w:rPr>
                <w:rFonts w:ascii="Arial" w:eastAsia="Arial" w:hAnsi="Arial" w:cs="Arial"/>
                <w:sz w:val="20"/>
                <w:szCs w:val="20"/>
              </w:rPr>
              <w:t xml:space="preserve"> [REDACTED]</w:t>
            </w:r>
            <w:r>
              <w:rPr>
                <w:rFonts w:ascii="Arial" w:eastAsia="Arial" w:hAnsi="Arial" w:cs="Arial"/>
                <w:sz w:val="20"/>
                <w:szCs w:val="20"/>
              </w:rPr>
              <w:t>.</w:t>
            </w:r>
          </w:p>
        </w:tc>
      </w:tr>
      <w:tr w:rsidR="0013786D" w14:paraId="0642A009"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82F9" w14:textId="77777777" w:rsidR="0013786D" w:rsidRDefault="002E7F3C" w:rsidP="0030655F">
            <w:pPr>
              <w:spacing w:after="100"/>
              <w:jc w:val="left"/>
              <w:rPr>
                <w:rFonts w:ascii="Arial" w:eastAsia="Arial" w:hAnsi="Arial" w:cs="Arial"/>
              </w:rPr>
            </w:pPr>
            <w:r>
              <w:rPr>
                <w:rFonts w:ascii="Arial" w:eastAsia="Arial" w:hAnsi="Arial" w:cs="Arial"/>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C9EAD4" w14:textId="4E549FF0" w:rsidR="0013786D" w:rsidRDefault="00CD099C" w:rsidP="0030655F">
            <w:pPr>
              <w:spacing w:after="100"/>
              <w:jc w:val="left"/>
              <w:rPr>
                <w:rFonts w:ascii="Arial" w:eastAsia="Arial" w:hAnsi="Arial" w:cs="Arial"/>
              </w:rPr>
            </w:pPr>
            <w:r>
              <w:rPr>
                <w:rFonts w:ascii="Arial" w:eastAsia="Arial" w:hAnsi="Arial" w:cs="Arial"/>
                <w:sz w:val="20"/>
                <w:szCs w:val="20"/>
              </w:rPr>
              <w:t>As set out in Section 19 (Insurance) of the Contract Terms.</w:t>
            </w:r>
          </w:p>
        </w:tc>
      </w:tr>
      <w:tr w:rsidR="0030655F" w14:paraId="00C6412D"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7F401" w14:textId="45345FB5" w:rsidR="0030655F" w:rsidRDefault="0030655F" w:rsidP="0030655F">
            <w:pPr>
              <w:spacing w:after="100"/>
              <w:jc w:val="left"/>
              <w:rPr>
                <w:rFonts w:ascii="Arial" w:eastAsia="Arial" w:hAnsi="Arial" w:cs="Arial"/>
                <w:sz w:val="20"/>
                <w:szCs w:val="20"/>
              </w:rPr>
            </w:pPr>
            <w:r>
              <w:rPr>
                <w:rFonts w:ascii="Arial" w:eastAsia="Arial" w:hAnsi="Arial" w:cs="Arial"/>
                <w:sz w:val="20"/>
                <w:szCs w:val="20"/>
              </w:rPr>
              <w:t>Liability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D38EB1" w14:textId="330DD979" w:rsidR="0030655F" w:rsidRDefault="0030655F" w:rsidP="0030655F">
            <w:pPr>
              <w:spacing w:after="120"/>
              <w:rPr>
                <w:rFonts w:ascii="Arial" w:eastAsia="STZhongsong" w:hAnsi="Arial" w:cs="Arial"/>
                <w:sz w:val="20"/>
                <w:szCs w:val="20"/>
                <w:lang w:eastAsia="zh-CN"/>
              </w:rPr>
            </w:pPr>
            <w:r w:rsidRPr="0030655F">
              <w:rPr>
                <w:rFonts w:ascii="Arial" w:eastAsia="STZhongsong" w:hAnsi="Arial" w:cs="Arial"/>
                <w:b/>
                <w:sz w:val="20"/>
                <w:szCs w:val="20"/>
                <w:lang w:eastAsia="zh-CN"/>
              </w:rPr>
              <w:t>Suppliers limitation of Liability</w:t>
            </w:r>
            <w:r w:rsidRPr="0030655F">
              <w:rPr>
                <w:rFonts w:ascii="Arial" w:eastAsia="STZhongsong" w:hAnsi="Arial" w:cs="Arial"/>
                <w:sz w:val="20"/>
                <w:szCs w:val="20"/>
                <w:lang w:eastAsia="zh-CN"/>
              </w:rPr>
              <w:t xml:space="preserve"> (Clause </w:t>
            </w:r>
            <w:r w:rsidRPr="0030655F">
              <w:rPr>
                <w:rFonts w:ascii="Arial" w:eastAsia="STZhongsong" w:hAnsi="Arial" w:cs="Arial"/>
                <w:sz w:val="20"/>
                <w:szCs w:val="20"/>
                <w:lang w:eastAsia="zh-CN"/>
              </w:rPr>
              <w:fldChar w:fldCharType="begin"/>
            </w:r>
            <w:r w:rsidRPr="0030655F">
              <w:rPr>
                <w:rFonts w:ascii="Arial" w:eastAsia="STZhongsong" w:hAnsi="Arial" w:cs="Arial"/>
                <w:sz w:val="20"/>
                <w:szCs w:val="20"/>
                <w:lang w:eastAsia="zh-CN"/>
              </w:rPr>
              <w:instrText xml:space="preserve"> REF _Ref365630206 \r \h  \* MERGEFORMAT </w:instrText>
            </w:r>
            <w:r w:rsidRPr="0030655F">
              <w:rPr>
                <w:rFonts w:ascii="Arial" w:eastAsia="STZhongsong" w:hAnsi="Arial" w:cs="Arial"/>
                <w:sz w:val="20"/>
                <w:szCs w:val="20"/>
                <w:lang w:eastAsia="zh-CN"/>
              </w:rPr>
            </w:r>
            <w:r w:rsidRPr="0030655F">
              <w:rPr>
                <w:rFonts w:ascii="Arial" w:eastAsia="STZhongsong" w:hAnsi="Arial" w:cs="Arial"/>
                <w:sz w:val="20"/>
                <w:szCs w:val="20"/>
                <w:lang w:eastAsia="zh-CN"/>
              </w:rPr>
              <w:fldChar w:fldCharType="separate"/>
            </w:r>
            <w:r w:rsidRPr="0030655F">
              <w:rPr>
                <w:rFonts w:ascii="Arial" w:eastAsia="STZhongsong" w:hAnsi="Arial" w:cs="Arial"/>
                <w:sz w:val="20"/>
                <w:szCs w:val="20"/>
              </w:rPr>
              <w:t>18.2</w:t>
            </w:r>
            <w:r w:rsidRPr="0030655F">
              <w:rPr>
                <w:rFonts w:ascii="Arial" w:eastAsia="STZhongsong" w:hAnsi="Arial" w:cs="Arial"/>
                <w:sz w:val="20"/>
                <w:szCs w:val="20"/>
                <w:lang w:eastAsia="zh-CN"/>
              </w:rPr>
              <w:fldChar w:fldCharType="end"/>
            </w:r>
            <w:r w:rsidRPr="0030655F">
              <w:rPr>
                <w:rFonts w:ascii="Arial" w:eastAsia="STZhongsong" w:hAnsi="Arial" w:cs="Arial"/>
                <w:sz w:val="20"/>
                <w:szCs w:val="20"/>
              </w:rPr>
              <w:t xml:space="preserve"> </w:t>
            </w:r>
            <w:r w:rsidRPr="0030655F">
              <w:rPr>
                <w:rFonts w:ascii="Arial" w:eastAsia="STZhongsong" w:hAnsi="Arial" w:cs="Arial"/>
                <w:sz w:val="20"/>
                <w:szCs w:val="20"/>
                <w:lang w:eastAsia="zh-CN"/>
              </w:rPr>
              <w:t xml:space="preserve"> of the Contract Terms);</w:t>
            </w:r>
          </w:p>
          <w:p w14:paraId="2E68AD1F" w14:textId="078044F4" w:rsidR="0030655F" w:rsidRPr="00180162" w:rsidRDefault="00CD099C" w:rsidP="0030655F">
            <w:pPr>
              <w:spacing w:after="120"/>
              <w:rPr>
                <w:rFonts w:ascii="Arial" w:hAnsi="Arial" w:cs="Arial"/>
                <w:sz w:val="20"/>
                <w:szCs w:val="20"/>
              </w:rPr>
            </w:pPr>
            <w:r>
              <w:rPr>
                <w:rFonts w:ascii="Arial" w:hAnsi="Arial" w:cs="Arial"/>
                <w:sz w:val="20"/>
                <w:szCs w:val="20"/>
              </w:rPr>
              <w:t>As set out in Clause 18</w:t>
            </w:r>
            <w:r w:rsidR="00180162" w:rsidRPr="00180162">
              <w:rPr>
                <w:rFonts w:ascii="Arial" w:hAnsi="Arial" w:cs="Arial"/>
                <w:sz w:val="20"/>
                <w:szCs w:val="20"/>
              </w:rPr>
              <w:t xml:space="preserve"> </w:t>
            </w:r>
            <w:r>
              <w:rPr>
                <w:rFonts w:ascii="Arial" w:hAnsi="Arial" w:cs="Arial"/>
                <w:sz w:val="20"/>
                <w:szCs w:val="20"/>
              </w:rPr>
              <w:t>(</w:t>
            </w:r>
            <w:r w:rsidR="00180162" w:rsidRPr="00180162">
              <w:rPr>
                <w:rFonts w:ascii="Arial" w:hAnsi="Arial" w:cs="Arial"/>
                <w:sz w:val="20"/>
                <w:szCs w:val="20"/>
              </w:rPr>
              <w:t>Liability</w:t>
            </w:r>
            <w:r>
              <w:rPr>
                <w:rFonts w:ascii="Arial" w:hAnsi="Arial" w:cs="Arial"/>
                <w:sz w:val="20"/>
                <w:szCs w:val="20"/>
              </w:rPr>
              <w:t>)</w:t>
            </w:r>
            <w:r w:rsidR="00180162" w:rsidRPr="00180162">
              <w:rPr>
                <w:rFonts w:ascii="Arial" w:hAnsi="Arial" w:cs="Arial"/>
                <w:sz w:val="20"/>
                <w:szCs w:val="20"/>
              </w:rPr>
              <w:t xml:space="preserve"> of the Contract Terms.</w:t>
            </w:r>
          </w:p>
        </w:tc>
      </w:tr>
      <w:tr w:rsidR="0013786D" w14:paraId="375F05A6" w14:textId="77777777" w:rsidTr="0030655F">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224A7" w14:textId="2F52DF06" w:rsidR="0013786D" w:rsidRDefault="002E7F3C" w:rsidP="0030655F">
            <w:pPr>
              <w:spacing w:after="100"/>
              <w:jc w:val="left"/>
              <w:rPr>
                <w:rFonts w:ascii="Arial" w:eastAsia="Arial" w:hAnsi="Arial" w:cs="Arial"/>
              </w:rPr>
            </w:pPr>
            <w:r>
              <w:rPr>
                <w:rFonts w:ascii="Arial" w:eastAsia="Arial" w:hAnsi="Arial" w:cs="Arial"/>
                <w:sz w:val="20"/>
                <w:szCs w:val="20"/>
              </w:rPr>
              <w:t>Customer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7E44FB06" w14:textId="270E1285" w:rsidR="0013786D" w:rsidRDefault="00277851" w:rsidP="00CD099C">
            <w:pPr>
              <w:spacing w:after="100"/>
              <w:jc w:val="left"/>
              <w:rPr>
                <w:rFonts w:ascii="Arial" w:eastAsia="Arial" w:hAnsi="Arial" w:cs="Arial"/>
              </w:rPr>
            </w:pPr>
            <w:r>
              <w:rPr>
                <w:rFonts w:ascii="Arial" w:eastAsia="Arial" w:hAnsi="Arial" w:cs="Arial"/>
                <w:sz w:val="20"/>
                <w:szCs w:val="20"/>
              </w:rPr>
              <w:t>[REDACTED]</w:t>
            </w:r>
          </w:p>
        </w:tc>
      </w:tr>
    </w:tbl>
    <w:p w14:paraId="53687D82" w14:textId="1FB454D2" w:rsidR="0013786D" w:rsidRDefault="0030655F">
      <w:pPr>
        <w:spacing w:after="0"/>
        <w:jc w:val="left"/>
        <w:rPr>
          <w:rFonts w:ascii="Arial" w:eastAsia="Arial" w:hAnsi="Arial" w:cs="Arial"/>
        </w:rPr>
      </w:pPr>
      <w:r>
        <w:rPr>
          <w:rFonts w:ascii="Arial" w:eastAsia="Arial" w:hAnsi="Arial" w:cs="Arial"/>
          <w:sz w:val="20"/>
          <w:szCs w:val="20"/>
        </w:rPr>
        <w:br w:type="textWrapping" w:clear="all"/>
      </w:r>
      <w:r w:rsidR="002E7F3C">
        <w:rPr>
          <w:rFonts w:ascii="Arial" w:eastAsia="Arial" w:hAnsi="Arial" w:cs="Arial"/>
          <w:sz w:val="20"/>
          <w:szCs w:val="20"/>
        </w:rPr>
        <w:t xml:space="preserve"> </w:t>
      </w:r>
    </w:p>
    <w:tbl>
      <w:tblPr>
        <w:tblStyle w:val="6"/>
        <w:tblW w:w="88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E755C6" w14:paraId="505466A4"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1F0C3" w14:textId="02BC08D4" w:rsidR="00E755C6" w:rsidRDefault="00E755C6" w:rsidP="00D34498">
            <w:pPr>
              <w:spacing w:after="100"/>
              <w:jc w:val="left"/>
              <w:rPr>
                <w:rFonts w:ascii="Arial" w:eastAsia="Arial" w:hAnsi="Arial" w:cs="Arial"/>
                <w:sz w:val="20"/>
                <w:szCs w:val="20"/>
              </w:rPr>
            </w:pPr>
            <w:r>
              <w:rPr>
                <w:rFonts w:ascii="Arial" w:eastAsia="Arial" w:hAnsi="Arial" w:cs="Arial"/>
                <w:sz w:val="20"/>
                <w:szCs w:val="20"/>
              </w:rPr>
              <w:t>GDPR</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6E3E2E" w14:textId="46871C5E" w:rsidR="00E755C6" w:rsidRDefault="00180162">
            <w:pPr>
              <w:spacing w:after="100"/>
              <w:jc w:val="left"/>
              <w:rPr>
                <w:rFonts w:ascii="Arial" w:eastAsia="Arial" w:hAnsi="Arial" w:cs="Arial"/>
                <w:sz w:val="20"/>
                <w:szCs w:val="20"/>
                <w:highlight w:val="yellow"/>
              </w:rPr>
            </w:pPr>
            <w:r w:rsidRPr="00180162">
              <w:rPr>
                <w:rFonts w:ascii="Arial" w:eastAsia="Arial" w:hAnsi="Arial" w:cs="Arial"/>
                <w:sz w:val="20"/>
                <w:szCs w:val="20"/>
              </w:rPr>
              <w:t>As set out in</w:t>
            </w:r>
            <w:r w:rsidR="00E755C6" w:rsidRPr="00180162">
              <w:rPr>
                <w:rFonts w:ascii="Arial" w:eastAsia="Arial" w:hAnsi="Arial" w:cs="Arial"/>
                <w:sz w:val="20"/>
                <w:szCs w:val="20"/>
              </w:rPr>
              <w:t xml:space="preserve"> </w:t>
            </w:r>
            <w:r w:rsidR="00CD099C">
              <w:rPr>
                <w:rFonts w:ascii="Arial" w:eastAsia="Arial" w:hAnsi="Arial" w:cs="Arial"/>
                <w:sz w:val="20"/>
                <w:szCs w:val="20"/>
              </w:rPr>
              <w:t>Contract Terms Schedule 7 (</w:t>
            </w:r>
            <w:r w:rsidR="00E755C6" w:rsidRPr="00180162">
              <w:rPr>
                <w:rFonts w:ascii="Arial" w:eastAsia="Arial" w:hAnsi="Arial" w:cs="Arial"/>
                <w:sz w:val="20"/>
                <w:szCs w:val="20"/>
              </w:rPr>
              <w:t xml:space="preserve">Processing, </w:t>
            </w:r>
            <w:r w:rsidRPr="00180162">
              <w:rPr>
                <w:rFonts w:ascii="Arial" w:eastAsia="Arial" w:hAnsi="Arial" w:cs="Arial"/>
                <w:sz w:val="20"/>
                <w:szCs w:val="20"/>
              </w:rPr>
              <w:t>Personal Data and Data Subjects</w:t>
            </w:r>
            <w:r w:rsidR="00CD099C">
              <w:rPr>
                <w:rFonts w:ascii="Arial" w:eastAsia="Arial" w:hAnsi="Arial" w:cs="Arial"/>
                <w:sz w:val="20"/>
                <w:szCs w:val="20"/>
              </w:rPr>
              <w:t>)</w:t>
            </w:r>
            <w:r w:rsidRPr="00180162">
              <w:rPr>
                <w:rFonts w:ascii="Arial" w:eastAsia="Arial" w:hAnsi="Arial" w:cs="Arial"/>
                <w:sz w:val="20"/>
                <w:szCs w:val="20"/>
              </w:rPr>
              <w:t>.</w:t>
            </w:r>
          </w:p>
        </w:tc>
      </w:tr>
      <w:tr w:rsidR="0013786D" w14:paraId="372AD66C"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3B3A6" w14:textId="06361629" w:rsidR="0013786D" w:rsidRDefault="002E7F3C" w:rsidP="00D34498">
            <w:pPr>
              <w:spacing w:after="100"/>
              <w:jc w:val="left"/>
              <w:rPr>
                <w:rFonts w:ascii="Arial" w:eastAsia="Arial" w:hAnsi="Arial" w:cs="Arial"/>
              </w:rPr>
            </w:pPr>
            <w:r>
              <w:rPr>
                <w:rFonts w:ascii="Arial" w:eastAsia="Arial" w:hAnsi="Arial" w:cs="Arial"/>
                <w:sz w:val="20"/>
                <w:szCs w:val="20"/>
              </w:rPr>
              <w:t>Alternative and/or additional provisions</w:t>
            </w:r>
            <w:r w:rsidR="00351054">
              <w:rPr>
                <w:rFonts w:ascii="Arial" w:eastAsia="Arial" w:hAnsi="Arial" w:cs="Arial"/>
                <w:sz w:val="20"/>
                <w:szCs w:val="20"/>
              </w:rPr>
              <w:t xml:space="preserve"> (including Schedule </w:t>
            </w:r>
            <w:r w:rsidR="00D34498">
              <w:rPr>
                <w:rFonts w:ascii="Arial" w:eastAsia="Arial" w:hAnsi="Arial" w:cs="Arial"/>
                <w:sz w:val="20"/>
                <w:szCs w:val="20"/>
              </w:rPr>
              <w:t>8</w:t>
            </w:r>
            <w:r w:rsidR="00351054">
              <w:rPr>
                <w:rFonts w:ascii="Arial" w:eastAsia="Arial" w:hAnsi="Arial" w:cs="Arial"/>
                <w:sz w:val="20"/>
                <w:szCs w:val="20"/>
              </w:rPr>
              <w:t>(Additional clauses))</w:t>
            </w:r>
            <w:r>
              <w:rPr>
                <w:rFonts w:ascii="Arial" w:eastAsia="Arial" w:hAnsi="Arial" w:cs="Arial"/>
                <w:sz w:val="20"/>
                <w:szCs w:val="20"/>
              </w:rPr>
              <w: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2FD5D3" w14:textId="5519C84E" w:rsidR="0013786D" w:rsidRDefault="00180162">
            <w:pPr>
              <w:spacing w:after="100"/>
              <w:jc w:val="left"/>
              <w:rPr>
                <w:rFonts w:ascii="Arial" w:eastAsia="Arial" w:hAnsi="Arial" w:cs="Arial"/>
              </w:rPr>
            </w:pPr>
            <w:r w:rsidRPr="00180162">
              <w:rPr>
                <w:rFonts w:ascii="Arial" w:eastAsia="Arial" w:hAnsi="Arial" w:cs="Arial"/>
                <w:sz w:val="20"/>
                <w:szCs w:val="20"/>
              </w:rPr>
              <w:t>Not Applicable</w:t>
            </w:r>
          </w:p>
        </w:tc>
      </w:tr>
    </w:tbl>
    <w:p w14:paraId="311A81FB" w14:textId="23D581DB" w:rsidR="001C573E" w:rsidRDefault="001C573E">
      <w:pPr>
        <w:rPr>
          <w:rFonts w:ascii="Arial" w:eastAsia="Arial" w:hAnsi="Arial" w:cs="Arial"/>
          <w:b/>
          <w:sz w:val="20"/>
          <w:szCs w:val="20"/>
        </w:rPr>
      </w:pPr>
      <w:bookmarkStart w:id="14" w:name="20xfydz" w:colFirst="0" w:colLast="0"/>
      <w:bookmarkEnd w:id="14"/>
    </w:p>
    <w:p w14:paraId="5AC66149" w14:textId="29515AF0" w:rsidR="0013786D" w:rsidRDefault="002E7F3C">
      <w:pPr>
        <w:spacing w:after="100"/>
        <w:jc w:val="left"/>
        <w:rPr>
          <w:rFonts w:ascii="Arial" w:eastAsia="Arial" w:hAnsi="Arial" w:cs="Arial"/>
        </w:rPr>
      </w:pPr>
      <w:r>
        <w:rPr>
          <w:rFonts w:ascii="Arial" w:eastAsia="Arial" w:hAnsi="Arial" w:cs="Arial"/>
          <w:b/>
          <w:sz w:val="20"/>
          <w:szCs w:val="20"/>
        </w:rPr>
        <w:t>FORMATION OF CONTRACT</w:t>
      </w:r>
    </w:p>
    <w:p w14:paraId="078F12C1" w14:textId="320C8E64" w:rsidR="0013786D" w:rsidRDefault="002E7F3C">
      <w:pPr>
        <w:spacing w:after="100"/>
        <w:jc w:val="left"/>
        <w:rPr>
          <w:rFonts w:ascii="Arial" w:eastAsia="Arial" w:hAnsi="Arial" w:cs="Arial"/>
        </w:rPr>
      </w:pPr>
      <w:bookmarkStart w:id="15" w:name="4kx3h1s" w:colFirst="0" w:colLast="0"/>
      <w:bookmarkEnd w:id="15"/>
      <w:r>
        <w:rPr>
          <w:rFonts w:ascii="Arial" w:eastAsia="Arial" w:hAnsi="Arial" w:cs="Arial"/>
          <w:b/>
          <w:sz w:val="20"/>
          <w:szCs w:val="20"/>
        </w:rPr>
        <w:t>BY SIGNING AND RETURNING THIS LETTER OF APPOINTMENT (which may be done by electronic means) the Supplier agrees to enter a Contract with the Customer to provide the Services in accordance with the terms of this letter and the C</w:t>
      </w:r>
      <w:r w:rsidR="00412467">
        <w:rPr>
          <w:rFonts w:ascii="Arial" w:eastAsia="Arial" w:hAnsi="Arial" w:cs="Arial"/>
          <w:b/>
          <w:sz w:val="20"/>
          <w:szCs w:val="20"/>
        </w:rPr>
        <w:t>ontract</w:t>
      </w:r>
      <w:r>
        <w:rPr>
          <w:rFonts w:ascii="Arial" w:eastAsia="Arial" w:hAnsi="Arial" w:cs="Arial"/>
          <w:b/>
          <w:sz w:val="20"/>
          <w:szCs w:val="20"/>
        </w:rPr>
        <w:t xml:space="preserve"> Terms.</w:t>
      </w:r>
    </w:p>
    <w:p w14:paraId="16CF1DE7" w14:textId="26BF55D7" w:rsidR="0013786D" w:rsidRDefault="002E7F3C">
      <w:pPr>
        <w:spacing w:after="100"/>
        <w:jc w:val="left"/>
        <w:rPr>
          <w:rFonts w:ascii="Arial" w:eastAsia="Arial" w:hAnsi="Arial" w:cs="Arial"/>
        </w:rPr>
      </w:pPr>
      <w:bookmarkStart w:id="16" w:name="302dr9l" w:colFirst="0" w:colLast="0"/>
      <w:bookmarkEnd w:id="16"/>
      <w:r>
        <w:rPr>
          <w:rFonts w:ascii="Arial" w:eastAsia="Arial" w:hAnsi="Arial" w:cs="Arial"/>
          <w:b/>
          <w:sz w:val="20"/>
          <w:szCs w:val="20"/>
        </w:rPr>
        <w:t>The Parties hereby acknowledge and agree that they have read this letter and the C</w:t>
      </w:r>
      <w:r w:rsidR="00412467">
        <w:rPr>
          <w:rFonts w:ascii="Arial" w:eastAsia="Arial" w:hAnsi="Arial" w:cs="Arial"/>
          <w:b/>
          <w:sz w:val="20"/>
          <w:szCs w:val="20"/>
        </w:rPr>
        <w:t xml:space="preserve">ontract </w:t>
      </w:r>
      <w:r>
        <w:rPr>
          <w:rFonts w:ascii="Arial" w:eastAsia="Arial" w:hAnsi="Arial" w:cs="Arial"/>
          <w:b/>
          <w:sz w:val="20"/>
          <w:szCs w:val="20"/>
        </w:rPr>
        <w:t>Terms.</w:t>
      </w:r>
    </w:p>
    <w:p w14:paraId="77F1287C" w14:textId="2C99BA4A" w:rsidR="0013786D" w:rsidRDefault="002E7F3C">
      <w:pPr>
        <w:spacing w:after="100"/>
        <w:jc w:val="left"/>
        <w:rPr>
          <w:rFonts w:ascii="Arial" w:eastAsia="Arial" w:hAnsi="Arial" w:cs="Arial"/>
        </w:rPr>
      </w:pPr>
      <w:bookmarkStart w:id="17" w:name="1f7o1he" w:colFirst="0" w:colLast="0"/>
      <w:bookmarkEnd w:id="17"/>
      <w:r>
        <w:rPr>
          <w:rFonts w:ascii="Arial" w:eastAsia="Arial" w:hAnsi="Arial" w:cs="Arial"/>
          <w:b/>
          <w:sz w:val="20"/>
          <w:szCs w:val="20"/>
        </w:rPr>
        <w:t>The Parties hereby acknowledge and agree that this</w:t>
      </w:r>
      <w:r w:rsidR="00412467">
        <w:rPr>
          <w:rFonts w:ascii="Arial" w:eastAsia="Arial" w:hAnsi="Arial" w:cs="Arial"/>
          <w:b/>
          <w:sz w:val="20"/>
          <w:szCs w:val="20"/>
        </w:rPr>
        <w:t xml:space="preserve"> </w:t>
      </w:r>
      <w:r>
        <w:rPr>
          <w:rFonts w:ascii="Arial" w:eastAsia="Arial" w:hAnsi="Arial" w:cs="Arial"/>
          <w:b/>
          <w:sz w:val="20"/>
          <w:szCs w:val="20"/>
        </w:rPr>
        <w:t>Contract shall be formed when the Customer acknowledges (which may be done by electronic means) the receipt of the signed copy of this letter from the Supplier within two (2) Working Days from such receipt</w:t>
      </w:r>
      <w:bookmarkStart w:id="18" w:name="3z7bk57" w:colFirst="0" w:colLast="0"/>
      <w:bookmarkEnd w:id="18"/>
    </w:p>
    <w:p w14:paraId="79AB23EA" w14:textId="46CDE3EB" w:rsidR="0013786D" w:rsidRDefault="002E7F3C">
      <w:pPr>
        <w:spacing w:after="40"/>
        <w:jc w:val="left"/>
        <w:rPr>
          <w:rFonts w:ascii="Arial" w:eastAsia="Arial" w:hAnsi="Arial" w:cs="Arial"/>
        </w:rPr>
      </w:pPr>
      <w:r>
        <w:rPr>
          <w:rFonts w:ascii="Arial" w:eastAsia="Arial" w:hAnsi="Arial" w:cs="Arial"/>
          <w:b/>
          <w:sz w:val="20"/>
          <w:szCs w:val="20"/>
        </w:rPr>
        <w:t>For and on behalf of the Supplier:                            For and on behalf of the Customer:</w:t>
      </w:r>
    </w:p>
    <w:p w14:paraId="3D0FC919" w14:textId="77777777" w:rsidR="00D34498" w:rsidRDefault="00D34498">
      <w:pPr>
        <w:spacing w:after="40"/>
        <w:jc w:val="left"/>
        <w:rPr>
          <w:rFonts w:ascii="Arial" w:eastAsia="Arial" w:hAnsi="Arial" w:cs="Arial"/>
          <w:sz w:val="20"/>
          <w:szCs w:val="20"/>
        </w:rPr>
      </w:pPr>
    </w:p>
    <w:p w14:paraId="358DC66A" w14:textId="16A36B2B" w:rsidR="0013786D" w:rsidRDefault="002E7F3C">
      <w:pPr>
        <w:spacing w:after="40"/>
        <w:jc w:val="left"/>
        <w:rPr>
          <w:rFonts w:ascii="Arial" w:eastAsia="Arial" w:hAnsi="Arial" w:cs="Arial"/>
        </w:rPr>
      </w:pPr>
      <w:r>
        <w:rPr>
          <w:rFonts w:ascii="Arial" w:eastAsia="Arial" w:hAnsi="Arial" w:cs="Arial"/>
          <w:sz w:val="20"/>
          <w:szCs w:val="20"/>
        </w:rPr>
        <w:t xml:space="preserve">Name and Title: </w:t>
      </w:r>
      <w:r w:rsidR="00277851">
        <w:rPr>
          <w:rFonts w:ascii="Arial" w:eastAsia="Arial" w:hAnsi="Arial" w:cs="Arial"/>
          <w:sz w:val="20"/>
          <w:szCs w:val="20"/>
        </w:rPr>
        <w:t>[REDACTED]</w:t>
      </w:r>
      <w:r>
        <w:rPr>
          <w:rFonts w:ascii="Arial" w:eastAsia="Arial" w:hAnsi="Arial" w:cs="Arial"/>
          <w:sz w:val="20"/>
          <w:szCs w:val="20"/>
        </w:rPr>
        <w:t xml:space="preserve">                                    Name and Title:</w:t>
      </w:r>
      <w:r w:rsidR="00277851">
        <w:rPr>
          <w:rFonts w:ascii="Arial" w:eastAsia="Arial" w:hAnsi="Arial" w:cs="Arial"/>
          <w:sz w:val="20"/>
          <w:szCs w:val="20"/>
        </w:rPr>
        <w:t xml:space="preserve"> [REDACTED]</w:t>
      </w:r>
    </w:p>
    <w:p w14:paraId="1B019478" w14:textId="526813E3" w:rsidR="0013786D" w:rsidRDefault="002E7F3C">
      <w:pPr>
        <w:spacing w:after="40"/>
        <w:jc w:val="left"/>
        <w:rPr>
          <w:rFonts w:ascii="Arial" w:eastAsia="Arial" w:hAnsi="Arial" w:cs="Arial"/>
        </w:rPr>
      </w:pPr>
      <w:r>
        <w:rPr>
          <w:rFonts w:ascii="Arial" w:eastAsia="Arial" w:hAnsi="Arial" w:cs="Arial"/>
          <w:sz w:val="20"/>
          <w:szCs w:val="20"/>
        </w:rPr>
        <w:t>Signature:</w:t>
      </w:r>
      <w:r w:rsidR="00277851">
        <w:rPr>
          <w:rFonts w:ascii="Arial" w:eastAsia="Arial" w:hAnsi="Arial" w:cs="Arial"/>
          <w:sz w:val="20"/>
          <w:szCs w:val="20"/>
        </w:rPr>
        <w:t xml:space="preserve"> [REDACTED]</w:t>
      </w:r>
      <w:r>
        <w:rPr>
          <w:rFonts w:ascii="Arial" w:eastAsia="Arial" w:hAnsi="Arial" w:cs="Arial"/>
          <w:sz w:val="20"/>
          <w:szCs w:val="20"/>
        </w:rPr>
        <w:t xml:space="preserve">                                    </w:t>
      </w:r>
      <w:r w:rsidR="00277851">
        <w:rPr>
          <w:rFonts w:ascii="Arial" w:eastAsia="Arial" w:hAnsi="Arial" w:cs="Arial"/>
          <w:sz w:val="20"/>
          <w:szCs w:val="20"/>
        </w:rPr>
        <w:t xml:space="preserve">         </w:t>
      </w:r>
      <w:r>
        <w:rPr>
          <w:rFonts w:ascii="Arial" w:eastAsia="Arial" w:hAnsi="Arial" w:cs="Arial"/>
          <w:sz w:val="20"/>
          <w:szCs w:val="20"/>
        </w:rPr>
        <w:t>Signature:</w:t>
      </w:r>
      <w:r w:rsidR="00277851">
        <w:rPr>
          <w:rFonts w:ascii="Arial" w:eastAsia="Arial" w:hAnsi="Arial" w:cs="Arial"/>
          <w:sz w:val="20"/>
          <w:szCs w:val="20"/>
        </w:rPr>
        <w:t xml:space="preserve"> [REDACTED]</w:t>
      </w:r>
    </w:p>
    <w:p w14:paraId="51FD39AE" w14:textId="14D82CDE" w:rsidR="0013786D" w:rsidRDefault="002E7F3C" w:rsidP="007E47CF">
      <w:pPr>
        <w:spacing w:after="40"/>
        <w:jc w:val="left"/>
        <w:rPr>
          <w:rFonts w:ascii="Arial" w:eastAsia="Arial" w:hAnsi="Arial" w:cs="Arial"/>
        </w:rPr>
      </w:pPr>
      <w:r>
        <w:rPr>
          <w:rFonts w:ascii="Arial" w:eastAsia="Arial" w:hAnsi="Arial" w:cs="Arial"/>
          <w:sz w:val="20"/>
          <w:szCs w:val="20"/>
        </w:rPr>
        <w:t>Date:</w:t>
      </w:r>
      <w:r w:rsidR="00277851">
        <w:rPr>
          <w:rFonts w:ascii="Arial" w:eastAsia="Arial" w:hAnsi="Arial" w:cs="Arial"/>
          <w:sz w:val="20"/>
          <w:szCs w:val="20"/>
        </w:rPr>
        <w:t xml:space="preserve"> [REDACTED]</w:t>
      </w:r>
      <w:r>
        <w:rPr>
          <w:rFonts w:ascii="Arial" w:eastAsia="Arial" w:hAnsi="Arial" w:cs="Arial"/>
          <w:sz w:val="20"/>
          <w:szCs w:val="20"/>
        </w:rPr>
        <w:t xml:space="preserve">                                                     Date:</w:t>
      </w:r>
      <w:bookmarkStart w:id="19" w:name="2eclud0" w:colFirst="0" w:colLast="0"/>
      <w:bookmarkEnd w:id="19"/>
      <w:r w:rsidR="00277851">
        <w:rPr>
          <w:rFonts w:ascii="Arial" w:eastAsia="Arial" w:hAnsi="Arial" w:cs="Arial"/>
          <w:sz w:val="20"/>
          <w:szCs w:val="20"/>
        </w:rPr>
        <w:t xml:space="preserve"> [REDACTED]</w:t>
      </w:r>
    </w:p>
    <w:p w14:paraId="1864889D" w14:textId="512EC68B" w:rsidR="0013786D" w:rsidRPr="00C95C24" w:rsidRDefault="002E7F3C" w:rsidP="00AE43BF">
      <w:pPr>
        <w:tabs>
          <w:tab w:val="left" w:pos="6650"/>
        </w:tabs>
        <w:jc w:val="center"/>
        <w:rPr>
          <w:rFonts w:ascii="Arial" w:eastAsia="Arial" w:hAnsi="Arial" w:cs="Arial"/>
          <w:b/>
          <w:smallCaps/>
          <w:sz w:val="24"/>
          <w:szCs w:val="24"/>
        </w:rPr>
      </w:pPr>
      <w:r w:rsidRPr="0013127B">
        <w:br w:type="page"/>
      </w:r>
      <w:bookmarkStart w:id="20" w:name="thw4kt" w:colFirst="0" w:colLast="0"/>
      <w:bookmarkEnd w:id="20"/>
      <w:r w:rsidRPr="00C95C24">
        <w:rPr>
          <w:rFonts w:ascii="Arial" w:eastAsia="Arial" w:hAnsi="Arial" w:cs="Arial"/>
          <w:b/>
          <w:smallCaps/>
          <w:sz w:val="24"/>
          <w:szCs w:val="24"/>
        </w:rPr>
        <w:lastRenderedPageBreak/>
        <w:t>Annex A</w:t>
      </w:r>
    </w:p>
    <w:p w14:paraId="63D9B4CB" w14:textId="10053A10" w:rsidR="0013786D" w:rsidRPr="00C95C24" w:rsidRDefault="002E7F3C">
      <w:pPr>
        <w:spacing w:after="100"/>
        <w:jc w:val="center"/>
        <w:rPr>
          <w:rFonts w:ascii="Arial" w:eastAsia="Arial" w:hAnsi="Arial" w:cs="Arial"/>
          <w:sz w:val="24"/>
          <w:szCs w:val="24"/>
        </w:rPr>
      </w:pPr>
      <w:r w:rsidRPr="00C95C24">
        <w:rPr>
          <w:rFonts w:ascii="Arial" w:eastAsia="Arial" w:hAnsi="Arial" w:cs="Arial"/>
          <w:b/>
          <w:sz w:val="24"/>
          <w:szCs w:val="24"/>
        </w:rPr>
        <w:t xml:space="preserve">Customer </w:t>
      </w:r>
      <w:r w:rsidR="00C23E09">
        <w:rPr>
          <w:rFonts w:ascii="Arial" w:eastAsia="Arial" w:hAnsi="Arial" w:cs="Arial"/>
          <w:b/>
          <w:sz w:val="24"/>
          <w:szCs w:val="24"/>
        </w:rPr>
        <w:t>Project Specification</w:t>
      </w:r>
    </w:p>
    <w:p w14:paraId="4C45012D" w14:textId="45CDB20F" w:rsidR="001C573E" w:rsidRPr="001C573E" w:rsidRDefault="001C573E" w:rsidP="000E2A3E">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s>
        <w:overflowPunct w:val="0"/>
        <w:autoSpaceDE w:val="0"/>
        <w:autoSpaceDN w:val="0"/>
        <w:adjustRightInd w:val="0"/>
        <w:spacing w:after="120"/>
        <w:textAlignment w:val="baseline"/>
        <w:rPr>
          <w:rFonts w:ascii="Arial" w:hAnsi="Arial" w:cs="Arial"/>
          <w:sz w:val="32"/>
          <w:szCs w:val="32"/>
        </w:rPr>
      </w:pPr>
      <w:bookmarkStart w:id="21" w:name="_Toc15461662"/>
      <w:bookmarkStart w:id="22" w:name="_Toc297554774"/>
      <w:bookmarkStart w:id="23" w:name="_Toc368573030"/>
      <w:bookmarkStart w:id="24" w:name="_Toc296415793"/>
      <w:r w:rsidRPr="001C573E">
        <w:rPr>
          <w:rFonts w:ascii="Arial" w:hAnsi="Arial" w:cs="Arial"/>
          <w:sz w:val="32"/>
          <w:szCs w:val="32"/>
        </w:rPr>
        <w:t>DEFINITIONS</w:t>
      </w:r>
      <w:bookmarkEnd w:id="21"/>
      <w:r w:rsidRPr="001C573E">
        <w:rPr>
          <w:rFonts w:ascii="Arial" w:hAnsi="Arial" w:cs="Arial"/>
          <w:sz w:val="32"/>
          <w:szCs w:val="32"/>
        </w:rPr>
        <w:t xml:space="preserve"> </w:t>
      </w:r>
    </w:p>
    <w:tbl>
      <w:tblPr>
        <w:tblStyle w:val="TableGrid"/>
        <w:tblW w:w="0" w:type="auto"/>
        <w:tblInd w:w="720" w:type="dxa"/>
        <w:tblLook w:val="04A0" w:firstRow="1" w:lastRow="0" w:firstColumn="1" w:lastColumn="0" w:noHBand="0" w:noVBand="1"/>
      </w:tblPr>
      <w:tblGrid>
        <w:gridCol w:w="1857"/>
        <w:gridCol w:w="6442"/>
      </w:tblGrid>
      <w:tr w:rsidR="001C573E" w:rsidRPr="001C573E" w14:paraId="7DBC443A" w14:textId="77777777" w:rsidTr="001C573E">
        <w:tc>
          <w:tcPr>
            <w:tcW w:w="1857" w:type="dxa"/>
            <w:shd w:val="clear" w:color="auto" w:fill="BDD6EE" w:themeFill="accent1" w:themeFillTint="66"/>
          </w:tcPr>
          <w:p w14:paraId="0E4AF09F" w14:textId="77777777" w:rsidR="001C573E" w:rsidRPr="001C573E" w:rsidRDefault="001C573E" w:rsidP="001C573E">
            <w:pPr>
              <w:pStyle w:val="Heading2"/>
              <w:spacing w:after="120"/>
              <w:ind w:left="18" w:hanging="18"/>
              <w:jc w:val="left"/>
              <w:outlineLvl w:val="1"/>
              <w:rPr>
                <w:rFonts w:ascii="Arial" w:hAnsi="Arial" w:cs="Arial"/>
                <w:b/>
                <w:sz w:val="24"/>
                <w:szCs w:val="24"/>
                <w:highlight w:val="yellow"/>
              </w:rPr>
            </w:pPr>
            <w:r w:rsidRPr="001C573E">
              <w:rPr>
                <w:rFonts w:ascii="Arial" w:hAnsi="Arial" w:cs="Arial"/>
                <w:b/>
                <w:sz w:val="24"/>
                <w:szCs w:val="24"/>
              </w:rPr>
              <w:t>Expression or Acronym</w:t>
            </w:r>
          </w:p>
        </w:tc>
        <w:tc>
          <w:tcPr>
            <w:tcW w:w="6442" w:type="dxa"/>
            <w:shd w:val="clear" w:color="auto" w:fill="BDD6EE" w:themeFill="accent1" w:themeFillTint="66"/>
          </w:tcPr>
          <w:p w14:paraId="6BFDABFF" w14:textId="77777777" w:rsidR="001C573E" w:rsidRPr="001C573E" w:rsidRDefault="001C573E" w:rsidP="001C573E">
            <w:pPr>
              <w:pStyle w:val="Heading2"/>
              <w:spacing w:after="120"/>
              <w:ind w:left="720" w:hanging="720"/>
              <w:outlineLvl w:val="1"/>
              <w:rPr>
                <w:rFonts w:ascii="Arial" w:hAnsi="Arial" w:cs="Arial"/>
                <w:b/>
                <w:sz w:val="24"/>
                <w:szCs w:val="24"/>
                <w:highlight w:val="yellow"/>
              </w:rPr>
            </w:pPr>
            <w:r w:rsidRPr="001C573E">
              <w:rPr>
                <w:rFonts w:ascii="Arial" w:hAnsi="Arial" w:cs="Arial"/>
                <w:b/>
                <w:sz w:val="24"/>
                <w:szCs w:val="24"/>
              </w:rPr>
              <w:t>Definition</w:t>
            </w:r>
          </w:p>
        </w:tc>
      </w:tr>
      <w:tr w:rsidR="001C573E" w:rsidRPr="001C573E" w14:paraId="3B152105" w14:textId="77777777" w:rsidTr="001C573E">
        <w:tc>
          <w:tcPr>
            <w:tcW w:w="1857" w:type="dxa"/>
          </w:tcPr>
          <w:p w14:paraId="3A92692B" w14:textId="77777777" w:rsidR="001C573E" w:rsidRPr="001C573E" w:rsidRDefault="001C573E" w:rsidP="001C573E">
            <w:pPr>
              <w:pStyle w:val="Heading2"/>
              <w:spacing w:after="120"/>
              <w:ind w:left="720" w:hanging="720"/>
              <w:jc w:val="left"/>
              <w:outlineLvl w:val="1"/>
              <w:rPr>
                <w:rFonts w:ascii="Arial" w:hAnsi="Arial" w:cs="Arial"/>
                <w:sz w:val="24"/>
                <w:szCs w:val="24"/>
                <w:highlight w:val="yellow"/>
              </w:rPr>
            </w:pPr>
            <w:r w:rsidRPr="001C573E">
              <w:rPr>
                <w:rFonts w:ascii="Arial" w:hAnsi="Arial" w:cs="Arial"/>
                <w:sz w:val="24"/>
                <w:szCs w:val="24"/>
              </w:rPr>
              <w:t>NIC</w:t>
            </w:r>
          </w:p>
        </w:tc>
        <w:tc>
          <w:tcPr>
            <w:tcW w:w="6442" w:type="dxa"/>
          </w:tcPr>
          <w:p w14:paraId="1DD97974" w14:textId="77777777" w:rsidR="001C573E" w:rsidRPr="001C573E" w:rsidRDefault="001C573E" w:rsidP="001C573E">
            <w:pPr>
              <w:pStyle w:val="Heading2"/>
              <w:spacing w:after="120"/>
              <w:ind w:left="0" w:firstLine="0"/>
              <w:outlineLvl w:val="1"/>
              <w:rPr>
                <w:rFonts w:ascii="Arial" w:hAnsi="Arial" w:cs="Arial"/>
                <w:sz w:val="24"/>
                <w:szCs w:val="24"/>
                <w:highlight w:val="yellow"/>
              </w:rPr>
            </w:pPr>
            <w:proofErr w:type="gramStart"/>
            <w:r w:rsidRPr="001C573E">
              <w:rPr>
                <w:rFonts w:ascii="Arial" w:hAnsi="Arial" w:cs="Arial"/>
                <w:sz w:val="24"/>
                <w:szCs w:val="24"/>
              </w:rPr>
              <w:t>means</w:t>
            </w:r>
            <w:proofErr w:type="gramEnd"/>
            <w:r w:rsidRPr="001C573E">
              <w:rPr>
                <w:rFonts w:ascii="Arial" w:hAnsi="Arial" w:cs="Arial"/>
                <w:sz w:val="24"/>
                <w:szCs w:val="24"/>
              </w:rPr>
              <w:t xml:space="preserve"> National Infrastructure Commission: this includes the Commissioners and the Secretariat.</w:t>
            </w:r>
          </w:p>
        </w:tc>
      </w:tr>
      <w:tr w:rsidR="001C573E" w:rsidRPr="001C573E" w14:paraId="703D8D50" w14:textId="77777777" w:rsidTr="001C573E">
        <w:tc>
          <w:tcPr>
            <w:tcW w:w="1857" w:type="dxa"/>
          </w:tcPr>
          <w:p w14:paraId="34A09A67" w14:textId="77777777" w:rsidR="001C573E" w:rsidRPr="001C573E" w:rsidRDefault="001C573E" w:rsidP="001C573E">
            <w:pPr>
              <w:pStyle w:val="Heading2"/>
              <w:spacing w:after="120"/>
              <w:ind w:left="0" w:firstLine="0"/>
              <w:jc w:val="left"/>
              <w:outlineLvl w:val="1"/>
              <w:rPr>
                <w:rFonts w:ascii="Arial" w:hAnsi="Arial" w:cs="Arial"/>
                <w:sz w:val="24"/>
                <w:szCs w:val="24"/>
                <w:highlight w:val="yellow"/>
              </w:rPr>
            </w:pPr>
            <w:r w:rsidRPr="001C573E">
              <w:rPr>
                <w:rFonts w:ascii="Arial" w:hAnsi="Arial" w:cs="Arial"/>
                <w:sz w:val="24"/>
                <w:szCs w:val="24"/>
              </w:rPr>
              <w:t>Deliberative public engagement / deliberation</w:t>
            </w:r>
          </w:p>
        </w:tc>
        <w:tc>
          <w:tcPr>
            <w:tcW w:w="6442" w:type="dxa"/>
          </w:tcPr>
          <w:p w14:paraId="1050363D" w14:textId="77777777" w:rsidR="001C573E" w:rsidRPr="001C573E" w:rsidRDefault="001C573E" w:rsidP="001C573E">
            <w:pPr>
              <w:pStyle w:val="Heading2"/>
              <w:spacing w:after="120"/>
              <w:ind w:left="0" w:firstLine="0"/>
              <w:outlineLvl w:val="1"/>
              <w:rPr>
                <w:rFonts w:ascii="Arial" w:hAnsi="Arial" w:cs="Arial"/>
                <w:sz w:val="24"/>
                <w:szCs w:val="24"/>
                <w:highlight w:val="yellow"/>
              </w:rPr>
            </w:pPr>
            <w:proofErr w:type="gramStart"/>
            <w:r w:rsidRPr="001C573E">
              <w:rPr>
                <w:rFonts w:ascii="Arial" w:hAnsi="Arial" w:cs="Arial"/>
                <w:sz w:val="24"/>
                <w:szCs w:val="24"/>
              </w:rPr>
              <w:t>means</w:t>
            </w:r>
            <w:proofErr w:type="gramEnd"/>
            <w:r w:rsidRPr="001C573E">
              <w:rPr>
                <w:rFonts w:ascii="Arial" w:hAnsi="Arial" w:cs="Arial"/>
                <w:sz w:val="24"/>
                <w:szCs w:val="24"/>
              </w:rPr>
              <w:t xml:space="preserve"> an approach to public engagement that emphasises dialogue, encouraging participants to consider different perspectives through informing and discussion. This may go as far as encouraging participants to reach consensus among themselves.</w:t>
            </w:r>
          </w:p>
        </w:tc>
      </w:tr>
      <w:tr w:rsidR="001C573E" w:rsidRPr="001C573E" w14:paraId="36D99F9A" w14:textId="77777777" w:rsidTr="001C573E">
        <w:tc>
          <w:tcPr>
            <w:tcW w:w="1857" w:type="dxa"/>
          </w:tcPr>
          <w:p w14:paraId="04631706" w14:textId="77777777" w:rsidR="001C573E" w:rsidRPr="001C573E" w:rsidRDefault="001C573E" w:rsidP="001C573E">
            <w:pPr>
              <w:pStyle w:val="Heading2"/>
              <w:spacing w:after="120"/>
              <w:ind w:left="720" w:hanging="720"/>
              <w:jc w:val="left"/>
              <w:outlineLvl w:val="1"/>
              <w:rPr>
                <w:rFonts w:ascii="Arial" w:hAnsi="Arial" w:cs="Arial"/>
                <w:sz w:val="24"/>
                <w:szCs w:val="24"/>
                <w:highlight w:val="yellow"/>
              </w:rPr>
            </w:pPr>
            <w:r w:rsidRPr="001C573E">
              <w:rPr>
                <w:rFonts w:ascii="Arial" w:hAnsi="Arial" w:cs="Arial"/>
                <w:sz w:val="24"/>
                <w:szCs w:val="24"/>
              </w:rPr>
              <w:t>Mini public</w:t>
            </w:r>
          </w:p>
        </w:tc>
        <w:tc>
          <w:tcPr>
            <w:tcW w:w="6442" w:type="dxa"/>
          </w:tcPr>
          <w:p w14:paraId="6876F674" w14:textId="77777777" w:rsidR="001C573E" w:rsidRPr="001C573E" w:rsidRDefault="001C573E" w:rsidP="001C573E">
            <w:pPr>
              <w:pStyle w:val="Heading2"/>
              <w:spacing w:after="120"/>
              <w:ind w:left="0" w:firstLine="0"/>
              <w:outlineLvl w:val="1"/>
              <w:rPr>
                <w:rFonts w:ascii="Arial" w:hAnsi="Arial" w:cs="Arial"/>
                <w:sz w:val="24"/>
                <w:szCs w:val="24"/>
                <w:highlight w:val="yellow"/>
              </w:rPr>
            </w:pPr>
            <w:proofErr w:type="gramStart"/>
            <w:r w:rsidRPr="001C573E">
              <w:rPr>
                <w:rFonts w:ascii="Arial" w:hAnsi="Arial" w:cs="Arial"/>
                <w:sz w:val="24"/>
                <w:szCs w:val="24"/>
              </w:rPr>
              <w:t>means</w:t>
            </w:r>
            <w:proofErr w:type="gramEnd"/>
            <w:r w:rsidRPr="001C573E">
              <w:rPr>
                <w:rFonts w:ascii="Arial" w:hAnsi="Arial" w:cs="Arial"/>
                <w:sz w:val="24"/>
                <w:szCs w:val="24"/>
              </w:rPr>
              <w:t xml:space="preserve"> a group of randomly selected citizens intended to represent the wider population in discussions. Stratified random sampling may be used to ensure that the group reflect proportions in the wider population across a range of demographic characteristics. Terms used for these groupings vary depending on size but include ‘citizens’ assembly’ and ‘citizen’s jury’.</w:t>
            </w:r>
          </w:p>
        </w:tc>
      </w:tr>
      <w:tr w:rsidR="001C573E" w:rsidRPr="001C573E" w14:paraId="0DF5D4B7" w14:textId="77777777" w:rsidTr="007C0E8D">
        <w:trPr>
          <w:trHeight w:val="1227"/>
        </w:trPr>
        <w:tc>
          <w:tcPr>
            <w:tcW w:w="1857" w:type="dxa"/>
          </w:tcPr>
          <w:p w14:paraId="55CC9A28" w14:textId="77777777" w:rsidR="001C573E" w:rsidRPr="001C573E" w:rsidRDefault="001C573E" w:rsidP="001C573E">
            <w:pPr>
              <w:pStyle w:val="Heading2"/>
              <w:spacing w:after="120"/>
              <w:ind w:left="0" w:firstLine="0"/>
              <w:jc w:val="left"/>
              <w:outlineLvl w:val="1"/>
              <w:rPr>
                <w:rFonts w:ascii="Arial" w:hAnsi="Arial" w:cs="Arial"/>
                <w:sz w:val="24"/>
                <w:szCs w:val="24"/>
                <w:highlight w:val="yellow"/>
              </w:rPr>
            </w:pPr>
            <w:r w:rsidRPr="001C573E">
              <w:rPr>
                <w:rFonts w:ascii="Arial" w:hAnsi="Arial" w:cs="Arial"/>
                <w:sz w:val="24"/>
                <w:szCs w:val="24"/>
              </w:rPr>
              <w:t>Road pricing/ congestion charging</w:t>
            </w:r>
          </w:p>
        </w:tc>
        <w:tc>
          <w:tcPr>
            <w:tcW w:w="6442" w:type="dxa"/>
          </w:tcPr>
          <w:p w14:paraId="2542C7C0" w14:textId="77777777" w:rsidR="001C573E" w:rsidRPr="001C573E" w:rsidRDefault="001C573E" w:rsidP="001C573E">
            <w:pPr>
              <w:pStyle w:val="Heading2"/>
              <w:spacing w:after="120"/>
              <w:ind w:left="0" w:firstLine="0"/>
              <w:outlineLvl w:val="1"/>
              <w:rPr>
                <w:rFonts w:ascii="Arial" w:hAnsi="Arial" w:cs="Arial"/>
                <w:sz w:val="24"/>
                <w:szCs w:val="24"/>
              </w:rPr>
            </w:pPr>
            <w:proofErr w:type="gramStart"/>
            <w:r w:rsidRPr="001C573E">
              <w:rPr>
                <w:rFonts w:ascii="Arial" w:hAnsi="Arial" w:cs="Arial"/>
                <w:sz w:val="24"/>
                <w:szCs w:val="24"/>
              </w:rPr>
              <w:t>means  a</w:t>
            </w:r>
            <w:proofErr w:type="gramEnd"/>
            <w:r w:rsidRPr="001C573E">
              <w:rPr>
                <w:rFonts w:ascii="Arial" w:hAnsi="Arial" w:cs="Arial"/>
                <w:sz w:val="24"/>
                <w:szCs w:val="24"/>
              </w:rPr>
              <w:t xml:space="preserve"> charge that drivers pay as they use the road which varies according to circumstances, particularly the time and driver location, usually with the intention of reducing congestion.</w:t>
            </w:r>
          </w:p>
        </w:tc>
      </w:tr>
    </w:tbl>
    <w:p w14:paraId="2AEE1A4B" w14:textId="21B6705D" w:rsidR="001C573E" w:rsidRPr="001C573E" w:rsidRDefault="001C573E" w:rsidP="000E2A3E">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s>
        <w:overflowPunct w:val="0"/>
        <w:autoSpaceDE w:val="0"/>
        <w:autoSpaceDN w:val="0"/>
        <w:adjustRightInd w:val="0"/>
        <w:spacing w:before="240" w:after="120"/>
        <w:textAlignment w:val="baseline"/>
        <w:rPr>
          <w:rFonts w:ascii="Arial" w:hAnsi="Arial" w:cs="Arial"/>
          <w:sz w:val="32"/>
          <w:szCs w:val="32"/>
        </w:rPr>
      </w:pPr>
      <w:bookmarkStart w:id="25" w:name="_Toc15461663"/>
      <w:r w:rsidRPr="001C573E">
        <w:rPr>
          <w:rFonts w:ascii="Arial" w:hAnsi="Arial" w:cs="Arial"/>
          <w:sz w:val="32"/>
          <w:szCs w:val="32"/>
        </w:rPr>
        <w:t>SCOPE OF REQUIREMENT</w:t>
      </w:r>
      <w:bookmarkEnd w:id="22"/>
      <w:bookmarkEnd w:id="23"/>
      <w:bookmarkEnd w:id="25"/>
      <w:r w:rsidRPr="001C573E">
        <w:rPr>
          <w:rFonts w:ascii="Arial" w:hAnsi="Arial" w:cs="Arial"/>
          <w:sz w:val="32"/>
          <w:szCs w:val="32"/>
        </w:rPr>
        <w:t xml:space="preserve"> </w:t>
      </w:r>
    </w:p>
    <w:bookmarkEnd w:id="24"/>
    <w:p w14:paraId="0B73705D" w14:textId="355CBCEC" w:rsidR="001C573E" w:rsidRPr="001C573E" w:rsidRDefault="001C573E" w:rsidP="000E2A3E">
      <w:pPr>
        <w:pStyle w:val="Heading3"/>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sz w:val="24"/>
          <w:szCs w:val="24"/>
        </w:rPr>
      </w:pPr>
      <w:r w:rsidRPr="001C573E">
        <w:rPr>
          <w:rFonts w:ascii="Arial" w:hAnsi="Arial" w:cs="Arial"/>
          <w:sz w:val="24"/>
          <w:szCs w:val="24"/>
        </w:rPr>
        <w:t>T</w:t>
      </w:r>
      <w:r w:rsidR="007C0E8D">
        <w:rPr>
          <w:rFonts w:ascii="Arial" w:hAnsi="Arial" w:cs="Arial"/>
          <w:sz w:val="24"/>
          <w:szCs w:val="24"/>
        </w:rPr>
        <w:t>he Supplier shall</w:t>
      </w:r>
      <w:r w:rsidRPr="001C573E">
        <w:rPr>
          <w:rFonts w:ascii="Arial" w:hAnsi="Arial" w:cs="Arial"/>
          <w:sz w:val="24"/>
          <w:szCs w:val="24"/>
        </w:rPr>
        <w:t xml:space="preserve"> design and deliver a deliberative public engagement in autumn/winter 2019, researching public attitudes to the topic of policies to reduce road congestion as described in Section 3. </w:t>
      </w:r>
      <w:r w:rsidR="00A86949">
        <w:rPr>
          <w:rFonts w:ascii="Arial" w:hAnsi="Arial" w:cs="Arial"/>
          <w:sz w:val="24"/>
          <w:szCs w:val="24"/>
        </w:rPr>
        <w:t>The Requirement</w:t>
      </w:r>
      <w:r w:rsidRPr="001C573E">
        <w:rPr>
          <w:rFonts w:ascii="Arial" w:hAnsi="Arial" w:cs="Arial"/>
          <w:sz w:val="24"/>
          <w:szCs w:val="24"/>
        </w:rPr>
        <w:t xml:space="preserve">. The Supplier </w:t>
      </w:r>
      <w:r w:rsidR="007C0E8D">
        <w:rPr>
          <w:rFonts w:ascii="Arial" w:hAnsi="Arial" w:cs="Arial"/>
          <w:sz w:val="24"/>
          <w:szCs w:val="24"/>
        </w:rPr>
        <w:t>shall</w:t>
      </w:r>
      <w:r w:rsidRPr="001C573E">
        <w:rPr>
          <w:rFonts w:ascii="Arial" w:hAnsi="Arial" w:cs="Arial"/>
          <w:sz w:val="24"/>
          <w:szCs w:val="24"/>
        </w:rPr>
        <w:t xml:space="preserve"> be required to analyse the engagement and draw conclusions for the NIC’s future work and policy recommendations. The minimum requirements for a deliberative public engagement are specified in Section </w:t>
      </w:r>
      <w:r w:rsidR="007C0E8D">
        <w:rPr>
          <w:rFonts w:ascii="Arial" w:hAnsi="Arial" w:cs="Arial"/>
          <w:sz w:val="24"/>
          <w:szCs w:val="24"/>
        </w:rPr>
        <w:t>3</w:t>
      </w:r>
      <w:r w:rsidRPr="001C573E">
        <w:rPr>
          <w:rFonts w:ascii="Arial" w:hAnsi="Arial" w:cs="Arial"/>
          <w:sz w:val="24"/>
          <w:szCs w:val="24"/>
        </w:rPr>
        <w:t xml:space="preserve"> </w:t>
      </w:r>
      <w:proofErr w:type="gramStart"/>
      <w:r w:rsidRPr="001C573E">
        <w:rPr>
          <w:rFonts w:ascii="Arial" w:hAnsi="Arial" w:cs="Arial"/>
          <w:sz w:val="24"/>
          <w:szCs w:val="24"/>
        </w:rPr>
        <w:t>The</w:t>
      </w:r>
      <w:proofErr w:type="gramEnd"/>
      <w:r w:rsidRPr="001C573E">
        <w:rPr>
          <w:rFonts w:ascii="Arial" w:hAnsi="Arial" w:cs="Arial"/>
          <w:sz w:val="24"/>
          <w:szCs w:val="24"/>
        </w:rPr>
        <w:t xml:space="preserve"> Requirement, below.</w:t>
      </w:r>
    </w:p>
    <w:p w14:paraId="66AA4D57" w14:textId="77777777" w:rsidR="001C573E" w:rsidRPr="001C573E" w:rsidRDefault="001C573E" w:rsidP="000E2A3E">
      <w:pPr>
        <w:pStyle w:val="Heading3"/>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sz w:val="24"/>
          <w:szCs w:val="24"/>
        </w:rPr>
      </w:pPr>
      <w:r w:rsidRPr="001C573E">
        <w:rPr>
          <w:rFonts w:ascii="Arial" w:hAnsi="Arial" w:cs="Arial"/>
          <w:sz w:val="24"/>
          <w:szCs w:val="24"/>
        </w:rPr>
        <w:t>Topics in scope for the deliberation include current experiences of road congestion; past and expected future trends in road congestion; and policies to reduce road congestion including capacity, alternative transport modes and road pricing/congestion charging. Distributional impacts of congestion and policy interventions are also likely to be of interest.</w:t>
      </w:r>
    </w:p>
    <w:p w14:paraId="2E65ED3B" w14:textId="77777777" w:rsidR="001C573E" w:rsidRPr="001C573E" w:rsidRDefault="001C573E" w:rsidP="000E2A3E">
      <w:pPr>
        <w:pStyle w:val="Heading3"/>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sz w:val="24"/>
          <w:szCs w:val="24"/>
        </w:rPr>
      </w:pPr>
      <w:r w:rsidRPr="001C573E">
        <w:rPr>
          <w:rFonts w:ascii="Arial" w:hAnsi="Arial" w:cs="Arial"/>
          <w:sz w:val="24"/>
          <w:szCs w:val="24"/>
        </w:rPr>
        <w:t>The NIC is primarily interested in obtaining an understanding of potentially differing views on solutions to congestion at local level across:</w:t>
      </w:r>
    </w:p>
    <w:p w14:paraId="174AB61F" w14:textId="77777777" w:rsidR="001C573E" w:rsidRPr="001C573E" w:rsidRDefault="001C573E" w:rsidP="000E2A3E">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1C573E">
        <w:rPr>
          <w:rFonts w:ascii="Arial" w:hAnsi="Arial" w:cs="Arial"/>
          <w:sz w:val="24"/>
        </w:rPr>
        <w:t>Areas with differing levels of experience of road user charging.</w:t>
      </w:r>
    </w:p>
    <w:p w14:paraId="283973E4" w14:textId="77777777" w:rsidR="001C573E" w:rsidRPr="001C573E" w:rsidRDefault="001C573E" w:rsidP="000E2A3E">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1C573E">
        <w:rPr>
          <w:rFonts w:ascii="Arial" w:hAnsi="Arial" w:cs="Arial"/>
          <w:sz w:val="24"/>
        </w:rPr>
        <w:t>Urban, suburban and rural locations.</w:t>
      </w:r>
    </w:p>
    <w:p w14:paraId="3F1FC73F" w14:textId="77777777" w:rsidR="001C573E" w:rsidRPr="001C573E" w:rsidRDefault="001C573E" w:rsidP="000E2A3E">
      <w:pPr>
        <w:pStyle w:val="Heading3"/>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1C573E">
        <w:rPr>
          <w:rFonts w:ascii="Arial" w:hAnsi="Arial" w:cs="Arial"/>
          <w:sz w:val="24"/>
        </w:rPr>
        <w:lastRenderedPageBreak/>
        <w:t>A number of other topics related to motoring taxation and road use are out of the core scope of the deliberation. These may be useful for setting the wider roads policy context and could be discussed if participants in the deliberation wished to, but should not be the focus of the evidence presented or policy options discussed. These include:</w:t>
      </w:r>
    </w:p>
    <w:p w14:paraId="412B986C" w14:textId="77777777" w:rsidR="001C573E" w:rsidRPr="001C573E" w:rsidRDefault="001C573E" w:rsidP="000E2A3E">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1C573E">
        <w:rPr>
          <w:rFonts w:ascii="Arial" w:hAnsi="Arial" w:cs="Arial"/>
          <w:sz w:val="24"/>
        </w:rPr>
        <w:t>Motoring taxation as a contributor to general taxation, and tax revenue sustainability.</w:t>
      </w:r>
    </w:p>
    <w:p w14:paraId="40834D96" w14:textId="77777777" w:rsidR="001C573E" w:rsidRPr="001C573E" w:rsidRDefault="001C573E" w:rsidP="000E2A3E">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1C573E">
        <w:rPr>
          <w:rFonts w:ascii="Arial" w:hAnsi="Arial" w:cs="Arial"/>
          <w:sz w:val="24"/>
        </w:rPr>
        <w:t>Roads and transport governance, funding and maintenance (except as this relates to congestion and revenues from road pricing).</w:t>
      </w:r>
    </w:p>
    <w:p w14:paraId="084451FB" w14:textId="77777777" w:rsidR="001C573E" w:rsidRPr="001C573E" w:rsidRDefault="001C573E" w:rsidP="000E2A3E">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1C573E">
        <w:rPr>
          <w:rFonts w:ascii="Arial" w:hAnsi="Arial" w:cs="Arial"/>
          <w:sz w:val="24"/>
        </w:rPr>
        <w:t>Other externalities from driving such as pollution and accidents (except where these interact with congestion and road pricing).</w:t>
      </w:r>
    </w:p>
    <w:p w14:paraId="4009BF88" w14:textId="77777777" w:rsidR="001C573E" w:rsidRPr="001C573E" w:rsidRDefault="001C573E" w:rsidP="000E2A3E">
      <w:pPr>
        <w:pStyle w:val="Heading3"/>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1C573E">
        <w:rPr>
          <w:rFonts w:ascii="Arial" w:hAnsi="Arial" w:cs="Arial"/>
          <w:sz w:val="24"/>
        </w:rPr>
        <w:t>Electric vehicles (EVs) and connected and autonomous vehicles (CAVs) may be relevant regarding their impact on congestion and their implications for future road use and road pricing, but other aspects are out of scope.</w:t>
      </w:r>
    </w:p>
    <w:p w14:paraId="5105AAD5" w14:textId="77777777" w:rsidR="001C573E" w:rsidRPr="001C573E" w:rsidRDefault="001C573E" w:rsidP="000E2A3E">
      <w:pPr>
        <w:pStyle w:val="Heading3"/>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1C573E">
        <w:rPr>
          <w:rFonts w:ascii="Arial" w:hAnsi="Arial" w:cs="Arial"/>
          <w:sz w:val="24"/>
        </w:rPr>
        <w:t>Deliberative processes can take a variety of forms, and the NIC expects to work with the Supplier to determine which is most appropriate for its objectives. Deliberative processes share some common characteristics which distinguish them from other types of public engagement:</w:t>
      </w:r>
    </w:p>
    <w:p w14:paraId="617792D5" w14:textId="77777777" w:rsidR="001C573E" w:rsidRPr="001C573E" w:rsidRDefault="001C573E" w:rsidP="000E2A3E">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1C573E">
        <w:rPr>
          <w:rFonts w:ascii="Arial" w:hAnsi="Arial" w:cs="Arial"/>
          <w:sz w:val="24"/>
        </w:rPr>
        <w:t>Presenting the participants with a range of facts and perspectives on the evidence, using a variety of information sources, to allow them to draw their own conclusions. Participants are given the opportunity to critique the evidence and cross examine expert presenters.</w:t>
      </w:r>
    </w:p>
    <w:p w14:paraId="4348CCF8" w14:textId="77777777" w:rsidR="001C573E" w:rsidRPr="001C573E" w:rsidRDefault="001C573E" w:rsidP="000E2A3E">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1C573E">
        <w:rPr>
          <w:rFonts w:ascii="Arial" w:hAnsi="Arial" w:cs="Arial"/>
          <w:sz w:val="24"/>
        </w:rPr>
        <w:t>Opportunities for participants to reflect on and discuss the issue and its evidence. To allow enough time for reflection, the engagement may be conducted in multiple sessions over multiple weeks.</w:t>
      </w:r>
    </w:p>
    <w:p w14:paraId="5AEC2CE5" w14:textId="77777777" w:rsidR="001C573E" w:rsidRPr="001C573E" w:rsidRDefault="001C573E" w:rsidP="000E2A3E">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1C573E">
        <w:rPr>
          <w:rFonts w:ascii="Arial" w:hAnsi="Arial" w:cs="Arial"/>
          <w:sz w:val="24"/>
        </w:rPr>
        <w:t>The group of participants should be a ‘mini public’, reflecting the composition of the local population across characteristics such as gender, age, race, politics, region and socioeconomic group. As well as encouraging a broader range of perspectives, this helps increase the legitimacy of conclusions with the wider public. However, if helpful the mini public can be drawn from a relevant subpopulation. In the case of road congestion, this could be the subpopulation of road users (including users of public transport and cyclists) from the city centre and its suburban and rural commuter belt, and those adversely affected by congestion such as those with health concerns.</w:t>
      </w:r>
    </w:p>
    <w:p w14:paraId="31832F20" w14:textId="77777777" w:rsidR="001C573E" w:rsidRPr="001C573E" w:rsidRDefault="001C573E" w:rsidP="000E2A3E">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1C573E">
        <w:rPr>
          <w:rFonts w:ascii="Arial" w:hAnsi="Arial" w:cs="Arial"/>
          <w:sz w:val="24"/>
        </w:rPr>
        <w:t>A clear link between the deliberative process and real policy decisions: the opportunity to influence decisions more directly than through their elected representatives is often part of the appeal for participants.</w:t>
      </w:r>
    </w:p>
    <w:p w14:paraId="10B3A19D" w14:textId="77777777" w:rsidR="001C573E" w:rsidRPr="001C573E" w:rsidRDefault="001C573E" w:rsidP="000E2A3E">
      <w:pPr>
        <w:pStyle w:val="Heading3"/>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1C573E">
        <w:rPr>
          <w:rFonts w:ascii="Arial" w:hAnsi="Arial" w:cs="Arial"/>
          <w:sz w:val="24"/>
        </w:rPr>
        <w:lastRenderedPageBreak/>
        <w:t>The key output from this exercise should be an indication of the mini publics’ preferred policies for tackling congestion and an understanding of the values underpinning the prioritisation of particular policies.</w:t>
      </w:r>
    </w:p>
    <w:p w14:paraId="564BC658" w14:textId="02482868" w:rsidR="001C573E" w:rsidRPr="001C573E" w:rsidRDefault="001C573E" w:rsidP="000E2A3E">
      <w:pPr>
        <w:pStyle w:val="Heading3"/>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1C573E">
        <w:rPr>
          <w:rFonts w:ascii="Arial" w:hAnsi="Arial" w:cs="Arial"/>
          <w:sz w:val="24"/>
        </w:rPr>
        <w:t>The Supplier is not expected to lead on stakeholder engagement or evidence gathering, which will be led by the NIC. However, the Supplier is expected to support the NIC in this process. The Supplier sh</w:t>
      </w:r>
      <w:r w:rsidR="007C0E8D">
        <w:rPr>
          <w:rFonts w:ascii="Arial" w:hAnsi="Arial" w:cs="Arial"/>
          <w:sz w:val="24"/>
        </w:rPr>
        <w:t>all</w:t>
      </w:r>
      <w:r w:rsidRPr="001C573E">
        <w:rPr>
          <w:rFonts w:ascii="Arial" w:hAnsi="Arial" w:cs="Arial"/>
          <w:sz w:val="24"/>
        </w:rPr>
        <w:t xml:space="preserve"> advise on how stakeholders can contribute to the design and delivery of the deliberation, for example as external referees, or as contributors and presenters of evidence. The Supplier sh</w:t>
      </w:r>
      <w:r w:rsidR="007C0E8D">
        <w:rPr>
          <w:rFonts w:ascii="Arial" w:hAnsi="Arial" w:cs="Arial"/>
          <w:sz w:val="24"/>
        </w:rPr>
        <w:t>all</w:t>
      </w:r>
      <w:r w:rsidRPr="001C573E">
        <w:rPr>
          <w:rFonts w:ascii="Arial" w:hAnsi="Arial" w:cs="Arial"/>
          <w:sz w:val="24"/>
        </w:rPr>
        <w:t xml:space="preserve"> also lead on designing the content of the mini publics. The NIC will provide resources to support this.</w:t>
      </w:r>
    </w:p>
    <w:p w14:paraId="340514A8" w14:textId="77777777" w:rsidR="001C573E" w:rsidRPr="001C573E" w:rsidRDefault="001C573E" w:rsidP="000E2A3E">
      <w:pPr>
        <w:pStyle w:val="Heading3"/>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1C573E">
        <w:rPr>
          <w:rFonts w:ascii="Arial" w:hAnsi="Arial" w:cs="Arial"/>
          <w:sz w:val="24"/>
        </w:rPr>
        <w:t>The Supplier shall work collaboratively with an advisory panel of expert stakeholders who will advise on the final format of the deliberative engagement and the evidence presented to participants on behalf of the NIC. As the Supplier is not expected to be an expert on the topic being discussed, the advisory panel will bring subject expertise from a variety of perspectives. The Supplier will not be required to recruit this panel, but they should be able to present to technical and non-technical members of the panel and advise them on the design of the deliberative engagement.</w:t>
      </w:r>
    </w:p>
    <w:p w14:paraId="41F64015" w14:textId="76223716" w:rsidR="001C573E" w:rsidRPr="001C573E" w:rsidRDefault="001C573E" w:rsidP="000E2A3E">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851"/>
        </w:tabs>
        <w:adjustRightInd w:val="0"/>
        <w:spacing w:after="120"/>
        <w:rPr>
          <w:rFonts w:ascii="Arial" w:hAnsi="Arial" w:cs="Arial"/>
          <w:sz w:val="32"/>
          <w:szCs w:val="32"/>
        </w:rPr>
      </w:pPr>
      <w:bookmarkStart w:id="26" w:name="_Toc368573031"/>
      <w:bookmarkStart w:id="27" w:name="_Toc15461664"/>
      <w:r w:rsidRPr="001C573E">
        <w:rPr>
          <w:rFonts w:ascii="Arial" w:hAnsi="Arial" w:cs="Arial"/>
          <w:sz w:val="32"/>
          <w:szCs w:val="32"/>
        </w:rPr>
        <w:t>THE REQUIREMENT</w:t>
      </w:r>
      <w:bookmarkEnd w:id="26"/>
      <w:bookmarkEnd w:id="27"/>
    </w:p>
    <w:p w14:paraId="1F05314F" w14:textId="16ACDA1E"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The Supplier will be responsible for the development of a project plan and timetable, to meet the needs of the NIC (indicative timescales are set out in S</w:t>
      </w:r>
      <w:r w:rsidR="007C0E8D">
        <w:rPr>
          <w:rFonts w:ascii="Arial" w:hAnsi="Arial" w:cs="Arial"/>
          <w:sz w:val="24"/>
          <w:szCs w:val="24"/>
        </w:rPr>
        <w:t>ection 4</w:t>
      </w:r>
      <w:r w:rsidRPr="001C573E">
        <w:rPr>
          <w:rFonts w:ascii="Arial" w:hAnsi="Arial" w:cs="Arial"/>
          <w:sz w:val="24"/>
          <w:szCs w:val="24"/>
        </w:rPr>
        <w:t>. Key Milestones and Deliverables, below).</w:t>
      </w:r>
    </w:p>
    <w:p w14:paraId="254168B6"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At the start of the project the NIC will hold an inception/scoping meeting with the research Supplier, and a short inception report is to then be provided – which clarifies the approach to be taken to the research, along with a plan setting out key milestones and dates for regular updates, deliverables, risks and how these will be managed etc. – for agreement, before proceeding to design and set up the deliberative engagement. Throughout, the research Supplier will work closely with the Commission, including through regular meetings and other communication.</w:t>
      </w:r>
    </w:p>
    <w:p w14:paraId="595ACCC2"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ind w:left="709"/>
        <w:rPr>
          <w:rFonts w:ascii="Arial" w:hAnsi="Arial" w:cs="Arial"/>
          <w:sz w:val="24"/>
          <w:szCs w:val="24"/>
        </w:rPr>
      </w:pPr>
      <w:bookmarkStart w:id="28" w:name="_Toc368573032"/>
      <w:r w:rsidRPr="001C573E">
        <w:rPr>
          <w:rFonts w:ascii="Arial" w:hAnsi="Arial" w:cs="Arial"/>
          <w:sz w:val="24"/>
          <w:szCs w:val="24"/>
        </w:rPr>
        <w:t>As a minimum, the research Supplier will design, organise, deliver and analyse a deliberative public engagement in autumn/winter 2019, on the topic of policies to reduce road congestion as described above. The minimum requirements expected of the Supplier are listed below.</w:t>
      </w:r>
    </w:p>
    <w:p w14:paraId="0B6E02A0"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Designing the deliberation should include advising on the most effective format in consultation with the NIC. Relevant factors are likely to include:</w:t>
      </w:r>
    </w:p>
    <w:p w14:paraId="166766EE" w14:textId="77777777" w:rsidR="001C573E" w:rsidRPr="001C573E" w:rsidRDefault="001C573E" w:rsidP="000E2A3E">
      <w:pPr>
        <w:pStyle w:val="Heading4"/>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3119"/>
        </w:tabs>
        <w:adjustRightInd w:val="0"/>
        <w:spacing w:after="120"/>
        <w:rPr>
          <w:rFonts w:ascii="Arial" w:hAnsi="Arial" w:cs="Arial"/>
          <w:sz w:val="24"/>
          <w:szCs w:val="24"/>
        </w:rPr>
      </w:pPr>
      <w:proofErr w:type="gramStart"/>
      <w:r w:rsidRPr="001C573E">
        <w:rPr>
          <w:rFonts w:ascii="Arial" w:hAnsi="Arial" w:cs="Arial"/>
          <w:sz w:val="24"/>
          <w:szCs w:val="24"/>
        </w:rPr>
        <w:t>number</w:t>
      </w:r>
      <w:proofErr w:type="gramEnd"/>
      <w:r w:rsidRPr="001C573E">
        <w:rPr>
          <w:rFonts w:ascii="Arial" w:hAnsi="Arial" w:cs="Arial"/>
          <w:sz w:val="24"/>
          <w:szCs w:val="24"/>
        </w:rPr>
        <w:t xml:space="preserve"> and duration of engagement sessions. There should be good geographical spread of mini publics with participants drawn from the local area; and the sessions should enable participants enough time and space for learning and deliberating, with time for reflection in between sessions. The Authority’s expectation is this would require as a minimum, that there should be at least three assemblies with participants drawn from the local </w:t>
      </w:r>
      <w:r w:rsidRPr="001C573E">
        <w:rPr>
          <w:rFonts w:ascii="Arial" w:hAnsi="Arial" w:cs="Arial"/>
          <w:sz w:val="24"/>
          <w:szCs w:val="24"/>
        </w:rPr>
        <w:lastRenderedPageBreak/>
        <w:t>area, and that each mini public should meet at least twice, with time for reflection in between.</w:t>
      </w:r>
    </w:p>
    <w:p w14:paraId="17E471C9" w14:textId="77777777" w:rsidR="001C573E" w:rsidRPr="001C573E" w:rsidRDefault="001C573E" w:rsidP="000E2A3E">
      <w:pPr>
        <w:pStyle w:val="Heading4"/>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3119"/>
        </w:tabs>
        <w:adjustRightInd w:val="0"/>
        <w:spacing w:after="120"/>
        <w:rPr>
          <w:rFonts w:ascii="Arial" w:hAnsi="Arial" w:cs="Arial"/>
          <w:sz w:val="24"/>
          <w:szCs w:val="24"/>
        </w:rPr>
      </w:pPr>
      <w:proofErr w:type="gramStart"/>
      <w:r w:rsidRPr="001C573E">
        <w:rPr>
          <w:rFonts w:ascii="Arial" w:hAnsi="Arial" w:cs="Arial"/>
          <w:sz w:val="24"/>
          <w:szCs w:val="24"/>
        </w:rPr>
        <w:t>selection</w:t>
      </w:r>
      <w:proofErr w:type="gramEnd"/>
      <w:r w:rsidRPr="001C573E">
        <w:rPr>
          <w:rFonts w:ascii="Arial" w:hAnsi="Arial" w:cs="Arial"/>
          <w:sz w:val="24"/>
          <w:szCs w:val="24"/>
        </w:rPr>
        <w:t xml:space="preserve"> of mini public participants (representative of their relevant subpopulation).</w:t>
      </w:r>
    </w:p>
    <w:p w14:paraId="31EDDDC6" w14:textId="77777777" w:rsidR="001C573E" w:rsidRPr="001C573E" w:rsidRDefault="001C573E" w:rsidP="000E2A3E">
      <w:pPr>
        <w:pStyle w:val="Heading4"/>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3119"/>
        </w:tabs>
        <w:adjustRightInd w:val="0"/>
        <w:spacing w:after="120"/>
        <w:rPr>
          <w:rFonts w:ascii="Arial" w:hAnsi="Arial" w:cs="Arial"/>
          <w:sz w:val="24"/>
          <w:szCs w:val="24"/>
        </w:rPr>
      </w:pPr>
      <w:proofErr w:type="gramStart"/>
      <w:r w:rsidRPr="001C573E">
        <w:rPr>
          <w:rFonts w:ascii="Arial" w:hAnsi="Arial" w:cs="Arial"/>
          <w:sz w:val="24"/>
          <w:szCs w:val="24"/>
        </w:rPr>
        <w:t>determining</w:t>
      </w:r>
      <w:proofErr w:type="gramEnd"/>
      <w:r w:rsidRPr="001C573E">
        <w:rPr>
          <w:rFonts w:ascii="Arial" w:hAnsi="Arial" w:cs="Arial"/>
          <w:sz w:val="24"/>
          <w:szCs w:val="24"/>
        </w:rPr>
        <w:t xml:space="preserve"> the location of each mini public and the rationale for location choices, to ensure that the deliberations reflect a variety of road user experiences across the country, including different levels of exposure to road user charging. </w:t>
      </w:r>
    </w:p>
    <w:p w14:paraId="0D61BFC9" w14:textId="77777777" w:rsidR="001C573E" w:rsidRPr="001C573E" w:rsidRDefault="001C573E" w:rsidP="000E2A3E">
      <w:pPr>
        <w:pStyle w:val="Heading4"/>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3119"/>
        </w:tabs>
        <w:adjustRightInd w:val="0"/>
        <w:spacing w:after="120"/>
        <w:rPr>
          <w:rFonts w:ascii="Arial" w:hAnsi="Arial" w:cs="Arial"/>
          <w:sz w:val="24"/>
          <w:szCs w:val="24"/>
        </w:rPr>
      </w:pPr>
      <w:r w:rsidRPr="001C573E">
        <w:rPr>
          <w:rFonts w:ascii="Arial" w:hAnsi="Arial" w:cs="Arial"/>
          <w:sz w:val="24"/>
          <w:szCs w:val="24"/>
        </w:rPr>
        <w:t>Venues.</w:t>
      </w:r>
    </w:p>
    <w:p w14:paraId="7A07471A" w14:textId="77777777" w:rsidR="001C573E" w:rsidRPr="001C573E" w:rsidRDefault="001C573E" w:rsidP="000E2A3E">
      <w:pPr>
        <w:pStyle w:val="Heading4"/>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3119"/>
        </w:tabs>
        <w:adjustRightInd w:val="0"/>
        <w:spacing w:after="120"/>
        <w:rPr>
          <w:rFonts w:ascii="Arial" w:hAnsi="Arial" w:cs="Arial"/>
          <w:sz w:val="24"/>
          <w:szCs w:val="24"/>
        </w:rPr>
      </w:pPr>
      <w:proofErr w:type="gramStart"/>
      <w:r w:rsidRPr="001C573E">
        <w:rPr>
          <w:rFonts w:ascii="Arial" w:hAnsi="Arial" w:cs="Arial"/>
          <w:sz w:val="24"/>
          <w:szCs w:val="24"/>
        </w:rPr>
        <w:t>presentation</w:t>
      </w:r>
      <w:proofErr w:type="gramEnd"/>
      <w:r w:rsidRPr="001C573E">
        <w:rPr>
          <w:rFonts w:ascii="Arial" w:hAnsi="Arial" w:cs="Arial"/>
          <w:sz w:val="24"/>
          <w:szCs w:val="24"/>
        </w:rPr>
        <w:t xml:space="preserve"> of evidence and interaction of participants with evidence and presenters.</w:t>
      </w:r>
    </w:p>
    <w:p w14:paraId="043F9C6C" w14:textId="77777777" w:rsidR="001C573E" w:rsidRPr="001C573E" w:rsidRDefault="001C573E" w:rsidP="000E2A3E">
      <w:pPr>
        <w:pStyle w:val="Heading4"/>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3119"/>
        </w:tabs>
        <w:adjustRightInd w:val="0"/>
        <w:spacing w:after="120"/>
        <w:rPr>
          <w:rFonts w:ascii="Arial" w:hAnsi="Arial" w:cs="Arial"/>
          <w:sz w:val="24"/>
          <w:szCs w:val="24"/>
        </w:rPr>
      </w:pPr>
      <w:proofErr w:type="gramStart"/>
      <w:r w:rsidRPr="001C573E">
        <w:rPr>
          <w:rFonts w:ascii="Arial" w:hAnsi="Arial" w:cs="Arial"/>
          <w:sz w:val="24"/>
          <w:szCs w:val="24"/>
        </w:rPr>
        <w:t>methods</w:t>
      </w:r>
      <w:proofErr w:type="gramEnd"/>
      <w:r w:rsidRPr="001C573E">
        <w:rPr>
          <w:rFonts w:ascii="Arial" w:hAnsi="Arial" w:cs="Arial"/>
          <w:sz w:val="24"/>
          <w:szCs w:val="24"/>
        </w:rPr>
        <w:t xml:space="preserve"> for stimulating discussion and deliberation.</w:t>
      </w:r>
    </w:p>
    <w:p w14:paraId="176084F9" w14:textId="77777777" w:rsidR="001C573E" w:rsidRPr="001C573E" w:rsidRDefault="001C573E" w:rsidP="000E2A3E">
      <w:pPr>
        <w:pStyle w:val="Heading4"/>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3119"/>
        </w:tabs>
        <w:adjustRightInd w:val="0"/>
        <w:rPr>
          <w:rFonts w:ascii="Arial" w:hAnsi="Arial" w:cs="Arial"/>
          <w:sz w:val="24"/>
          <w:szCs w:val="24"/>
        </w:rPr>
      </w:pPr>
      <w:proofErr w:type="gramStart"/>
      <w:r w:rsidRPr="001C573E">
        <w:rPr>
          <w:rFonts w:ascii="Arial" w:hAnsi="Arial" w:cs="Arial"/>
          <w:sz w:val="24"/>
          <w:szCs w:val="24"/>
        </w:rPr>
        <w:t>methods</w:t>
      </w:r>
      <w:proofErr w:type="gramEnd"/>
      <w:r w:rsidRPr="001C573E">
        <w:rPr>
          <w:rFonts w:ascii="Arial" w:hAnsi="Arial" w:cs="Arial"/>
          <w:sz w:val="24"/>
          <w:szCs w:val="24"/>
        </w:rPr>
        <w:t xml:space="preserve"> for collecting and presenting the participants’ conclusions. As a minimum this should include ranked preferences from each participant over a menu of policy packages, but could also include principles or criteria for acceptability for example.  </w:t>
      </w:r>
    </w:p>
    <w:p w14:paraId="6CD9FE99" w14:textId="77777777" w:rsidR="001C573E" w:rsidRPr="001C573E" w:rsidRDefault="001C573E" w:rsidP="000E2A3E">
      <w:pPr>
        <w:pStyle w:val="Heading4"/>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3119"/>
        </w:tabs>
        <w:adjustRightInd w:val="0"/>
        <w:rPr>
          <w:rFonts w:ascii="Arial" w:hAnsi="Arial" w:cs="Arial"/>
          <w:sz w:val="24"/>
          <w:szCs w:val="24"/>
        </w:rPr>
      </w:pPr>
      <w:proofErr w:type="gramStart"/>
      <w:r w:rsidRPr="001C573E">
        <w:rPr>
          <w:rFonts w:ascii="Arial" w:hAnsi="Arial" w:cs="Arial"/>
          <w:sz w:val="24"/>
          <w:szCs w:val="24"/>
        </w:rPr>
        <w:t>methods</w:t>
      </w:r>
      <w:proofErr w:type="gramEnd"/>
      <w:r w:rsidRPr="001C573E">
        <w:rPr>
          <w:rFonts w:ascii="Arial" w:hAnsi="Arial" w:cs="Arial"/>
          <w:sz w:val="24"/>
          <w:szCs w:val="24"/>
        </w:rPr>
        <w:t xml:space="preserve"> for qualitative analysis of the mini public’s shifts in knowledge and attitude across the process including the resources used for these processes (e.g. person hours used for transcription).</w:t>
      </w:r>
    </w:p>
    <w:p w14:paraId="020931FD"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The research Supplier is also required to organise and deliver the deliberation. This is expected to include:</w:t>
      </w:r>
    </w:p>
    <w:p w14:paraId="35CF7ADF" w14:textId="77777777" w:rsidR="001C573E" w:rsidRPr="001C573E" w:rsidRDefault="001C573E" w:rsidP="000E2A3E">
      <w:pPr>
        <w:pStyle w:val="Heading4"/>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3119"/>
        </w:tabs>
        <w:adjustRightInd w:val="0"/>
        <w:spacing w:after="120"/>
        <w:rPr>
          <w:rFonts w:ascii="Arial" w:hAnsi="Arial" w:cs="Arial"/>
          <w:sz w:val="24"/>
          <w:szCs w:val="24"/>
        </w:rPr>
      </w:pPr>
      <w:proofErr w:type="gramStart"/>
      <w:r w:rsidRPr="001C573E">
        <w:rPr>
          <w:rFonts w:ascii="Arial" w:hAnsi="Arial" w:cs="Arial"/>
          <w:sz w:val="24"/>
          <w:szCs w:val="24"/>
        </w:rPr>
        <w:t>recruiting</w:t>
      </w:r>
      <w:proofErr w:type="gramEnd"/>
      <w:r w:rsidRPr="001C573E">
        <w:rPr>
          <w:rFonts w:ascii="Arial" w:hAnsi="Arial" w:cs="Arial"/>
          <w:sz w:val="24"/>
          <w:szCs w:val="24"/>
        </w:rPr>
        <w:t xml:space="preserve"> the mini public participants, which may be via a secondary Supplier recruitment specialist.</w:t>
      </w:r>
    </w:p>
    <w:p w14:paraId="73A98D2F" w14:textId="77777777" w:rsidR="001C573E" w:rsidRPr="001C573E" w:rsidRDefault="001C573E" w:rsidP="000E2A3E">
      <w:pPr>
        <w:pStyle w:val="Heading4"/>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3119"/>
        </w:tabs>
        <w:adjustRightInd w:val="0"/>
        <w:spacing w:after="120"/>
        <w:rPr>
          <w:rFonts w:ascii="Arial" w:hAnsi="Arial" w:cs="Arial"/>
          <w:sz w:val="24"/>
          <w:szCs w:val="24"/>
        </w:rPr>
      </w:pPr>
      <w:proofErr w:type="gramStart"/>
      <w:r w:rsidRPr="001C573E">
        <w:rPr>
          <w:rFonts w:ascii="Arial" w:hAnsi="Arial" w:cs="Arial"/>
          <w:sz w:val="24"/>
          <w:szCs w:val="24"/>
        </w:rPr>
        <w:t>identifying</w:t>
      </w:r>
      <w:proofErr w:type="gramEnd"/>
      <w:r w:rsidRPr="001C573E">
        <w:rPr>
          <w:rFonts w:ascii="Arial" w:hAnsi="Arial" w:cs="Arial"/>
          <w:sz w:val="24"/>
          <w:szCs w:val="24"/>
        </w:rPr>
        <w:t xml:space="preserve"> suitable locations and booking venue(s) for the engagement, and advising on travel and accommodation if necessary.</w:t>
      </w:r>
    </w:p>
    <w:p w14:paraId="4A9A428E" w14:textId="77777777" w:rsidR="001C573E" w:rsidRPr="001C573E" w:rsidRDefault="001C573E" w:rsidP="000E2A3E">
      <w:pPr>
        <w:pStyle w:val="Heading4"/>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3119"/>
        </w:tabs>
        <w:adjustRightInd w:val="0"/>
        <w:spacing w:after="120"/>
        <w:rPr>
          <w:rFonts w:ascii="Arial" w:hAnsi="Arial" w:cs="Arial"/>
          <w:sz w:val="24"/>
          <w:szCs w:val="24"/>
        </w:rPr>
      </w:pPr>
      <w:proofErr w:type="gramStart"/>
      <w:r w:rsidRPr="001C573E">
        <w:rPr>
          <w:rFonts w:ascii="Arial" w:hAnsi="Arial" w:cs="Arial"/>
          <w:sz w:val="24"/>
          <w:szCs w:val="24"/>
        </w:rPr>
        <w:t>preparing</w:t>
      </w:r>
      <w:proofErr w:type="gramEnd"/>
      <w:r w:rsidRPr="001C573E">
        <w:rPr>
          <w:rFonts w:ascii="Arial" w:hAnsi="Arial" w:cs="Arial"/>
          <w:sz w:val="24"/>
          <w:szCs w:val="24"/>
        </w:rPr>
        <w:t xml:space="preserve"> the evidence for presentation in clear and accessible formats.</w:t>
      </w:r>
    </w:p>
    <w:p w14:paraId="1AF80C71" w14:textId="77777777" w:rsidR="001C573E" w:rsidRPr="001C573E" w:rsidRDefault="001C573E" w:rsidP="000E2A3E">
      <w:pPr>
        <w:pStyle w:val="Heading4"/>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3119"/>
        </w:tabs>
        <w:adjustRightInd w:val="0"/>
        <w:spacing w:after="120"/>
        <w:rPr>
          <w:rFonts w:ascii="Arial" w:hAnsi="Arial" w:cs="Arial"/>
          <w:sz w:val="24"/>
          <w:szCs w:val="24"/>
        </w:rPr>
      </w:pPr>
      <w:proofErr w:type="gramStart"/>
      <w:r w:rsidRPr="001C573E">
        <w:rPr>
          <w:rFonts w:ascii="Arial" w:hAnsi="Arial" w:cs="Arial"/>
          <w:sz w:val="24"/>
          <w:szCs w:val="24"/>
        </w:rPr>
        <w:t>planning</w:t>
      </w:r>
      <w:proofErr w:type="gramEnd"/>
      <w:r w:rsidRPr="001C573E">
        <w:rPr>
          <w:rFonts w:ascii="Arial" w:hAnsi="Arial" w:cs="Arial"/>
          <w:sz w:val="24"/>
          <w:szCs w:val="24"/>
        </w:rPr>
        <w:t xml:space="preserve"> the agenda for each session, and confirming the attendance of participants and speakers.</w:t>
      </w:r>
    </w:p>
    <w:p w14:paraId="39021023" w14:textId="77777777" w:rsidR="001C573E" w:rsidRPr="001C573E" w:rsidRDefault="001C573E" w:rsidP="000E2A3E">
      <w:pPr>
        <w:pStyle w:val="Heading4"/>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3119"/>
        </w:tabs>
        <w:adjustRightInd w:val="0"/>
        <w:spacing w:after="120"/>
        <w:rPr>
          <w:rFonts w:ascii="Arial" w:hAnsi="Arial" w:cs="Arial"/>
          <w:sz w:val="24"/>
          <w:szCs w:val="24"/>
        </w:rPr>
      </w:pPr>
      <w:proofErr w:type="gramStart"/>
      <w:r w:rsidRPr="001C573E">
        <w:rPr>
          <w:rFonts w:ascii="Arial" w:hAnsi="Arial" w:cs="Arial"/>
          <w:sz w:val="24"/>
          <w:szCs w:val="24"/>
        </w:rPr>
        <w:t>facilitating</w:t>
      </w:r>
      <w:proofErr w:type="gramEnd"/>
      <w:r w:rsidRPr="001C573E">
        <w:rPr>
          <w:rFonts w:ascii="Arial" w:hAnsi="Arial" w:cs="Arial"/>
          <w:sz w:val="24"/>
          <w:szCs w:val="24"/>
        </w:rPr>
        <w:t xml:space="preserve"> the sessions, guiding and prompting deliberation and responding flexibly to participants’ feedback where appropriate.</w:t>
      </w:r>
    </w:p>
    <w:p w14:paraId="1F31D453" w14:textId="77777777" w:rsidR="001C573E" w:rsidRPr="001C573E" w:rsidRDefault="001C573E" w:rsidP="000E2A3E">
      <w:pPr>
        <w:pStyle w:val="Heading4"/>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3119"/>
        </w:tabs>
        <w:adjustRightInd w:val="0"/>
        <w:spacing w:after="120"/>
        <w:rPr>
          <w:rFonts w:ascii="Arial" w:hAnsi="Arial" w:cs="Arial"/>
          <w:sz w:val="24"/>
          <w:szCs w:val="24"/>
        </w:rPr>
      </w:pPr>
      <w:proofErr w:type="gramStart"/>
      <w:r w:rsidRPr="001C573E">
        <w:rPr>
          <w:rFonts w:ascii="Arial" w:hAnsi="Arial" w:cs="Arial"/>
          <w:sz w:val="24"/>
          <w:szCs w:val="24"/>
        </w:rPr>
        <w:t>guiding</w:t>
      </w:r>
      <w:proofErr w:type="gramEnd"/>
      <w:r w:rsidRPr="001C573E">
        <w:rPr>
          <w:rFonts w:ascii="Arial" w:hAnsi="Arial" w:cs="Arial"/>
          <w:sz w:val="24"/>
          <w:szCs w:val="24"/>
        </w:rPr>
        <w:t xml:space="preserve"> the sessions towards clear conclusions, recording discussions and collecting data as appropriate.</w:t>
      </w:r>
    </w:p>
    <w:p w14:paraId="55AB442D" w14:textId="77777777" w:rsidR="001C573E" w:rsidRPr="001C573E" w:rsidRDefault="001C573E" w:rsidP="000E2A3E">
      <w:pPr>
        <w:pStyle w:val="Heading4"/>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3119"/>
        </w:tabs>
        <w:adjustRightInd w:val="0"/>
        <w:spacing w:after="120"/>
        <w:rPr>
          <w:rFonts w:ascii="Arial" w:hAnsi="Arial" w:cs="Arial"/>
          <w:sz w:val="24"/>
          <w:szCs w:val="24"/>
        </w:rPr>
      </w:pPr>
      <w:proofErr w:type="gramStart"/>
      <w:r w:rsidRPr="001C573E">
        <w:rPr>
          <w:rFonts w:ascii="Arial" w:hAnsi="Arial" w:cs="Arial"/>
          <w:sz w:val="24"/>
          <w:szCs w:val="24"/>
        </w:rPr>
        <w:t>setting</w:t>
      </w:r>
      <w:proofErr w:type="gramEnd"/>
      <w:r w:rsidRPr="001C573E">
        <w:rPr>
          <w:rFonts w:ascii="Arial" w:hAnsi="Arial" w:cs="Arial"/>
          <w:sz w:val="24"/>
          <w:szCs w:val="24"/>
        </w:rPr>
        <w:t xml:space="preserve"> up a mechanism for the NIC to keep in touch with participants and other contributors, if desired, to update them on the impact of their deliberations, and relevant future work and recommendations by the Commission.</w:t>
      </w:r>
    </w:p>
    <w:p w14:paraId="26634BE4" w14:textId="0006113A"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 xml:space="preserve">As described in Section </w:t>
      </w:r>
      <w:r w:rsidR="007C0E8D">
        <w:rPr>
          <w:rFonts w:ascii="Arial" w:hAnsi="Arial" w:cs="Arial"/>
          <w:sz w:val="24"/>
          <w:szCs w:val="24"/>
        </w:rPr>
        <w:t>2.</w:t>
      </w:r>
      <w:r w:rsidRPr="001C573E">
        <w:rPr>
          <w:rFonts w:ascii="Arial" w:hAnsi="Arial" w:cs="Arial"/>
          <w:sz w:val="24"/>
          <w:szCs w:val="24"/>
        </w:rPr>
        <w:t xml:space="preserve"> Scope of Requirement, the Supplier will not be required to identify relevant stakeholders or evidence; the NIC will lead on this. The NIC has also set up the advisory panel, although the Supplier may be </w:t>
      </w:r>
      <w:r w:rsidRPr="001C573E">
        <w:rPr>
          <w:rFonts w:ascii="Arial" w:hAnsi="Arial" w:cs="Arial"/>
          <w:sz w:val="24"/>
          <w:szCs w:val="24"/>
        </w:rPr>
        <w:lastRenderedPageBreak/>
        <w:t>asked to liaise with the panel once it has been established and the deliberation design phase is underway.</w:t>
      </w:r>
    </w:p>
    <w:p w14:paraId="4A631FA0"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The Supplier may be asked to share some of its plans for the public engagement with other NIC stakeholders who could offer useful input on deliberative methods. However, this is not expected to extend to a formal partnership.</w:t>
      </w:r>
    </w:p>
    <w:p w14:paraId="57C126FF"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Following the public engagement, the research Supplier will be required to analyse the discussions and any formal outputs to identify conclusions. These may include quantitative analysis of specified policy preferences from participants, and/or qualitative analysis of the underlying opinions, responses to evidence and thought processes that led to those results.</w:t>
      </w:r>
    </w:p>
    <w:p w14:paraId="2801F7BA"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In addition to analysing the discussion and outputs, the Supplier shall work with an external evaluator, appointed by the NIC, who will analyse both the effectiveness of this process, and of the methodology as a whole for engaging the public on infrastructure policy. This will add to the evidence base for the effectiveness of the deliberative approaches used, and draw out lessons for the NIC’s future public and stakeholder engagement. This analysis could include measurement of participants’ views at the beginning and end of the process to see whether and how they changed, and critical reflections from those involved in setting up and facilitating the engagement.</w:t>
      </w:r>
    </w:p>
    <w:p w14:paraId="6E897468"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The research Supplier will write a report with their findings and conclusions from the deliberation and their evaluation of the process. This will describe the design, process and conclusions of the deliberative engagements including a quantitative summary of the participants’ policy preferences. Any qualitative feedback should be anonymised to ensure the report is suitable for publication.  The report should not contain any formal recommendations. The NIC are also interested in other reporting formats in addition to written reports, such as videos. These reporting outputs should be peer reviewed for quality assurance (including by the advisory panel). The report should be branded in the Supplier’s name and provided to the NIC in a digital format which the NIC can publish into the public domain and use as an input to future work as desired.  There is no set word length or page count for the report. The Supplier will also provide any underlying detail not suitable for the report to the NIC, subject to any restrictions regarding participant confidentiality.</w:t>
      </w:r>
    </w:p>
    <w:p w14:paraId="2A43B1D1"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The NIC is also interested in the research Supplier going beyond the minimum requirements outlined above, to increase the rigour and/or the effectiveness of the deliberative public engagement. The NIC is interested in innovative approaches to broaden its experience of tools for public engagement. In particular, it is interested in the possibility of using digital tools. This could be as a channel for deliberation, a supplement to conventional face to face deliberation, or as a method for presenting evidence in an engaging and interactive way.</w:t>
      </w:r>
    </w:p>
    <w:p w14:paraId="02097878"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lastRenderedPageBreak/>
        <w:t>Other additions to the deliberation might include a larger sample national survey to measure public opinion as an extra evidence input to deliberations; or pilot sessions to test evidence and discussion approaches ahead of the main deliberative engagement. However, the NIC sees these and the digital tools described above as an optional means to improve the effectiveness or value for money of the main deliberation, rather than a core requirement of the exercise.</w:t>
      </w:r>
    </w:p>
    <w:p w14:paraId="405F4964"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All costs should be included in and funded from the overall contract cost, including but not limited to:</w:t>
      </w:r>
    </w:p>
    <w:p w14:paraId="228F6B35" w14:textId="77777777" w:rsidR="001C573E" w:rsidRPr="001C573E" w:rsidRDefault="001C573E" w:rsidP="000E2A3E">
      <w:pPr>
        <w:pStyle w:val="Heading3"/>
        <w:keepNext w:val="0"/>
        <w:keepLines w:val="0"/>
        <w:numPr>
          <w:ilvl w:val="0"/>
          <w:numId w:val="7"/>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sz w:val="24"/>
          <w:szCs w:val="24"/>
        </w:rPr>
      </w:pPr>
      <w:proofErr w:type="gramStart"/>
      <w:r w:rsidRPr="001C573E">
        <w:rPr>
          <w:rFonts w:ascii="Arial" w:hAnsi="Arial" w:cs="Arial"/>
          <w:sz w:val="24"/>
          <w:szCs w:val="24"/>
        </w:rPr>
        <w:t>travel</w:t>
      </w:r>
      <w:proofErr w:type="gramEnd"/>
      <w:r w:rsidRPr="001C573E">
        <w:rPr>
          <w:rFonts w:ascii="Arial" w:hAnsi="Arial" w:cs="Arial"/>
          <w:sz w:val="24"/>
          <w:szCs w:val="24"/>
        </w:rPr>
        <w:t>, subsistence, accommodation, compensation and other associated expenses for participants and presenters at the deliberation, as required.</w:t>
      </w:r>
    </w:p>
    <w:p w14:paraId="73108D9E" w14:textId="77777777" w:rsidR="001C573E" w:rsidRPr="001C573E" w:rsidRDefault="001C573E" w:rsidP="000E2A3E">
      <w:pPr>
        <w:pStyle w:val="Heading3"/>
        <w:keepNext w:val="0"/>
        <w:keepLines w:val="0"/>
        <w:numPr>
          <w:ilvl w:val="0"/>
          <w:numId w:val="7"/>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sz w:val="24"/>
          <w:szCs w:val="24"/>
        </w:rPr>
      </w:pPr>
      <w:proofErr w:type="gramStart"/>
      <w:r w:rsidRPr="001C573E">
        <w:rPr>
          <w:rFonts w:ascii="Arial" w:hAnsi="Arial" w:cs="Arial"/>
          <w:sz w:val="24"/>
          <w:szCs w:val="24"/>
        </w:rPr>
        <w:t>payments</w:t>
      </w:r>
      <w:proofErr w:type="gramEnd"/>
      <w:r w:rsidRPr="001C573E">
        <w:rPr>
          <w:rFonts w:ascii="Arial" w:hAnsi="Arial" w:cs="Arial"/>
          <w:sz w:val="24"/>
          <w:szCs w:val="24"/>
        </w:rPr>
        <w:t xml:space="preserve"> to secondary Suppliers of recruitment, additional evidence for the deliberation, or other services.</w:t>
      </w:r>
    </w:p>
    <w:p w14:paraId="5D15DD88" w14:textId="77777777" w:rsidR="001C573E" w:rsidRPr="001C573E" w:rsidRDefault="001C573E" w:rsidP="000E2A3E">
      <w:pPr>
        <w:pStyle w:val="Heading3"/>
        <w:keepNext w:val="0"/>
        <w:keepLines w:val="0"/>
        <w:numPr>
          <w:ilvl w:val="0"/>
          <w:numId w:val="7"/>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sz w:val="24"/>
          <w:szCs w:val="24"/>
        </w:rPr>
      </w:pPr>
      <w:proofErr w:type="gramStart"/>
      <w:r w:rsidRPr="001C573E">
        <w:rPr>
          <w:rFonts w:ascii="Arial" w:hAnsi="Arial" w:cs="Arial"/>
          <w:sz w:val="24"/>
          <w:szCs w:val="24"/>
        </w:rPr>
        <w:t>venue</w:t>
      </w:r>
      <w:proofErr w:type="gramEnd"/>
      <w:r w:rsidRPr="001C573E">
        <w:rPr>
          <w:rFonts w:ascii="Arial" w:hAnsi="Arial" w:cs="Arial"/>
          <w:sz w:val="24"/>
          <w:szCs w:val="24"/>
        </w:rPr>
        <w:t xml:space="preserve"> hire costs for the deliberation and any additional room/venue costs (although most meetings during the process are expected to be held at the offices of the NIC or the Supplier).</w:t>
      </w:r>
    </w:p>
    <w:p w14:paraId="2AE0A36B" w14:textId="77777777" w:rsidR="001C573E" w:rsidRPr="001C573E" w:rsidRDefault="001C573E" w:rsidP="000E2A3E">
      <w:pPr>
        <w:pStyle w:val="Heading3"/>
        <w:keepNext w:val="0"/>
        <w:keepLines w:val="0"/>
        <w:numPr>
          <w:ilvl w:val="0"/>
          <w:numId w:val="7"/>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ind w:left="1434" w:hanging="357"/>
        <w:rPr>
          <w:rFonts w:ascii="Arial" w:hAnsi="Arial" w:cs="Arial"/>
          <w:sz w:val="24"/>
          <w:szCs w:val="24"/>
        </w:rPr>
      </w:pPr>
      <w:proofErr w:type="gramStart"/>
      <w:r w:rsidRPr="001C573E">
        <w:rPr>
          <w:rFonts w:ascii="Arial" w:hAnsi="Arial" w:cs="Arial"/>
          <w:sz w:val="24"/>
          <w:szCs w:val="24"/>
        </w:rPr>
        <w:t>any</w:t>
      </w:r>
      <w:proofErr w:type="gramEnd"/>
      <w:r w:rsidRPr="001C573E">
        <w:rPr>
          <w:rFonts w:ascii="Arial" w:hAnsi="Arial" w:cs="Arial"/>
          <w:sz w:val="24"/>
          <w:szCs w:val="24"/>
        </w:rPr>
        <w:t xml:space="preserve"> additional costs associated with analysing the deliberation and producing the final report.</w:t>
      </w:r>
    </w:p>
    <w:p w14:paraId="06EA00C3" w14:textId="017A55F4" w:rsidR="001C573E" w:rsidRPr="001C573E" w:rsidRDefault="00A86949"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Pr>
          <w:rFonts w:ascii="Arial" w:hAnsi="Arial" w:cs="Arial"/>
          <w:sz w:val="24"/>
          <w:szCs w:val="24"/>
        </w:rPr>
        <w:t>[REDACTED]</w:t>
      </w:r>
    </w:p>
    <w:p w14:paraId="5A2BF7DA" w14:textId="12DE9E6C" w:rsidR="001C573E" w:rsidRPr="001C573E" w:rsidRDefault="00A86949"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Pr>
          <w:rFonts w:ascii="Arial" w:hAnsi="Arial" w:cs="Arial"/>
          <w:sz w:val="24"/>
          <w:szCs w:val="24"/>
        </w:rPr>
        <w:t>[REDACTED]</w:t>
      </w:r>
    </w:p>
    <w:p w14:paraId="63D05D2E" w14:textId="77777777" w:rsidR="001C573E" w:rsidRPr="001C573E" w:rsidRDefault="001C573E" w:rsidP="001C573E">
      <w:pPr>
        <w:rPr>
          <w:rFonts w:ascii="Arial" w:eastAsia="STZhongsong" w:hAnsi="Arial" w:cs="Arial"/>
          <w:b/>
          <w:caps/>
          <w:sz w:val="32"/>
          <w:szCs w:val="32"/>
        </w:rPr>
      </w:pPr>
      <w:r w:rsidRPr="001C573E">
        <w:rPr>
          <w:rFonts w:ascii="Arial" w:hAnsi="Arial" w:cs="Arial"/>
          <w:sz w:val="32"/>
          <w:szCs w:val="32"/>
        </w:rPr>
        <w:br w:type="page"/>
      </w:r>
    </w:p>
    <w:p w14:paraId="4B9398A2" w14:textId="53B393C4" w:rsidR="001C573E" w:rsidRPr="001C573E" w:rsidRDefault="001C573E" w:rsidP="000E2A3E">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851"/>
        </w:tabs>
        <w:adjustRightInd w:val="0"/>
        <w:spacing w:after="120"/>
        <w:rPr>
          <w:rFonts w:ascii="Arial" w:hAnsi="Arial" w:cs="Arial"/>
          <w:sz w:val="32"/>
          <w:szCs w:val="32"/>
        </w:rPr>
      </w:pPr>
      <w:bookmarkStart w:id="29" w:name="_Toc15461665"/>
      <w:r w:rsidRPr="001C573E">
        <w:rPr>
          <w:rFonts w:ascii="Arial" w:hAnsi="Arial" w:cs="Arial"/>
          <w:sz w:val="32"/>
          <w:szCs w:val="32"/>
        </w:rPr>
        <w:lastRenderedPageBreak/>
        <w:t>KEY MILESTONES</w:t>
      </w:r>
      <w:bookmarkEnd w:id="28"/>
      <w:r w:rsidRPr="001C573E">
        <w:rPr>
          <w:rFonts w:ascii="Arial" w:hAnsi="Arial" w:cs="Arial"/>
          <w:sz w:val="32"/>
          <w:szCs w:val="32"/>
        </w:rPr>
        <w:t xml:space="preserve"> AND DELIVERABLES</w:t>
      </w:r>
      <w:bookmarkEnd w:id="29"/>
    </w:p>
    <w:p w14:paraId="78536068"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132"/>
          <w:tab w:val="num" w:pos="862"/>
        </w:tabs>
        <w:overflowPunct w:val="0"/>
        <w:autoSpaceDE w:val="0"/>
        <w:autoSpaceDN w:val="0"/>
        <w:adjustRightInd w:val="0"/>
        <w:spacing w:after="120"/>
        <w:ind w:left="709" w:hanging="709"/>
        <w:textAlignment w:val="baseline"/>
        <w:rPr>
          <w:rFonts w:ascii="Arial" w:hAnsi="Arial" w:cs="Arial"/>
          <w:sz w:val="24"/>
          <w:szCs w:val="24"/>
        </w:rPr>
      </w:pPr>
      <w:r w:rsidRPr="001C573E">
        <w:rPr>
          <w:rFonts w:ascii="Arial" w:hAnsi="Arial" w:cs="Arial"/>
          <w:sz w:val="24"/>
          <w:szCs w:val="24"/>
        </w:rPr>
        <w:t>The following Contract milestones/deliverables shall apply:</w:t>
      </w:r>
    </w:p>
    <w:tbl>
      <w:tblPr>
        <w:tblStyle w:val="TableGrid"/>
        <w:tblW w:w="5000" w:type="pct"/>
        <w:tblLook w:val="04A0" w:firstRow="1" w:lastRow="0" w:firstColumn="1" w:lastColumn="0" w:noHBand="0" w:noVBand="1"/>
      </w:tblPr>
      <w:tblGrid>
        <w:gridCol w:w="2671"/>
        <w:gridCol w:w="4251"/>
        <w:gridCol w:w="2097"/>
      </w:tblGrid>
      <w:tr w:rsidR="001C573E" w:rsidRPr="001C573E" w14:paraId="04ABFF1A" w14:textId="77777777" w:rsidTr="001C573E">
        <w:tc>
          <w:tcPr>
            <w:tcW w:w="1481" w:type="pct"/>
            <w:shd w:val="clear" w:color="auto" w:fill="BDD6EE" w:themeFill="accent1" w:themeFillTint="66"/>
            <w:vAlign w:val="center"/>
          </w:tcPr>
          <w:p w14:paraId="31A662A7" w14:textId="77777777" w:rsidR="001C573E" w:rsidRPr="001C573E" w:rsidRDefault="001C573E" w:rsidP="001C573E">
            <w:pPr>
              <w:pStyle w:val="Heading3"/>
              <w:spacing w:after="120"/>
              <w:ind w:left="0" w:firstLine="0"/>
              <w:jc w:val="center"/>
              <w:outlineLvl w:val="2"/>
              <w:rPr>
                <w:rFonts w:ascii="Arial" w:hAnsi="Arial" w:cs="Arial"/>
                <w:b/>
                <w:sz w:val="24"/>
                <w:szCs w:val="24"/>
              </w:rPr>
            </w:pPr>
            <w:r w:rsidRPr="001C573E">
              <w:rPr>
                <w:rFonts w:ascii="Arial" w:hAnsi="Arial" w:cs="Arial"/>
                <w:b/>
                <w:sz w:val="24"/>
                <w:szCs w:val="24"/>
              </w:rPr>
              <w:t>Milestone/Deliverable</w:t>
            </w:r>
          </w:p>
        </w:tc>
        <w:tc>
          <w:tcPr>
            <w:tcW w:w="2188" w:type="pct"/>
            <w:shd w:val="clear" w:color="auto" w:fill="BDD6EE" w:themeFill="accent1" w:themeFillTint="66"/>
            <w:vAlign w:val="center"/>
          </w:tcPr>
          <w:p w14:paraId="572377A9" w14:textId="77777777" w:rsidR="001C573E" w:rsidRPr="001C573E" w:rsidRDefault="001C573E" w:rsidP="001C573E">
            <w:pPr>
              <w:pStyle w:val="Heading3"/>
              <w:spacing w:after="120"/>
              <w:ind w:left="0" w:firstLine="0"/>
              <w:jc w:val="center"/>
              <w:outlineLvl w:val="2"/>
              <w:rPr>
                <w:rFonts w:ascii="Arial" w:hAnsi="Arial" w:cs="Arial"/>
                <w:b/>
                <w:sz w:val="24"/>
                <w:szCs w:val="24"/>
              </w:rPr>
            </w:pPr>
            <w:r w:rsidRPr="001C573E">
              <w:rPr>
                <w:rFonts w:ascii="Arial" w:hAnsi="Arial" w:cs="Arial"/>
                <w:b/>
                <w:sz w:val="24"/>
                <w:szCs w:val="24"/>
              </w:rPr>
              <w:t>Description</w:t>
            </w:r>
          </w:p>
        </w:tc>
        <w:tc>
          <w:tcPr>
            <w:tcW w:w="1331" w:type="pct"/>
            <w:shd w:val="clear" w:color="auto" w:fill="BDD6EE" w:themeFill="accent1" w:themeFillTint="66"/>
            <w:vAlign w:val="center"/>
          </w:tcPr>
          <w:p w14:paraId="06B263D1" w14:textId="77777777" w:rsidR="001C573E" w:rsidRPr="001C573E" w:rsidRDefault="001C573E" w:rsidP="001C573E">
            <w:pPr>
              <w:pStyle w:val="Heading3"/>
              <w:spacing w:after="120"/>
              <w:ind w:left="0" w:firstLine="0"/>
              <w:jc w:val="center"/>
              <w:outlineLvl w:val="2"/>
              <w:rPr>
                <w:rFonts w:ascii="Arial" w:hAnsi="Arial" w:cs="Arial"/>
                <w:b/>
                <w:sz w:val="24"/>
                <w:szCs w:val="24"/>
              </w:rPr>
            </w:pPr>
            <w:r w:rsidRPr="001C573E">
              <w:rPr>
                <w:rFonts w:ascii="Arial" w:hAnsi="Arial" w:cs="Arial"/>
                <w:b/>
                <w:sz w:val="24"/>
                <w:szCs w:val="24"/>
              </w:rPr>
              <w:t xml:space="preserve">Timeframe </w:t>
            </w:r>
            <w:proofErr w:type="gramStart"/>
            <w:r w:rsidRPr="001C573E">
              <w:rPr>
                <w:rFonts w:ascii="Arial" w:hAnsi="Arial" w:cs="Arial"/>
                <w:b/>
                <w:sz w:val="24"/>
                <w:szCs w:val="24"/>
              </w:rPr>
              <w:t>or  Delivery</w:t>
            </w:r>
            <w:proofErr w:type="gramEnd"/>
            <w:r w:rsidRPr="001C573E">
              <w:rPr>
                <w:rFonts w:ascii="Arial" w:hAnsi="Arial" w:cs="Arial"/>
                <w:b/>
                <w:sz w:val="24"/>
                <w:szCs w:val="24"/>
              </w:rPr>
              <w:t xml:space="preserve"> Date</w:t>
            </w:r>
          </w:p>
        </w:tc>
      </w:tr>
      <w:tr w:rsidR="001C573E" w:rsidRPr="001C573E" w14:paraId="7A491911" w14:textId="77777777" w:rsidTr="001C573E">
        <w:tc>
          <w:tcPr>
            <w:tcW w:w="898" w:type="pct"/>
            <w:vAlign w:val="center"/>
          </w:tcPr>
          <w:p w14:paraId="5566486F" w14:textId="77777777" w:rsidR="001C573E" w:rsidRPr="001C573E" w:rsidRDefault="001C573E" w:rsidP="001C573E">
            <w:pPr>
              <w:pStyle w:val="Heading3"/>
              <w:spacing w:after="120"/>
              <w:ind w:left="0" w:firstLine="0"/>
              <w:jc w:val="center"/>
              <w:outlineLvl w:val="2"/>
              <w:rPr>
                <w:rFonts w:ascii="Arial" w:hAnsi="Arial" w:cs="Arial"/>
                <w:sz w:val="24"/>
                <w:szCs w:val="24"/>
                <w:highlight w:val="yellow"/>
              </w:rPr>
            </w:pPr>
            <w:r w:rsidRPr="001C573E">
              <w:rPr>
                <w:rFonts w:ascii="Arial" w:hAnsi="Arial" w:cs="Arial"/>
                <w:sz w:val="24"/>
              </w:rPr>
              <w:t>1</w:t>
            </w:r>
          </w:p>
        </w:tc>
        <w:tc>
          <w:tcPr>
            <w:tcW w:w="2480" w:type="pct"/>
            <w:vAlign w:val="center"/>
          </w:tcPr>
          <w:p w14:paraId="4FF5A8CF" w14:textId="77777777" w:rsidR="001C573E" w:rsidRPr="001C573E" w:rsidRDefault="001C573E" w:rsidP="001C573E">
            <w:pPr>
              <w:pStyle w:val="Heading3"/>
              <w:spacing w:after="120"/>
              <w:ind w:left="0" w:firstLine="0"/>
              <w:jc w:val="left"/>
              <w:outlineLvl w:val="2"/>
              <w:rPr>
                <w:rFonts w:ascii="Arial" w:hAnsi="Arial" w:cs="Arial"/>
                <w:sz w:val="24"/>
                <w:szCs w:val="24"/>
                <w:highlight w:val="yellow"/>
              </w:rPr>
            </w:pPr>
            <w:r w:rsidRPr="001C573E">
              <w:rPr>
                <w:rFonts w:ascii="Arial" w:hAnsi="Arial" w:cs="Arial"/>
                <w:sz w:val="24"/>
              </w:rPr>
              <w:t xml:space="preserve">Project inception meeting with NIC to include draft inception report to be provided, and agreed by NIC, clarifying the approach to be taken, along with a plan setting out key milestones and dates for deliverables, risks and how these will be managed, </w:t>
            </w:r>
            <w:proofErr w:type="spellStart"/>
            <w:r w:rsidRPr="001C573E">
              <w:rPr>
                <w:rFonts w:ascii="Arial" w:hAnsi="Arial" w:cs="Arial"/>
                <w:sz w:val="24"/>
              </w:rPr>
              <w:t>etc</w:t>
            </w:r>
            <w:proofErr w:type="spellEnd"/>
          </w:p>
        </w:tc>
        <w:tc>
          <w:tcPr>
            <w:tcW w:w="1622" w:type="pct"/>
            <w:vAlign w:val="center"/>
          </w:tcPr>
          <w:p w14:paraId="1E59E8EA" w14:textId="77777777" w:rsidR="001C573E" w:rsidRPr="001C573E" w:rsidRDefault="001C573E" w:rsidP="001C573E">
            <w:pPr>
              <w:pStyle w:val="Heading3"/>
              <w:spacing w:after="120"/>
              <w:ind w:left="0" w:firstLine="0"/>
              <w:jc w:val="center"/>
              <w:outlineLvl w:val="2"/>
              <w:rPr>
                <w:rFonts w:ascii="Arial" w:hAnsi="Arial" w:cs="Arial"/>
                <w:sz w:val="24"/>
                <w:szCs w:val="24"/>
                <w:highlight w:val="yellow"/>
              </w:rPr>
            </w:pPr>
            <w:r w:rsidRPr="001C573E">
              <w:rPr>
                <w:rFonts w:ascii="Arial" w:hAnsi="Arial" w:cs="Arial"/>
                <w:sz w:val="24"/>
              </w:rPr>
              <w:t>Within 2 weeks of contract award</w:t>
            </w:r>
          </w:p>
        </w:tc>
      </w:tr>
      <w:tr w:rsidR="001C573E" w:rsidRPr="001C573E" w14:paraId="7D978DB4" w14:textId="77777777" w:rsidTr="001C573E">
        <w:tc>
          <w:tcPr>
            <w:tcW w:w="1481" w:type="pct"/>
            <w:vAlign w:val="center"/>
          </w:tcPr>
          <w:p w14:paraId="6153ACFE" w14:textId="77777777" w:rsidR="001C573E" w:rsidRPr="001C573E" w:rsidRDefault="001C573E" w:rsidP="001C573E">
            <w:pPr>
              <w:pStyle w:val="Heading3"/>
              <w:spacing w:after="120"/>
              <w:ind w:left="0" w:firstLine="0"/>
              <w:jc w:val="center"/>
              <w:outlineLvl w:val="2"/>
              <w:rPr>
                <w:rFonts w:ascii="Arial" w:hAnsi="Arial" w:cs="Arial"/>
                <w:sz w:val="24"/>
                <w:szCs w:val="24"/>
                <w:highlight w:val="yellow"/>
              </w:rPr>
            </w:pPr>
            <w:r w:rsidRPr="001C573E">
              <w:rPr>
                <w:rFonts w:ascii="Arial" w:hAnsi="Arial" w:cs="Arial"/>
                <w:sz w:val="24"/>
              </w:rPr>
              <w:t>2</w:t>
            </w:r>
          </w:p>
        </w:tc>
        <w:tc>
          <w:tcPr>
            <w:tcW w:w="2188" w:type="pct"/>
            <w:vAlign w:val="center"/>
          </w:tcPr>
          <w:p w14:paraId="62206403" w14:textId="77777777" w:rsidR="001C573E" w:rsidRPr="001C573E" w:rsidRDefault="001C573E" w:rsidP="001C573E">
            <w:pPr>
              <w:pStyle w:val="Heading3"/>
              <w:spacing w:after="120"/>
              <w:ind w:left="0" w:firstLine="0"/>
              <w:jc w:val="left"/>
              <w:outlineLvl w:val="2"/>
              <w:rPr>
                <w:rFonts w:ascii="Arial" w:hAnsi="Arial" w:cs="Arial"/>
                <w:sz w:val="24"/>
                <w:szCs w:val="24"/>
                <w:highlight w:val="yellow"/>
              </w:rPr>
            </w:pPr>
            <w:r w:rsidRPr="001C573E">
              <w:rPr>
                <w:rFonts w:ascii="Arial" w:hAnsi="Arial" w:cs="Arial"/>
                <w:sz w:val="24"/>
              </w:rPr>
              <w:t>Inception report submitted to the NIC and the advisory panel outlining the methodology, set milestones, deliverables, risks and mitigation.</w:t>
            </w:r>
          </w:p>
        </w:tc>
        <w:tc>
          <w:tcPr>
            <w:tcW w:w="1331" w:type="pct"/>
            <w:vAlign w:val="center"/>
          </w:tcPr>
          <w:p w14:paraId="0FA9BBD5" w14:textId="77777777" w:rsidR="001C573E" w:rsidRPr="001C573E" w:rsidRDefault="001C573E" w:rsidP="001C573E">
            <w:pPr>
              <w:pStyle w:val="Heading3"/>
              <w:spacing w:after="120"/>
              <w:ind w:left="0" w:firstLine="0"/>
              <w:jc w:val="center"/>
              <w:outlineLvl w:val="2"/>
              <w:rPr>
                <w:rFonts w:ascii="Arial" w:hAnsi="Arial" w:cs="Arial"/>
                <w:sz w:val="24"/>
                <w:szCs w:val="24"/>
                <w:highlight w:val="yellow"/>
              </w:rPr>
            </w:pPr>
            <w:r w:rsidRPr="001C573E">
              <w:rPr>
                <w:rFonts w:ascii="Arial" w:hAnsi="Arial" w:cs="Arial"/>
                <w:sz w:val="24"/>
              </w:rPr>
              <w:t>Within first month of contract award</w:t>
            </w:r>
          </w:p>
        </w:tc>
      </w:tr>
      <w:tr w:rsidR="001C573E" w:rsidRPr="001C573E" w14:paraId="46C08CC1" w14:textId="77777777" w:rsidTr="001C573E">
        <w:tc>
          <w:tcPr>
            <w:tcW w:w="1481" w:type="pct"/>
            <w:vAlign w:val="center"/>
          </w:tcPr>
          <w:p w14:paraId="3A241C7D" w14:textId="77777777" w:rsidR="001C573E" w:rsidRPr="001C573E" w:rsidRDefault="001C573E" w:rsidP="001C573E">
            <w:pPr>
              <w:pStyle w:val="Heading3"/>
              <w:spacing w:after="120"/>
              <w:ind w:left="0" w:firstLine="0"/>
              <w:jc w:val="center"/>
              <w:outlineLvl w:val="2"/>
              <w:rPr>
                <w:rFonts w:ascii="Arial" w:hAnsi="Arial" w:cs="Arial"/>
                <w:sz w:val="24"/>
                <w:szCs w:val="24"/>
                <w:highlight w:val="yellow"/>
              </w:rPr>
            </w:pPr>
            <w:r w:rsidRPr="001C573E">
              <w:rPr>
                <w:rFonts w:ascii="Arial" w:hAnsi="Arial" w:cs="Arial"/>
                <w:sz w:val="24"/>
              </w:rPr>
              <w:t>3</w:t>
            </w:r>
          </w:p>
        </w:tc>
        <w:tc>
          <w:tcPr>
            <w:tcW w:w="2188" w:type="pct"/>
            <w:vAlign w:val="center"/>
          </w:tcPr>
          <w:p w14:paraId="1665C90B" w14:textId="77777777" w:rsidR="001C573E" w:rsidRPr="001C573E" w:rsidRDefault="001C573E" w:rsidP="001C573E">
            <w:pPr>
              <w:pStyle w:val="Heading3"/>
              <w:spacing w:after="120"/>
              <w:ind w:left="0" w:firstLine="0"/>
              <w:jc w:val="left"/>
              <w:outlineLvl w:val="2"/>
              <w:rPr>
                <w:rFonts w:ascii="Arial" w:hAnsi="Arial" w:cs="Arial"/>
                <w:sz w:val="24"/>
                <w:szCs w:val="24"/>
                <w:highlight w:val="yellow"/>
              </w:rPr>
            </w:pPr>
            <w:r w:rsidRPr="001C573E">
              <w:rPr>
                <w:rFonts w:ascii="Arial" w:hAnsi="Arial" w:cs="Arial"/>
                <w:sz w:val="24"/>
              </w:rPr>
              <w:t>Identify and commission any additional evidence required to inform the public engagement.</w:t>
            </w:r>
          </w:p>
        </w:tc>
        <w:tc>
          <w:tcPr>
            <w:tcW w:w="1331" w:type="pct"/>
            <w:vAlign w:val="center"/>
          </w:tcPr>
          <w:p w14:paraId="59DE7878" w14:textId="77777777" w:rsidR="001C573E" w:rsidRPr="001C573E" w:rsidRDefault="001C573E" w:rsidP="001C573E">
            <w:pPr>
              <w:pStyle w:val="Heading3"/>
              <w:spacing w:after="120"/>
              <w:ind w:left="0" w:firstLine="0"/>
              <w:jc w:val="center"/>
              <w:outlineLvl w:val="2"/>
              <w:rPr>
                <w:rFonts w:ascii="Arial" w:hAnsi="Arial" w:cs="Arial"/>
                <w:sz w:val="24"/>
                <w:szCs w:val="24"/>
                <w:highlight w:val="yellow"/>
              </w:rPr>
            </w:pPr>
            <w:r w:rsidRPr="001C573E">
              <w:rPr>
                <w:rFonts w:ascii="Arial" w:hAnsi="Arial" w:cs="Arial"/>
                <w:sz w:val="24"/>
              </w:rPr>
              <w:t>End of September 2019</w:t>
            </w:r>
          </w:p>
        </w:tc>
      </w:tr>
      <w:tr w:rsidR="001C573E" w:rsidRPr="001C573E" w14:paraId="6F74F78E" w14:textId="77777777" w:rsidTr="001C573E">
        <w:tc>
          <w:tcPr>
            <w:tcW w:w="1481" w:type="pct"/>
            <w:vAlign w:val="center"/>
          </w:tcPr>
          <w:p w14:paraId="63E496F0" w14:textId="77777777" w:rsidR="001C573E" w:rsidRPr="001C573E" w:rsidRDefault="001C573E" w:rsidP="001C573E">
            <w:pPr>
              <w:pStyle w:val="Heading3"/>
              <w:spacing w:after="120"/>
              <w:ind w:left="0" w:firstLine="0"/>
              <w:jc w:val="center"/>
              <w:outlineLvl w:val="2"/>
              <w:rPr>
                <w:rFonts w:ascii="Arial" w:hAnsi="Arial" w:cs="Arial"/>
                <w:sz w:val="24"/>
                <w:szCs w:val="24"/>
                <w:highlight w:val="yellow"/>
              </w:rPr>
            </w:pPr>
            <w:r w:rsidRPr="001C573E">
              <w:rPr>
                <w:rFonts w:ascii="Arial" w:hAnsi="Arial" w:cs="Arial"/>
                <w:sz w:val="24"/>
              </w:rPr>
              <w:t>4</w:t>
            </w:r>
          </w:p>
        </w:tc>
        <w:tc>
          <w:tcPr>
            <w:tcW w:w="2188" w:type="pct"/>
            <w:vAlign w:val="center"/>
          </w:tcPr>
          <w:p w14:paraId="537F5253" w14:textId="77777777" w:rsidR="001C573E" w:rsidRPr="001C573E" w:rsidRDefault="001C573E" w:rsidP="001C573E">
            <w:pPr>
              <w:pStyle w:val="Heading3"/>
              <w:spacing w:after="120"/>
              <w:ind w:left="0" w:firstLine="0"/>
              <w:jc w:val="left"/>
              <w:outlineLvl w:val="2"/>
              <w:rPr>
                <w:rFonts w:ascii="Arial" w:hAnsi="Arial" w:cs="Arial"/>
                <w:sz w:val="24"/>
                <w:szCs w:val="24"/>
                <w:highlight w:val="yellow"/>
              </w:rPr>
            </w:pPr>
            <w:r w:rsidRPr="001C573E">
              <w:rPr>
                <w:rFonts w:ascii="Arial" w:hAnsi="Arial" w:cs="Arial"/>
                <w:sz w:val="24"/>
              </w:rPr>
              <w:t>Confirm with the NIC and advisory panel: evidence for discussion, presenters and structure of the engagement. Conclude any collection of survey evidence or pilot focus groups.</w:t>
            </w:r>
          </w:p>
        </w:tc>
        <w:tc>
          <w:tcPr>
            <w:tcW w:w="1331" w:type="pct"/>
            <w:vAlign w:val="center"/>
          </w:tcPr>
          <w:p w14:paraId="56860B86" w14:textId="77777777" w:rsidR="001C573E" w:rsidRPr="001C573E" w:rsidRDefault="001C573E" w:rsidP="001C573E">
            <w:pPr>
              <w:pStyle w:val="Heading3"/>
              <w:spacing w:after="120"/>
              <w:ind w:left="0" w:firstLine="0"/>
              <w:jc w:val="center"/>
              <w:outlineLvl w:val="2"/>
              <w:rPr>
                <w:rFonts w:ascii="Arial" w:hAnsi="Arial" w:cs="Arial"/>
                <w:sz w:val="24"/>
                <w:szCs w:val="24"/>
              </w:rPr>
            </w:pPr>
            <w:r w:rsidRPr="001C573E">
              <w:rPr>
                <w:rFonts w:ascii="Arial" w:hAnsi="Arial" w:cs="Arial"/>
                <w:sz w:val="24"/>
              </w:rPr>
              <w:t>Mid November 2019</w:t>
            </w:r>
          </w:p>
        </w:tc>
      </w:tr>
      <w:tr w:rsidR="001C573E" w:rsidRPr="001C573E" w14:paraId="0DAE5699" w14:textId="77777777" w:rsidTr="001C573E">
        <w:tc>
          <w:tcPr>
            <w:tcW w:w="1481" w:type="pct"/>
            <w:vAlign w:val="center"/>
          </w:tcPr>
          <w:p w14:paraId="754A07A8" w14:textId="77777777" w:rsidR="001C573E" w:rsidRPr="001C573E" w:rsidRDefault="001C573E" w:rsidP="001C573E">
            <w:pPr>
              <w:pStyle w:val="Heading3"/>
              <w:spacing w:after="120"/>
              <w:ind w:left="0" w:firstLine="0"/>
              <w:jc w:val="center"/>
              <w:outlineLvl w:val="2"/>
              <w:rPr>
                <w:rFonts w:ascii="Arial" w:hAnsi="Arial" w:cs="Arial"/>
                <w:sz w:val="24"/>
                <w:szCs w:val="24"/>
                <w:highlight w:val="yellow"/>
              </w:rPr>
            </w:pPr>
            <w:r w:rsidRPr="001C573E">
              <w:rPr>
                <w:rFonts w:ascii="Arial" w:hAnsi="Arial" w:cs="Arial"/>
                <w:sz w:val="24"/>
              </w:rPr>
              <w:t>5</w:t>
            </w:r>
          </w:p>
        </w:tc>
        <w:tc>
          <w:tcPr>
            <w:tcW w:w="2188" w:type="pct"/>
            <w:vAlign w:val="center"/>
          </w:tcPr>
          <w:p w14:paraId="3414A8A6" w14:textId="77777777" w:rsidR="001C573E" w:rsidRPr="001C573E" w:rsidRDefault="001C573E" w:rsidP="001C573E">
            <w:pPr>
              <w:pStyle w:val="Heading3"/>
              <w:spacing w:after="120"/>
              <w:ind w:left="0" w:firstLine="0"/>
              <w:jc w:val="left"/>
              <w:outlineLvl w:val="2"/>
              <w:rPr>
                <w:rFonts w:ascii="Arial" w:hAnsi="Arial" w:cs="Arial"/>
                <w:sz w:val="24"/>
                <w:szCs w:val="24"/>
                <w:highlight w:val="yellow"/>
              </w:rPr>
            </w:pPr>
            <w:r w:rsidRPr="001C573E">
              <w:rPr>
                <w:rFonts w:ascii="Arial" w:hAnsi="Arial" w:cs="Arial"/>
                <w:sz w:val="24"/>
              </w:rPr>
              <w:t>Deliberative public engagements (likely to be over multiple weeks).</w:t>
            </w:r>
          </w:p>
        </w:tc>
        <w:tc>
          <w:tcPr>
            <w:tcW w:w="1331" w:type="pct"/>
            <w:vAlign w:val="center"/>
          </w:tcPr>
          <w:p w14:paraId="1796C272" w14:textId="77777777" w:rsidR="001C573E" w:rsidRPr="001C573E" w:rsidRDefault="001C573E" w:rsidP="001C573E">
            <w:pPr>
              <w:pStyle w:val="Heading3"/>
              <w:spacing w:after="120"/>
              <w:ind w:left="0" w:firstLine="0"/>
              <w:jc w:val="center"/>
              <w:outlineLvl w:val="2"/>
              <w:rPr>
                <w:rFonts w:ascii="Arial" w:hAnsi="Arial" w:cs="Arial"/>
                <w:sz w:val="24"/>
                <w:szCs w:val="24"/>
                <w:highlight w:val="yellow"/>
              </w:rPr>
            </w:pPr>
            <w:r w:rsidRPr="001C573E">
              <w:rPr>
                <w:rFonts w:ascii="Arial" w:hAnsi="Arial" w:cs="Arial"/>
                <w:sz w:val="24"/>
              </w:rPr>
              <w:t>January/February 2019</w:t>
            </w:r>
          </w:p>
        </w:tc>
      </w:tr>
      <w:tr w:rsidR="001C573E" w:rsidRPr="001C573E" w14:paraId="663FE8E2" w14:textId="77777777" w:rsidTr="001C573E">
        <w:tc>
          <w:tcPr>
            <w:tcW w:w="1481" w:type="pct"/>
            <w:vAlign w:val="center"/>
          </w:tcPr>
          <w:p w14:paraId="743CF47C" w14:textId="77777777" w:rsidR="001C573E" w:rsidRPr="001C573E" w:rsidRDefault="001C573E" w:rsidP="001C573E">
            <w:pPr>
              <w:pStyle w:val="Heading3"/>
              <w:spacing w:after="120"/>
              <w:ind w:left="0" w:firstLine="0"/>
              <w:jc w:val="center"/>
              <w:outlineLvl w:val="2"/>
              <w:rPr>
                <w:rFonts w:ascii="Arial" w:hAnsi="Arial" w:cs="Arial"/>
                <w:sz w:val="24"/>
                <w:szCs w:val="24"/>
                <w:highlight w:val="yellow"/>
              </w:rPr>
            </w:pPr>
            <w:r w:rsidRPr="001C573E">
              <w:rPr>
                <w:rFonts w:ascii="Arial" w:hAnsi="Arial" w:cs="Arial"/>
                <w:sz w:val="24"/>
              </w:rPr>
              <w:t>6</w:t>
            </w:r>
          </w:p>
        </w:tc>
        <w:tc>
          <w:tcPr>
            <w:tcW w:w="2188" w:type="pct"/>
            <w:vAlign w:val="center"/>
          </w:tcPr>
          <w:p w14:paraId="617C2F22" w14:textId="77777777" w:rsidR="001C573E" w:rsidRPr="001C573E" w:rsidRDefault="001C573E" w:rsidP="001C573E">
            <w:pPr>
              <w:pStyle w:val="Heading3"/>
              <w:spacing w:after="120"/>
              <w:ind w:left="0" w:firstLine="0"/>
              <w:jc w:val="left"/>
              <w:outlineLvl w:val="2"/>
              <w:rPr>
                <w:rFonts w:ascii="Arial" w:hAnsi="Arial" w:cs="Arial"/>
                <w:sz w:val="24"/>
                <w:szCs w:val="24"/>
                <w:highlight w:val="yellow"/>
              </w:rPr>
            </w:pPr>
            <w:r w:rsidRPr="001C573E">
              <w:rPr>
                <w:rFonts w:ascii="Arial" w:hAnsi="Arial" w:cs="Arial"/>
                <w:sz w:val="24"/>
              </w:rPr>
              <w:t>Presentation of findings/draft report to the NIC and the advisory panel.</w:t>
            </w:r>
          </w:p>
        </w:tc>
        <w:tc>
          <w:tcPr>
            <w:tcW w:w="1331" w:type="pct"/>
            <w:vAlign w:val="center"/>
          </w:tcPr>
          <w:p w14:paraId="74290F61" w14:textId="77777777" w:rsidR="001C573E" w:rsidRPr="001C573E" w:rsidRDefault="001C573E" w:rsidP="001C573E">
            <w:pPr>
              <w:pStyle w:val="Heading3"/>
              <w:spacing w:after="120"/>
              <w:ind w:left="0" w:firstLine="0"/>
              <w:jc w:val="center"/>
              <w:outlineLvl w:val="2"/>
              <w:rPr>
                <w:rFonts w:ascii="Arial" w:hAnsi="Arial" w:cs="Arial"/>
                <w:sz w:val="24"/>
                <w:szCs w:val="24"/>
                <w:highlight w:val="yellow"/>
              </w:rPr>
            </w:pPr>
            <w:r w:rsidRPr="001C573E">
              <w:rPr>
                <w:rFonts w:ascii="Arial" w:hAnsi="Arial" w:cs="Arial"/>
                <w:sz w:val="24"/>
              </w:rPr>
              <w:t>February 2020</w:t>
            </w:r>
          </w:p>
        </w:tc>
      </w:tr>
      <w:tr w:rsidR="001C573E" w:rsidRPr="001C573E" w14:paraId="7C5FEB1F" w14:textId="77777777" w:rsidTr="001C573E">
        <w:tc>
          <w:tcPr>
            <w:tcW w:w="1481" w:type="pct"/>
            <w:vAlign w:val="center"/>
          </w:tcPr>
          <w:p w14:paraId="3CD60EA1" w14:textId="77777777" w:rsidR="001C573E" w:rsidRPr="001C573E" w:rsidRDefault="001C573E" w:rsidP="001C573E">
            <w:pPr>
              <w:pStyle w:val="Heading3"/>
              <w:spacing w:after="120"/>
              <w:ind w:left="0" w:firstLine="0"/>
              <w:jc w:val="center"/>
              <w:outlineLvl w:val="2"/>
              <w:rPr>
                <w:rFonts w:ascii="Arial" w:hAnsi="Arial" w:cs="Arial"/>
                <w:sz w:val="24"/>
                <w:szCs w:val="24"/>
                <w:highlight w:val="yellow"/>
              </w:rPr>
            </w:pPr>
            <w:r w:rsidRPr="001C573E">
              <w:rPr>
                <w:rFonts w:ascii="Arial" w:hAnsi="Arial" w:cs="Arial"/>
                <w:sz w:val="24"/>
              </w:rPr>
              <w:t>7</w:t>
            </w:r>
          </w:p>
        </w:tc>
        <w:tc>
          <w:tcPr>
            <w:tcW w:w="2188" w:type="pct"/>
            <w:vAlign w:val="center"/>
          </w:tcPr>
          <w:p w14:paraId="7AFBF8DF" w14:textId="77777777" w:rsidR="001C573E" w:rsidRPr="001C573E" w:rsidRDefault="001C573E" w:rsidP="001C573E">
            <w:pPr>
              <w:pStyle w:val="Heading3"/>
              <w:spacing w:after="120"/>
              <w:ind w:left="0" w:firstLine="0"/>
              <w:jc w:val="left"/>
              <w:outlineLvl w:val="2"/>
              <w:rPr>
                <w:rFonts w:ascii="Arial" w:hAnsi="Arial" w:cs="Arial"/>
                <w:sz w:val="24"/>
                <w:szCs w:val="24"/>
                <w:highlight w:val="yellow"/>
              </w:rPr>
            </w:pPr>
            <w:r w:rsidRPr="001C573E">
              <w:rPr>
                <w:rFonts w:ascii="Arial" w:hAnsi="Arial" w:cs="Arial"/>
                <w:sz w:val="24"/>
              </w:rPr>
              <w:t>Final materials, including a peer reviewed report, provided to the NIC for sign off.</w:t>
            </w:r>
          </w:p>
        </w:tc>
        <w:tc>
          <w:tcPr>
            <w:tcW w:w="1331" w:type="pct"/>
            <w:vAlign w:val="center"/>
          </w:tcPr>
          <w:p w14:paraId="2F8780AB" w14:textId="77777777" w:rsidR="001C573E" w:rsidRPr="001C573E" w:rsidRDefault="001C573E" w:rsidP="001C573E">
            <w:pPr>
              <w:pStyle w:val="Heading3"/>
              <w:spacing w:after="120"/>
              <w:ind w:left="0" w:firstLine="0"/>
              <w:jc w:val="center"/>
              <w:outlineLvl w:val="2"/>
              <w:rPr>
                <w:rFonts w:ascii="Arial" w:hAnsi="Arial" w:cs="Arial"/>
                <w:sz w:val="24"/>
                <w:szCs w:val="24"/>
                <w:highlight w:val="yellow"/>
              </w:rPr>
            </w:pPr>
            <w:r w:rsidRPr="001C573E">
              <w:rPr>
                <w:rFonts w:ascii="Arial" w:hAnsi="Arial" w:cs="Arial"/>
                <w:sz w:val="24"/>
              </w:rPr>
              <w:t>February 2020</w:t>
            </w:r>
          </w:p>
        </w:tc>
      </w:tr>
    </w:tbl>
    <w:p w14:paraId="06CBFDA6" w14:textId="77777777" w:rsidR="001C573E" w:rsidRPr="001C573E" w:rsidRDefault="001C573E" w:rsidP="001C573E">
      <w:pPr>
        <w:pStyle w:val="Heading1"/>
        <w:overflowPunct w:val="0"/>
        <w:autoSpaceDE w:val="0"/>
        <w:autoSpaceDN w:val="0"/>
        <w:spacing w:after="120"/>
        <w:ind w:left="0" w:firstLine="0"/>
        <w:textAlignment w:val="baseline"/>
        <w:rPr>
          <w:rFonts w:ascii="Arial" w:hAnsi="Arial" w:cs="Arial"/>
        </w:rPr>
      </w:pPr>
      <w:bookmarkStart w:id="30" w:name="_Toc302637211"/>
    </w:p>
    <w:p w14:paraId="5ACE86AB" w14:textId="4779A576" w:rsidR="001C573E" w:rsidRPr="001C573E" w:rsidRDefault="001C573E" w:rsidP="000E2A3E">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32"/>
          <w:szCs w:val="32"/>
        </w:rPr>
      </w:pPr>
      <w:bookmarkStart w:id="31" w:name="_Toc368573033"/>
      <w:bookmarkStart w:id="32" w:name="_Toc15461666"/>
      <w:r w:rsidRPr="001C573E">
        <w:rPr>
          <w:rFonts w:ascii="Arial" w:hAnsi="Arial" w:cs="Arial"/>
          <w:sz w:val="32"/>
          <w:szCs w:val="32"/>
        </w:rPr>
        <w:t>MANAGEMENT INFORMATION/</w:t>
      </w:r>
      <w:r w:rsidR="00A86949" w:rsidRPr="001C573E">
        <w:rPr>
          <w:rFonts w:ascii="Arial" w:hAnsi="Arial" w:cs="Arial"/>
          <w:sz w:val="32"/>
          <w:szCs w:val="32"/>
        </w:rPr>
        <w:t>REPORTING</w:t>
      </w:r>
      <w:bookmarkEnd w:id="31"/>
      <w:bookmarkEnd w:id="32"/>
    </w:p>
    <w:p w14:paraId="40114542"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The Authority will work with the Supplier to put in place weekly meetings between project leads to track progress, resource needs and contract spend to date.</w:t>
      </w:r>
    </w:p>
    <w:p w14:paraId="7F0BB2AF" w14:textId="1DE9E09F" w:rsidR="001C573E" w:rsidRPr="001C573E" w:rsidRDefault="001C573E" w:rsidP="000E2A3E">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32"/>
          <w:szCs w:val="32"/>
        </w:rPr>
      </w:pPr>
      <w:bookmarkStart w:id="33" w:name="_Toc368573035"/>
      <w:bookmarkStart w:id="34" w:name="_Toc15461668"/>
      <w:r w:rsidRPr="001C573E">
        <w:rPr>
          <w:rFonts w:ascii="Arial" w:hAnsi="Arial" w:cs="Arial"/>
          <w:sz w:val="32"/>
          <w:szCs w:val="32"/>
        </w:rPr>
        <w:t>CONTINUOUS IMPROVEMENT</w:t>
      </w:r>
      <w:bookmarkEnd w:id="33"/>
      <w:bookmarkEnd w:id="34"/>
    </w:p>
    <w:p w14:paraId="7ED2D9CF"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sz w:val="24"/>
          <w:szCs w:val="24"/>
        </w:rPr>
      </w:pPr>
      <w:r w:rsidRPr="001C573E">
        <w:rPr>
          <w:rFonts w:ascii="Arial" w:hAnsi="Arial" w:cs="Arial"/>
          <w:sz w:val="24"/>
          <w:szCs w:val="24"/>
        </w:rPr>
        <w:t>The Supplier will be expected to continually improve the way in which the required Services are to be delivered throughout the Contract duration.</w:t>
      </w:r>
    </w:p>
    <w:p w14:paraId="79FACC50"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lastRenderedPageBreak/>
        <w:t>The Supplier should present new ways of working to the Authority during weekly update meetings/phone calls.</w:t>
      </w:r>
    </w:p>
    <w:p w14:paraId="257D0B7B"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sz w:val="24"/>
          <w:szCs w:val="24"/>
        </w:rPr>
      </w:pPr>
      <w:r w:rsidRPr="001C573E">
        <w:rPr>
          <w:rFonts w:ascii="Arial" w:hAnsi="Arial" w:cs="Arial"/>
          <w:sz w:val="24"/>
          <w:szCs w:val="24"/>
        </w:rPr>
        <w:t>Changes to the way in which the Services are to be delivered must be brought to the Authority’s attention and agreed prior to any changes being implemented.</w:t>
      </w:r>
    </w:p>
    <w:p w14:paraId="492E2F3F" w14:textId="6322B1E1" w:rsidR="001C573E" w:rsidRPr="001C573E" w:rsidRDefault="001C573E" w:rsidP="000E2A3E">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851"/>
        </w:tabs>
        <w:adjustRightInd w:val="0"/>
        <w:rPr>
          <w:rFonts w:ascii="Arial" w:hAnsi="Arial" w:cs="Arial"/>
          <w:sz w:val="32"/>
          <w:szCs w:val="32"/>
        </w:rPr>
      </w:pPr>
      <w:bookmarkStart w:id="35" w:name="_Toc15461669"/>
      <w:r w:rsidRPr="001C573E">
        <w:rPr>
          <w:rFonts w:ascii="Arial" w:hAnsi="Arial" w:cs="Arial"/>
          <w:sz w:val="32"/>
          <w:szCs w:val="32"/>
        </w:rPr>
        <w:t>SUSTAINABILITY</w:t>
      </w:r>
      <w:bookmarkEnd w:id="35"/>
    </w:p>
    <w:p w14:paraId="0BD75B42"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 xml:space="preserve">There are no sustainability considerations applicable to this requirement, beyond those already expressed in the Terms and Conditions Document.  </w:t>
      </w:r>
    </w:p>
    <w:p w14:paraId="5FD49E82" w14:textId="43A826F1" w:rsidR="001C573E" w:rsidRPr="001C573E" w:rsidRDefault="001C573E" w:rsidP="000E2A3E">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32"/>
          <w:szCs w:val="32"/>
        </w:rPr>
      </w:pPr>
      <w:bookmarkStart w:id="36" w:name="_Toc368573036"/>
      <w:bookmarkStart w:id="37" w:name="_Toc15461670"/>
      <w:r w:rsidRPr="001C573E">
        <w:rPr>
          <w:rFonts w:ascii="Arial" w:hAnsi="Arial" w:cs="Arial"/>
          <w:sz w:val="32"/>
          <w:szCs w:val="32"/>
        </w:rPr>
        <w:t>QUALITY</w:t>
      </w:r>
      <w:bookmarkEnd w:id="36"/>
      <w:bookmarkEnd w:id="37"/>
    </w:p>
    <w:p w14:paraId="7AD1CF85"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The key outputs and related materials will be of publishable standard.</w:t>
      </w:r>
    </w:p>
    <w:p w14:paraId="5E13098A"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All facts, figures and analysis, must be correctly sourced, appraised and referenced and subject to internal peer review.</w:t>
      </w:r>
    </w:p>
    <w:p w14:paraId="1B61E673"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All assumptions that feed into a piece of analysis, as well any risks and limitations related to the results of the analysis should be recorded and shared with the Authority. The Authority’s Project Manager will communicate regularly with the Supplier to ensure they are consulted on all assumptions and important decisions.</w:t>
      </w:r>
    </w:p>
    <w:p w14:paraId="15D29229"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The Authority will be looking to use the data and analysis to inform its report and recommendations to Government. Therefore, it is critical that the project runs to time, with all assumptions and caveats clearly highlighted.</w:t>
      </w:r>
    </w:p>
    <w:p w14:paraId="4A3DF434"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The Authority will also seek views from expert external stakeholders, which may include members of the Commission’s analytical and technical panels, on the work and findings of this research. Any advice or comments will be fed back to the Supplier via the Authority.</w:t>
      </w:r>
    </w:p>
    <w:p w14:paraId="45CE4967"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The final report will be published in the Supplier’s name, which allows for transparency and a reputational risk for the Supplier, if the analysis is not of high quality.</w:t>
      </w:r>
    </w:p>
    <w:p w14:paraId="55887EB0" w14:textId="77777777" w:rsidR="001C573E" w:rsidRPr="001C573E" w:rsidRDefault="001C573E" w:rsidP="000E2A3E">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32"/>
          <w:szCs w:val="32"/>
        </w:rPr>
      </w:pPr>
      <w:bookmarkStart w:id="38" w:name="_Toc368573038"/>
      <w:bookmarkStart w:id="39" w:name="_Toc15461672"/>
      <w:r w:rsidRPr="001C573E">
        <w:rPr>
          <w:rFonts w:ascii="Arial" w:hAnsi="Arial" w:cs="Arial"/>
          <w:sz w:val="32"/>
          <w:szCs w:val="32"/>
        </w:rPr>
        <w:t>STAFF AND CUSTOMER SERVICE</w:t>
      </w:r>
      <w:bookmarkEnd w:id="38"/>
      <w:bookmarkEnd w:id="39"/>
    </w:p>
    <w:p w14:paraId="7070F848"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sz w:val="24"/>
          <w:szCs w:val="24"/>
        </w:rPr>
      </w:pPr>
      <w:r w:rsidRPr="001C573E">
        <w:rPr>
          <w:rFonts w:ascii="Arial" w:hAnsi="Arial" w:cs="Arial"/>
          <w:sz w:val="24"/>
          <w:szCs w:val="24"/>
        </w:rPr>
        <w:t>The Supplier shall provide a sufficient level of resource throughout the duration of the Contract in order to consistently deliver a quality service.</w:t>
      </w:r>
    </w:p>
    <w:p w14:paraId="38F1D3E6"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sz w:val="24"/>
          <w:szCs w:val="24"/>
        </w:rPr>
      </w:pPr>
      <w:r w:rsidRPr="001C573E">
        <w:rPr>
          <w:rFonts w:ascii="Arial" w:hAnsi="Arial" w:cs="Arial"/>
          <w:sz w:val="24"/>
          <w:szCs w:val="24"/>
        </w:rPr>
        <w:t xml:space="preserve">The Supplier’s staff assigned to the Contract shall have the relevant qualifications and experience to deliver the Contract to the required standard. </w:t>
      </w:r>
    </w:p>
    <w:p w14:paraId="305AEE34"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sz w:val="24"/>
          <w:szCs w:val="24"/>
        </w:rPr>
      </w:pPr>
      <w:r w:rsidRPr="001C573E">
        <w:rPr>
          <w:rFonts w:ascii="Arial" w:hAnsi="Arial" w:cs="Arial"/>
          <w:sz w:val="24"/>
          <w:szCs w:val="24"/>
        </w:rPr>
        <w:t xml:space="preserve">The Supplier shall ensure that staff understand the Authority’s vision and objectives and will provide excellent customer service to the Authority throughout the duration of the Contract.  </w:t>
      </w:r>
    </w:p>
    <w:p w14:paraId="2B711DF4" w14:textId="73E99C63" w:rsidR="001C573E" w:rsidRPr="001C573E" w:rsidRDefault="001C573E" w:rsidP="000E2A3E">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32"/>
          <w:szCs w:val="32"/>
        </w:rPr>
      </w:pPr>
      <w:bookmarkStart w:id="40" w:name="_Toc368573039"/>
      <w:bookmarkStart w:id="41" w:name="_Toc15461673"/>
      <w:r w:rsidRPr="001C573E">
        <w:rPr>
          <w:rFonts w:ascii="Arial" w:hAnsi="Arial" w:cs="Arial"/>
          <w:sz w:val="32"/>
          <w:szCs w:val="32"/>
        </w:rPr>
        <w:t>SERVICE LEVELS AND PERFORMANCE</w:t>
      </w:r>
      <w:bookmarkEnd w:id="40"/>
      <w:bookmarkEnd w:id="41"/>
    </w:p>
    <w:p w14:paraId="2D96E40C"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132"/>
          <w:tab w:val="num" w:pos="862"/>
        </w:tabs>
        <w:overflowPunct w:val="0"/>
        <w:autoSpaceDE w:val="0"/>
        <w:autoSpaceDN w:val="0"/>
        <w:adjustRightInd w:val="0"/>
        <w:spacing w:after="120"/>
        <w:ind w:left="709" w:hanging="709"/>
        <w:textAlignment w:val="baseline"/>
        <w:rPr>
          <w:rFonts w:ascii="Arial" w:hAnsi="Arial" w:cs="Arial"/>
          <w:sz w:val="24"/>
          <w:szCs w:val="24"/>
        </w:rPr>
      </w:pPr>
      <w:r w:rsidRPr="001C573E">
        <w:rPr>
          <w:rFonts w:ascii="Arial" w:hAnsi="Arial" w:cs="Arial"/>
          <w:sz w:val="24"/>
          <w:szCs w:val="24"/>
        </w:rPr>
        <w:t>The Authority will measure the quality of the Supplier’s delivery by:</w:t>
      </w:r>
    </w:p>
    <w:tbl>
      <w:tblPr>
        <w:tblStyle w:val="TableGrid"/>
        <w:tblW w:w="0" w:type="auto"/>
        <w:tblInd w:w="720" w:type="dxa"/>
        <w:tblLook w:val="04A0" w:firstRow="1" w:lastRow="0" w:firstColumn="1" w:lastColumn="0" w:noHBand="0" w:noVBand="1"/>
      </w:tblPr>
      <w:tblGrid>
        <w:gridCol w:w="1164"/>
        <w:gridCol w:w="1765"/>
        <w:gridCol w:w="3740"/>
        <w:gridCol w:w="1630"/>
      </w:tblGrid>
      <w:tr w:rsidR="001C573E" w:rsidRPr="001C573E" w14:paraId="6339DB39" w14:textId="77777777" w:rsidTr="001C573E">
        <w:tc>
          <w:tcPr>
            <w:tcW w:w="1164" w:type="dxa"/>
            <w:shd w:val="clear" w:color="auto" w:fill="BDD6EE" w:themeFill="accent1" w:themeFillTint="66"/>
          </w:tcPr>
          <w:p w14:paraId="10B76200" w14:textId="77777777" w:rsidR="001C573E" w:rsidRPr="001C573E" w:rsidRDefault="001C573E" w:rsidP="001C573E">
            <w:pPr>
              <w:pStyle w:val="Heading2"/>
              <w:ind w:left="0" w:firstLine="0"/>
              <w:jc w:val="center"/>
              <w:outlineLvl w:val="1"/>
              <w:rPr>
                <w:rFonts w:ascii="Arial" w:hAnsi="Arial" w:cs="Arial"/>
                <w:b/>
                <w:sz w:val="24"/>
                <w:szCs w:val="24"/>
              </w:rPr>
            </w:pPr>
            <w:r w:rsidRPr="001C573E">
              <w:rPr>
                <w:rFonts w:ascii="Arial" w:hAnsi="Arial" w:cs="Arial"/>
                <w:b/>
                <w:sz w:val="24"/>
                <w:szCs w:val="24"/>
              </w:rPr>
              <w:lastRenderedPageBreak/>
              <w:t>KPI/SLA</w:t>
            </w:r>
          </w:p>
        </w:tc>
        <w:tc>
          <w:tcPr>
            <w:tcW w:w="1765" w:type="dxa"/>
            <w:shd w:val="clear" w:color="auto" w:fill="BDD6EE" w:themeFill="accent1" w:themeFillTint="66"/>
          </w:tcPr>
          <w:p w14:paraId="663751F8" w14:textId="77777777" w:rsidR="001C573E" w:rsidRPr="001C573E" w:rsidRDefault="001C573E" w:rsidP="001C573E">
            <w:pPr>
              <w:pStyle w:val="Heading2"/>
              <w:ind w:left="0" w:firstLine="0"/>
              <w:jc w:val="center"/>
              <w:outlineLvl w:val="1"/>
              <w:rPr>
                <w:rFonts w:ascii="Arial" w:hAnsi="Arial" w:cs="Arial"/>
                <w:b/>
                <w:sz w:val="24"/>
                <w:szCs w:val="24"/>
              </w:rPr>
            </w:pPr>
            <w:r w:rsidRPr="001C573E">
              <w:rPr>
                <w:rFonts w:ascii="Arial" w:hAnsi="Arial" w:cs="Arial"/>
                <w:b/>
                <w:sz w:val="24"/>
                <w:szCs w:val="24"/>
              </w:rPr>
              <w:t>Service Area</w:t>
            </w:r>
          </w:p>
        </w:tc>
        <w:tc>
          <w:tcPr>
            <w:tcW w:w="3740" w:type="dxa"/>
            <w:shd w:val="clear" w:color="auto" w:fill="BDD6EE" w:themeFill="accent1" w:themeFillTint="66"/>
          </w:tcPr>
          <w:p w14:paraId="73508B3B" w14:textId="77777777" w:rsidR="001C573E" w:rsidRPr="001C573E" w:rsidRDefault="001C573E" w:rsidP="001C573E">
            <w:pPr>
              <w:pStyle w:val="Heading2"/>
              <w:ind w:left="0" w:firstLine="0"/>
              <w:jc w:val="center"/>
              <w:outlineLvl w:val="1"/>
              <w:rPr>
                <w:rFonts w:ascii="Arial" w:hAnsi="Arial" w:cs="Arial"/>
                <w:b/>
                <w:sz w:val="24"/>
                <w:szCs w:val="24"/>
              </w:rPr>
            </w:pPr>
            <w:r w:rsidRPr="001C573E">
              <w:rPr>
                <w:rFonts w:ascii="Arial" w:hAnsi="Arial" w:cs="Arial"/>
                <w:b/>
                <w:sz w:val="24"/>
                <w:szCs w:val="24"/>
              </w:rPr>
              <w:t>KPI/SLA description</w:t>
            </w:r>
          </w:p>
        </w:tc>
        <w:tc>
          <w:tcPr>
            <w:tcW w:w="1630" w:type="dxa"/>
            <w:shd w:val="clear" w:color="auto" w:fill="BDD6EE" w:themeFill="accent1" w:themeFillTint="66"/>
          </w:tcPr>
          <w:p w14:paraId="73FA451A" w14:textId="77777777" w:rsidR="001C573E" w:rsidRPr="001C573E" w:rsidRDefault="001C573E" w:rsidP="001C573E">
            <w:pPr>
              <w:pStyle w:val="Heading2"/>
              <w:ind w:left="0" w:firstLine="0"/>
              <w:jc w:val="center"/>
              <w:outlineLvl w:val="1"/>
              <w:rPr>
                <w:rFonts w:ascii="Arial" w:hAnsi="Arial" w:cs="Arial"/>
                <w:b/>
                <w:sz w:val="24"/>
                <w:szCs w:val="24"/>
              </w:rPr>
            </w:pPr>
            <w:r w:rsidRPr="001C573E">
              <w:rPr>
                <w:rFonts w:ascii="Arial" w:hAnsi="Arial" w:cs="Arial"/>
                <w:b/>
                <w:sz w:val="24"/>
                <w:szCs w:val="24"/>
              </w:rPr>
              <w:t>Target</w:t>
            </w:r>
          </w:p>
        </w:tc>
      </w:tr>
      <w:tr w:rsidR="001C573E" w:rsidRPr="001C573E" w14:paraId="1A68644C" w14:textId="77777777" w:rsidTr="001C573E">
        <w:tc>
          <w:tcPr>
            <w:tcW w:w="1164" w:type="dxa"/>
          </w:tcPr>
          <w:p w14:paraId="3D9BFF63" w14:textId="77777777" w:rsidR="001C573E" w:rsidRPr="001C573E" w:rsidRDefault="001C573E" w:rsidP="001C573E">
            <w:pPr>
              <w:pStyle w:val="Heading2"/>
              <w:ind w:left="0" w:firstLine="0"/>
              <w:jc w:val="center"/>
              <w:outlineLvl w:val="1"/>
              <w:rPr>
                <w:rFonts w:ascii="Arial" w:hAnsi="Arial" w:cs="Arial"/>
                <w:sz w:val="24"/>
                <w:szCs w:val="24"/>
              </w:rPr>
            </w:pPr>
            <w:r w:rsidRPr="001C573E">
              <w:rPr>
                <w:rFonts w:ascii="Arial" w:hAnsi="Arial" w:cs="Arial"/>
                <w:sz w:val="24"/>
                <w:szCs w:val="24"/>
              </w:rPr>
              <w:t>1</w:t>
            </w:r>
          </w:p>
        </w:tc>
        <w:tc>
          <w:tcPr>
            <w:tcW w:w="1765" w:type="dxa"/>
          </w:tcPr>
          <w:p w14:paraId="24A13F1A" w14:textId="77777777" w:rsidR="001C573E" w:rsidRPr="001C573E" w:rsidRDefault="001C573E" w:rsidP="001C573E">
            <w:pPr>
              <w:pStyle w:val="Heading2"/>
              <w:ind w:left="0" w:firstLine="0"/>
              <w:jc w:val="left"/>
              <w:outlineLvl w:val="1"/>
              <w:rPr>
                <w:rFonts w:ascii="Arial" w:hAnsi="Arial" w:cs="Arial"/>
                <w:sz w:val="24"/>
                <w:szCs w:val="24"/>
              </w:rPr>
            </w:pPr>
            <w:r w:rsidRPr="001C573E">
              <w:rPr>
                <w:rFonts w:ascii="Arial" w:hAnsi="Arial" w:cs="Arial"/>
                <w:sz w:val="24"/>
                <w:szCs w:val="24"/>
              </w:rPr>
              <w:t>Agreed Approach</w:t>
            </w:r>
          </w:p>
        </w:tc>
        <w:tc>
          <w:tcPr>
            <w:tcW w:w="3740" w:type="dxa"/>
          </w:tcPr>
          <w:p w14:paraId="58FE7C85" w14:textId="77777777" w:rsidR="001C573E" w:rsidRPr="001C573E" w:rsidRDefault="001C573E" w:rsidP="001C573E">
            <w:pPr>
              <w:pStyle w:val="Heading2"/>
              <w:ind w:left="0" w:firstLine="0"/>
              <w:jc w:val="left"/>
              <w:outlineLvl w:val="1"/>
              <w:rPr>
                <w:rFonts w:ascii="Arial" w:hAnsi="Arial" w:cs="Arial"/>
                <w:sz w:val="24"/>
                <w:szCs w:val="24"/>
              </w:rPr>
            </w:pPr>
            <w:r w:rsidRPr="001C573E">
              <w:rPr>
                <w:rFonts w:ascii="Arial" w:hAnsi="Arial" w:cs="Arial"/>
                <w:sz w:val="24"/>
                <w:szCs w:val="24"/>
              </w:rPr>
              <w:t xml:space="preserve">An inception report to be provided, and agreed by the Authority, clarifying the approach to be taken, along with a plan setting out key milestones and dates for deliverables, risks and how these will be managed.  </w:t>
            </w:r>
          </w:p>
        </w:tc>
        <w:tc>
          <w:tcPr>
            <w:tcW w:w="1630" w:type="dxa"/>
          </w:tcPr>
          <w:p w14:paraId="35FBDD5F" w14:textId="77777777" w:rsidR="001C573E" w:rsidRPr="001C573E" w:rsidRDefault="001C573E" w:rsidP="001C573E">
            <w:pPr>
              <w:pStyle w:val="Heading2"/>
              <w:ind w:left="0" w:firstLine="0"/>
              <w:outlineLvl w:val="1"/>
              <w:rPr>
                <w:rFonts w:ascii="Arial" w:hAnsi="Arial" w:cs="Arial"/>
                <w:sz w:val="24"/>
                <w:szCs w:val="24"/>
              </w:rPr>
            </w:pPr>
            <w:r w:rsidRPr="001C573E">
              <w:rPr>
                <w:rFonts w:ascii="Arial" w:hAnsi="Arial" w:cs="Arial"/>
                <w:sz w:val="24"/>
                <w:szCs w:val="24"/>
              </w:rPr>
              <w:t>Within week 2 of contract award</w:t>
            </w:r>
          </w:p>
        </w:tc>
      </w:tr>
      <w:tr w:rsidR="001C573E" w:rsidRPr="001C573E" w14:paraId="6725D628" w14:textId="77777777" w:rsidTr="001C573E">
        <w:tc>
          <w:tcPr>
            <w:tcW w:w="1164" w:type="dxa"/>
          </w:tcPr>
          <w:p w14:paraId="31DC88D5" w14:textId="77777777" w:rsidR="001C573E" w:rsidRPr="001C573E" w:rsidRDefault="001C573E" w:rsidP="001C573E">
            <w:pPr>
              <w:pStyle w:val="Heading2"/>
              <w:ind w:left="0" w:firstLine="0"/>
              <w:jc w:val="center"/>
              <w:outlineLvl w:val="1"/>
              <w:rPr>
                <w:rFonts w:ascii="Arial" w:hAnsi="Arial" w:cs="Arial"/>
                <w:sz w:val="24"/>
                <w:szCs w:val="24"/>
              </w:rPr>
            </w:pPr>
            <w:r w:rsidRPr="001C573E">
              <w:rPr>
                <w:rFonts w:ascii="Arial" w:hAnsi="Arial" w:cs="Arial"/>
              </w:rPr>
              <w:t>2</w:t>
            </w:r>
          </w:p>
        </w:tc>
        <w:tc>
          <w:tcPr>
            <w:tcW w:w="1765" w:type="dxa"/>
          </w:tcPr>
          <w:p w14:paraId="747A2952" w14:textId="77777777" w:rsidR="001C573E" w:rsidRPr="001C573E" w:rsidRDefault="001C573E" w:rsidP="001C573E">
            <w:pPr>
              <w:pStyle w:val="Heading2"/>
              <w:ind w:left="0" w:firstLine="0"/>
              <w:outlineLvl w:val="1"/>
              <w:rPr>
                <w:rFonts w:ascii="Arial" w:hAnsi="Arial" w:cs="Arial"/>
                <w:sz w:val="24"/>
                <w:szCs w:val="24"/>
              </w:rPr>
            </w:pPr>
            <w:r w:rsidRPr="001C573E">
              <w:rPr>
                <w:rFonts w:ascii="Arial" w:hAnsi="Arial" w:cs="Arial"/>
                <w:sz w:val="24"/>
              </w:rPr>
              <w:t>Attendance at weekly updates</w:t>
            </w:r>
          </w:p>
        </w:tc>
        <w:tc>
          <w:tcPr>
            <w:tcW w:w="3740" w:type="dxa"/>
          </w:tcPr>
          <w:p w14:paraId="0D9015BE" w14:textId="77777777" w:rsidR="001C573E" w:rsidRPr="001C573E" w:rsidRDefault="001C573E" w:rsidP="001C573E">
            <w:pPr>
              <w:pStyle w:val="Heading2"/>
              <w:ind w:left="0" w:firstLine="0"/>
              <w:outlineLvl w:val="1"/>
              <w:rPr>
                <w:rFonts w:ascii="Arial" w:hAnsi="Arial" w:cs="Arial"/>
                <w:sz w:val="24"/>
                <w:szCs w:val="24"/>
              </w:rPr>
            </w:pPr>
            <w:r w:rsidRPr="001C573E">
              <w:rPr>
                <w:rFonts w:ascii="Arial" w:hAnsi="Arial" w:cs="Arial"/>
                <w:sz w:val="24"/>
              </w:rPr>
              <w:t>The Supplier will attend all weekly meetings. If the Supplier is unable to attend a scheduled meeting they will alert the Authority and reschedule with at least 1 days’ notice.</w:t>
            </w:r>
          </w:p>
        </w:tc>
        <w:tc>
          <w:tcPr>
            <w:tcW w:w="1630" w:type="dxa"/>
          </w:tcPr>
          <w:p w14:paraId="6B9EE3AD" w14:textId="77777777" w:rsidR="001C573E" w:rsidRPr="001C573E" w:rsidRDefault="001C573E" w:rsidP="001C573E">
            <w:pPr>
              <w:pStyle w:val="Heading2"/>
              <w:tabs>
                <w:tab w:val="left" w:pos="1134"/>
              </w:tabs>
              <w:ind w:left="0" w:firstLine="0"/>
              <w:jc w:val="left"/>
              <w:outlineLvl w:val="1"/>
              <w:rPr>
                <w:rFonts w:ascii="Arial" w:hAnsi="Arial" w:cs="Arial"/>
                <w:sz w:val="24"/>
              </w:rPr>
            </w:pPr>
            <w:r w:rsidRPr="001C573E">
              <w:rPr>
                <w:rFonts w:ascii="Arial" w:hAnsi="Arial" w:cs="Arial"/>
                <w:sz w:val="24"/>
              </w:rPr>
              <w:t>98%</w:t>
            </w:r>
          </w:p>
          <w:p w14:paraId="499152E4" w14:textId="77777777" w:rsidR="001C573E" w:rsidRPr="001C573E" w:rsidRDefault="001C573E" w:rsidP="001C573E">
            <w:pPr>
              <w:pStyle w:val="Heading2"/>
              <w:ind w:left="0" w:firstLine="0"/>
              <w:outlineLvl w:val="1"/>
              <w:rPr>
                <w:rFonts w:ascii="Arial" w:hAnsi="Arial" w:cs="Arial"/>
                <w:sz w:val="24"/>
                <w:szCs w:val="24"/>
              </w:rPr>
            </w:pPr>
          </w:p>
        </w:tc>
      </w:tr>
      <w:tr w:rsidR="001C573E" w:rsidRPr="001C573E" w14:paraId="4A4DFFF5" w14:textId="77777777" w:rsidTr="001C573E">
        <w:tc>
          <w:tcPr>
            <w:tcW w:w="1164" w:type="dxa"/>
          </w:tcPr>
          <w:p w14:paraId="3195BADD" w14:textId="77777777" w:rsidR="001C573E" w:rsidRPr="001C573E" w:rsidRDefault="001C573E" w:rsidP="001C573E">
            <w:pPr>
              <w:pStyle w:val="Heading2"/>
              <w:ind w:left="0" w:firstLine="0"/>
              <w:jc w:val="center"/>
              <w:outlineLvl w:val="1"/>
              <w:rPr>
                <w:rFonts w:ascii="Arial" w:hAnsi="Arial" w:cs="Arial"/>
                <w:sz w:val="24"/>
                <w:szCs w:val="24"/>
              </w:rPr>
            </w:pPr>
            <w:r w:rsidRPr="001C573E">
              <w:rPr>
                <w:rFonts w:ascii="Arial" w:hAnsi="Arial" w:cs="Arial"/>
              </w:rPr>
              <w:t>3</w:t>
            </w:r>
          </w:p>
        </w:tc>
        <w:tc>
          <w:tcPr>
            <w:tcW w:w="1765" w:type="dxa"/>
          </w:tcPr>
          <w:p w14:paraId="582E6D33" w14:textId="77777777" w:rsidR="001C573E" w:rsidRPr="001C573E" w:rsidRDefault="001C573E" w:rsidP="001C573E">
            <w:pPr>
              <w:pStyle w:val="Heading2"/>
              <w:ind w:left="0" w:firstLine="0"/>
              <w:outlineLvl w:val="1"/>
              <w:rPr>
                <w:rFonts w:ascii="Arial" w:hAnsi="Arial" w:cs="Arial"/>
                <w:sz w:val="24"/>
                <w:szCs w:val="24"/>
              </w:rPr>
            </w:pPr>
            <w:r w:rsidRPr="001C573E">
              <w:rPr>
                <w:rFonts w:ascii="Arial" w:hAnsi="Arial" w:cs="Arial"/>
                <w:sz w:val="24"/>
              </w:rPr>
              <w:t>Responding to queries</w:t>
            </w:r>
          </w:p>
        </w:tc>
        <w:tc>
          <w:tcPr>
            <w:tcW w:w="3740" w:type="dxa"/>
          </w:tcPr>
          <w:p w14:paraId="08203138" w14:textId="77777777" w:rsidR="001C573E" w:rsidRPr="001C573E" w:rsidRDefault="001C573E" w:rsidP="001C573E">
            <w:pPr>
              <w:pStyle w:val="Heading2"/>
              <w:ind w:left="0" w:firstLine="0"/>
              <w:outlineLvl w:val="1"/>
              <w:rPr>
                <w:rFonts w:ascii="Arial" w:hAnsi="Arial" w:cs="Arial"/>
                <w:sz w:val="24"/>
                <w:szCs w:val="24"/>
              </w:rPr>
            </w:pPr>
            <w:r w:rsidRPr="001C573E">
              <w:rPr>
                <w:rFonts w:ascii="Arial" w:hAnsi="Arial" w:cs="Arial"/>
                <w:sz w:val="24"/>
              </w:rPr>
              <w:t>The Supplier will respond to any query from the Authority within 48 hours.</w:t>
            </w:r>
          </w:p>
        </w:tc>
        <w:tc>
          <w:tcPr>
            <w:tcW w:w="1630" w:type="dxa"/>
          </w:tcPr>
          <w:p w14:paraId="560CF634" w14:textId="77777777" w:rsidR="001C573E" w:rsidRPr="001C573E" w:rsidRDefault="001C573E" w:rsidP="001C573E">
            <w:pPr>
              <w:pStyle w:val="Heading2"/>
              <w:ind w:left="0" w:firstLine="0"/>
              <w:outlineLvl w:val="1"/>
              <w:rPr>
                <w:rFonts w:ascii="Arial" w:hAnsi="Arial" w:cs="Arial"/>
                <w:sz w:val="24"/>
                <w:szCs w:val="24"/>
              </w:rPr>
            </w:pPr>
            <w:r w:rsidRPr="001C573E">
              <w:rPr>
                <w:rFonts w:ascii="Arial" w:hAnsi="Arial" w:cs="Arial"/>
                <w:sz w:val="24"/>
              </w:rPr>
              <w:t>98%</w:t>
            </w:r>
          </w:p>
        </w:tc>
      </w:tr>
      <w:tr w:rsidR="001C573E" w:rsidRPr="001C573E" w14:paraId="74D076DD" w14:textId="77777777" w:rsidTr="001C573E">
        <w:tc>
          <w:tcPr>
            <w:tcW w:w="1164" w:type="dxa"/>
          </w:tcPr>
          <w:p w14:paraId="2D613664" w14:textId="77777777" w:rsidR="001C573E" w:rsidRPr="001C573E" w:rsidRDefault="001C573E" w:rsidP="001C573E">
            <w:pPr>
              <w:pStyle w:val="Heading2"/>
              <w:ind w:left="0" w:firstLine="0"/>
              <w:jc w:val="center"/>
              <w:outlineLvl w:val="1"/>
              <w:rPr>
                <w:rFonts w:ascii="Arial" w:hAnsi="Arial" w:cs="Arial"/>
                <w:sz w:val="24"/>
                <w:szCs w:val="24"/>
              </w:rPr>
            </w:pPr>
            <w:r w:rsidRPr="001C573E">
              <w:rPr>
                <w:rFonts w:ascii="Arial" w:hAnsi="Arial" w:cs="Arial"/>
              </w:rPr>
              <w:t>4</w:t>
            </w:r>
          </w:p>
        </w:tc>
        <w:tc>
          <w:tcPr>
            <w:tcW w:w="1765" w:type="dxa"/>
          </w:tcPr>
          <w:p w14:paraId="057072BF" w14:textId="77777777" w:rsidR="001C573E" w:rsidRPr="001C573E" w:rsidRDefault="001C573E" w:rsidP="001C573E">
            <w:pPr>
              <w:pStyle w:val="Heading2"/>
              <w:ind w:left="0" w:firstLine="0"/>
              <w:outlineLvl w:val="1"/>
              <w:rPr>
                <w:rFonts w:ascii="Arial" w:hAnsi="Arial" w:cs="Arial"/>
                <w:sz w:val="24"/>
                <w:szCs w:val="24"/>
              </w:rPr>
            </w:pPr>
            <w:r w:rsidRPr="001C573E">
              <w:rPr>
                <w:rFonts w:ascii="Arial" w:hAnsi="Arial" w:cs="Arial"/>
                <w:sz w:val="24"/>
              </w:rPr>
              <w:t>Amendments to drafts</w:t>
            </w:r>
          </w:p>
        </w:tc>
        <w:tc>
          <w:tcPr>
            <w:tcW w:w="3740" w:type="dxa"/>
          </w:tcPr>
          <w:p w14:paraId="45EEC9C0" w14:textId="77777777" w:rsidR="001C573E" w:rsidRPr="001C573E" w:rsidRDefault="001C573E" w:rsidP="001C573E">
            <w:pPr>
              <w:pStyle w:val="Heading2"/>
              <w:ind w:left="0" w:firstLine="0"/>
              <w:outlineLvl w:val="1"/>
              <w:rPr>
                <w:rFonts w:ascii="Arial" w:hAnsi="Arial" w:cs="Arial"/>
                <w:sz w:val="24"/>
                <w:szCs w:val="24"/>
              </w:rPr>
            </w:pPr>
            <w:r w:rsidRPr="001C573E">
              <w:rPr>
                <w:rFonts w:ascii="Arial" w:hAnsi="Arial" w:cs="Arial"/>
                <w:sz w:val="24"/>
              </w:rPr>
              <w:t>Following comments from the Authority, the Supplier will make minor amendments to drafts within 1 week and major amendments within 2 weeks.</w:t>
            </w:r>
          </w:p>
        </w:tc>
        <w:tc>
          <w:tcPr>
            <w:tcW w:w="1630" w:type="dxa"/>
          </w:tcPr>
          <w:p w14:paraId="74BEA5B6" w14:textId="77777777" w:rsidR="001C573E" w:rsidRPr="001C573E" w:rsidRDefault="001C573E" w:rsidP="001C573E">
            <w:pPr>
              <w:pStyle w:val="Heading2"/>
              <w:tabs>
                <w:tab w:val="left" w:pos="1134"/>
              </w:tabs>
              <w:ind w:left="0" w:firstLine="0"/>
              <w:jc w:val="left"/>
              <w:outlineLvl w:val="1"/>
              <w:rPr>
                <w:rFonts w:ascii="Arial" w:hAnsi="Arial" w:cs="Arial"/>
                <w:sz w:val="24"/>
              </w:rPr>
            </w:pPr>
            <w:r w:rsidRPr="001C573E">
              <w:rPr>
                <w:rFonts w:ascii="Arial" w:hAnsi="Arial" w:cs="Arial"/>
                <w:sz w:val="24"/>
              </w:rPr>
              <w:t>98%</w:t>
            </w:r>
          </w:p>
          <w:p w14:paraId="50E82496" w14:textId="77777777" w:rsidR="001C573E" w:rsidRPr="001C573E" w:rsidRDefault="001C573E" w:rsidP="001C573E">
            <w:pPr>
              <w:pStyle w:val="Heading2"/>
              <w:ind w:left="0" w:firstLine="0"/>
              <w:outlineLvl w:val="1"/>
              <w:rPr>
                <w:rFonts w:ascii="Arial" w:hAnsi="Arial" w:cs="Arial"/>
                <w:sz w:val="24"/>
                <w:szCs w:val="24"/>
              </w:rPr>
            </w:pPr>
          </w:p>
        </w:tc>
      </w:tr>
    </w:tbl>
    <w:p w14:paraId="7C6CFD75" w14:textId="77777777" w:rsidR="001C573E" w:rsidRPr="001C573E" w:rsidRDefault="001C573E" w:rsidP="001C573E">
      <w:pPr>
        <w:pStyle w:val="Heading2"/>
        <w:ind w:left="720" w:firstLine="0"/>
        <w:rPr>
          <w:rFonts w:ascii="Arial" w:hAnsi="Arial" w:cs="Arial"/>
        </w:rPr>
      </w:pPr>
    </w:p>
    <w:p w14:paraId="7C447766" w14:textId="6E60F25A"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bookmarkStart w:id="42" w:name="_Toc368573040"/>
      <w:r w:rsidRPr="001C573E">
        <w:rPr>
          <w:rFonts w:ascii="Arial" w:hAnsi="Arial" w:cs="Arial"/>
          <w:sz w:val="24"/>
          <w:szCs w:val="24"/>
        </w:rPr>
        <w:t xml:space="preserve">The Supplier’s performance will be monitored and assessed through weekly project update meetings with the Authority’s Project Manager, who will </w:t>
      </w:r>
      <w:r w:rsidR="00A43F7B" w:rsidRPr="001C573E">
        <w:rPr>
          <w:rFonts w:ascii="Arial" w:hAnsi="Arial" w:cs="Arial"/>
          <w:sz w:val="24"/>
          <w:szCs w:val="24"/>
        </w:rPr>
        <w:t>review progress</w:t>
      </w:r>
      <w:r w:rsidRPr="001C573E">
        <w:rPr>
          <w:rFonts w:ascii="Arial" w:hAnsi="Arial" w:cs="Arial"/>
          <w:sz w:val="24"/>
          <w:szCs w:val="24"/>
        </w:rPr>
        <w:t xml:space="preserve"> against the agreed project timeline and through review of deliverable products as set out in paragraph 7.</w:t>
      </w:r>
    </w:p>
    <w:p w14:paraId="69A574AB"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All Suppliers must have a peer review process included as part of their proposal.</w:t>
      </w:r>
    </w:p>
    <w:p w14:paraId="0B79C4A0"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Where the Authority identifies poor performance against the agreed SLA’s, the Supplier shall be required to attend a performance review meeting. The performance review meeting shall be at an agreed time no later than 5 working days from the date of notification, at the Authority’s premises.</w:t>
      </w:r>
    </w:p>
    <w:p w14:paraId="5978F54E"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The Supplier shall be required to provide a full incident report, which describes the issues and identifies the causes. The Supplier will also be required to prepare a full and robust ‘Service Improvement Action Plan’, which sets out its proposals to remedy the service failure. The Service Improvement Plan shall be subject to amendment following the performance review meeting and agreed by both parties prior to implementation.</w:t>
      </w:r>
    </w:p>
    <w:p w14:paraId="1067A09C" w14:textId="03ADC5CB" w:rsidR="001C573E" w:rsidRPr="001C573E" w:rsidRDefault="001C573E" w:rsidP="000E2A3E">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851"/>
        </w:tabs>
        <w:adjustRightInd w:val="0"/>
        <w:spacing w:after="120"/>
        <w:rPr>
          <w:rFonts w:ascii="Arial" w:hAnsi="Arial" w:cs="Arial"/>
          <w:sz w:val="32"/>
          <w:szCs w:val="32"/>
        </w:rPr>
      </w:pPr>
      <w:bookmarkStart w:id="43" w:name="_Toc15461674"/>
      <w:r w:rsidRPr="001C573E">
        <w:rPr>
          <w:rFonts w:ascii="Arial" w:hAnsi="Arial" w:cs="Arial"/>
          <w:sz w:val="32"/>
          <w:szCs w:val="32"/>
        </w:rPr>
        <w:t>SECURITY AND CONFIDENTIALITY REQUIREMENTS</w:t>
      </w:r>
      <w:bookmarkEnd w:id="42"/>
      <w:bookmarkEnd w:id="43"/>
    </w:p>
    <w:p w14:paraId="72892A08"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1C573E">
        <w:rPr>
          <w:rFonts w:ascii="Arial" w:hAnsi="Arial" w:cs="Arial"/>
          <w:sz w:val="24"/>
          <w:szCs w:val="24"/>
        </w:rPr>
        <w:t xml:space="preserve">The Supplier will acknowledge and protect all sensitive and confidential information its employees have access to during the contract period.  </w:t>
      </w:r>
    </w:p>
    <w:p w14:paraId="131E58F0"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jc w:val="left"/>
        <w:rPr>
          <w:rFonts w:ascii="Arial" w:hAnsi="Arial" w:cs="Arial"/>
          <w:sz w:val="24"/>
          <w:szCs w:val="24"/>
        </w:rPr>
      </w:pPr>
      <w:bookmarkStart w:id="44" w:name="_Hlk14251520"/>
      <w:r w:rsidRPr="001C573E">
        <w:rPr>
          <w:rFonts w:ascii="Arial" w:hAnsi="Arial" w:cs="Arial"/>
          <w:sz w:val="24"/>
          <w:szCs w:val="24"/>
        </w:rPr>
        <w:lastRenderedPageBreak/>
        <w:t>The Supplier will also demonstrate compliance with the General Data Protection Regulations, and with the technical requirements prescribed by the cyber essentials scheme (https://www.cyberessentials.ncsc.gov.uk/requirements-for-it-infrastructure), to prevent confidential and sensitive material being made available in the public domain.</w:t>
      </w:r>
    </w:p>
    <w:p w14:paraId="54058279" w14:textId="15EBBADF" w:rsidR="001C573E" w:rsidRPr="001C573E" w:rsidRDefault="001C573E" w:rsidP="000E2A3E">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32"/>
          <w:szCs w:val="32"/>
        </w:rPr>
      </w:pPr>
      <w:bookmarkStart w:id="45" w:name="_Toc15461676"/>
      <w:bookmarkEnd w:id="44"/>
      <w:r w:rsidRPr="001C573E">
        <w:rPr>
          <w:rFonts w:ascii="Arial" w:hAnsi="Arial" w:cs="Arial"/>
          <w:sz w:val="32"/>
          <w:szCs w:val="32"/>
        </w:rPr>
        <w:t>CONTRACT MANAGEMENT</w:t>
      </w:r>
      <w:bookmarkEnd w:id="45"/>
      <w:r w:rsidRPr="001C573E">
        <w:rPr>
          <w:rFonts w:ascii="Arial" w:hAnsi="Arial" w:cs="Arial"/>
          <w:sz w:val="32"/>
          <w:szCs w:val="32"/>
        </w:rPr>
        <w:t xml:space="preserve"> </w:t>
      </w:r>
    </w:p>
    <w:p w14:paraId="73052DAF" w14:textId="77777777" w:rsidR="007C0E8D"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sz w:val="24"/>
          <w:szCs w:val="24"/>
        </w:rPr>
      </w:pPr>
      <w:r w:rsidRPr="001C573E">
        <w:rPr>
          <w:rFonts w:ascii="Arial" w:hAnsi="Arial" w:cs="Arial"/>
          <w:sz w:val="24"/>
          <w:szCs w:val="24"/>
        </w:rPr>
        <w:t>Attendance at weekly project update meetings shall be at the Supplier’s own expense</w:t>
      </w:r>
    </w:p>
    <w:p w14:paraId="728EC9C0" w14:textId="00A6AA7E" w:rsidR="007C0E8D" w:rsidRPr="007C0E8D" w:rsidRDefault="007C0E8D" w:rsidP="007C0E8D">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Pr>
          <w:rFonts w:ascii="Arial" w:hAnsi="Arial" w:cs="Arial"/>
          <w:sz w:val="24"/>
          <w:szCs w:val="24"/>
        </w:rPr>
        <w:t>The Contract will be managed by the Authority</w:t>
      </w:r>
      <w:r w:rsidR="001C573E" w:rsidRPr="001C573E">
        <w:rPr>
          <w:rFonts w:ascii="Arial" w:hAnsi="Arial" w:cs="Arial"/>
          <w:sz w:val="24"/>
          <w:szCs w:val="24"/>
        </w:rPr>
        <w:t>.</w:t>
      </w:r>
      <w:r>
        <w:rPr>
          <w:rFonts w:ascii="Arial" w:hAnsi="Arial" w:cs="Arial"/>
          <w:sz w:val="24"/>
          <w:szCs w:val="24"/>
        </w:rPr>
        <w:t xml:space="preserve"> The Supplier is required </w:t>
      </w:r>
      <w:r w:rsidRPr="007C0E8D">
        <w:rPr>
          <w:rFonts w:ascii="Arial" w:hAnsi="Arial" w:cs="Arial"/>
          <w:sz w:val="24"/>
          <w:szCs w:val="24"/>
        </w:rPr>
        <w:t>to appoint an appropriate officer to help facilitate the management of this contract.</w:t>
      </w:r>
      <w:r>
        <w:rPr>
          <w:rFonts w:ascii="Arial" w:hAnsi="Arial" w:cs="Arial"/>
          <w:sz w:val="24"/>
          <w:szCs w:val="24"/>
        </w:rPr>
        <w:t xml:space="preserve"> </w:t>
      </w:r>
    </w:p>
    <w:p w14:paraId="17A231C6" w14:textId="77777777" w:rsidR="001C573E" w:rsidRPr="001C573E" w:rsidRDefault="001C573E" w:rsidP="000E2A3E">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32"/>
          <w:szCs w:val="32"/>
        </w:rPr>
      </w:pPr>
      <w:bookmarkStart w:id="46" w:name="_Toc15461677"/>
      <w:r w:rsidRPr="001C573E">
        <w:rPr>
          <w:rFonts w:ascii="Arial" w:hAnsi="Arial" w:cs="Arial"/>
          <w:sz w:val="32"/>
          <w:szCs w:val="32"/>
        </w:rPr>
        <w:t>INTELLECTUAL PROPERTY RIGHTS (IPR)</w:t>
      </w:r>
      <w:bookmarkEnd w:id="46"/>
    </w:p>
    <w:p w14:paraId="445C340C"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sz w:val="24"/>
          <w:szCs w:val="24"/>
        </w:rPr>
      </w:pPr>
      <w:r w:rsidRPr="001C573E">
        <w:rPr>
          <w:rFonts w:ascii="Arial" w:hAnsi="Arial" w:cs="Arial"/>
          <w:sz w:val="24"/>
          <w:szCs w:val="24"/>
        </w:rPr>
        <w:t>All analysis (including any calculations, main assumptions and model descriptions) used to generate the outputs should be provided to the Authority for future use. This analysis will be the property of the Authority. The Supplier must not disclose the report (either in part or in full) to any third parties prior to publication by the Authority, unless the Authority gives express consent to do so.</w:t>
      </w:r>
    </w:p>
    <w:p w14:paraId="20459644" w14:textId="77777777" w:rsidR="001C573E" w:rsidRPr="001C573E" w:rsidRDefault="001C573E" w:rsidP="000E2A3E">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32"/>
          <w:szCs w:val="32"/>
        </w:rPr>
      </w:pPr>
      <w:bookmarkStart w:id="47" w:name="_Toc15461678"/>
      <w:r w:rsidRPr="001C573E">
        <w:rPr>
          <w:rFonts w:ascii="Arial" w:hAnsi="Arial" w:cs="Arial"/>
          <w:sz w:val="32"/>
          <w:szCs w:val="32"/>
        </w:rPr>
        <w:t>ADDITIONAL INFORMATION</w:t>
      </w:r>
      <w:bookmarkEnd w:id="47"/>
    </w:p>
    <w:p w14:paraId="28A26361"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sz w:val="24"/>
          <w:szCs w:val="24"/>
        </w:rPr>
      </w:pPr>
      <w:r w:rsidRPr="001C573E">
        <w:rPr>
          <w:rFonts w:ascii="Arial" w:hAnsi="Arial" w:cs="Arial"/>
          <w:sz w:val="24"/>
          <w:szCs w:val="24"/>
        </w:rPr>
        <w:t>The Supplier will be open to working collaboratively with the external evaluator who will assess the effectiveness of the exercise and also whether the methodology is effective at engaging the public on complex questions of infrastructure policy.</w:t>
      </w:r>
    </w:p>
    <w:p w14:paraId="78CB4E4F" w14:textId="16A39CD6" w:rsidR="001C573E" w:rsidRPr="001C573E" w:rsidRDefault="001C573E" w:rsidP="000E2A3E">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851"/>
        </w:tabs>
        <w:adjustRightInd w:val="0"/>
        <w:spacing w:after="120"/>
        <w:rPr>
          <w:rFonts w:ascii="Arial" w:hAnsi="Arial" w:cs="Arial"/>
          <w:sz w:val="32"/>
          <w:szCs w:val="32"/>
        </w:rPr>
      </w:pPr>
      <w:bookmarkStart w:id="48" w:name="_Toc368573043"/>
      <w:bookmarkStart w:id="49" w:name="_Toc15461679"/>
      <w:bookmarkEnd w:id="30"/>
      <w:r w:rsidRPr="001C573E">
        <w:rPr>
          <w:rFonts w:ascii="Arial" w:hAnsi="Arial" w:cs="Arial"/>
          <w:sz w:val="32"/>
          <w:szCs w:val="32"/>
        </w:rPr>
        <w:t>LOCATION</w:t>
      </w:r>
      <w:bookmarkEnd w:id="48"/>
      <w:bookmarkEnd w:id="49"/>
      <w:r w:rsidRPr="001C573E">
        <w:rPr>
          <w:rFonts w:ascii="Arial" w:hAnsi="Arial" w:cs="Arial"/>
          <w:sz w:val="32"/>
          <w:szCs w:val="32"/>
        </w:rPr>
        <w:t xml:space="preserve"> </w:t>
      </w:r>
    </w:p>
    <w:p w14:paraId="2A88373E"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sz w:val="24"/>
          <w:szCs w:val="24"/>
        </w:rPr>
      </w:pPr>
      <w:r w:rsidRPr="001C573E">
        <w:rPr>
          <w:rFonts w:ascii="Arial" w:hAnsi="Arial" w:cs="Arial"/>
          <w:sz w:val="24"/>
          <w:szCs w:val="24"/>
        </w:rPr>
        <w:t>The location of the Services will be carried out at the offices of the Supplier.</w:t>
      </w:r>
    </w:p>
    <w:p w14:paraId="46BC19D1" w14:textId="0AE7D2F1"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sz w:val="24"/>
          <w:szCs w:val="24"/>
        </w:rPr>
      </w:pPr>
      <w:r w:rsidRPr="001C573E">
        <w:rPr>
          <w:rFonts w:ascii="Arial" w:hAnsi="Arial" w:cs="Arial"/>
          <w:sz w:val="24"/>
          <w:szCs w:val="24"/>
        </w:rPr>
        <w:t xml:space="preserve">However, meetings will need to take place with the National Infrastructure Commission at the Supplier’s offices, or at the Commission’s offices </w:t>
      </w:r>
      <w:r w:rsidR="00A86949">
        <w:rPr>
          <w:rFonts w:ascii="Arial" w:hAnsi="Arial" w:cs="Arial"/>
          <w:sz w:val="24"/>
          <w:szCs w:val="24"/>
        </w:rPr>
        <w:t>[REDACTED]</w:t>
      </w:r>
      <w:r w:rsidRPr="001C573E">
        <w:rPr>
          <w:rFonts w:ascii="Arial" w:hAnsi="Arial" w:cs="Arial"/>
          <w:sz w:val="24"/>
          <w:szCs w:val="24"/>
        </w:rPr>
        <w:t xml:space="preserve"> or at another venue in central London, as agreed in advance with the Supplier. </w:t>
      </w:r>
    </w:p>
    <w:p w14:paraId="39374E07" w14:textId="77777777" w:rsidR="001C573E" w:rsidRPr="001C573E" w:rsidRDefault="001C573E" w:rsidP="000E2A3E">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sz w:val="24"/>
          <w:szCs w:val="24"/>
        </w:rPr>
      </w:pPr>
      <w:r w:rsidRPr="001C573E">
        <w:rPr>
          <w:rFonts w:ascii="Arial" w:hAnsi="Arial" w:cs="Arial"/>
          <w:sz w:val="24"/>
          <w:szCs w:val="24"/>
        </w:rPr>
        <w:t>Any Travel and Subsistence incurred in the operation of the Contract shall be at the Supplier’s own expense.</w:t>
      </w:r>
    </w:p>
    <w:p w14:paraId="0B1931A3" w14:textId="191A7A98" w:rsidR="0013786D" w:rsidRPr="00AE43BF" w:rsidRDefault="002E7F3C" w:rsidP="00AE43BF">
      <w:pPr>
        <w:jc w:val="center"/>
        <w:rPr>
          <w:rFonts w:ascii="Arial" w:eastAsia="Arial" w:hAnsi="Arial" w:cs="Arial"/>
        </w:rPr>
      </w:pPr>
      <w:r>
        <w:br w:type="page"/>
      </w:r>
      <w:bookmarkStart w:id="50" w:name="3dhjn8m" w:colFirst="0" w:colLast="0"/>
      <w:bookmarkEnd w:id="50"/>
      <w:r w:rsidRPr="00C95C24">
        <w:rPr>
          <w:rFonts w:ascii="Arial" w:eastAsia="Arial" w:hAnsi="Arial" w:cs="Arial"/>
          <w:b/>
          <w:smallCaps/>
          <w:sz w:val="24"/>
          <w:szCs w:val="24"/>
        </w:rPr>
        <w:lastRenderedPageBreak/>
        <w:t>Annex B</w:t>
      </w:r>
    </w:p>
    <w:p w14:paraId="6091F6AE" w14:textId="3BFB4EE9" w:rsidR="0013786D" w:rsidRPr="00C95C24" w:rsidRDefault="002E7F3C">
      <w:pPr>
        <w:spacing w:after="100"/>
        <w:jc w:val="center"/>
        <w:rPr>
          <w:rFonts w:ascii="Arial" w:eastAsia="Arial" w:hAnsi="Arial" w:cs="Arial"/>
          <w:sz w:val="24"/>
          <w:szCs w:val="24"/>
        </w:rPr>
      </w:pPr>
      <w:bookmarkStart w:id="51" w:name="1smtxgf" w:colFirst="0" w:colLast="0"/>
      <w:bookmarkEnd w:id="51"/>
      <w:r w:rsidRPr="00C95C24">
        <w:rPr>
          <w:rFonts w:ascii="Arial" w:eastAsia="Arial" w:hAnsi="Arial" w:cs="Arial"/>
          <w:b/>
          <w:sz w:val="24"/>
          <w:szCs w:val="24"/>
        </w:rPr>
        <w:t>Supplier Proposal</w:t>
      </w:r>
    </w:p>
    <w:p w14:paraId="61F47CB9" w14:textId="3125228F" w:rsidR="00277851" w:rsidRDefault="00277851">
      <w:pPr>
        <w:spacing w:after="100"/>
        <w:jc w:val="center"/>
        <w:rPr>
          <w:rFonts w:ascii="Arial" w:eastAsia="Arial" w:hAnsi="Arial" w:cs="Arial"/>
          <w:sz w:val="20"/>
          <w:szCs w:val="20"/>
        </w:rPr>
      </w:pPr>
      <w:bookmarkStart w:id="52" w:name="4cmhg48" w:colFirst="0" w:colLast="0"/>
      <w:bookmarkEnd w:id="52"/>
      <w:r>
        <w:rPr>
          <w:rFonts w:ascii="Arial" w:eastAsia="Arial" w:hAnsi="Arial" w:cs="Arial"/>
          <w:sz w:val="20"/>
          <w:szCs w:val="20"/>
        </w:rPr>
        <w:t>[REDACTED]</w:t>
      </w:r>
    </w:p>
    <w:p w14:paraId="78ABA24F" w14:textId="77777777" w:rsidR="00277851" w:rsidRDefault="00277851">
      <w:pPr>
        <w:rPr>
          <w:rFonts w:ascii="Arial" w:eastAsia="Arial" w:hAnsi="Arial" w:cs="Arial"/>
          <w:sz w:val="20"/>
          <w:szCs w:val="20"/>
        </w:rPr>
      </w:pPr>
      <w:r>
        <w:rPr>
          <w:rFonts w:ascii="Arial" w:eastAsia="Arial" w:hAnsi="Arial" w:cs="Arial"/>
          <w:sz w:val="20"/>
          <w:szCs w:val="20"/>
        </w:rPr>
        <w:br w:type="page"/>
      </w:r>
    </w:p>
    <w:p w14:paraId="1CBD9C62" w14:textId="77777777" w:rsidR="0013786D" w:rsidRDefault="0013786D">
      <w:pPr>
        <w:spacing w:after="100"/>
        <w:jc w:val="center"/>
        <w:rPr>
          <w:rFonts w:ascii="Arial" w:eastAsia="Arial" w:hAnsi="Arial" w:cs="Arial"/>
          <w:sz w:val="20"/>
          <w:szCs w:val="20"/>
        </w:rPr>
      </w:pPr>
    </w:p>
    <w:p w14:paraId="266F2815" w14:textId="577B68F1" w:rsidR="0013786D" w:rsidRDefault="002E7F3C" w:rsidP="000E2A3E">
      <w:pPr>
        <w:keepNext/>
        <w:numPr>
          <w:ilvl w:val="1"/>
          <w:numId w:val="1"/>
        </w:numPr>
        <w:spacing w:before="100" w:after="120" w:line="276" w:lineRule="auto"/>
        <w:ind w:left="0" w:firstLine="0"/>
        <w:jc w:val="center"/>
        <w:rPr>
          <w:rFonts w:ascii="Arial" w:eastAsia="Arial" w:hAnsi="Arial" w:cs="Arial"/>
          <w:b/>
          <w:sz w:val="24"/>
          <w:szCs w:val="24"/>
        </w:rPr>
      </w:pPr>
      <w:bookmarkStart w:id="53" w:name="2rrrqc1" w:colFirst="0" w:colLast="0"/>
      <w:bookmarkEnd w:id="53"/>
      <w:r w:rsidRPr="00C95C24">
        <w:rPr>
          <w:rFonts w:ascii="Arial" w:eastAsia="Arial" w:hAnsi="Arial" w:cs="Arial"/>
          <w:b/>
          <w:sz w:val="24"/>
          <w:szCs w:val="24"/>
        </w:rPr>
        <w:t>C</w:t>
      </w:r>
      <w:r w:rsidR="00412467" w:rsidRPr="00C95C24">
        <w:rPr>
          <w:rFonts w:ascii="Arial" w:eastAsia="Arial" w:hAnsi="Arial" w:cs="Arial"/>
          <w:b/>
          <w:sz w:val="24"/>
          <w:szCs w:val="24"/>
        </w:rPr>
        <w:t>ontract</w:t>
      </w:r>
      <w:r w:rsidRPr="00C95C24">
        <w:rPr>
          <w:rFonts w:ascii="Arial" w:eastAsia="Arial" w:hAnsi="Arial" w:cs="Arial"/>
          <w:b/>
          <w:sz w:val="24"/>
          <w:szCs w:val="24"/>
        </w:rPr>
        <w:t xml:space="preserve"> Terms</w:t>
      </w:r>
    </w:p>
    <w:p w14:paraId="799FED5C" w14:textId="4E47B5C8" w:rsidR="00BF4780" w:rsidRPr="00C95C24" w:rsidRDefault="007C0E8D" w:rsidP="00BF4780">
      <w:pPr>
        <w:keepNext/>
        <w:spacing w:before="100" w:after="120" w:line="276" w:lineRule="auto"/>
        <w:rPr>
          <w:rFonts w:ascii="Arial" w:eastAsia="Arial" w:hAnsi="Arial" w:cs="Arial"/>
          <w:b/>
          <w:sz w:val="24"/>
          <w:szCs w:val="24"/>
        </w:rPr>
      </w:pPr>
      <w:r>
        <w:rPr>
          <w:rFonts w:ascii="Arial" w:eastAsia="Arial" w:hAnsi="Arial" w:cs="Arial"/>
          <w:b/>
          <w:sz w:val="24"/>
          <w:szCs w:val="24"/>
        </w:rPr>
        <w:t xml:space="preserve">Please refer to the </w:t>
      </w:r>
      <w:r w:rsidRPr="00331F0C">
        <w:rPr>
          <w:rFonts w:ascii="Arial" w:eastAsia="Arial" w:hAnsi="Arial" w:cs="Arial"/>
          <w:b/>
          <w:i/>
          <w:sz w:val="24"/>
          <w:szCs w:val="24"/>
        </w:rPr>
        <w:t>CCSN19A34 RM6018 Contract Terms-v7.01</w:t>
      </w:r>
      <w:r>
        <w:rPr>
          <w:rFonts w:ascii="Arial" w:eastAsia="Arial" w:hAnsi="Arial" w:cs="Arial"/>
          <w:b/>
          <w:sz w:val="24"/>
          <w:szCs w:val="24"/>
        </w:rPr>
        <w:t xml:space="preserve"> document for full Contract Terms.</w:t>
      </w:r>
    </w:p>
    <w:p w14:paraId="60DCAEB6" w14:textId="25469C5E" w:rsidR="0013786D" w:rsidRDefault="0013786D" w:rsidP="00BF4780">
      <w:pPr>
        <w:tabs>
          <w:tab w:val="left" w:pos="175"/>
        </w:tabs>
        <w:spacing w:after="120"/>
        <w:ind w:left="170" w:hanging="170"/>
        <w:jc w:val="center"/>
        <w:rPr>
          <w:rFonts w:ascii="Arial" w:eastAsia="Arial" w:hAnsi="Arial" w:cs="Arial"/>
        </w:rPr>
      </w:pPr>
    </w:p>
    <w:sectPr w:rsidR="0013786D">
      <w:footerReference w:type="default" r:id="rId8"/>
      <w:pgSz w:w="11909" w:h="16834"/>
      <w:pgMar w:top="1526" w:right="1440" w:bottom="18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25A9B" w14:textId="77777777" w:rsidR="00E666AC" w:rsidRDefault="00E666AC">
      <w:pPr>
        <w:spacing w:after="0"/>
      </w:pPr>
      <w:r>
        <w:separator/>
      </w:r>
    </w:p>
  </w:endnote>
  <w:endnote w:type="continuationSeparator" w:id="0">
    <w:p w14:paraId="1E6ADD3F" w14:textId="77777777" w:rsidR="00E666AC" w:rsidRDefault="00E666AC">
      <w:pPr>
        <w:spacing w:after="0"/>
      </w:pPr>
      <w:r>
        <w:continuationSeparator/>
      </w:r>
    </w:p>
  </w:endnote>
  <w:endnote w:type="continuationNotice" w:id="1">
    <w:p w14:paraId="69F527C2" w14:textId="77777777" w:rsidR="00E666AC" w:rsidRDefault="00E666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TZhongsong">
    <w:altName w:val="Malgun Gothic Semilight"/>
    <w:charset w:val="86"/>
    <w:family w:val="auto"/>
    <w:pitch w:val="variable"/>
    <w:sig w:usb0="00000000" w:usb1="080F0000" w:usb2="00000010" w:usb3="00000000" w:csb0="0006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E09F" w14:textId="3E238C1B" w:rsidR="005570B9" w:rsidRDefault="005570B9">
    <w:pPr>
      <w:spacing w:after="0"/>
      <w:jc w:val="left"/>
      <w:rPr>
        <w:rFonts w:ascii="Arial" w:eastAsia="Arial" w:hAnsi="Arial" w:cs="Arial"/>
        <w:sz w:val="16"/>
        <w:szCs w:val="16"/>
      </w:rPr>
    </w:pPr>
  </w:p>
  <w:p w14:paraId="30871D95" w14:textId="44E62CD9" w:rsidR="005570B9" w:rsidRDefault="005570B9" w:rsidP="00AE43BF">
    <w:pPr>
      <w:pBdr>
        <w:top w:val="single" w:sz="6" w:space="1" w:color="000000"/>
      </w:pBdr>
      <w:tabs>
        <w:tab w:val="right" w:pos="8647"/>
      </w:tabs>
      <w:spacing w:after="0"/>
      <w:jc w:val="left"/>
    </w:pPr>
    <w:r>
      <w:rPr>
        <w:sz w:val="16"/>
        <w:szCs w:val="16"/>
      </w:rPr>
      <w:t>© Crown Copyright 2018</w:t>
    </w:r>
    <w:r>
      <w:rPr>
        <w:sz w:val="16"/>
        <w:szCs w:val="16"/>
      </w:rPr>
      <w:tab/>
    </w:r>
    <w:r>
      <w:fldChar w:fldCharType="begin"/>
    </w:r>
    <w:r>
      <w:instrText>PAGE</w:instrText>
    </w:r>
    <w:r>
      <w:fldChar w:fldCharType="separate"/>
    </w:r>
    <w:r w:rsidR="0074696B">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49343" w14:textId="77777777" w:rsidR="00E666AC" w:rsidRDefault="00E666AC">
      <w:pPr>
        <w:spacing w:after="0"/>
      </w:pPr>
      <w:r>
        <w:separator/>
      </w:r>
    </w:p>
  </w:footnote>
  <w:footnote w:type="continuationSeparator" w:id="0">
    <w:p w14:paraId="15FC4B51" w14:textId="77777777" w:rsidR="00E666AC" w:rsidRDefault="00E666AC">
      <w:pPr>
        <w:spacing w:after="0"/>
      </w:pPr>
      <w:r>
        <w:continuationSeparator/>
      </w:r>
    </w:p>
  </w:footnote>
  <w:footnote w:type="continuationNotice" w:id="1">
    <w:p w14:paraId="1D2FFEF3" w14:textId="77777777" w:rsidR="00E666AC" w:rsidRDefault="00E666A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0145"/>
    <w:multiLevelType w:val="hybridMultilevel"/>
    <w:tmpl w:val="C7D86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B53A64"/>
    <w:multiLevelType w:val="hybridMultilevel"/>
    <w:tmpl w:val="A488889A"/>
    <w:lvl w:ilvl="0" w:tplc="0A5241DE">
      <w:start w:val="1"/>
      <w:numFmt w:val="bullet"/>
      <w:lvlText w:val="•"/>
      <w:lvlJc w:val="left"/>
      <w:pPr>
        <w:ind w:left="36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7770A9E6">
      <w:start w:val="1"/>
      <w:numFmt w:val="bullet"/>
      <w:lvlText w:val="o"/>
      <w:lvlJc w:val="left"/>
      <w:pPr>
        <w:ind w:left="108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70A6FD4C">
      <w:start w:val="1"/>
      <w:numFmt w:val="bullet"/>
      <w:lvlText w:val="▪"/>
      <w:lvlJc w:val="left"/>
      <w:pPr>
        <w:ind w:left="180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0D0E3AA2">
      <w:start w:val="1"/>
      <w:numFmt w:val="bullet"/>
      <w:lvlText w:val="•"/>
      <w:lvlJc w:val="left"/>
      <w:pPr>
        <w:ind w:left="252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E95C0A5A">
      <w:start w:val="1"/>
      <w:numFmt w:val="bullet"/>
      <w:lvlText w:val="o"/>
      <w:lvlJc w:val="left"/>
      <w:pPr>
        <w:ind w:left="324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66648134">
      <w:start w:val="1"/>
      <w:numFmt w:val="bullet"/>
      <w:lvlText w:val="▪"/>
      <w:lvlJc w:val="left"/>
      <w:pPr>
        <w:ind w:left="39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27F69298">
      <w:start w:val="1"/>
      <w:numFmt w:val="bullet"/>
      <w:lvlText w:val="•"/>
      <w:lvlJc w:val="left"/>
      <w:pPr>
        <w:ind w:left="468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7A241E12">
      <w:start w:val="1"/>
      <w:numFmt w:val="bullet"/>
      <w:lvlText w:val="o"/>
      <w:lvlJc w:val="left"/>
      <w:pPr>
        <w:ind w:left="540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0CC42F90">
      <w:start w:val="1"/>
      <w:numFmt w:val="bullet"/>
      <w:lvlText w:val="▪"/>
      <w:lvlJc w:val="left"/>
      <w:pPr>
        <w:ind w:left="612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2" w15:restartNumberingAfterBreak="0">
    <w:nsid w:val="0C3A40C4"/>
    <w:multiLevelType w:val="hybridMultilevel"/>
    <w:tmpl w:val="E50ED886"/>
    <w:lvl w:ilvl="0" w:tplc="310856F0">
      <w:start w:val="1"/>
      <w:numFmt w:val="bullet"/>
      <w:lvlText w:val="•"/>
      <w:lvlJc w:val="left"/>
      <w:pPr>
        <w:ind w:left="421"/>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9B58FED4">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2C24D7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D4CEE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460F8E6">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0D01FA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4E8795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658E7C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BC0156C">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6773A6"/>
    <w:multiLevelType w:val="hybridMultilevel"/>
    <w:tmpl w:val="072A1968"/>
    <w:lvl w:ilvl="0" w:tplc="F5FC58B2">
      <w:start w:val="1"/>
      <w:numFmt w:val="bullet"/>
      <w:lvlText w:val="•"/>
      <w:lvlJc w:val="left"/>
      <w:pPr>
        <w:ind w:left="72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11261D34">
      <w:start w:val="1"/>
      <w:numFmt w:val="bullet"/>
      <w:lvlText w:val="o"/>
      <w:lvlJc w:val="left"/>
      <w:pPr>
        <w:ind w:left="144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B218CB90">
      <w:start w:val="1"/>
      <w:numFmt w:val="bullet"/>
      <w:lvlText w:val="▪"/>
      <w:lvlJc w:val="left"/>
      <w:pPr>
        <w:ind w:left="21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0D2CC130">
      <w:start w:val="1"/>
      <w:numFmt w:val="bullet"/>
      <w:lvlText w:val="•"/>
      <w:lvlJc w:val="left"/>
      <w:pPr>
        <w:ind w:left="288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02B8A354">
      <w:start w:val="1"/>
      <w:numFmt w:val="bullet"/>
      <w:lvlText w:val="o"/>
      <w:lvlJc w:val="left"/>
      <w:pPr>
        <w:ind w:left="360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69F4204E">
      <w:start w:val="1"/>
      <w:numFmt w:val="bullet"/>
      <w:lvlText w:val="▪"/>
      <w:lvlJc w:val="left"/>
      <w:pPr>
        <w:ind w:left="432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A616024C">
      <w:start w:val="1"/>
      <w:numFmt w:val="bullet"/>
      <w:lvlText w:val="•"/>
      <w:lvlJc w:val="left"/>
      <w:pPr>
        <w:ind w:left="504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6EAC2CEC">
      <w:start w:val="1"/>
      <w:numFmt w:val="bullet"/>
      <w:lvlText w:val="o"/>
      <w:lvlJc w:val="left"/>
      <w:pPr>
        <w:ind w:left="57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B7642154">
      <w:start w:val="1"/>
      <w:numFmt w:val="bullet"/>
      <w:lvlText w:val="▪"/>
      <w:lvlJc w:val="left"/>
      <w:pPr>
        <w:ind w:left="648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4" w15:restartNumberingAfterBreak="0">
    <w:nsid w:val="10716EB2"/>
    <w:multiLevelType w:val="hybridMultilevel"/>
    <w:tmpl w:val="02002AA8"/>
    <w:lvl w:ilvl="0" w:tplc="E0B4EA9C">
      <w:start w:val="1"/>
      <w:numFmt w:val="bullet"/>
      <w:lvlText w:val="•"/>
      <w:lvlJc w:val="left"/>
      <w:pPr>
        <w:ind w:left="36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2076B23A">
      <w:start w:val="1"/>
      <w:numFmt w:val="bullet"/>
      <w:lvlText w:val="o"/>
      <w:lvlJc w:val="left"/>
      <w:pPr>
        <w:ind w:left="108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04E2C706">
      <w:start w:val="1"/>
      <w:numFmt w:val="bullet"/>
      <w:lvlText w:val="▪"/>
      <w:lvlJc w:val="left"/>
      <w:pPr>
        <w:ind w:left="180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E2A2FF40">
      <w:start w:val="1"/>
      <w:numFmt w:val="bullet"/>
      <w:lvlText w:val="•"/>
      <w:lvlJc w:val="left"/>
      <w:pPr>
        <w:ind w:left="252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E2C2DF68">
      <w:start w:val="1"/>
      <w:numFmt w:val="bullet"/>
      <w:lvlText w:val="o"/>
      <w:lvlJc w:val="left"/>
      <w:pPr>
        <w:ind w:left="324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5B3EB62C">
      <w:start w:val="1"/>
      <w:numFmt w:val="bullet"/>
      <w:lvlText w:val="▪"/>
      <w:lvlJc w:val="left"/>
      <w:pPr>
        <w:ind w:left="39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39E206B8">
      <w:start w:val="1"/>
      <w:numFmt w:val="bullet"/>
      <w:lvlText w:val="•"/>
      <w:lvlJc w:val="left"/>
      <w:pPr>
        <w:ind w:left="468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151298D4">
      <w:start w:val="1"/>
      <w:numFmt w:val="bullet"/>
      <w:lvlText w:val="o"/>
      <w:lvlJc w:val="left"/>
      <w:pPr>
        <w:ind w:left="540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8FCE3D18">
      <w:start w:val="1"/>
      <w:numFmt w:val="bullet"/>
      <w:lvlText w:val="▪"/>
      <w:lvlJc w:val="left"/>
      <w:pPr>
        <w:ind w:left="612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5" w15:restartNumberingAfterBreak="0">
    <w:nsid w:val="11285D40"/>
    <w:multiLevelType w:val="hybridMultilevel"/>
    <w:tmpl w:val="3C0E3602"/>
    <w:lvl w:ilvl="0" w:tplc="5D225D98">
      <w:start w:val="1"/>
      <w:numFmt w:val="bullet"/>
      <w:lvlText w:val="•"/>
      <w:lvlJc w:val="left"/>
      <w:pPr>
        <w:ind w:left="72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FC2E0034">
      <w:start w:val="1"/>
      <w:numFmt w:val="bullet"/>
      <w:lvlText w:val="o"/>
      <w:lvlJc w:val="left"/>
      <w:pPr>
        <w:ind w:left="144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4B0A2374">
      <w:start w:val="1"/>
      <w:numFmt w:val="bullet"/>
      <w:lvlText w:val="▪"/>
      <w:lvlJc w:val="left"/>
      <w:pPr>
        <w:ind w:left="21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7B9A39CE">
      <w:start w:val="1"/>
      <w:numFmt w:val="bullet"/>
      <w:lvlText w:val="•"/>
      <w:lvlJc w:val="left"/>
      <w:pPr>
        <w:ind w:left="288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FFFC35D6">
      <w:start w:val="1"/>
      <w:numFmt w:val="bullet"/>
      <w:lvlText w:val="o"/>
      <w:lvlJc w:val="left"/>
      <w:pPr>
        <w:ind w:left="360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9A94A45E">
      <w:start w:val="1"/>
      <w:numFmt w:val="bullet"/>
      <w:lvlText w:val="▪"/>
      <w:lvlJc w:val="left"/>
      <w:pPr>
        <w:ind w:left="432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208050AA">
      <w:start w:val="1"/>
      <w:numFmt w:val="bullet"/>
      <w:lvlText w:val="•"/>
      <w:lvlJc w:val="left"/>
      <w:pPr>
        <w:ind w:left="504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11A8D1E6">
      <w:start w:val="1"/>
      <w:numFmt w:val="bullet"/>
      <w:lvlText w:val="o"/>
      <w:lvlJc w:val="left"/>
      <w:pPr>
        <w:ind w:left="57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0AD872D4">
      <w:start w:val="1"/>
      <w:numFmt w:val="bullet"/>
      <w:lvlText w:val="▪"/>
      <w:lvlJc w:val="left"/>
      <w:pPr>
        <w:ind w:left="648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6" w15:restartNumberingAfterBreak="0">
    <w:nsid w:val="17204BFF"/>
    <w:multiLevelType w:val="hybridMultilevel"/>
    <w:tmpl w:val="6D48FEF2"/>
    <w:lvl w:ilvl="0" w:tplc="40E27392">
      <w:start w:val="1"/>
      <w:numFmt w:val="bullet"/>
      <w:lvlText w:val="•"/>
      <w:lvlJc w:val="left"/>
      <w:pPr>
        <w:ind w:left="361"/>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03B0F1D8">
      <w:start w:val="1"/>
      <w:numFmt w:val="bullet"/>
      <w:lvlText w:val="o"/>
      <w:lvlJc w:val="left"/>
      <w:pPr>
        <w:ind w:left="119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98FA250E">
      <w:start w:val="1"/>
      <w:numFmt w:val="bullet"/>
      <w:lvlText w:val="▪"/>
      <w:lvlJc w:val="left"/>
      <w:pPr>
        <w:ind w:left="19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E84C2F94">
      <w:start w:val="1"/>
      <w:numFmt w:val="bullet"/>
      <w:lvlText w:val="•"/>
      <w:lvlJc w:val="left"/>
      <w:pPr>
        <w:ind w:left="263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88384D6E">
      <w:start w:val="1"/>
      <w:numFmt w:val="bullet"/>
      <w:lvlText w:val="o"/>
      <w:lvlJc w:val="left"/>
      <w:pPr>
        <w:ind w:left="335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E3DCF9F2">
      <w:start w:val="1"/>
      <w:numFmt w:val="bullet"/>
      <w:lvlText w:val="▪"/>
      <w:lvlJc w:val="left"/>
      <w:pPr>
        <w:ind w:left="407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72B28302">
      <w:start w:val="1"/>
      <w:numFmt w:val="bullet"/>
      <w:lvlText w:val="•"/>
      <w:lvlJc w:val="left"/>
      <w:pPr>
        <w:ind w:left="479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791807A8">
      <w:start w:val="1"/>
      <w:numFmt w:val="bullet"/>
      <w:lvlText w:val="o"/>
      <w:lvlJc w:val="left"/>
      <w:pPr>
        <w:ind w:left="55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35160BEC">
      <w:start w:val="1"/>
      <w:numFmt w:val="bullet"/>
      <w:lvlText w:val="▪"/>
      <w:lvlJc w:val="left"/>
      <w:pPr>
        <w:ind w:left="623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7" w15:restartNumberingAfterBreak="0">
    <w:nsid w:val="18CE53EA"/>
    <w:multiLevelType w:val="hybridMultilevel"/>
    <w:tmpl w:val="E1FADCB0"/>
    <w:lvl w:ilvl="0" w:tplc="CB4CB63E">
      <w:start w:val="1"/>
      <w:numFmt w:val="decimal"/>
      <w:lvlText w:val="%1."/>
      <w:lvlJc w:val="left"/>
      <w:pPr>
        <w:ind w:left="36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lvl w:ilvl="1" w:tplc="DFE84C46">
      <w:start w:val="1"/>
      <w:numFmt w:val="lowerLetter"/>
      <w:lvlText w:val="%2"/>
      <w:lvlJc w:val="left"/>
      <w:pPr>
        <w:ind w:left="108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lvl w:ilvl="2" w:tplc="797032AC">
      <w:start w:val="1"/>
      <w:numFmt w:val="lowerRoman"/>
      <w:lvlText w:val="%3"/>
      <w:lvlJc w:val="left"/>
      <w:pPr>
        <w:ind w:left="180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lvl w:ilvl="3" w:tplc="5D005D44">
      <w:start w:val="1"/>
      <w:numFmt w:val="decimal"/>
      <w:lvlText w:val="%4"/>
      <w:lvlJc w:val="left"/>
      <w:pPr>
        <w:ind w:left="252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lvl w:ilvl="4" w:tplc="5158FE2A">
      <w:start w:val="1"/>
      <w:numFmt w:val="lowerLetter"/>
      <w:lvlText w:val="%5"/>
      <w:lvlJc w:val="left"/>
      <w:pPr>
        <w:ind w:left="324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lvl w:ilvl="5" w:tplc="2312DFA8">
      <w:start w:val="1"/>
      <w:numFmt w:val="lowerRoman"/>
      <w:lvlText w:val="%6"/>
      <w:lvlJc w:val="left"/>
      <w:pPr>
        <w:ind w:left="396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lvl w:ilvl="6" w:tplc="E99EF002">
      <w:start w:val="1"/>
      <w:numFmt w:val="decimal"/>
      <w:lvlText w:val="%7"/>
      <w:lvlJc w:val="left"/>
      <w:pPr>
        <w:ind w:left="468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lvl w:ilvl="7" w:tplc="454259A8">
      <w:start w:val="1"/>
      <w:numFmt w:val="lowerLetter"/>
      <w:lvlText w:val="%8"/>
      <w:lvlJc w:val="left"/>
      <w:pPr>
        <w:ind w:left="540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lvl w:ilvl="8" w:tplc="F086C470">
      <w:start w:val="1"/>
      <w:numFmt w:val="lowerRoman"/>
      <w:lvlText w:val="%9"/>
      <w:lvlJc w:val="left"/>
      <w:pPr>
        <w:ind w:left="612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abstractNum>
  <w:abstractNum w:abstractNumId="8" w15:restartNumberingAfterBreak="0">
    <w:nsid w:val="466A2088"/>
    <w:multiLevelType w:val="hybridMultilevel"/>
    <w:tmpl w:val="923A34C6"/>
    <w:lvl w:ilvl="0" w:tplc="F7040EC4">
      <w:start w:val="1"/>
      <w:numFmt w:val="bullet"/>
      <w:lvlText w:val="•"/>
      <w:lvlJc w:val="left"/>
      <w:pPr>
        <w:ind w:left="72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D36C8E20">
      <w:start w:val="1"/>
      <w:numFmt w:val="bullet"/>
      <w:lvlText w:val="o"/>
      <w:lvlJc w:val="left"/>
      <w:pPr>
        <w:ind w:left="144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F454F29A">
      <w:start w:val="1"/>
      <w:numFmt w:val="bullet"/>
      <w:lvlText w:val="▪"/>
      <w:lvlJc w:val="left"/>
      <w:pPr>
        <w:ind w:left="21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B7B41720">
      <w:start w:val="1"/>
      <w:numFmt w:val="bullet"/>
      <w:lvlText w:val="•"/>
      <w:lvlJc w:val="left"/>
      <w:pPr>
        <w:ind w:left="288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9224EDC6">
      <w:start w:val="1"/>
      <w:numFmt w:val="bullet"/>
      <w:lvlText w:val="o"/>
      <w:lvlJc w:val="left"/>
      <w:pPr>
        <w:ind w:left="360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6C2A2668">
      <w:start w:val="1"/>
      <w:numFmt w:val="bullet"/>
      <w:lvlText w:val="▪"/>
      <w:lvlJc w:val="left"/>
      <w:pPr>
        <w:ind w:left="432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E59055BC">
      <w:start w:val="1"/>
      <w:numFmt w:val="bullet"/>
      <w:lvlText w:val="•"/>
      <w:lvlJc w:val="left"/>
      <w:pPr>
        <w:ind w:left="504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68F05800">
      <w:start w:val="1"/>
      <w:numFmt w:val="bullet"/>
      <w:lvlText w:val="o"/>
      <w:lvlJc w:val="left"/>
      <w:pPr>
        <w:ind w:left="57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8CD2F644">
      <w:start w:val="1"/>
      <w:numFmt w:val="bullet"/>
      <w:lvlText w:val="▪"/>
      <w:lvlJc w:val="left"/>
      <w:pPr>
        <w:ind w:left="648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9" w15:restartNumberingAfterBreak="0">
    <w:nsid w:val="48CC0808"/>
    <w:multiLevelType w:val="hybridMultilevel"/>
    <w:tmpl w:val="8C345006"/>
    <w:lvl w:ilvl="0" w:tplc="480418D8">
      <w:start w:val="1"/>
      <w:numFmt w:val="bullet"/>
      <w:lvlText w:val="•"/>
      <w:lvlJc w:val="left"/>
      <w:pPr>
        <w:ind w:left="72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5C58FBA4">
      <w:start w:val="1"/>
      <w:numFmt w:val="bullet"/>
      <w:lvlText w:val="o"/>
      <w:lvlJc w:val="left"/>
      <w:pPr>
        <w:ind w:left="144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59F6ADC4">
      <w:start w:val="1"/>
      <w:numFmt w:val="bullet"/>
      <w:lvlText w:val="▪"/>
      <w:lvlJc w:val="left"/>
      <w:pPr>
        <w:ind w:left="21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C19AC012">
      <w:start w:val="1"/>
      <w:numFmt w:val="bullet"/>
      <w:lvlText w:val="•"/>
      <w:lvlJc w:val="left"/>
      <w:pPr>
        <w:ind w:left="288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28FE0898">
      <w:start w:val="1"/>
      <w:numFmt w:val="bullet"/>
      <w:lvlText w:val="o"/>
      <w:lvlJc w:val="left"/>
      <w:pPr>
        <w:ind w:left="360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FC6A15DC">
      <w:start w:val="1"/>
      <w:numFmt w:val="bullet"/>
      <w:lvlText w:val="▪"/>
      <w:lvlJc w:val="left"/>
      <w:pPr>
        <w:ind w:left="432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DA604428">
      <w:start w:val="1"/>
      <w:numFmt w:val="bullet"/>
      <w:lvlText w:val="•"/>
      <w:lvlJc w:val="left"/>
      <w:pPr>
        <w:ind w:left="504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235E3D08">
      <w:start w:val="1"/>
      <w:numFmt w:val="bullet"/>
      <w:lvlText w:val="o"/>
      <w:lvlJc w:val="left"/>
      <w:pPr>
        <w:ind w:left="57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CDDCEE5E">
      <w:start w:val="1"/>
      <w:numFmt w:val="bullet"/>
      <w:lvlText w:val="▪"/>
      <w:lvlJc w:val="left"/>
      <w:pPr>
        <w:ind w:left="648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10" w15:restartNumberingAfterBreak="0">
    <w:nsid w:val="49ED507E"/>
    <w:multiLevelType w:val="hybridMultilevel"/>
    <w:tmpl w:val="4AA2996A"/>
    <w:lvl w:ilvl="0" w:tplc="E1EE0248">
      <w:start w:val="1"/>
      <w:numFmt w:val="decimal"/>
      <w:lvlText w:val="%1."/>
      <w:lvlJc w:val="left"/>
      <w:pPr>
        <w:ind w:left="72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lvl w:ilvl="1" w:tplc="DF30DDAA">
      <w:start w:val="1"/>
      <w:numFmt w:val="lowerLetter"/>
      <w:lvlText w:val="%2"/>
      <w:lvlJc w:val="left"/>
      <w:pPr>
        <w:ind w:left="144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lvl w:ilvl="2" w:tplc="450C642A">
      <w:start w:val="1"/>
      <w:numFmt w:val="lowerRoman"/>
      <w:lvlText w:val="%3"/>
      <w:lvlJc w:val="left"/>
      <w:pPr>
        <w:ind w:left="216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lvl w:ilvl="3" w:tplc="2CEA8534">
      <w:start w:val="1"/>
      <w:numFmt w:val="decimal"/>
      <w:lvlText w:val="%4"/>
      <w:lvlJc w:val="left"/>
      <w:pPr>
        <w:ind w:left="288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lvl w:ilvl="4" w:tplc="B388EB16">
      <w:start w:val="1"/>
      <w:numFmt w:val="lowerLetter"/>
      <w:lvlText w:val="%5"/>
      <w:lvlJc w:val="left"/>
      <w:pPr>
        <w:ind w:left="360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lvl w:ilvl="5" w:tplc="2B04BACA">
      <w:start w:val="1"/>
      <w:numFmt w:val="lowerRoman"/>
      <w:lvlText w:val="%6"/>
      <w:lvlJc w:val="left"/>
      <w:pPr>
        <w:ind w:left="432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lvl w:ilvl="6" w:tplc="79483C44">
      <w:start w:val="1"/>
      <w:numFmt w:val="decimal"/>
      <w:lvlText w:val="%7"/>
      <w:lvlJc w:val="left"/>
      <w:pPr>
        <w:ind w:left="504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lvl w:ilvl="7" w:tplc="4E32646C">
      <w:start w:val="1"/>
      <w:numFmt w:val="lowerLetter"/>
      <w:lvlText w:val="%8"/>
      <w:lvlJc w:val="left"/>
      <w:pPr>
        <w:ind w:left="576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lvl w:ilvl="8" w:tplc="E8E89372">
      <w:start w:val="1"/>
      <w:numFmt w:val="lowerRoman"/>
      <w:lvlText w:val="%9"/>
      <w:lvlJc w:val="left"/>
      <w:pPr>
        <w:ind w:left="6480"/>
      </w:pPr>
      <w:rPr>
        <w:rFonts w:ascii="Arial" w:eastAsia="Arial" w:hAnsi="Arial" w:cs="Arial"/>
        <w:b/>
        <w:bCs/>
        <w:i w:val="0"/>
        <w:strike w:val="0"/>
        <w:dstrike w:val="0"/>
        <w:color w:val="006DA6"/>
        <w:sz w:val="22"/>
        <w:szCs w:val="22"/>
        <w:u w:val="none" w:color="000000"/>
        <w:bdr w:val="none" w:sz="0" w:space="0" w:color="auto"/>
        <w:shd w:val="clear" w:color="auto" w:fill="auto"/>
        <w:vertAlign w:val="baseline"/>
      </w:rPr>
    </w:lvl>
  </w:abstractNum>
  <w:abstractNum w:abstractNumId="11" w15:restartNumberingAfterBreak="0">
    <w:nsid w:val="4D0C1466"/>
    <w:multiLevelType w:val="hybridMultilevel"/>
    <w:tmpl w:val="84F8A328"/>
    <w:lvl w:ilvl="0" w:tplc="C6EE456C">
      <w:start w:val="1"/>
      <w:numFmt w:val="bullet"/>
      <w:lvlText w:val="•"/>
      <w:lvlJc w:val="left"/>
      <w:pPr>
        <w:ind w:left="72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ACA01D4A">
      <w:start w:val="1"/>
      <w:numFmt w:val="bullet"/>
      <w:lvlText w:val="o"/>
      <w:lvlJc w:val="left"/>
      <w:pPr>
        <w:ind w:left="144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062AB32C">
      <w:start w:val="1"/>
      <w:numFmt w:val="bullet"/>
      <w:lvlText w:val="▪"/>
      <w:lvlJc w:val="left"/>
      <w:pPr>
        <w:ind w:left="21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4D10BB82">
      <w:start w:val="1"/>
      <w:numFmt w:val="bullet"/>
      <w:lvlText w:val="•"/>
      <w:lvlJc w:val="left"/>
      <w:pPr>
        <w:ind w:left="288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249E1B90">
      <w:start w:val="1"/>
      <w:numFmt w:val="bullet"/>
      <w:lvlText w:val="o"/>
      <w:lvlJc w:val="left"/>
      <w:pPr>
        <w:ind w:left="360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B7F0E06C">
      <w:start w:val="1"/>
      <w:numFmt w:val="bullet"/>
      <w:lvlText w:val="▪"/>
      <w:lvlJc w:val="left"/>
      <w:pPr>
        <w:ind w:left="432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3948D9F0">
      <w:start w:val="1"/>
      <w:numFmt w:val="bullet"/>
      <w:lvlText w:val="•"/>
      <w:lvlJc w:val="left"/>
      <w:pPr>
        <w:ind w:left="504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821CD728">
      <w:start w:val="1"/>
      <w:numFmt w:val="bullet"/>
      <w:lvlText w:val="o"/>
      <w:lvlJc w:val="left"/>
      <w:pPr>
        <w:ind w:left="57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C5B8DBE8">
      <w:start w:val="1"/>
      <w:numFmt w:val="bullet"/>
      <w:lvlText w:val="▪"/>
      <w:lvlJc w:val="left"/>
      <w:pPr>
        <w:ind w:left="648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12" w15:restartNumberingAfterBreak="0">
    <w:nsid w:val="4EB24D99"/>
    <w:multiLevelType w:val="hybridMultilevel"/>
    <w:tmpl w:val="505EA67A"/>
    <w:lvl w:ilvl="0" w:tplc="46CE9A34">
      <w:start w:val="1"/>
      <w:numFmt w:val="bullet"/>
      <w:lvlText w:val="•"/>
      <w:lvlJc w:val="left"/>
      <w:pPr>
        <w:ind w:left="361"/>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22C65AA2">
      <w:start w:val="1"/>
      <w:numFmt w:val="bullet"/>
      <w:lvlText w:val="o"/>
      <w:lvlJc w:val="left"/>
      <w:pPr>
        <w:ind w:left="119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677EE22C">
      <w:start w:val="1"/>
      <w:numFmt w:val="bullet"/>
      <w:lvlText w:val="▪"/>
      <w:lvlJc w:val="left"/>
      <w:pPr>
        <w:ind w:left="19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437201C8">
      <w:start w:val="1"/>
      <w:numFmt w:val="bullet"/>
      <w:lvlText w:val="•"/>
      <w:lvlJc w:val="left"/>
      <w:pPr>
        <w:ind w:left="263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99A0395E">
      <w:start w:val="1"/>
      <w:numFmt w:val="bullet"/>
      <w:lvlText w:val="o"/>
      <w:lvlJc w:val="left"/>
      <w:pPr>
        <w:ind w:left="335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4CB2D064">
      <w:start w:val="1"/>
      <w:numFmt w:val="bullet"/>
      <w:lvlText w:val="▪"/>
      <w:lvlJc w:val="left"/>
      <w:pPr>
        <w:ind w:left="407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160AD306">
      <w:start w:val="1"/>
      <w:numFmt w:val="bullet"/>
      <w:lvlText w:val="•"/>
      <w:lvlJc w:val="left"/>
      <w:pPr>
        <w:ind w:left="479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278EC522">
      <w:start w:val="1"/>
      <w:numFmt w:val="bullet"/>
      <w:lvlText w:val="o"/>
      <w:lvlJc w:val="left"/>
      <w:pPr>
        <w:ind w:left="55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582040A2">
      <w:start w:val="1"/>
      <w:numFmt w:val="bullet"/>
      <w:lvlText w:val="▪"/>
      <w:lvlJc w:val="left"/>
      <w:pPr>
        <w:ind w:left="623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13" w15:restartNumberingAfterBreak="0">
    <w:nsid w:val="4F2F14D4"/>
    <w:multiLevelType w:val="multilevel"/>
    <w:tmpl w:val="7E7E2CB4"/>
    <w:lvl w:ilvl="0">
      <w:start w:val="1"/>
      <w:numFmt w:val="decimal"/>
      <w:lvlText w:val="SCHEDULE %1: "/>
      <w:lvlJc w:val="left"/>
      <w:pPr>
        <w:ind w:left="0" w:firstLine="0"/>
      </w:pPr>
      <w:rPr>
        <w:smallCaps w:val="0"/>
      </w:rPr>
    </w:lvl>
    <w:lvl w:ilvl="1">
      <w:start w:val="1"/>
      <w:numFmt w:val="decimal"/>
      <w:lvlText w:val="Part %2: "/>
      <w:lvlJc w:val="left"/>
      <w:pPr>
        <w:ind w:left="-13892"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14"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5" w15:restartNumberingAfterBreak="0">
    <w:nsid w:val="5FC97DF1"/>
    <w:multiLevelType w:val="hybridMultilevel"/>
    <w:tmpl w:val="C2001BFC"/>
    <w:lvl w:ilvl="0" w:tplc="D4B0EC52">
      <w:start w:val="1"/>
      <w:numFmt w:val="bullet"/>
      <w:lvlText w:val="•"/>
      <w:lvlJc w:val="left"/>
      <w:pPr>
        <w:ind w:left="72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B8C86FE8">
      <w:start w:val="1"/>
      <w:numFmt w:val="bullet"/>
      <w:lvlText w:val="o"/>
      <w:lvlJc w:val="left"/>
      <w:pPr>
        <w:ind w:left="144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8F74FAE6">
      <w:start w:val="1"/>
      <w:numFmt w:val="bullet"/>
      <w:lvlText w:val="▪"/>
      <w:lvlJc w:val="left"/>
      <w:pPr>
        <w:ind w:left="21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F178285E">
      <w:start w:val="1"/>
      <w:numFmt w:val="bullet"/>
      <w:lvlText w:val="•"/>
      <w:lvlJc w:val="left"/>
      <w:pPr>
        <w:ind w:left="288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12768DBA">
      <w:start w:val="1"/>
      <w:numFmt w:val="bullet"/>
      <w:lvlText w:val="o"/>
      <w:lvlJc w:val="left"/>
      <w:pPr>
        <w:ind w:left="360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B3F2DE4C">
      <w:start w:val="1"/>
      <w:numFmt w:val="bullet"/>
      <w:lvlText w:val="▪"/>
      <w:lvlJc w:val="left"/>
      <w:pPr>
        <w:ind w:left="432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C122C6EA">
      <w:start w:val="1"/>
      <w:numFmt w:val="bullet"/>
      <w:lvlText w:val="•"/>
      <w:lvlJc w:val="left"/>
      <w:pPr>
        <w:ind w:left="504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B8D8B350">
      <w:start w:val="1"/>
      <w:numFmt w:val="bullet"/>
      <w:lvlText w:val="o"/>
      <w:lvlJc w:val="left"/>
      <w:pPr>
        <w:ind w:left="57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A6967472">
      <w:start w:val="1"/>
      <w:numFmt w:val="bullet"/>
      <w:lvlText w:val="▪"/>
      <w:lvlJc w:val="left"/>
      <w:pPr>
        <w:ind w:left="648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16" w15:restartNumberingAfterBreak="0">
    <w:nsid w:val="612501CC"/>
    <w:multiLevelType w:val="hybridMultilevel"/>
    <w:tmpl w:val="16900EAA"/>
    <w:lvl w:ilvl="0" w:tplc="E638847C">
      <w:start w:val="1"/>
      <w:numFmt w:val="bullet"/>
      <w:lvlText w:val="•"/>
      <w:lvlJc w:val="left"/>
      <w:pPr>
        <w:ind w:left="72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1DEC3850">
      <w:start w:val="1"/>
      <w:numFmt w:val="bullet"/>
      <w:lvlText w:val="o"/>
      <w:lvlJc w:val="left"/>
      <w:pPr>
        <w:ind w:left="144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D3B2EC02">
      <w:start w:val="1"/>
      <w:numFmt w:val="bullet"/>
      <w:lvlText w:val="▪"/>
      <w:lvlJc w:val="left"/>
      <w:pPr>
        <w:ind w:left="21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8C7CE856">
      <w:start w:val="1"/>
      <w:numFmt w:val="bullet"/>
      <w:lvlText w:val="•"/>
      <w:lvlJc w:val="left"/>
      <w:pPr>
        <w:ind w:left="288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C17A2150">
      <w:start w:val="1"/>
      <w:numFmt w:val="bullet"/>
      <w:lvlText w:val="o"/>
      <w:lvlJc w:val="left"/>
      <w:pPr>
        <w:ind w:left="360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71B0CBC8">
      <w:start w:val="1"/>
      <w:numFmt w:val="bullet"/>
      <w:lvlText w:val="▪"/>
      <w:lvlJc w:val="left"/>
      <w:pPr>
        <w:ind w:left="432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32B21FAC">
      <w:start w:val="1"/>
      <w:numFmt w:val="bullet"/>
      <w:lvlText w:val="•"/>
      <w:lvlJc w:val="left"/>
      <w:pPr>
        <w:ind w:left="504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83142758">
      <w:start w:val="1"/>
      <w:numFmt w:val="bullet"/>
      <w:lvlText w:val="o"/>
      <w:lvlJc w:val="left"/>
      <w:pPr>
        <w:ind w:left="57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A970DE76">
      <w:start w:val="1"/>
      <w:numFmt w:val="bullet"/>
      <w:lvlText w:val="▪"/>
      <w:lvlJc w:val="left"/>
      <w:pPr>
        <w:ind w:left="648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17" w15:restartNumberingAfterBreak="0">
    <w:nsid w:val="670B6AC4"/>
    <w:multiLevelType w:val="hybridMultilevel"/>
    <w:tmpl w:val="6CA225DE"/>
    <w:lvl w:ilvl="0" w:tplc="195093E4">
      <w:start w:val="1"/>
      <w:numFmt w:val="bullet"/>
      <w:lvlText w:val="•"/>
      <w:lvlJc w:val="left"/>
      <w:pPr>
        <w:ind w:left="72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16EA92DA">
      <w:start w:val="1"/>
      <w:numFmt w:val="bullet"/>
      <w:lvlText w:val="o"/>
      <w:lvlJc w:val="left"/>
      <w:pPr>
        <w:ind w:left="144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325C5A3A">
      <w:start w:val="1"/>
      <w:numFmt w:val="bullet"/>
      <w:lvlText w:val="▪"/>
      <w:lvlJc w:val="left"/>
      <w:pPr>
        <w:ind w:left="21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BEAA358E">
      <w:start w:val="1"/>
      <w:numFmt w:val="bullet"/>
      <w:lvlText w:val="•"/>
      <w:lvlJc w:val="left"/>
      <w:pPr>
        <w:ind w:left="288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104A60C6">
      <w:start w:val="1"/>
      <w:numFmt w:val="bullet"/>
      <w:lvlText w:val="o"/>
      <w:lvlJc w:val="left"/>
      <w:pPr>
        <w:ind w:left="360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1D76886A">
      <w:start w:val="1"/>
      <w:numFmt w:val="bullet"/>
      <w:lvlText w:val="▪"/>
      <w:lvlJc w:val="left"/>
      <w:pPr>
        <w:ind w:left="432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AC500648">
      <w:start w:val="1"/>
      <w:numFmt w:val="bullet"/>
      <w:lvlText w:val="•"/>
      <w:lvlJc w:val="left"/>
      <w:pPr>
        <w:ind w:left="504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32E272C0">
      <w:start w:val="1"/>
      <w:numFmt w:val="bullet"/>
      <w:lvlText w:val="o"/>
      <w:lvlJc w:val="left"/>
      <w:pPr>
        <w:ind w:left="57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B3D46DD4">
      <w:start w:val="1"/>
      <w:numFmt w:val="bullet"/>
      <w:lvlText w:val="▪"/>
      <w:lvlJc w:val="left"/>
      <w:pPr>
        <w:ind w:left="648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18" w15:restartNumberingAfterBreak="0">
    <w:nsid w:val="67FF7037"/>
    <w:multiLevelType w:val="hybridMultilevel"/>
    <w:tmpl w:val="9992FF64"/>
    <w:lvl w:ilvl="0" w:tplc="504CC7D6">
      <w:start w:val="1"/>
      <w:numFmt w:val="bullet"/>
      <w:lvlText w:val="•"/>
      <w:lvlJc w:val="left"/>
      <w:pPr>
        <w:ind w:left="72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0C300C0C">
      <w:start w:val="1"/>
      <w:numFmt w:val="bullet"/>
      <w:lvlText w:val="o"/>
      <w:lvlJc w:val="left"/>
      <w:pPr>
        <w:ind w:left="144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A724A73E">
      <w:start w:val="1"/>
      <w:numFmt w:val="bullet"/>
      <w:lvlText w:val="▪"/>
      <w:lvlJc w:val="left"/>
      <w:pPr>
        <w:ind w:left="21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94B6B1FC">
      <w:start w:val="1"/>
      <w:numFmt w:val="bullet"/>
      <w:lvlText w:val="•"/>
      <w:lvlJc w:val="left"/>
      <w:pPr>
        <w:ind w:left="288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AB928E44">
      <w:start w:val="1"/>
      <w:numFmt w:val="bullet"/>
      <w:lvlText w:val="o"/>
      <w:lvlJc w:val="left"/>
      <w:pPr>
        <w:ind w:left="360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2AAC8016">
      <w:start w:val="1"/>
      <w:numFmt w:val="bullet"/>
      <w:lvlText w:val="▪"/>
      <w:lvlJc w:val="left"/>
      <w:pPr>
        <w:ind w:left="432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4AA86A66">
      <w:start w:val="1"/>
      <w:numFmt w:val="bullet"/>
      <w:lvlText w:val="•"/>
      <w:lvlJc w:val="left"/>
      <w:pPr>
        <w:ind w:left="504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2F9255F2">
      <w:start w:val="1"/>
      <w:numFmt w:val="bullet"/>
      <w:lvlText w:val="o"/>
      <w:lvlJc w:val="left"/>
      <w:pPr>
        <w:ind w:left="57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B07E440A">
      <w:start w:val="1"/>
      <w:numFmt w:val="bullet"/>
      <w:lvlText w:val="▪"/>
      <w:lvlJc w:val="left"/>
      <w:pPr>
        <w:ind w:left="648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19" w15:restartNumberingAfterBreak="0">
    <w:nsid w:val="6976297D"/>
    <w:multiLevelType w:val="hybridMultilevel"/>
    <w:tmpl w:val="2AA2E64A"/>
    <w:lvl w:ilvl="0" w:tplc="1FC66E9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A68555D"/>
    <w:multiLevelType w:val="hybridMultilevel"/>
    <w:tmpl w:val="302EDD22"/>
    <w:lvl w:ilvl="0" w:tplc="243A2BC4">
      <w:start w:val="1"/>
      <w:numFmt w:val="bullet"/>
      <w:lvlText w:val="•"/>
      <w:lvlJc w:val="left"/>
      <w:pPr>
        <w:ind w:left="361"/>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55BA2A14">
      <w:start w:val="1"/>
      <w:numFmt w:val="bullet"/>
      <w:lvlText w:val="o"/>
      <w:lvlJc w:val="left"/>
      <w:pPr>
        <w:ind w:left="119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B2B2FE38">
      <w:start w:val="1"/>
      <w:numFmt w:val="bullet"/>
      <w:lvlText w:val="▪"/>
      <w:lvlJc w:val="left"/>
      <w:pPr>
        <w:ind w:left="19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64F205E2">
      <w:start w:val="1"/>
      <w:numFmt w:val="bullet"/>
      <w:lvlText w:val="•"/>
      <w:lvlJc w:val="left"/>
      <w:pPr>
        <w:ind w:left="263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ECF4E9FE">
      <w:start w:val="1"/>
      <w:numFmt w:val="bullet"/>
      <w:lvlText w:val="o"/>
      <w:lvlJc w:val="left"/>
      <w:pPr>
        <w:ind w:left="335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4990A240">
      <w:start w:val="1"/>
      <w:numFmt w:val="bullet"/>
      <w:lvlText w:val="▪"/>
      <w:lvlJc w:val="left"/>
      <w:pPr>
        <w:ind w:left="407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D938F6AA">
      <w:start w:val="1"/>
      <w:numFmt w:val="bullet"/>
      <w:lvlText w:val="•"/>
      <w:lvlJc w:val="left"/>
      <w:pPr>
        <w:ind w:left="479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67744234">
      <w:start w:val="1"/>
      <w:numFmt w:val="bullet"/>
      <w:lvlText w:val="o"/>
      <w:lvlJc w:val="left"/>
      <w:pPr>
        <w:ind w:left="55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333005BE">
      <w:start w:val="1"/>
      <w:numFmt w:val="bullet"/>
      <w:lvlText w:val="▪"/>
      <w:lvlJc w:val="left"/>
      <w:pPr>
        <w:ind w:left="623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21" w15:restartNumberingAfterBreak="0">
    <w:nsid w:val="7492527A"/>
    <w:multiLevelType w:val="hybridMultilevel"/>
    <w:tmpl w:val="ACF23B16"/>
    <w:lvl w:ilvl="0" w:tplc="0EBC8F24">
      <w:start w:val="1"/>
      <w:numFmt w:val="bullet"/>
      <w:lvlText w:val="•"/>
      <w:lvlJc w:val="left"/>
      <w:pPr>
        <w:ind w:left="705"/>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C1F46636">
      <w:start w:val="1"/>
      <w:numFmt w:val="bullet"/>
      <w:lvlText w:val="o"/>
      <w:lvlJc w:val="left"/>
      <w:pPr>
        <w:ind w:left="144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BC221CA6">
      <w:start w:val="1"/>
      <w:numFmt w:val="bullet"/>
      <w:lvlText w:val="▪"/>
      <w:lvlJc w:val="left"/>
      <w:pPr>
        <w:ind w:left="21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7640ED4A">
      <w:start w:val="1"/>
      <w:numFmt w:val="bullet"/>
      <w:lvlText w:val="•"/>
      <w:lvlJc w:val="left"/>
      <w:pPr>
        <w:ind w:left="288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E6723562">
      <w:start w:val="1"/>
      <w:numFmt w:val="bullet"/>
      <w:lvlText w:val="o"/>
      <w:lvlJc w:val="left"/>
      <w:pPr>
        <w:ind w:left="360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73D67A2A">
      <w:start w:val="1"/>
      <w:numFmt w:val="bullet"/>
      <w:lvlText w:val="▪"/>
      <w:lvlJc w:val="left"/>
      <w:pPr>
        <w:ind w:left="432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425AE5D0">
      <w:start w:val="1"/>
      <w:numFmt w:val="bullet"/>
      <w:lvlText w:val="•"/>
      <w:lvlJc w:val="left"/>
      <w:pPr>
        <w:ind w:left="504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21B8E8EA">
      <w:start w:val="1"/>
      <w:numFmt w:val="bullet"/>
      <w:lvlText w:val="o"/>
      <w:lvlJc w:val="left"/>
      <w:pPr>
        <w:ind w:left="57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0BDE8D06">
      <w:start w:val="1"/>
      <w:numFmt w:val="bullet"/>
      <w:lvlText w:val="▪"/>
      <w:lvlJc w:val="left"/>
      <w:pPr>
        <w:ind w:left="648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22" w15:restartNumberingAfterBreak="0">
    <w:nsid w:val="772936E4"/>
    <w:multiLevelType w:val="multilevel"/>
    <w:tmpl w:val="0A4A330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808"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7992274C"/>
    <w:multiLevelType w:val="hybridMultilevel"/>
    <w:tmpl w:val="7A5C8900"/>
    <w:lvl w:ilvl="0" w:tplc="4CE67812">
      <w:start w:val="1"/>
      <w:numFmt w:val="bullet"/>
      <w:lvlText w:val="•"/>
      <w:lvlJc w:val="left"/>
      <w:pPr>
        <w:ind w:left="72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B254D51E">
      <w:start w:val="1"/>
      <w:numFmt w:val="bullet"/>
      <w:lvlText w:val="o"/>
      <w:lvlJc w:val="left"/>
      <w:pPr>
        <w:ind w:left="144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6EBED350">
      <w:start w:val="1"/>
      <w:numFmt w:val="bullet"/>
      <w:lvlText w:val="▪"/>
      <w:lvlJc w:val="left"/>
      <w:pPr>
        <w:ind w:left="21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5FE08F2E">
      <w:start w:val="1"/>
      <w:numFmt w:val="bullet"/>
      <w:lvlText w:val="•"/>
      <w:lvlJc w:val="left"/>
      <w:pPr>
        <w:ind w:left="288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669ABEA8">
      <w:start w:val="1"/>
      <w:numFmt w:val="bullet"/>
      <w:lvlText w:val="o"/>
      <w:lvlJc w:val="left"/>
      <w:pPr>
        <w:ind w:left="360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E53CD5F0">
      <w:start w:val="1"/>
      <w:numFmt w:val="bullet"/>
      <w:lvlText w:val="▪"/>
      <w:lvlJc w:val="left"/>
      <w:pPr>
        <w:ind w:left="432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0BAAFAF0">
      <w:start w:val="1"/>
      <w:numFmt w:val="bullet"/>
      <w:lvlText w:val="•"/>
      <w:lvlJc w:val="left"/>
      <w:pPr>
        <w:ind w:left="504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7C3EDDE6">
      <w:start w:val="1"/>
      <w:numFmt w:val="bullet"/>
      <w:lvlText w:val="o"/>
      <w:lvlJc w:val="left"/>
      <w:pPr>
        <w:ind w:left="576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83E2171C">
      <w:start w:val="1"/>
      <w:numFmt w:val="bullet"/>
      <w:lvlText w:val="▪"/>
      <w:lvlJc w:val="left"/>
      <w:pPr>
        <w:ind w:left="648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24" w15:restartNumberingAfterBreak="0">
    <w:nsid w:val="7B0F5377"/>
    <w:multiLevelType w:val="hybridMultilevel"/>
    <w:tmpl w:val="91F4A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2"/>
  </w:num>
  <w:num w:numId="3">
    <w:abstractNumId w:val="19"/>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num>
  <w:num w:numId="8">
    <w:abstractNumId w:val="8"/>
  </w:num>
  <w:num w:numId="9">
    <w:abstractNumId w:val="5"/>
  </w:num>
  <w:num w:numId="10">
    <w:abstractNumId w:val="16"/>
  </w:num>
  <w:num w:numId="11">
    <w:abstractNumId w:val="3"/>
  </w:num>
  <w:num w:numId="12">
    <w:abstractNumId w:val="23"/>
  </w:num>
  <w:num w:numId="13">
    <w:abstractNumId w:val="21"/>
  </w:num>
  <w:num w:numId="14">
    <w:abstractNumId w:val="15"/>
  </w:num>
  <w:num w:numId="15">
    <w:abstractNumId w:val="10"/>
  </w:num>
  <w:num w:numId="16">
    <w:abstractNumId w:val="2"/>
  </w:num>
  <w:num w:numId="17">
    <w:abstractNumId w:val="4"/>
  </w:num>
  <w:num w:numId="18">
    <w:abstractNumId w:val="1"/>
  </w:num>
  <w:num w:numId="19">
    <w:abstractNumId w:val="7"/>
  </w:num>
  <w:num w:numId="20">
    <w:abstractNumId w:val="11"/>
  </w:num>
  <w:num w:numId="21">
    <w:abstractNumId w:val="17"/>
  </w:num>
  <w:num w:numId="22">
    <w:abstractNumId w:val="18"/>
  </w:num>
  <w:num w:numId="23">
    <w:abstractNumId w:val="9"/>
  </w:num>
  <w:num w:numId="24">
    <w:abstractNumId w:val="6"/>
  </w:num>
  <w:num w:numId="25">
    <w:abstractNumId w:val="20"/>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6D"/>
    <w:rsid w:val="0000293B"/>
    <w:rsid w:val="00030160"/>
    <w:rsid w:val="000355F6"/>
    <w:rsid w:val="000607EB"/>
    <w:rsid w:val="000633FB"/>
    <w:rsid w:val="00070C32"/>
    <w:rsid w:val="00073AA7"/>
    <w:rsid w:val="00075B0A"/>
    <w:rsid w:val="00082CCC"/>
    <w:rsid w:val="0009239F"/>
    <w:rsid w:val="000B2DE6"/>
    <w:rsid w:val="000C0875"/>
    <w:rsid w:val="000C3441"/>
    <w:rsid w:val="000C4AB2"/>
    <w:rsid w:val="000E2A3E"/>
    <w:rsid w:val="00101164"/>
    <w:rsid w:val="0011690F"/>
    <w:rsid w:val="001175A9"/>
    <w:rsid w:val="00120963"/>
    <w:rsid w:val="0013127B"/>
    <w:rsid w:val="0013786D"/>
    <w:rsid w:val="00140887"/>
    <w:rsid w:val="00147C15"/>
    <w:rsid w:val="001516A9"/>
    <w:rsid w:val="001537C0"/>
    <w:rsid w:val="0015645B"/>
    <w:rsid w:val="00171735"/>
    <w:rsid w:val="00180162"/>
    <w:rsid w:val="00182337"/>
    <w:rsid w:val="00184BC1"/>
    <w:rsid w:val="00184C9D"/>
    <w:rsid w:val="00185457"/>
    <w:rsid w:val="00186BF3"/>
    <w:rsid w:val="00186E7E"/>
    <w:rsid w:val="00197C67"/>
    <w:rsid w:val="001A1451"/>
    <w:rsid w:val="001B07F4"/>
    <w:rsid w:val="001B46ED"/>
    <w:rsid w:val="001C00B3"/>
    <w:rsid w:val="001C573E"/>
    <w:rsid w:val="001D47B1"/>
    <w:rsid w:val="001D62C1"/>
    <w:rsid w:val="001D6F48"/>
    <w:rsid w:val="001E6F69"/>
    <w:rsid w:val="001F6849"/>
    <w:rsid w:val="00204FBC"/>
    <w:rsid w:val="002120F3"/>
    <w:rsid w:val="00226C41"/>
    <w:rsid w:val="0022755C"/>
    <w:rsid w:val="00227CC9"/>
    <w:rsid w:val="00231F7F"/>
    <w:rsid w:val="00232B3A"/>
    <w:rsid w:val="00243F40"/>
    <w:rsid w:val="0026163F"/>
    <w:rsid w:val="00271385"/>
    <w:rsid w:val="00272D93"/>
    <w:rsid w:val="002776D7"/>
    <w:rsid w:val="00277851"/>
    <w:rsid w:val="00286944"/>
    <w:rsid w:val="00293F7B"/>
    <w:rsid w:val="00295498"/>
    <w:rsid w:val="00297513"/>
    <w:rsid w:val="002A496D"/>
    <w:rsid w:val="002C2E86"/>
    <w:rsid w:val="002C5A96"/>
    <w:rsid w:val="002D322F"/>
    <w:rsid w:val="002E1720"/>
    <w:rsid w:val="002E6A6D"/>
    <w:rsid w:val="002E7F3C"/>
    <w:rsid w:val="002F058A"/>
    <w:rsid w:val="00304911"/>
    <w:rsid w:val="0030655F"/>
    <w:rsid w:val="00307DA6"/>
    <w:rsid w:val="00314286"/>
    <w:rsid w:val="00331F0C"/>
    <w:rsid w:val="00337E15"/>
    <w:rsid w:val="00351054"/>
    <w:rsid w:val="00384934"/>
    <w:rsid w:val="00387E5C"/>
    <w:rsid w:val="00390AA7"/>
    <w:rsid w:val="003A17D0"/>
    <w:rsid w:val="003B47F4"/>
    <w:rsid w:val="003C0D59"/>
    <w:rsid w:val="003C6645"/>
    <w:rsid w:val="003D36C6"/>
    <w:rsid w:val="003E28F1"/>
    <w:rsid w:val="003E644D"/>
    <w:rsid w:val="003F3427"/>
    <w:rsid w:val="003F59DB"/>
    <w:rsid w:val="003F6CD9"/>
    <w:rsid w:val="00404BAB"/>
    <w:rsid w:val="00412467"/>
    <w:rsid w:val="0041540A"/>
    <w:rsid w:val="00416ACE"/>
    <w:rsid w:val="00425F2C"/>
    <w:rsid w:val="00431593"/>
    <w:rsid w:val="00447A1F"/>
    <w:rsid w:val="00456062"/>
    <w:rsid w:val="00461901"/>
    <w:rsid w:val="004728EA"/>
    <w:rsid w:val="0049010B"/>
    <w:rsid w:val="004A0B83"/>
    <w:rsid w:val="004A26B2"/>
    <w:rsid w:val="004A37FB"/>
    <w:rsid w:val="004A5861"/>
    <w:rsid w:val="004C427E"/>
    <w:rsid w:val="004C66DB"/>
    <w:rsid w:val="004C6A79"/>
    <w:rsid w:val="004E2894"/>
    <w:rsid w:val="00504DA6"/>
    <w:rsid w:val="005504C7"/>
    <w:rsid w:val="005555E8"/>
    <w:rsid w:val="005570B9"/>
    <w:rsid w:val="005614E0"/>
    <w:rsid w:val="00580AB7"/>
    <w:rsid w:val="00586C7D"/>
    <w:rsid w:val="005918CB"/>
    <w:rsid w:val="00592BE0"/>
    <w:rsid w:val="005B3369"/>
    <w:rsid w:val="005B4CBC"/>
    <w:rsid w:val="005C58A3"/>
    <w:rsid w:val="005D1A3C"/>
    <w:rsid w:val="005D5672"/>
    <w:rsid w:val="005D60AB"/>
    <w:rsid w:val="005D7E5C"/>
    <w:rsid w:val="005F3910"/>
    <w:rsid w:val="005F567F"/>
    <w:rsid w:val="00622341"/>
    <w:rsid w:val="00624E60"/>
    <w:rsid w:val="0063621F"/>
    <w:rsid w:val="006410B9"/>
    <w:rsid w:val="006414A2"/>
    <w:rsid w:val="006477B7"/>
    <w:rsid w:val="00652D51"/>
    <w:rsid w:val="00663D9C"/>
    <w:rsid w:val="00664BB3"/>
    <w:rsid w:val="00683C12"/>
    <w:rsid w:val="00686108"/>
    <w:rsid w:val="006904FB"/>
    <w:rsid w:val="006A5A7E"/>
    <w:rsid w:val="006B22B3"/>
    <w:rsid w:val="006B4692"/>
    <w:rsid w:val="006B6591"/>
    <w:rsid w:val="006C1E88"/>
    <w:rsid w:val="006C308C"/>
    <w:rsid w:val="006C48A1"/>
    <w:rsid w:val="006E5EEF"/>
    <w:rsid w:val="00701CE7"/>
    <w:rsid w:val="00707D9F"/>
    <w:rsid w:val="00715453"/>
    <w:rsid w:val="007227C8"/>
    <w:rsid w:val="0072366F"/>
    <w:rsid w:val="00723AA0"/>
    <w:rsid w:val="00725D96"/>
    <w:rsid w:val="00726DEC"/>
    <w:rsid w:val="007357A4"/>
    <w:rsid w:val="00740626"/>
    <w:rsid w:val="0074696B"/>
    <w:rsid w:val="0075496E"/>
    <w:rsid w:val="00764D25"/>
    <w:rsid w:val="00791AC5"/>
    <w:rsid w:val="00793DDB"/>
    <w:rsid w:val="007A3F7F"/>
    <w:rsid w:val="007A45AA"/>
    <w:rsid w:val="007B00BD"/>
    <w:rsid w:val="007C0E8D"/>
    <w:rsid w:val="007C1375"/>
    <w:rsid w:val="007C62CD"/>
    <w:rsid w:val="007C66C3"/>
    <w:rsid w:val="007E47CF"/>
    <w:rsid w:val="007F070D"/>
    <w:rsid w:val="007F35C0"/>
    <w:rsid w:val="007F3742"/>
    <w:rsid w:val="00801ACA"/>
    <w:rsid w:val="0081077C"/>
    <w:rsid w:val="00813634"/>
    <w:rsid w:val="008358AF"/>
    <w:rsid w:val="0085162A"/>
    <w:rsid w:val="008516E8"/>
    <w:rsid w:val="00856F94"/>
    <w:rsid w:val="00884817"/>
    <w:rsid w:val="008E56E5"/>
    <w:rsid w:val="008F4923"/>
    <w:rsid w:val="008F5C82"/>
    <w:rsid w:val="008F7DA9"/>
    <w:rsid w:val="009010A3"/>
    <w:rsid w:val="009034F8"/>
    <w:rsid w:val="00905C3D"/>
    <w:rsid w:val="00912506"/>
    <w:rsid w:val="00917F05"/>
    <w:rsid w:val="009227B4"/>
    <w:rsid w:val="00926B24"/>
    <w:rsid w:val="0093577E"/>
    <w:rsid w:val="009363CD"/>
    <w:rsid w:val="00941D2B"/>
    <w:rsid w:val="00945F6E"/>
    <w:rsid w:val="009526E4"/>
    <w:rsid w:val="0097196E"/>
    <w:rsid w:val="009733B0"/>
    <w:rsid w:val="00981CA9"/>
    <w:rsid w:val="00991C70"/>
    <w:rsid w:val="0099366E"/>
    <w:rsid w:val="00993DC1"/>
    <w:rsid w:val="009A2264"/>
    <w:rsid w:val="009C2DDF"/>
    <w:rsid w:val="009D65D3"/>
    <w:rsid w:val="00A12F44"/>
    <w:rsid w:val="00A161F2"/>
    <w:rsid w:val="00A3760D"/>
    <w:rsid w:val="00A42364"/>
    <w:rsid w:val="00A43F7B"/>
    <w:rsid w:val="00A45656"/>
    <w:rsid w:val="00A63621"/>
    <w:rsid w:val="00A86949"/>
    <w:rsid w:val="00AB2D44"/>
    <w:rsid w:val="00AB5008"/>
    <w:rsid w:val="00AC497F"/>
    <w:rsid w:val="00AD2113"/>
    <w:rsid w:val="00AE2198"/>
    <w:rsid w:val="00AE3872"/>
    <w:rsid w:val="00AE43BF"/>
    <w:rsid w:val="00AE6814"/>
    <w:rsid w:val="00AF27C4"/>
    <w:rsid w:val="00AF3030"/>
    <w:rsid w:val="00B10724"/>
    <w:rsid w:val="00B116C5"/>
    <w:rsid w:val="00B13E9B"/>
    <w:rsid w:val="00B22A5D"/>
    <w:rsid w:val="00B434A8"/>
    <w:rsid w:val="00B44383"/>
    <w:rsid w:val="00B473C2"/>
    <w:rsid w:val="00B65D8D"/>
    <w:rsid w:val="00B73AB7"/>
    <w:rsid w:val="00B931EE"/>
    <w:rsid w:val="00BA1594"/>
    <w:rsid w:val="00BA1F16"/>
    <w:rsid w:val="00BA4C83"/>
    <w:rsid w:val="00BA669E"/>
    <w:rsid w:val="00BF4780"/>
    <w:rsid w:val="00C02328"/>
    <w:rsid w:val="00C0435E"/>
    <w:rsid w:val="00C07463"/>
    <w:rsid w:val="00C11B1E"/>
    <w:rsid w:val="00C121D3"/>
    <w:rsid w:val="00C23E09"/>
    <w:rsid w:val="00C27B4E"/>
    <w:rsid w:val="00C32B7A"/>
    <w:rsid w:val="00C362E3"/>
    <w:rsid w:val="00C4024E"/>
    <w:rsid w:val="00C40623"/>
    <w:rsid w:val="00C56FFF"/>
    <w:rsid w:val="00C578B1"/>
    <w:rsid w:val="00C63B6D"/>
    <w:rsid w:val="00C672B5"/>
    <w:rsid w:val="00C6775A"/>
    <w:rsid w:val="00C70942"/>
    <w:rsid w:val="00C80E81"/>
    <w:rsid w:val="00C95C24"/>
    <w:rsid w:val="00CA5C6A"/>
    <w:rsid w:val="00CB5D30"/>
    <w:rsid w:val="00CC0334"/>
    <w:rsid w:val="00CD099C"/>
    <w:rsid w:val="00CE0C01"/>
    <w:rsid w:val="00CE0FC8"/>
    <w:rsid w:val="00CE1127"/>
    <w:rsid w:val="00CE516D"/>
    <w:rsid w:val="00D01794"/>
    <w:rsid w:val="00D11A91"/>
    <w:rsid w:val="00D14A1D"/>
    <w:rsid w:val="00D15C3D"/>
    <w:rsid w:val="00D177C5"/>
    <w:rsid w:val="00D22B9C"/>
    <w:rsid w:val="00D26D1E"/>
    <w:rsid w:val="00D33145"/>
    <w:rsid w:val="00D34498"/>
    <w:rsid w:val="00D63FE6"/>
    <w:rsid w:val="00D80D4B"/>
    <w:rsid w:val="00D8568C"/>
    <w:rsid w:val="00D86DA9"/>
    <w:rsid w:val="00D90BCD"/>
    <w:rsid w:val="00D91978"/>
    <w:rsid w:val="00DA1CBF"/>
    <w:rsid w:val="00DA4F75"/>
    <w:rsid w:val="00DB4952"/>
    <w:rsid w:val="00DC08FB"/>
    <w:rsid w:val="00DD27C9"/>
    <w:rsid w:val="00DD67E0"/>
    <w:rsid w:val="00DF4CF7"/>
    <w:rsid w:val="00DF5919"/>
    <w:rsid w:val="00E07430"/>
    <w:rsid w:val="00E079E9"/>
    <w:rsid w:val="00E11A65"/>
    <w:rsid w:val="00E24025"/>
    <w:rsid w:val="00E25137"/>
    <w:rsid w:val="00E666AC"/>
    <w:rsid w:val="00E676F9"/>
    <w:rsid w:val="00E755C6"/>
    <w:rsid w:val="00E76583"/>
    <w:rsid w:val="00E84AEC"/>
    <w:rsid w:val="00EA0115"/>
    <w:rsid w:val="00EA117D"/>
    <w:rsid w:val="00EA563E"/>
    <w:rsid w:val="00EC6917"/>
    <w:rsid w:val="00ED11A6"/>
    <w:rsid w:val="00ED65CA"/>
    <w:rsid w:val="00F00036"/>
    <w:rsid w:val="00F12CA3"/>
    <w:rsid w:val="00F1648E"/>
    <w:rsid w:val="00F174B2"/>
    <w:rsid w:val="00F17B74"/>
    <w:rsid w:val="00F312CB"/>
    <w:rsid w:val="00F835C0"/>
    <w:rsid w:val="00F85617"/>
    <w:rsid w:val="00F86162"/>
    <w:rsid w:val="00FA3476"/>
    <w:rsid w:val="00FB1940"/>
    <w:rsid w:val="00FB55A5"/>
    <w:rsid w:val="00FB7BF4"/>
    <w:rsid w:val="00FC0760"/>
    <w:rsid w:val="00FE58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32E04"/>
  <w15:docId w15:val="{FCA20300-CCF6-4140-BF82-DFC58EE9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40"/>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4923"/>
  </w:style>
  <w:style w:type="paragraph" w:styleId="Heading1">
    <w:name w:val="heading 1"/>
    <w:aliases w:val="Centre,h1,A MAJOR/BOLD,Schedheading,Heading 1(Report Only),h1 chapter heading,Section Heading,H1,Attribute Heading 1,Roman 14 B Heading,Roman 14 B Heading1,Roman 14 B Heading2,Roman 14 B Heading11,new page/chapter,1st level,(Alt+1),Part,Se,ni1"/>
    <w:basedOn w:val="Normal"/>
    <w:next w:val="Normal"/>
    <w:uiPriority w:val="99"/>
    <w:qFormat/>
    <w:pPr>
      <w:keepNext/>
      <w:keepLines/>
      <w:tabs>
        <w:tab w:val="left" w:pos="851"/>
      </w:tabs>
      <w:ind w:left="928" w:hanging="360"/>
      <w:outlineLvl w:val="0"/>
    </w:pPr>
    <w:rPr>
      <w:b/>
    </w:rPr>
  </w:style>
  <w:style w:type="paragraph" w:styleId="Heading2">
    <w:name w:val="heading 2"/>
    <w:aliases w:val="Left,KJL:1st Level,Heading Two,h2,(1.1,1.2,1.3 etc),Prophead 2,RFP Heading 2,Activity,l2,H2,PARA2,h 3,Numbered - 2,Reset numbering,S Heading,S Heading 2,Major,Section,m,Body Text (Reset numbering),TF-Overskrit 2,h2 main heading,2m,h 2"/>
    <w:basedOn w:val="Normal"/>
    <w:next w:val="Normal"/>
    <w:uiPriority w:val="99"/>
    <w:qFormat/>
    <w:pPr>
      <w:keepNext/>
      <w:keepLines/>
      <w:tabs>
        <w:tab w:val="left" w:pos="1418"/>
      </w:tabs>
      <w:ind w:left="1418" w:hanging="567"/>
      <w:outlineLvl w:val="1"/>
    </w:pPr>
  </w:style>
  <w:style w:type="paragraph" w:styleId="Heading3">
    <w:name w:val="heading 3"/>
    <w:aliases w:val="h3,heading3,heading3+,Numbered para,Minor,Level 1 - 1,Level 2.1,Oscar Faber 3,H3,Numbered - 3,HeadC,h31,h32,h33,Level 1 - 2,C Sub-Sub/Italic,h3 sub heading,Head 31,Head 32,C Sub-Sub/Italic1,h3 sub heading1,3m,GPH Heading 3,Sub-section,H31,L3"/>
    <w:basedOn w:val="Normal"/>
    <w:next w:val="Normal"/>
    <w:uiPriority w:val="99"/>
    <w:qFormat/>
    <w:pPr>
      <w:keepNext/>
      <w:keepLines/>
      <w:tabs>
        <w:tab w:val="left" w:pos="1418"/>
        <w:tab w:val="left" w:pos="2127"/>
      </w:tabs>
      <w:ind w:left="2127" w:hanging="709"/>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uiPriority w:val="99"/>
    <w:qFormat/>
    <w:pPr>
      <w:keepNext/>
      <w:keepLines/>
      <w:tabs>
        <w:tab w:val="left" w:pos="3119"/>
      </w:tabs>
      <w:ind w:left="3119" w:hanging="991"/>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keepNext/>
      <w:keepLines/>
      <w:tabs>
        <w:tab w:val="left" w:pos="2127"/>
      </w:tabs>
      <w:spacing w:after="120"/>
      <w:ind w:left="2127" w:hanging="709"/>
      <w:outlineLvl w:val="4"/>
    </w:pPr>
  </w:style>
  <w:style w:type="paragraph" w:styleId="Heading6">
    <w:name w:val="heading 6"/>
    <w:aliases w:val="Heading 6 (Do Not Use),Heading 6(unused),Legal Level 1.,L1 PIP,Heading 6  Appendix Y &amp; Z,Lev 6,H6 DO NOT USE,Bullet list,PA Appendix,H6,H61,PR14"/>
    <w:basedOn w:val="Normal"/>
    <w:next w:val="Normal"/>
    <w:qFormat/>
    <w:pPr>
      <w:keepNext/>
      <w:keepLines/>
      <w:outlineLvl w:val="5"/>
    </w:pPr>
    <w:rPr>
      <w:rFonts w:ascii="Times New Roman" w:eastAsia="Times New Roman" w:hAnsi="Times New Roman" w:cs="Times New Roman"/>
    </w:rPr>
  </w:style>
  <w:style w:type="paragraph" w:styleId="Heading7">
    <w:name w:val="heading 7"/>
    <w:aliases w:val="Heading 7 (Do Not Use),Heading 7(unused),Legal Level 1.1.,L2 PIP,Lev 7,H7DO NOT USE,PA Appendix Major"/>
    <w:basedOn w:val="Normal"/>
    <w:link w:val="Heading7Char"/>
    <w:qFormat/>
    <w:rsid w:val="001C573E"/>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6"/>
    </w:pPr>
    <w:rPr>
      <w:rFonts w:ascii="Arial" w:eastAsia="STZhongsong" w:hAnsi="Arial" w:cs="Times New Roman"/>
      <w:color w:val="auto"/>
      <w:szCs w:val="20"/>
      <w:lang w:eastAsia="zh-CN"/>
    </w:rPr>
  </w:style>
  <w:style w:type="paragraph" w:styleId="Heading8">
    <w:name w:val="heading 8"/>
    <w:aliases w:val="Heading 8 (Do Not Use),Legal Level 1.1.1.,Lev 8,h8 DO NOT USE,PA Appendix Minor"/>
    <w:basedOn w:val="Normal"/>
    <w:link w:val="Heading8Char"/>
    <w:uiPriority w:val="99"/>
    <w:qFormat/>
    <w:rsid w:val="001C573E"/>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7"/>
    </w:pPr>
    <w:rPr>
      <w:rFonts w:ascii="Arial" w:eastAsia="STZhongsong" w:hAnsi="Arial" w:cs="Times New Roman"/>
      <w:color w:val="auto"/>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1C573E"/>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8"/>
    </w:pPr>
    <w:rPr>
      <w:rFonts w:ascii="Arial" w:eastAsia="STZhongsong" w:hAnsi="Arial" w:cs="Times New Roman"/>
      <w:color w:val="auto"/>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8">
    <w:name w:val="18"/>
    <w:basedOn w:val="TableNormal"/>
    <w:pPr>
      <w:spacing w:after="0"/>
    </w:pPr>
    <w:tblPr>
      <w:tblStyleRowBandSize w:val="1"/>
      <w:tblStyleColBandSize w:val="1"/>
      <w:tblCellMar>
        <w:left w:w="115" w:type="dxa"/>
        <w:right w:w="115" w:type="dxa"/>
      </w:tblCellMar>
    </w:tblPr>
  </w:style>
  <w:style w:type="table" w:customStyle="1" w:styleId="17">
    <w:name w:val="17"/>
    <w:basedOn w:val="TableNormal"/>
    <w:pPr>
      <w:spacing w:after="0"/>
    </w:pPr>
    <w:tblPr>
      <w:tblStyleRowBandSize w:val="1"/>
      <w:tblStyleColBandSize w:val="1"/>
      <w:tblCellMar>
        <w:left w:w="115" w:type="dxa"/>
        <w:right w:w="115" w:type="dxa"/>
      </w:tblCellMar>
    </w:tblPr>
  </w:style>
  <w:style w:type="table" w:customStyle="1" w:styleId="16">
    <w:name w:val="16"/>
    <w:basedOn w:val="TableNormal"/>
    <w:pPr>
      <w:spacing w:after="0"/>
    </w:pPr>
    <w:tblPr>
      <w:tblStyleRowBandSize w:val="1"/>
      <w:tblStyleColBandSize w:val="1"/>
      <w:tblCellMar>
        <w:left w:w="115" w:type="dxa"/>
        <w:right w:w="115" w:type="dxa"/>
      </w:tblCellMar>
    </w:tblPr>
  </w:style>
  <w:style w:type="table" w:customStyle="1" w:styleId="15">
    <w:name w:val="15"/>
    <w:basedOn w:val="TableNormal"/>
    <w:pPr>
      <w:spacing w:after="0"/>
    </w:pPr>
    <w:tblPr>
      <w:tblStyleRowBandSize w:val="1"/>
      <w:tblStyleColBandSize w:val="1"/>
      <w:tblCellMar>
        <w:left w:w="115" w:type="dxa"/>
        <w:right w:w="115" w:type="dxa"/>
      </w:tblCellMar>
    </w:tblPr>
  </w:style>
  <w:style w:type="table" w:customStyle="1" w:styleId="14">
    <w:name w:val="14"/>
    <w:basedOn w:val="TableNormal"/>
    <w:pPr>
      <w:spacing w:after="0"/>
    </w:pPr>
    <w:tblPr>
      <w:tblStyleRowBandSize w:val="1"/>
      <w:tblStyleColBandSize w:val="1"/>
      <w:tblCellMar>
        <w:left w:w="115" w:type="dxa"/>
        <w:right w:w="115" w:type="dxa"/>
      </w:tblCellMar>
    </w:tblPr>
  </w:style>
  <w:style w:type="table" w:customStyle="1" w:styleId="13">
    <w:name w:val="13"/>
    <w:basedOn w:val="TableNormal"/>
    <w:pPr>
      <w:spacing w:after="0"/>
    </w:pPr>
    <w:tblPr>
      <w:tblStyleRowBandSize w:val="1"/>
      <w:tblStyleColBandSize w:val="1"/>
      <w:tblCellMar>
        <w:left w:w="115" w:type="dxa"/>
        <w:right w:w="115" w:type="dxa"/>
      </w:tblCellMar>
    </w:tblPr>
  </w:style>
  <w:style w:type="table" w:customStyle="1" w:styleId="12">
    <w:name w:val="12"/>
    <w:basedOn w:val="TableNormal"/>
    <w:pPr>
      <w:spacing w:after="0"/>
    </w:pPr>
    <w:tblPr>
      <w:tblStyleRowBandSize w:val="1"/>
      <w:tblStyleColBandSize w:val="1"/>
      <w:tblCellMar>
        <w:left w:w="115" w:type="dxa"/>
        <w:right w:w="115" w:type="dxa"/>
      </w:tblCellMar>
    </w:tblPr>
  </w:style>
  <w:style w:type="table" w:customStyle="1" w:styleId="11">
    <w:name w:val="11"/>
    <w:basedOn w:val="TableNormal"/>
    <w:pPr>
      <w:spacing w:after="0"/>
    </w:pPr>
    <w:tblPr>
      <w:tblStyleRowBandSize w:val="1"/>
      <w:tblStyleColBandSize w:val="1"/>
      <w:tblCellMar>
        <w:left w:w="115" w:type="dxa"/>
        <w:right w:w="115" w:type="dxa"/>
      </w:tblCellMar>
    </w:tblPr>
  </w:style>
  <w:style w:type="table" w:customStyle="1" w:styleId="10">
    <w:name w:val="10"/>
    <w:basedOn w:val="TableNormal"/>
    <w:pPr>
      <w:spacing w:after="0"/>
    </w:pPr>
    <w:tblPr>
      <w:tblStyleRowBandSize w:val="1"/>
      <w:tblStyleColBandSize w:val="1"/>
      <w:tblCellMar>
        <w:left w:w="115" w:type="dxa"/>
        <w:right w:w="115" w:type="dxa"/>
      </w:tblCellMar>
    </w:tblPr>
  </w:style>
  <w:style w:type="table" w:customStyle="1" w:styleId="9">
    <w:name w:val="9"/>
    <w:basedOn w:val="TableNormal"/>
    <w:pPr>
      <w:spacing w:after="0"/>
    </w:pPr>
    <w:tblPr>
      <w:tblStyleRowBandSize w:val="1"/>
      <w:tblStyleColBandSize w:val="1"/>
      <w:tblCellMar>
        <w:left w:w="115" w:type="dxa"/>
        <w:right w:w="115" w:type="dxa"/>
      </w:tblCellMar>
    </w:tblPr>
  </w:style>
  <w:style w:type="table" w:customStyle="1" w:styleId="8">
    <w:name w:val="8"/>
    <w:basedOn w:val="TableNormal"/>
    <w:pPr>
      <w:spacing w:after="0"/>
    </w:pPr>
    <w:tblPr>
      <w:tblStyleRowBandSize w:val="1"/>
      <w:tblStyleColBandSize w:val="1"/>
      <w:tblCellMar>
        <w:left w:w="115" w:type="dxa"/>
        <w:right w:w="115" w:type="dxa"/>
      </w:tblCellMar>
    </w:tblPr>
  </w:style>
  <w:style w:type="table" w:customStyle="1" w:styleId="7">
    <w:name w:val="7"/>
    <w:basedOn w:val="TableNormal"/>
    <w:pPr>
      <w:spacing w:after="0"/>
    </w:pPr>
    <w:tblPr>
      <w:tblStyleRowBandSize w:val="1"/>
      <w:tblStyleColBandSize w:val="1"/>
      <w:tblCellMar>
        <w:left w:w="115" w:type="dxa"/>
        <w:right w:w="115" w:type="dxa"/>
      </w:tblCellMar>
    </w:tblPr>
  </w:style>
  <w:style w:type="table" w:customStyle="1" w:styleId="6">
    <w:name w:val="6"/>
    <w:basedOn w:val="TableNormal"/>
    <w:pPr>
      <w:spacing w:after="0"/>
    </w:pPr>
    <w:tblPr>
      <w:tblStyleRowBandSize w:val="1"/>
      <w:tblStyleColBandSize w:val="1"/>
      <w:tblCellMar>
        <w:left w:w="115" w:type="dxa"/>
        <w:right w:w="115" w:type="dxa"/>
      </w:tblCellMar>
    </w:tblPr>
  </w:style>
  <w:style w:type="table" w:customStyle="1" w:styleId="5">
    <w:name w:val="5"/>
    <w:basedOn w:val="TableNormal"/>
    <w:pPr>
      <w:spacing w:after="0"/>
    </w:pPr>
    <w:tblPr>
      <w:tblStyleRowBandSize w:val="1"/>
      <w:tblStyleColBandSize w:val="1"/>
      <w:tblCellMar>
        <w:left w:w="115" w:type="dxa"/>
        <w:right w:w="115" w:type="dxa"/>
      </w:tblCellMar>
    </w:tblPr>
  </w:style>
  <w:style w:type="table" w:customStyle="1" w:styleId="4">
    <w:name w:val="4"/>
    <w:basedOn w:val="TableNormal"/>
    <w:pPr>
      <w:spacing w:after="0"/>
    </w:pPr>
    <w:tblPr>
      <w:tblStyleRowBandSize w:val="1"/>
      <w:tblStyleColBandSize w:val="1"/>
      <w:tblCellMar>
        <w:left w:w="115" w:type="dxa"/>
        <w:right w:w="115" w:type="dxa"/>
      </w:tblCellMar>
    </w:tblPr>
  </w:style>
  <w:style w:type="table" w:customStyle="1" w:styleId="3">
    <w:name w:val="3"/>
    <w:basedOn w:val="TableNormal"/>
    <w:pPr>
      <w:spacing w:after="0"/>
    </w:pPr>
    <w:tblPr>
      <w:tblStyleRowBandSize w:val="1"/>
      <w:tblStyleColBandSize w:val="1"/>
      <w:tblCellMar>
        <w:left w:w="115" w:type="dxa"/>
        <w:right w:w="115" w:type="dxa"/>
      </w:tblCellMar>
    </w:tblPr>
  </w:style>
  <w:style w:type="table" w:customStyle="1" w:styleId="2">
    <w:name w:val="2"/>
    <w:basedOn w:val="TableNormal"/>
    <w:pPr>
      <w:spacing w:after="0"/>
    </w:pPr>
    <w:tblPr>
      <w:tblStyleRowBandSize w:val="1"/>
      <w:tblStyleColBandSize w:val="1"/>
      <w:tblCellMar>
        <w:left w:w="115" w:type="dxa"/>
        <w:right w:w="115" w:type="dxa"/>
      </w:tblCellMar>
    </w:tblPr>
  </w:style>
  <w:style w:type="table" w:customStyle="1" w:styleId="1">
    <w:name w:val="1"/>
    <w:basedOn w:val="TableNormal"/>
    <w:pPr>
      <w:spacing w:after="0"/>
    </w:pPr>
    <w:tblPr>
      <w:tblStyleRowBandSize w:val="1"/>
      <w:tblStyleColBandSize w:val="1"/>
      <w:tblCellMar>
        <w:left w:w="115" w:type="dxa"/>
        <w:right w:w="115"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93D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DB"/>
    <w:rPr>
      <w:rFonts w:ascii="Segoe UI" w:hAnsi="Segoe UI" w:cs="Segoe UI"/>
      <w:sz w:val="18"/>
      <w:szCs w:val="18"/>
    </w:rPr>
  </w:style>
  <w:style w:type="paragraph" w:styleId="Header">
    <w:name w:val="header"/>
    <w:basedOn w:val="Normal"/>
    <w:link w:val="HeaderChar"/>
    <w:uiPriority w:val="99"/>
    <w:unhideWhenUsed/>
    <w:rsid w:val="002E7F3C"/>
    <w:pPr>
      <w:tabs>
        <w:tab w:val="center" w:pos="4513"/>
        <w:tab w:val="right" w:pos="9026"/>
      </w:tabs>
      <w:spacing w:after="0"/>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513"/>
        <w:tab w:val="right" w:pos="9026"/>
      </w:tabs>
      <w:spacing w:after="0"/>
    </w:pPr>
  </w:style>
  <w:style w:type="character" w:customStyle="1" w:styleId="FooterChar">
    <w:name w:val="Footer Char"/>
    <w:basedOn w:val="DefaultParagraphFont"/>
    <w:link w:val="Footer"/>
    <w:uiPriority w:val="99"/>
    <w:rsid w:val="002E7F3C"/>
  </w:style>
  <w:style w:type="paragraph" w:styleId="CommentSubject">
    <w:name w:val="annotation subject"/>
    <w:basedOn w:val="CommentText"/>
    <w:next w:val="CommentText"/>
    <w:link w:val="CommentSubjectChar"/>
    <w:uiPriority w:val="99"/>
    <w:semiHidden/>
    <w:unhideWhenUsed/>
    <w:rsid w:val="002E7F3C"/>
    <w:rPr>
      <w:b/>
      <w:bCs/>
    </w:rPr>
  </w:style>
  <w:style w:type="character" w:customStyle="1" w:styleId="CommentSubjectChar">
    <w:name w:val="Comment Subject Char"/>
    <w:basedOn w:val="CommentTextChar"/>
    <w:link w:val="CommentSubject"/>
    <w:uiPriority w:val="99"/>
    <w:semiHidden/>
    <w:rsid w:val="002E7F3C"/>
    <w:rPr>
      <w:b/>
      <w:bCs/>
      <w:sz w:val="20"/>
      <w:szCs w:val="20"/>
    </w:rPr>
  </w:style>
  <w:style w:type="paragraph" w:customStyle="1" w:styleId="GPSL1CLAUSEHEADING">
    <w:name w:val="GPS L1 CLAUSE HEADING"/>
    <w:basedOn w:val="Normal"/>
    <w:next w:val="Normal"/>
    <w:qFormat/>
    <w:rsid w:val="005F567F"/>
    <w:pPr>
      <w:numPr>
        <w:numId w:val="2"/>
      </w:numPr>
      <w:pBdr>
        <w:top w:val="none" w:sz="0" w:space="0" w:color="auto"/>
        <w:left w:val="none" w:sz="0" w:space="0" w:color="auto"/>
        <w:bottom w:val="none" w:sz="0" w:space="0" w:color="auto"/>
        <w:right w:val="none" w:sz="0" w:space="0" w:color="auto"/>
        <w:between w:val="none" w:sz="0" w:space="0" w:color="auto"/>
      </w:pBdr>
      <w:tabs>
        <w:tab w:val="left" w:pos="142"/>
      </w:tabs>
      <w:adjustRightInd w:val="0"/>
      <w:spacing w:before="120"/>
      <w:outlineLvl w:val="1"/>
    </w:pPr>
    <w:rPr>
      <w:rFonts w:eastAsia="STZhongsong" w:cs="Arial"/>
      <w:b/>
      <w:caps/>
      <w:color w:val="auto"/>
      <w:lang w:eastAsia="zh-CN"/>
    </w:rPr>
  </w:style>
  <w:style w:type="paragraph" w:customStyle="1" w:styleId="GPSL3numberedclause">
    <w:name w:val="GPS L3 numbered clause"/>
    <w:basedOn w:val="Normal"/>
    <w:link w:val="GPSL3numberedclauseChar"/>
    <w:qFormat/>
    <w:rsid w:val="005F567F"/>
    <w:pPr>
      <w:numPr>
        <w:ilvl w:val="2"/>
        <w:numId w:val="2"/>
      </w:numPr>
      <w:pBdr>
        <w:top w:val="none" w:sz="0" w:space="0" w:color="auto"/>
        <w:left w:val="none" w:sz="0" w:space="0" w:color="auto"/>
        <w:bottom w:val="none" w:sz="0" w:space="0" w:color="auto"/>
        <w:right w:val="none" w:sz="0" w:space="0" w:color="auto"/>
        <w:between w:val="none" w:sz="0" w:space="0" w:color="auto"/>
      </w:pBdr>
      <w:tabs>
        <w:tab w:val="left" w:pos="1985"/>
      </w:tabs>
      <w:adjustRightInd w:val="0"/>
      <w:spacing w:before="120" w:after="120"/>
      <w:ind w:left="1985" w:hanging="851"/>
    </w:pPr>
    <w:rPr>
      <w:rFonts w:eastAsia="Times New Roman" w:cs="Arial"/>
      <w:color w:val="auto"/>
      <w:lang w:eastAsia="zh-CN"/>
    </w:rPr>
  </w:style>
  <w:style w:type="paragraph" w:customStyle="1" w:styleId="GPSL4numberedclause">
    <w:name w:val="GPS L4 numbered clause"/>
    <w:basedOn w:val="GPSL3numberedclause"/>
    <w:qFormat/>
    <w:rsid w:val="005F567F"/>
    <w:pPr>
      <w:numPr>
        <w:ilvl w:val="3"/>
      </w:numPr>
      <w:tabs>
        <w:tab w:val="left" w:pos="2552"/>
      </w:tabs>
      <w:ind w:left="1572" w:firstLine="3995"/>
    </w:pPr>
  </w:style>
  <w:style w:type="paragraph" w:customStyle="1" w:styleId="GPSL5numberedclause">
    <w:name w:val="GPS L5 numbered clause"/>
    <w:basedOn w:val="GPSL4numberedclause"/>
    <w:qFormat/>
    <w:rsid w:val="005F567F"/>
    <w:pPr>
      <w:numPr>
        <w:ilvl w:val="4"/>
      </w:numPr>
      <w:tabs>
        <w:tab w:val="left" w:pos="3119"/>
      </w:tabs>
      <w:ind w:left="3119" w:hanging="567"/>
    </w:pPr>
  </w:style>
  <w:style w:type="paragraph" w:customStyle="1" w:styleId="GPSL2NumberedBoldHeading">
    <w:name w:val="GPS L2 Numbered Bold Heading"/>
    <w:basedOn w:val="Normal"/>
    <w:qFormat/>
    <w:rsid w:val="005F567F"/>
    <w:pPr>
      <w:numPr>
        <w:ilvl w:val="1"/>
        <w:numId w:val="2"/>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pPr>
    <w:rPr>
      <w:rFonts w:eastAsia="Times New Roman" w:cs="Arial"/>
      <w:b/>
      <w:color w:val="auto"/>
      <w:lang w:eastAsia="zh-CN"/>
    </w:rPr>
  </w:style>
  <w:style w:type="paragraph" w:customStyle="1" w:styleId="GPSL6numbered">
    <w:name w:val="GPS L6 numbered"/>
    <w:basedOn w:val="GPSL5numberedclause"/>
    <w:qFormat/>
    <w:rsid w:val="005F567F"/>
    <w:pPr>
      <w:numPr>
        <w:ilvl w:val="5"/>
      </w:numPr>
      <w:tabs>
        <w:tab w:val="left" w:pos="3686"/>
      </w:tabs>
      <w:ind w:left="3686" w:hanging="567"/>
    </w:pPr>
  </w:style>
  <w:style w:type="character" w:customStyle="1" w:styleId="GPSL3numberedclauseChar">
    <w:name w:val="GPS L3 numbered clause Char"/>
    <w:link w:val="GPSL3numberedclause"/>
    <w:locked/>
    <w:rsid w:val="005F567F"/>
    <w:rPr>
      <w:rFonts w:eastAsia="Times New Roman" w:cs="Arial"/>
      <w:color w:val="auto"/>
      <w:lang w:eastAsia="zh-CN"/>
    </w:rPr>
  </w:style>
  <w:style w:type="paragraph" w:customStyle="1" w:styleId="GPSSectionHeading">
    <w:name w:val="GPS Section Heading"/>
    <w:basedOn w:val="Normal"/>
    <w:qFormat/>
    <w:rsid w:val="005F567F"/>
    <w:pPr>
      <w:numPr>
        <w:numId w:val="3"/>
      </w:numPr>
      <w:pBdr>
        <w:top w:val="none" w:sz="0" w:space="0" w:color="auto"/>
        <w:left w:val="none" w:sz="0" w:space="0" w:color="auto"/>
        <w:bottom w:val="none" w:sz="0" w:space="0" w:color="auto"/>
        <w:right w:val="none" w:sz="0" w:space="0" w:color="auto"/>
        <w:between w:val="none" w:sz="0" w:space="0" w:color="auto"/>
      </w:pBdr>
      <w:spacing w:before="240"/>
      <w:jc w:val="left"/>
      <w:outlineLvl w:val="0"/>
    </w:pPr>
    <w:rPr>
      <w:rFonts w:eastAsia="Times New Roman" w:cs="Times New Roman"/>
      <w:b/>
      <w:caps/>
      <w:color w:val="C00000"/>
      <w:u w:val="single"/>
      <w:lang w:eastAsia="en-US"/>
    </w:rPr>
  </w:style>
  <w:style w:type="paragraph" w:customStyle="1" w:styleId="GPSL2Numbered">
    <w:name w:val="GPS L2 Numbered"/>
    <w:basedOn w:val="GPSL2NumberedBoldHeading"/>
    <w:link w:val="GPSL2NumberedChar"/>
    <w:qFormat/>
    <w:rsid w:val="005F567F"/>
    <w:pPr>
      <w:tabs>
        <w:tab w:val="left" w:pos="709"/>
      </w:tabs>
    </w:pPr>
    <w:rPr>
      <w:b w:val="0"/>
    </w:rPr>
  </w:style>
  <w:style w:type="character" w:customStyle="1" w:styleId="GPSL2NumberedChar">
    <w:name w:val="GPS L2 Numbered Char"/>
    <w:link w:val="GPSL2Numbered"/>
    <w:locked/>
    <w:rsid w:val="005F567F"/>
    <w:rPr>
      <w:rFonts w:eastAsia="Times New Roman" w:cs="Arial"/>
      <w:color w:val="auto"/>
      <w:lang w:eastAsia="zh-CN"/>
    </w:rPr>
  </w:style>
  <w:style w:type="paragraph" w:styleId="ListParagraph">
    <w:name w:val="List Paragraph"/>
    <w:basedOn w:val="Normal"/>
    <w:uiPriority w:val="34"/>
    <w:qFormat/>
    <w:rsid w:val="005F567F"/>
    <w:pPr>
      <w:ind w:left="720"/>
      <w:contextualSpacing/>
    </w:pPr>
  </w:style>
  <w:style w:type="paragraph" w:styleId="TOCHeading">
    <w:name w:val="TOC Heading"/>
    <w:basedOn w:val="Heading1"/>
    <w:next w:val="Normal"/>
    <w:uiPriority w:val="39"/>
    <w:unhideWhenUsed/>
    <w:qFormat/>
    <w:rsid w:val="00AC497F"/>
    <w:pPr>
      <w:pBdr>
        <w:top w:val="none" w:sz="0" w:space="0" w:color="auto"/>
        <w:left w:val="none" w:sz="0" w:space="0" w:color="auto"/>
        <w:bottom w:val="none" w:sz="0" w:space="0" w:color="auto"/>
        <w:right w:val="none" w:sz="0" w:space="0" w:color="auto"/>
        <w:between w:val="none" w:sz="0" w:space="0" w:color="auto"/>
      </w:pBdr>
      <w:tabs>
        <w:tab w:val="clear" w:pos="851"/>
      </w:tabs>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AC497F"/>
    <w:pPr>
      <w:spacing w:after="100"/>
      <w:ind w:left="220"/>
    </w:pPr>
  </w:style>
  <w:style w:type="character" w:styleId="Hyperlink">
    <w:name w:val="Hyperlink"/>
    <w:basedOn w:val="DefaultParagraphFont"/>
    <w:uiPriority w:val="99"/>
    <w:unhideWhenUsed/>
    <w:rsid w:val="00AC497F"/>
    <w:rPr>
      <w:color w:val="0563C1" w:themeColor="hyperlink"/>
      <w:u w:val="single"/>
    </w:rPr>
  </w:style>
  <w:style w:type="paragraph" w:styleId="TOC1">
    <w:name w:val="toc 1"/>
    <w:basedOn w:val="Normal"/>
    <w:next w:val="Normal"/>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jc w:val="left"/>
    </w:pPr>
    <w:rPr>
      <w:rFonts w:asciiTheme="minorHAnsi" w:eastAsiaTheme="minorEastAsia" w:hAnsiTheme="minorHAnsi" w:cs="Times New Roman"/>
      <w:color w:val="auto"/>
      <w:lang w:val="en-US" w:eastAsia="en-US"/>
    </w:rPr>
  </w:style>
  <w:style w:type="paragraph" w:styleId="TOC3">
    <w:name w:val="toc 3"/>
    <w:basedOn w:val="Normal"/>
    <w:next w:val="Normal"/>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ind w:left="440"/>
      <w:jc w:val="left"/>
    </w:pPr>
    <w:rPr>
      <w:rFonts w:asciiTheme="minorHAnsi" w:eastAsiaTheme="minorEastAsia" w:hAnsiTheme="minorHAnsi" w:cs="Times New Roman"/>
      <w:color w:val="auto"/>
      <w:lang w:val="en-US" w:eastAsia="en-US"/>
    </w:rPr>
  </w:style>
  <w:style w:type="paragraph" w:customStyle="1" w:styleId="Number">
    <w:name w:val="Number"/>
    <w:basedOn w:val="Normal"/>
    <w:rsid w:val="00C11B1E"/>
    <w:pPr>
      <w:pBdr>
        <w:top w:val="none" w:sz="0" w:space="0" w:color="auto"/>
        <w:left w:val="none" w:sz="0" w:space="0" w:color="auto"/>
        <w:bottom w:val="none" w:sz="0" w:space="0" w:color="auto"/>
        <w:right w:val="none" w:sz="0" w:space="0" w:color="auto"/>
        <w:between w:val="none" w:sz="0" w:space="0" w:color="auto"/>
      </w:pBdr>
      <w:tabs>
        <w:tab w:val="num" w:pos="720"/>
      </w:tabs>
      <w:spacing w:after="220"/>
      <w:ind w:left="720" w:hanging="720"/>
    </w:pPr>
    <w:rPr>
      <w:rFonts w:ascii="Arial" w:eastAsia="Times New Roman" w:hAnsi="Arial" w:cs="Times New Roman"/>
      <w:color w:val="auto"/>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1C573E"/>
    <w:rPr>
      <w:rFonts w:ascii="Arial" w:eastAsia="STZhongsong" w:hAnsi="Arial" w:cs="Times New Roman"/>
      <w:color w:val="auto"/>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1C573E"/>
    <w:rPr>
      <w:rFonts w:ascii="Arial" w:eastAsia="STZhongsong" w:hAnsi="Arial" w:cs="Times New Roman"/>
      <w:color w:val="auto"/>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1C573E"/>
    <w:rPr>
      <w:rFonts w:ascii="Arial" w:eastAsia="STZhongsong" w:hAnsi="Arial" w:cs="Times New Roman"/>
      <w:color w:val="auto"/>
      <w:szCs w:val="20"/>
      <w:lang w:eastAsia="zh-CN"/>
    </w:rPr>
  </w:style>
  <w:style w:type="table" w:styleId="TableGrid">
    <w:name w:val="Table Grid"/>
    <w:basedOn w:val="TableNormal"/>
    <w:uiPriority w:val="59"/>
    <w:rsid w:val="001C573E"/>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textAlignment w:val="baseline"/>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C573E"/>
    <w:pPr>
      <w:pBdr>
        <w:top w:val="none" w:sz="0" w:space="0" w:color="auto"/>
        <w:left w:val="none" w:sz="0" w:space="0" w:color="auto"/>
        <w:bottom w:val="none" w:sz="0" w:space="0" w:color="auto"/>
        <w:right w:val="none" w:sz="0" w:space="0" w:color="auto"/>
        <w:between w:val="none" w:sz="0" w:space="0" w:color="auto"/>
      </w:pBdr>
      <w:spacing w:after="0"/>
      <w:jc w:val="left"/>
    </w:pPr>
    <w:rPr>
      <w:rFonts w:eastAsia="Times New Roman" w:cs="Times New Roman"/>
      <w:color w:val="aut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06579">
      <w:bodyDiv w:val="1"/>
      <w:marLeft w:val="0"/>
      <w:marRight w:val="0"/>
      <w:marTop w:val="0"/>
      <w:marBottom w:val="0"/>
      <w:divBdr>
        <w:top w:val="none" w:sz="0" w:space="0" w:color="auto"/>
        <w:left w:val="none" w:sz="0" w:space="0" w:color="auto"/>
        <w:bottom w:val="none" w:sz="0" w:space="0" w:color="auto"/>
        <w:right w:val="none" w:sz="0" w:space="0" w:color="auto"/>
      </w:divBdr>
    </w:div>
    <w:div w:id="1606843281">
      <w:bodyDiv w:val="1"/>
      <w:marLeft w:val="0"/>
      <w:marRight w:val="0"/>
      <w:marTop w:val="0"/>
      <w:marBottom w:val="0"/>
      <w:divBdr>
        <w:top w:val="none" w:sz="0" w:space="0" w:color="auto"/>
        <w:left w:val="none" w:sz="0" w:space="0" w:color="auto"/>
        <w:bottom w:val="none" w:sz="0" w:space="0" w:color="auto"/>
        <w:right w:val="none" w:sz="0" w:space="0" w:color="auto"/>
      </w:divBdr>
    </w:div>
    <w:div w:id="1804231133">
      <w:bodyDiv w:val="1"/>
      <w:marLeft w:val="0"/>
      <w:marRight w:val="0"/>
      <w:marTop w:val="0"/>
      <w:marBottom w:val="0"/>
      <w:divBdr>
        <w:top w:val="none" w:sz="0" w:space="0" w:color="auto"/>
        <w:left w:val="none" w:sz="0" w:space="0" w:color="auto"/>
        <w:bottom w:val="none" w:sz="0" w:space="0" w:color="auto"/>
        <w:right w:val="none" w:sz="0" w:space="0" w:color="auto"/>
      </w:divBdr>
      <w:divsChild>
        <w:div w:id="1446074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AB01-9B10-4C01-890B-1E4344CE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14</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Volante</dc:creator>
  <cp:lastModifiedBy>Shaun Brill</cp:lastModifiedBy>
  <cp:revision>19</cp:revision>
  <cp:lastPrinted>2018-01-30T21:31:00Z</cp:lastPrinted>
  <dcterms:created xsi:type="dcterms:W3CDTF">2019-03-15T14:39:00Z</dcterms:created>
  <dcterms:modified xsi:type="dcterms:W3CDTF">2019-10-08T10:31:00Z</dcterms:modified>
</cp:coreProperties>
</file>