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91FA7" w14:textId="77777777" w:rsidR="008A7544" w:rsidRPr="004D23E4" w:rsidRDefault="008A7544" w:rsidP="007F370E">
      <w:pPr>
        <w:pStyle w:val="Heading2"/>
        <w:jc w:val="center"/>
        <w:rPr>
          <w:rFonts w:asciiTheme="minorHAnsi" w:hAnsiTheme="minorHAnsi" w:cstheme="minorHAnsi"/>
        </w:rPr>
      </w:pPr>
      <w:bookmarkStart w:id="0" w:name="_Toc498163546"/>
      <w:r w:rsidRPr="004D23E4">
        <w:rPr>
          <w:rFonts w:asciiTheme="minorHAnsi" w:hAnsiTheme="minorHAnsi" w:cstheme="minorHAnsi"/>
        </w:rPr>
        <w:t>NOA F2</w:t>
      </w:r>
      <w:r w:rsidRPr="004D23E4">
        <w:rPr>
          <w:rFonts w:asciiTheme="minorHAnsi" w:hAnsiTheme="minorHAnsi" w:cstheme="minorHAnsi"/>
          <w:color w:val="FF0000"/>
        </w:rPr>
        <w:t xml:space="preserve"> </w:t>
      </w:r>
      <w:r w:rsidRPr="004D23E4">
        <w:rPr>
          <w:rFonts w:asciiTheme="minorHAnsi" w:hAnsiTheme="minorHAnsi" w:cstheme="minorHAnsi"/>
        </w:rPr>
        <w:t>Specification Form for a commissioned activity</w:t>
      </w:r>
      <w:bookmarkEnd w:id="0"/>
    </w:p>
    <w:p w14:paraId="5940424D" w14:textId="77777777" w:rsidR="008A7544" w:rsidRDefault="008A7544" w:rsidP="008A7544">
      <w:pPr>
        <w:rPr>
          <w:rFonts w:cstheme="minorHAnsi"/>
        </w:rPr>
      </w:pPr>
    </w:p>
    <w:p w14:paraId="113C6EE6" w14:textId="5BA72840" w:rsidR="007F370E" w:rsidRPr="00AB0394" w:rsidRDefault="007F370E" w:rsidP="007F370E">
      <w:pPr>
        <w:jc w:val="center"/>
        <w:rPr>
          <w:rFonts w:cstheme="minorHAnsi"/>
          <w:b/>
          <w:sz w:val="28"/>
        </w:rPr>
      </w:pPr>
      <w:r w:rsidRPr="00AB0394">
        <w:rPr>
          <w:rFonts w:cstheme="minorHAnsi"/>
          <w:b/>
          <w:sz w:val="28"/>
        </w:rPr>
        <w:t>GCSE English Resit Programme</w:t>
      </w:r>
      <w:r w:rsidR="00AB0394">
        <w:rPr>
          <w:rFonts w:cstheme="minorHAnsi"/>
          <w:b/>
          <w:sz w:val="28"/>
        </w:rPr>
        <w:t xml:space="preserve"> for Post 16 schools in the Norwich Opportunity Area</w:t>
      </w:r>
    </w:p>
    <w:tbl>
      <w:tblPr>
        <w:tblStyle w:val="TableGrid"/>
        <w:tblW w:w="10485" w:type="dxa"/>
        <w:tblLook w:val="04A0" w:firstRow="1" w:lastRow="0" w:firstColumn="1" w:lastColumn="0" w:noHBand="0" w:noVBand="1"/>
      </w:tblPr>
      <w:tblGrid>
        <w:gridCol w:w="2263"/>
        <w:gridCol w:w="8222"/>
      </w:tblGrid>
      <w:tr w:rsidR="008A7544" w:rsidRPr="004D23E4" w14:paraId="580CFEE4" w14:textId="77777777" w:rsidTr="00CC728D">
        <w:trPr>
          <w:trHeight w:val="536"/>
        </w:trPr>
        <w:tc>
          <w:tcPr>
            <w:tcW w:w="2263" w:type="dxa"/>
            <w:shd w:val="clear" w:color="auto" w:fill="F3FFFF"/>
            <w:vAlign w:val="center"/>
          </w:tcPr>
          <w:p w14:paraId="567728BF"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 Norwich Opportunity Area Priority</w:t>
            </w:r>
          </w:p>
        </w:tc>
        <w:tc>
          <w:tcPr>
            <w:tcW w:w="8222" w:type="dxa"/>
            <w:vAlign w:val="center"/>
          </w:tcPr>
          <w:p w14:paraId="34631442" w14:textId="77777777" w:rsidR="008A7544" w:rsidRPr="004D23E4" w:rsidRDefault="00CC728D" w:rsidP="0050163E">
            <w:pPr>
              <w:rPr>
                <w:rFonts w:asciiTheme="minorHAnsi" w:hAnsiTheme="minorHAnsi" w:cstheme="minorHAnsi"/>
              </w:rPr>
            </w:pPr>
            <w:r w:rsidRPr="004D23E4">
              <w:rPr>
                <w:rFonts w:asciiTheme="minorHAnsi" w:hAnsiTheme="minorHAnsi" w:cstheme="minorHAnsi"/>
                <w:color w:val="000000"/>
              </w:rPr>
              <w:t>4. Give young people the information and support they need to move successfully between school, college, university and into work</w:t>
            </w:r>
          </w:p>
        </w:tc>
      </w:tr>
      <w:tr w:rsidR="008A7544" w:rsidRPr="004D23E4" w14:paraId="027C54C7" w14:textId="77777777" w:rsidTr="00CC728D">
        <w:trPr>
          <w:trHeight w:val="536"/>
        </w:trPr>
        <w:tc>
          <w:tcPr>
            <w:tcW w:w="2263" w:type="dxa"/>
            <w:shd w:val="clear" w:color="auto" w:fill="F3FFFF"/>
            <w:vAlign w:val="center"/>
          </w:tcPr>
          <w:p w14:paraId="059B65A5"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2. Strand</w:t>
            </w:r>
          </w:p>
        </w:tc>
        <w:tc>
          <w:tcPr>
            <w:tcW w:w="8222" w:type="dxa"/>
            <w:vAlign w:val="center"/>
          </w:tcPr>
          <w:p w14:paraId="3597253D" w14:textId="36C0139D" w:rsidR="008A7544" w:rsidRPr="004D23E4" w:rsidRDefault="00CC728D" w:rsidP="00CC728D">
            <w:pPr>
              <w:spacing w:before="240"/>
              <w:rPr>
                <w:rFonts w:asciiTheme="minorHAnsi" w:hAnsiTheme="minorHAnsi" w:cstheme="minorHAnsi"/>
              </w:rPr>
            </w:pPr>
            <w:r w:rsidRPr="004D23E4">
              <w:rPr>
                <w:rFonts w:asciiTheme="minorHAnsi" w:hAnsiTheme="minorHAnsi" w:cstheme="minorHAnsi"/>
                <w:color w:val="000000"/>
              </w:rPr>
              <w:t xml:space="preserve">4.2 To provide the best possible support to those sixteen to nineteen year olds who are seeking to strengthen their crucial English and maths skills, we will work with key stage 4 providers and City College Norwich to develop new ways to support young people that didn’t achieve level two English and </w:t>
            </w:r>
            <w:r w:rsidR="007F370E">
              <w:rPr>
                <w:rFonts w:asciiTheme="minorHAnsi" w:hAnsiTheme="minorHAnsi" w:cstheme="minorHAnsi"/>
                <w:color w:val="000000"/>
              </w:rPr>
              <w:t>M</w:t>
            </w:r>
            <w:r w:rsidRPr="004D23E4">
              <w:rPr>
                <w:rFonts w:asciiTheme="minorHAnsi" w:hAnsiTheme="minorHAnsi" w:cstheme="minorHAnsi"/>
                <w:color w:val="000000"/>
              </w:rPr>
              <w:t xml:space="preserve">aths while at secondary school. This will include exploring better data-sharing arrangements and sharing approaches to ensuring consistently high-quality teaching. We will robustly evaluate this activity so that we can share learning from these pilots with other schools and colleges across the country. </w:t>
            </w:r>
          </w:p>
        </w:tc>
      </w:tr>
      <w:tr w:rsidR="008A7544" w:rsidRPr="004D23E4" w14:paraId="13FDD6A3" w14:textId="77777777" w:rsidTr="00CC728D">
        <w:trPr>
          <w:trHeight w:val="536"/>
        </w:trPr>
        <w:tc>
          <w:tcPr>
            <w:tcW w:w="2263" w:type="dxa"/>
            <w:shd w:val="clear" w:color="auto" w:fill="F3FFFF"/>
            <w:vAlign w:val="center"/>
          </w:tcPr>
          <w:p w14:paraId="76CD11EF"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3. Activity Name</w:t>
            </w:r>
          </w:p>
        </w:tc>
        <w:tc>
          <w:tcPr>
            <w:tcW w:w="8222" w:type="dxa"/>
            <w:vAlign w:val="center"/>
          </w:tcPr>
          <w:p w14:paraId="3435EE25" w14:textId="77777777" w:rsidR="008A7544" w:rsidRPr="004D23E4" w:rsidRDefault="00B602DD" w:rsidP="00D94463">
            <w:pPr>
              <w:rPr>
                <w:rFonts w:asciiTheme="minorHAnsi" w:hAnsiTheme="minorHAnsi" w:cstheme="minorHAnsi"/>
              </w:rPr>
            </w:pPr>
            <w:r w:rsidRPr="004D23E4">
              <w:rPr>
                <w:rFonts w:asciiTheme="minorHAnsi" w:hAnsiTheme="minorHAnsi" w:cstheme="minorHAnsi"/>
              </w:rPr>
              <w:t xml:space="preserve">GCSE English resits – innovative </w:t>
            </w:r>
            <w:r w:rsidR="00D94463" w:rsidRPr="004D23E4">
              <w:rPr>
                <w:rFonts w:asciiTheme="minorHAnsi" w:hAnsiTheme="minorHAnsi" w:cstheme="minorHAnsi"/>
              </w:rPr>
              <w:t xml:space="preserve">schemes of </w:t>
            </w:r>
            <w:r w:rsidR="004D23E4" w:rsidRPr="004D23E4">
              <w:rPr>
                <w:rFonts w:asciiTheme="minorHAnsi" w:hAnsiTheme="minorHAnsi" w:cstheme="minorHAnsi"/>
              </w:rPr>
              <w:t>learning</w:t>
            </w:r>
            <w:r w:rsidRPr="004D23E4">
              <w:rPr>
                <w:rFonts w:asciiTheme="minorHAnsi" w:hAnsiTheme="minorHAnsi" w:cstheme="minorHAnsi"/>
              </w:rPr>
              <w:t xml:space="preserve"> and resources</w:t>
            </w:r>
          </w:p>
        </w:tc>
      </w:tr>
      <w:tr w:rsidR="008A7544" w:rsidRPr="004D23E4" w14:paraId="07242B17" w14:textId="77777777" w:rsidTr="00CC728D">
        <w:trPr>
          <w:trHeight w:val="536"/>
        </w:trPr>
        <w:tc>
          <w:tcPr>
            <w:tcW w:w="2263" w:type="dxa"/>
            <w:shd w:val="clear" w:color="auto" w:fill="F3FFFF"/>
            <w:vAlign w:val="center"/>
          </w:tcPr>
          <w:p w14:paraId="0C1FF2DA"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4. Background</w:t>
            </w:r>
          </w:p>
        </w:tc>
        <w:tc>
          <w:tcPr>
            <w:tcW w:w="8222" w:type="dxa"/>
            <w:vAlign w:val="center"/>
          </w:tcPr>
          <w:p w14:paraId="40B43B2F" w14:textId="77777777" w:rsidR="00A56AB4" w:rsidRPr="004D23E4" w:rsidRDefault="00A56AB4" w:rsidP="00A56AB4">
            <w:pPr>
              <w:rPr>
                <w:rFonts w:asciiTheme="minorHAnsi" w:hAnsiTheme="minorHAnsi" w:cstheme="minorHAnsi"/>
                <w:b/>
              </w:rPr>
            </w:pPr>
            <w:r w:rsidRPr="004D23E4">
              <w:rPr>
                <w:rFonts w:asciiTheme="minorHAnsi" w:hAnsiTheme="minorHAnsi" w:cstheme="minorHAnsi"/>
                <w:b/>
              </w:rPr>
              <w:t>Norwich Opportunity Area</w:t>
            </w:r>
          </w:p>
          <w:p w14:paraId="5D4F576F" w14:textId="77777777" w:rsidR="00A56AB4" w:rsidRPr="004D23E4" w:rsidRDefault="00A56AB4" w:rsidP="00A56AB4">
            <w:pPr>
              <w:rPr>
                <w:rFonts w:asciiTheme="minorHAnsi" w:hAnsiTheme="minorHAnsi" w:cstheme="minorHAnsi"/>
              </w:rPr>
            </w:pPr>
            <w:r w:rsidRPr="004D23E4">
              <w:rPr>
                <w:rFonts w:asciiTheme="minorHAnsi" w:hAnsiTheme="minorHAnsi" w:cstheme="minorHAnsi"/>
                <w:color w:val="000000"/>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47DA239A" w14:textId="77777777" w:rsidR="008A7544" w:rsidRDefault="00A56AB4" w:rsidP="0050163E">
            <w:pPr>
              <w:rPr>
                <w:rFonts w:asciiTheme="minorHAnsi" w:hAnsiTheme="minorHAnsi" w:cstheme="minorHAnsi"/>
              </w:rPr>
            </w:pPr>
            <w:r w:rsidRPr="004D23E4">
              <w:rPr>
                <w:rFonts w:asciiTheme="minorHAnsi" w:hAnsiTheme="minorHAnsi" w:cstheme="minorHAnsi"/>
              </w:rPr>
              <w:t xml:space="preserve">Norwich has been identified as an Opportunity Area by the Department for education to address this problem.  This activity is part of the </w:t>
            </w:r>
            <w:hyperlink r:id="rId7" w:history="1">
              <w:r w:rsidRPr="004D23E4">
                <w:rPr>
                  <w:rStyle w:val="Hyperlink"/>
                  <w:rFonts w:asciiTheme="minorHAnsi" w:hAnsiTheme="minorHAnsi" w:cstheme="minorHAnsi"/>
                </w:rPr>
                <w:t>delivery plan</w:t>
              </w:r>
            </w:hyperlink>
            <w:r w:rsidRPr="004D23E4">
              <w:rPr>
                <w:rFonts w:asciiTheme="minorHAnsi" w:hAnsiTheme="minorHAnsi" w:cstheme="minorHAnsi"/>
              </w:rPr>
              <w:t>.</w:t>
            </w:r>
          </w:p>
          <w:p w14:paraId="1694A277" w14:textId="77777777" w:rsidR="00576AF5" w:rsidRPr="004D23E4" w:rsidRDefault="00576AF5" w:rsidP="00576AF5">
            <w:pPr>
              <w:rPr>
                <w:rFonts w:asciiTheme="minorHAnsi" w:hAnsiTheme="minorHAnsi" w:cstheme="minorHAnsi"/>
              </w:rPr>
            </w:pPr>
            <w:r w:rsidRPr="004D23E4">
              <w:rPr>
                <w:rFonts w:asciiTheme="minorHAnsi" w:hAnsiTheme="minorHAnsi" w:cstheme="minorHAnsi"/>
              </w:rPr>
              <w:t>GCSE English attainment in the N</w:t>
            </w:r>
            <w:r>
              <w:rPr>
                <w:rFonts w:asciiTheme="minorHAnsi" w:hAnsiTheme="minorHAnsi" w:cstheme="minorHAnsi"/>
              </w:rPr>
              <w:t>OA</w:t>
            </w:r>
            <w:r w:rsidRPr="004D23E4">
              <w:rPr>
                <w:rFonts w:asciiTheme="minorHAnsi" w:hAnsiTheme="minorHAnsi" w:cstheme="minorHAnsi"/>
              </w:rPr>
              <w:t xml:space="preserve"> area is not supporting high numbers of student progressing straight to Level 3 study post 16.</w:t>
            </w:r>
          </w:p>
          <w:p w14:paraId="5F2968B3" w14:textId="77777777" w:rsidR="00576AF5" w:rsidRPr="004D23E4" w:rsidRDefault="00576AF5" w:rsidP="00576AF5">
            <w:pPr>
              <w:rPr>
                <w:rFonts w:asciiTheme="minorHAnsi" w:hAnsiTheme="minorHAnsi" w:cstheme="minorHAnsi"/>
              </w:rPr>
            </w:pPr>
            <w:r w:rsidRPr="004D23E4">
              <w:rPr>
                <w:rFonts w:asciiTheme="minorHAnsi" w:hAnsiTheme="minorHAnsi" w:cstheme="minorHAnsi"/>
              </w:rPr>
              <w:t>Some post 16 providers have the attainment of GCSE English high grades as a criteria of entry, thus reducing choice post 16 within the N</w:t>
            </w:r>
            <w:r w:rsidR="007F370E">
              <w:rPr>
                <w:rFonts w:asciiTheme="minorHAnsi" w:hAnsiTheme="minorHAnsi" w:cstheme="minorHAnsi"/>
              </w:rPr>
              <w:t>OA</w:t>
            </w:r>
            <w:r w:rsidRPr="004D23E4">
              <w:rPr>
                <w:rFonts w:asciiTheme="minorHAnsi" w:hAnsiTheme="minorHAnsi" w:cstheme="minorHAnsi"/>
              </w:rPr>
              <w:t>.</w:t>
            </w:r>
          </w:p>
          <w:p w14:paraId="52A28114" w14:textId="77777777" w:rsidR="00576AF5" w:rsidRDefault="00576AF5" w:rsidP="00576AF5">
            <w:pPr>
              <w:rPr>
                <w:rFonts w:asciiTheme="minorHAnsi" w:hAnsiTheme="minorHAnsi" w:cstheme="minorHAnsi"/>
              </w:rPr>
            </w:pPr>
            <w:r w:rsidRPr="004D23E4">
              <w:rPr>
                <w:rFonts w:asciiTheme="minorHAnsi" w:hAnsiTheme="minorHAnsi" w:cstheme="minorHAnsi"/>
              </w:rPr>
              <w:t>Non-attainment of GCSE English high grades by age 19 is a significant barrier to study at L4 and above</w:t>
            </w:r>
            <w:r w:rsidR="007F370E">
              <w:rPr>
                <w:rFonts w:asciiTheme="minorHAnsi" w:hAnsiTheme="minorHAnsi" w:cstheme="minorHAnsi"/>
              </w:rPr>
              <w:t>.</w:t>
            </w:r>
          </w:p>
          <w:p w14:paraId="3F3EC53E" w14:textId="77777777" w:rsidR="00576AF5" w:rsidRPr="004D23E4" w:rsidRDefault="00576AF5" w:rsidP="00576AF5">
            <w:pPr>
              <w:rPr>
                <w:rFonts w:asciiTheme="minorHAnsi" w:hAnsiTheme="minorHAnsi" w:cstheme="minorHAnsi"/>
              </w:rPr>
            </w:pPr>
            <w:r w:rsidRPr="004D23E4">
              <w:rPr>
                <w:rFonts w:asciiTheme="minorHAnsi" w:hAnsiTheme="minorHAnsi" w:cstheme="minorHAnsi"/>
              </w:rPr>
              <w:t>The key challenge for GCSE resit pedagogy is the ability to tailor the delivery to make significant progress with stud</w:t>
            </w:r>
            <w:r>
              <w:rPr>
                <w:rFonts w:asciiTheme="minorHAnsi" w:hAnsiTheme="minorHAnsi" w:cstheme="minorHAnsi"/>
              </w:rPr>
              <w:t>e</w:t>
            </w:r>
            <w:r w:rsidRPr="004D23E4">
              <w:rPr>
                <w:rFonts w:asciiTheme="minorHAnsi" w:hAnsiTheme="minorHAnsi" w:cstheme="minorHAnsi"/>
              </w:rPr>
              <w:t>nts within each single academic year.</w:t>
            </w:r>
          </w:p>
          <w:p w14:paraId="6621A15B" w14:textId="77777777" w:rsidR="00576AF5" w:rsidRPr="004D23E4" w:rsidRDefault="00576AF5" w:rsidP="00576AF5">
            <w:pPr>
              <w:rPr>
                <w:rFonts w:asciiTheme="minorHAnsi" w:hAnsiTheme="minorHAnsi" w:cstheme="minorHAnsi"/>
              </w:rPr>
            </w:pPr>
            <w:r w:rsidRPr="004D23E4">
              <w:rPr>
                <w:rFonts w:asciiTheme="minorHAnsi" w:hAnsiTheme="minorHAnsi" w:cstheme="minorHAnsi"/>
              </w:rPr>
              <w:t>There are a number of post 16 resit specific schemes of learning and resources that have been developed for the delivery of GCSE Maths, such as the AQA “one year roadmap” developed by Julia Smith (allaboutmaths.aqa.org.uk/1YearRouteMap).  However, there is little equivalent work being done on GCSE English resits.</w:t>
            </w:r>
          </w:p>
          <w:p w14:paraId="333804FD" w14:textId="77777777" w:rsidR="00576AF5" w:rsidRPr="004D23E4" w:rsidRDefault="00576AF5" w:rsidP="00576AF5">
            <w:pPr>
              <w:rPr>
                <w:rFonts w:asciiTheme="minorHAnsi" w:hAnsiTheme="minorHAnsi" w:cstheme="minorHAnsi"/>
              </w:rPr>
            </w:pPr>
            <w:r w:rsidRPr="004D23E4">
              <w:rPr>
                <w:rFonts w:asciiTheme="minorHAnsi" w:hAnsiTheme="minorHAnsi" w:cstheme="minorHAnsi"/>
              </w:rPr>
              <w:t xml:space="preserve">This project will commission that work to develop innovative and evidence based approaches to the delivery of GCSE English within 1 year in a post 16 resit setting.  This will produce approaches for testing that can assist teachers and institutions in ensuring students and making strong progress and achieving a greater proportion of GCSE High grade outcomes.  </w:t>
            </w:r>
          </w:p>
        </w:tc>
      </w:tr>
      <w:tr w:rsidR="008A7544" w:rsidRPr="004D23E4" w14:paraId="0B4F6016" w14:textId="77777777" w:rsidTr="00CC728D">
        <w:trPr>
          <w:trHeight w:val="536"/>
        </w:trPr>
        <w:tc>
          <w:tcPr>
            <w:tcW w:w="2263" w:type="dxa"/>
            <w:shd w:val="clear" w:color="auto" w:fill="F3FFFF"/>
            <w:vAlign w:val="center"/>
          </w:tcPr>
          <w:p w14:paraId="1195C848"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5. Targeted individuals/schools</w:t>
            </w:r>
          </w:p>
        </w:tc>
        <w:tc>
          <w:tcPr>
            <w:tcW w:w="8222" w:type="dxa"/>
            <w:vAlign w:val="center"/>
          </w:tcPr>
          <w:p w14:paraId="3A312B1A" w14:textId="1280522B" w:rsidR="00FB1318" w:rsidRPr="004D23E4" w:rsidRDefault="00FB1318" w:rsidP="00B602DD">
            <w:pPr>
              <w:rPr>
                <w:rFonts w:asciiTheme="minorHAnsi" w:hAnsiTheme="minorHAnsi" w:cstheme="minorHAnsi"/>
              </w:rPr>
            </w:pPr>
            <w:r w:rsidRPr="004D23E4">
              <w:rPr>
                <w:rFonts w:asciiTheme="minorHAnsi" w:hAnsiTheme="minorHAnsi" w:cstheme="minorHAnsi"/>
              </w:rPr>
              <w:t xml:space="preserve">Post 16 providers </w:t>
            </w:r>
            <w:r w:rsidR="00AB0394">
              <w:rPr>
                <w:rFonts w:asciiTheme="minorHAnsi" w:hAnsiTheme="minorHAnsi" w:cstheme="minorHAnsi"/>
              </w:rPr>
              <w:t xml:space="preserve">in the Norwich Opportunity Area </w:t>
            </w:r>
            <w:r w:rsidRPr="004D23E4">
              <w:rPr>
                <w:rFonts w:asciiTheme="minorHAnsi" w:hAnsiTheme="minorHAnsi" w:cstheme="minorHAnsi"/>
              </w:rPr>
              <w:t>– City College Norwich + School Based 6</w:t>
            </w:r>
            <w:r w:rsidRPr="004D23E4">
              <w:rPr>
                <w:rFonts w:asciiTheme="minorHAnsi" w:hAnsiTheme="minorHAnsi" w:cstheme="minorHAnsi"/>
                <w:vertAlign w:val="superscript"/>
              </w:rPr>
              <w:t>th</w:t>
            </w:r>
            <w:r w:rsidRPr="004D23E4">
              <w:rPr>
                <w:rFonts w:asciiTheme="minorHAnsi" w:hAnsiTheme="minorHAnsi" w:cstheme="minorHAnsi"/>
              </w:rPr>
              <w:t xml:space="preserve"> forms who offer GCSE English resits</w:t>
            </w:r>
          </w:p>
        </w:tc>
      </w:tr>
      <w:tr w:rsidR="008A7544" w:rsidRPr="004D23E4" w14:paraId="01B59FF9" w14:textId="77777777" w:rsidTr="00CC728D">
        <w:trPr>
          <w:trHeight w:val="536"/>
        </w:trPr>
        <w:tc>
          <w:tcPr>
            <w:tcW w:w="2263" w:type="dxa"/>
            <w:shd w:val="clear" w:color="auto" w:fill="F3FFFF"/>
            <w:vAlign w:val="center"/>
          </w:tcPr>
          <w:p w14:paraId="7F25E516" w14:textId="2CE0FDA2" w:rsidR="008A7544" w:rsidRPr="004D23E4" w:rsidRDefault="008A7544" w:rsidP="0050163E">
            <w:pPr>
              <w:rPr>
                <w:rFonts w:asciiTheme="minorHAnsi" w:hAnsiTheme="minorHAnsi" w:cstheme="minorHAnsi"/>
                <w:b/>
              </w:rPr>
            </w:pPr>
            <w:r w:rsidRPr="004D23E4">
              <w:rPr>
                <w:rFonts w:asciiTheme="minorHAnsi" w:hAnsiTheme="minorHAnsi" w:cstheme="minorHAnsi"/>
                <w:b/>
              </w:rPr>
              <w:t xml:space="preserve">6. </w:t>
            </w:r>
            <w:r w:rsidR="00AB0394">
              <w:rPr>
                <w:rFonts w:asciiTheme="minorHAnsi" w:hAnsiTheme="minorHAnsi" w:cstheme="minorHAnsi"/>
                <w:b/>
              </w:rPr>
              <w:t>P</w:t>
            </w:r>
            <w:r w:rsidRPr="004D23E4">
              <w:rPr>
                <w:rFonts w:asciiTheme="minorHAnsi" w:hAnsiTheme="minorHAnsi" w:cstheme="minorHAnsi"/>
                <w:b/>
              </w:rPr>
              <w:t>rice cap</w:t>
            </w:r>
          </w:p>
        </w:tc>
        <w:tc>
          <w:tcPr>
            <w:tcW w:w="8222" w:type="dxa"/>
            <w:vAlign w:val="center"/>
          </w:tcPr>
          <w:p w14:paraId="6BD26690" w14:textId="3063C8ED" w:rsidR="008A7544" w:rsidRPr="004D23E4" w:rsidRDefault="00576AF5" w:rsidP="0050163E">
            <w:pPr>
              <w:rPr>
                <w:rFonts w:asciiTheme="minorHAnsi" w:hAnsiTheme="minorHAnsi" w:cstheme="minorHAnsi"/>
              </w:rPr>
            </w:pPr>
            <w:r>
              <w:rPr>
                <w:rFonts w:asciiTheme="minorHAnsi" w:hAnsiTheme="minorHAnsi" w:cstheme="minorHAnsi"/>
              </w:rPr>
              <w:t>£</w:t>
            </w:r>
            <w:r w:rsidR="00AB0394">
              <w:rPr>
                <w:rFonts w:asciiTheme="minorHAnsi" w:hAnsiTheme="minorHAnsi" w:cstheme="minorHAnsi"/>
              </w:rPr>
              <w:t>2</w:t>
            </w:r>
            <w:r>
              <w:rPr>
                <w:rFonts w:asciiTheme="minorHAnsi" w:hAnsiTheme="minorHAnsi" w:cstheme="minorHAnsi"/>
              </w:rPr>
              <w:t>0,000</w:t>
            </w:r>
          </w:p>
        </w:tc>
      </w:tr>
      <w:tr w:rsidR="008A7544" w:rsidRPr="004D23E4" w14:paraId="31E34691" w14:textId="77777777" w:rsidTr="00CC728D">
        <w:trPr>
          <w:trHeight w:val="536"/>
        </w:trPr>
        <w:tc>
          <w:tcPr>
            <w:tcW w:w="2263" w:type="dxa"/>
            <w:shd w:val="clear" w:color="auto" w:fill="F3FFFF"/>
            <w:vAlign w:val="center"/>
          </w:tcPr>
          <w:p w14:paraId="2FC6B819"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lastRenderedPageBreak/>
              <w:t>7. Outputs</w:t>
            </w:r>
          </w:p>
        </w:tc>
        <w:tc>
          <w:tcPr>
            <w:tcW w:w="8222" w:type="dxa"/>
          </w:tcPr>
          <w:p w14:paraId="75916A1A" w14:textId="002D87DF" w:rsidR="008A7544" w:rsidRDefault="00576AF5" w:rsidP="00576AF5">
            <w:pPr>
              <w:pStyle w:val="ListParagraph"/>
              <w:numPr>
                <w:ilvl w:val="0"/>
                <w:numId w:val="4"/>
              </w:numPr>
              <w:rPr>
                <w:rFonts w:cstheme="minorHAnsi"/>
              </w:rPr>
            </w:pPr>
            <w:r w:rsidRPr="00576AF5">
              <w:rPr>
                <w:rFonts w:asciiTheme="minorHAnsi" w:hAnsiTheme="minorHAnsi" w:cstheme="minorHAnsi"/>
              </w:rPr>
              <w:t>Teaching resources</w:t>
            </w:r>
            <w:r>
              <w:rPr>
                <w:rFonts w:asciiTheme="minorHAnsi" w:hAnsiTheme="minorHAnsi" w:cstheme="minorHAnsi"/>
              </w:rPr>
              <w:t xml:space="preserve">, </w:t>
            </w:r>
            <w:r w:rsidRPr="00576AF5">
              <w:rPr>
                <w:rFonts w:asciiTheme="minorHAnsi" w:hAnsiTheme="minorHAnsi" w:cstheme="minorHAnsi"/>
              </w:rPr>
              <w:t xml:space="preserve">scheme of work </w:t>
            </w:r>
            <w:r>
              <w:rPr>
                <w:rFonts w:asciiTheme="minorHAnsi" w:hAnsiTheme="minorHAnsi" w:cstheme="minorHAnsi"/>
              </w:rPr>
              <w:t xml:space="preserve">and admin/tracking resources </w:t>
            </w:r>
            <w:r w:rsidRPr="00576AF5">
              <w:rPr>
                <w:rFonts w:asciiTheme="minorHAnsi" w:hAnsiTheme="minorHAnsi" w:cstheme="minorHAnsi"/>
              </w:rPr>
              <w:t>for a one</w:t>
            </w:r>
            <w:r>
              <w:rPr>
                <w:rFonts w:asciiTheme="minorHAnsi" w:hAnsiTheme="minorHAnsi" w:cstheme="minorHAnsi"/>
              </w:rPr>
              <w:t>-year English GCSE resit programme that enables tutors to target areas of weakness given student level KS4 data on past performance and previous study</w:t>
            </w:r>
            <w:r w:rsidR="001D6830">
              <w:rPr>
                <w:rFonts w:cstheme="minorHAnsi"/>
              </w:rPr>
              <w:t>.</w:t>
            </w:r>
            <w:r w:rsidR="001D6830" w:rsidRPr="001D6830">
              <w:rPr>
                <w:rFonts w:asciiTheme="minorHAnsi" w:hAnsiTheme="minorHAnsi" w:cstheme="minorHAnsi"/>
              </w:rPr>
              <w:t xml:space="preserve">  Electronic copy and 10 hard copy resources</w:t>
            </w:r>
          </w:p>
          <w:p w14:paraId="66A0622D" w14:textId="19DECFC2" w:rsidR="00576AF5" w:rsidRPr="00576AF5" w:rsidRDefault="00576AF5" w:rsidP="00576AF5">
            <w:pPr>
              <w:pStyle w:val="ListParagraph"/>
              <w:numPr>
                <w:ilvl w:val="0"/>
                <w:numId w:val="4"/>
              </w:numPr>
              <w:rPr>
                <w:rFonts w:cstheme="minorHAnsi"/>
              </w:rPr>
            </w:pPr>
            <w:r w:rsidRPr="00576AF5">
              <w:rPr>
                <w:rFonts w:asciiTheme="minorHAnsi" w:hAnsiTheme="minorHAnsi" w:cstheme="minorHAnsi"/>
              </w:rPr>
              <w:t>Trainin</w:t>
            </w:r>
            <w:r>
              <w:rPr>
                <w:rFonts w:asciiTheme="minorHAnsi" w:hAnsiTheme="minorHAnsi" w:cstheme="minorHAnsi"/>
              </w:rPr>
              <w:t>g for teachers in use of the programme</w:t>
            </w:r>
            <w:r w:rsidR="001D6830">
              <w:rPr>
                <w:rFonts w:asciiTheme="minorHAnsi" w:hAnsiTheme="minorHAnsi" w:cstheme="minorHAnsi"/>
              </w:rPr>
              <w:t xml:space="preserve"> inc delivery, venue and materials</w:t>
            </w:r>
          </w:p>
        </w:tc>
      </w:tr>
      <w:tr w:rsidR="008A7544" w:rsidRPr="004D23E4" w14:paraId="2CE94C20" w14:textId="77777777" w:rsidTr="00CC728D">
        <w:trPr>
          <w:trHeight w:val="989"/>
        </w:trPr>
        <w:tc>
          <w:tcPr>
            <w:tcW w:w="2263" w:type="dxa"/>
            <w:shd w:val="clear" w:color="auto" w:fill="F3FFFF"/>
            <w:vAlign w:val="center"/>
          </w:tcPr>
          <w:p w14:paraId="771709EE"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8. Short term outcomes</w:t>
            </w:r>
          </w:p>
        </w:tc>
        <w:tc>
          <w:tcPr>
            <w:tcW w:w="8222" w:type="dxa"/>
            <w:vAlign w:val="center"/>
          </w:tcPr>
          <w:p w14:paraId="49E4E6D2" w14:textId="77777777" w:rsidR="00FB1318" w:rsidRDefault="00576AF5" w:rsidP="00D94463">
            <w:pPr>
              <w:pStyle w:val="ListParagraph"/>
              <w:numPr>
                <w:ilvl w:val="0"/>
                <w:numId w:val="4"/>
              </w:numPr>
              <w:rPr>
                <w:rFonts w:asciiTheme="minorHAnsi" w:hAnsiTheme="minorHAnsi" w:cstheme="minorHAnsi"/>
              </w:rPr>
            </w:pPr>
            <w:r>
              <w:rPr>
                <w:rFonts w:asciiTheme="minorHAnsi" w:hAnsiTheme="minorHAnsi" w:cstheme="minorHAnsi"/>
              </w:rPr>
              <w:t>Improved student engagement and progress in post 16 English programmes</w:t>
            </w:r>
          </w:p>
          <w:p w14:paraId="6D77EDC3" w14:textId="77777777" w:rsidR="00576AF5" w:rsidRPr="004D23E4" w:rsidRDefault="00576AF5" w:rsidP="00D94463">
            <w:pPr>
              <w:pStyle w:val="ListParagraph"/>
              <w:numPr>
                <w:ilvl w:val="0"/>
                <w:numId w:val="4"/>
              </w:numPr>
              <w:rPr>
                <w:rFonts w:asciiTheme="minorHAnsi" w:hAnsiTheme="minorHAnsi" w:cstheme="minorHAnsi"/>
              </w:rPr>
            </w:pPr>
            <w:r>
              <w:rPr>
                <w:rFonts w:asciiTheme="minorHAnsi" w:hAnsiTheme="minorHAnsi" w:cstheme="minorHAnsi"/>
              </w:rPr>
              <w:t>A network of local post 16 providers sharing good practice and mutually supporting each other to deliver a common programme</w:t>
            </w:r>
          </w:p>
        </w:tc>
      </w:tr>
      <w:tr w:rsidR="008A7544" w:rsidRPr="004D23E4" w14:paraId="00885795" w14:textId="77777777" w:rsidTr="00CC728D">
        <w:trPr>
          <w:trHeight w:val="977"/>
        </w:trPr>
        <w:tc>
          <w:tcPr>
            <w:tcW w:w="2263" w:type="dxa"/>
            <w:shd w:val="clear" w:color="auto" w:fill="F3FFFF"/>
          </w:tcPr>
          <w:p w14:paraId="0D1A2BE3"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9. Long term outcomes</w:t>
            </w:r>
          </w:p>
          <w:p w14:paraId="40126926" w14:textId="77777777" w:rsidR="008A7544" w:rsidRPr="004D23E4" w:rsidRDefault="008A7544" w:rsidP="0050163E">
            <w:pPr>
              <w:rPr>
                <w:rFonts w:asciiTheme="minorHAnsi" w:hAnsiTheme="minorHAnsi" w:cstheme="minorHAnsi"/>
              </w:rPr>
            </w:pPr>
          </w:p>
        </w:tc>
        <w:tc>
          <w:tcPr>
            <w:tcW w:w="8222" w:type="dxa"/>
          </w:tcPr>
          <w:p w14:paraId="1D58ADCD" w14:textId="77777777" w:rsidR="0005112A" w:rsidRPr="004D23E4" w:rsidRDefault="0084295C" w:rsidP="0005112A">
            <w:pPr>
              <w:pStyle w:val="ListParagraph"/>
              <w:numPr>
                <w:ilvl w:val="0"/>
                <w:numId w:val="5"/>
              </w:numPr>
              <w:rPr>
                <w:rFonts w:asciiTheme="minorHAnsi" w:hAnsiTheme="minorHAnsi" w:cstheme="minorHAnsi"/>
                <w:b/>
              </w:rPr>
            </w:pPr>
            <w:r w:rsidRPr="004D23E4">
              <w:rPr>
                <w:rFonts w:asciiTheme="minorHAnsi" w:hAnsiTheme="minorHAnsi" w:cstheme="minorHAnsi"/>
              </w:rPr>
              <w:t>The development of common evidence based approaches to the teaching of post 16 resit GCSE English between providers supporting progress of students throughout the N</w:t>
            </w:r>
            <w:r w:rsidR="00576AF5">
              <w:rPr>
                <w:rFonts w:asciiTheme="minorHAnsi" w:hAnsiTheme="minorHAnsi" w:cstheme="minorHAnsi"/>
              </w:rPr>
              <w:t>OA</w:t>
            </w:r>
            <w:r w:rsidRPr="004D23E4">
              <w:rPr>
                <w:rFonts w:asciiTheme="minorHAnsi" w:hAnsiTheme="minorHAnsi" w:cstheme="minorHAnsi"/>
              </w:rPr>
              <w:t xml:space="preserve"> and beyond.</w:t>
            </w:r>
          </w:p>
          <w:p w14:paraId="6E104086" w14:textId="77777777" w:rsidR="0084295C" w:rsidRPr="004D23E4" w:rsidRDefault="0084295C" w:rsidP="0005112A">
            <w:pPr>
              <w:pStyle w:val="ListParagraph"/>
              <w:numPr>
                <w:ilvl w:val="0"/>
                <w:numId w:val="5"/>
              </w:numPr>
              <w:rPr>
                <w:rFonts w:asciiTheme="minorHAnsi" w:hAnsiTheme="minorHAnsi" w:cstheme="minorHAnsi"/>
              </w:rPr>
            </w:pPr>
            <w:r w:rsidRPr="004D23E4">
              <w:rPr>
                <w:rFonts w:asciiTheme="minorHAnsi" w:hAnsiTheme="minorHAnsi" w:cstheme="minorHAnsi"/>
              </w:rPr>
              <w:t xml:space="preserve">Improved GCSE English resit high grades for NAO students unlocking their potential for higher level study and progression to L4+ study </w:t>
            </w:r>
          </w:p>
        </w:tc>
      </w:tr>
      <w:tr w:rsidR="008A7544" w:rsidRPr="004D23E4" w14:paraId="61BF4069" w14:textId="77777777" w:rsidTr="00CC728D">
        <w:trPr>
          <w:trHeight w:val="731"/>
        </w:trPr>
        <w:tc>
          <w:tcPr>
            <w:tcW w:w="2263" w:type="dxa"/>
            <w:shd w:val="clear" w:color="auto" w:fill="F3FFFF"/>
          </w:tcPr>
          <w:p w14:paraId="0994AF32"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10. Evidence base</w:t>
            </w:r>
          </w:p>
        </w:tc>
        <w:tc>
          <w:tcPr>
            <w:tcW w:w="8222" w:type="dxa"/>
          </w:tcPr>
          <w:p w14:paraId="2811D042" w14:textId="77777777" w:rsidR="00233186" w:rsidRPr="00233186" w:rsidRDefault="00233186" w:rsidP="00233186">
            <w:pPr>
              <w:rPr>
                <w:rFonts w:asciiTheme="minorHAnsi" w:hAnsiTheme="minorHAnsi" w:cstheme="minorHAnsi"/>
              </w:rPr>
            </w:pPr>
            <w:r>
              <w:rPr>
                <w:rFonts w:asciiTheme="minorHAnsi" w:hAnsiTheme="minorHAnsi" w:cstheme="minorHAnsi"/>
              </w:rPr>
              <w:t>According to the EEF, t</w:t>
            </w:r>
            <w:r w:rsidRPr="00233186">
              <w:rPr>
                <w:rFonts w:asciiTheme="minorHAnsi" w:hAnsiTheme="minorHAnsi" w:cstheme="minorHAnsi"/>
              </w:rPr>
              <w:t xml:space="preserve">here has been little research done about how to improve the English and </w:t>
            </w:r>
            <w:r w:rsidR="007F370E">
              <w:rPr>
                <w:rFonts w:asciiTheme="minorHAnsi" w:hAnsiTheme="minorHAnsi" w:cstheme="minorHAnsi"/>
              </w:rPr>
              <w:t>M</w:t>
            </w:r>
            <w:r w:rsidRPr="00233186">
              <w:rPr>
                <w:rFonts w:asciiTheme="minorHAnsi" w:hAnsiTheme="minorHAnsi" w:cstheme="minorHAnsi"/>
              </w:rPr>
              <w:t>aths skills of older, lower-skilled learners. The EEF commissioned a </w:t>
            </w:r>
            <w:hyperlink r:id="rId8" w:history="1">
              <w:r w:rsidRPr="00233186">
                <w:rPr>
                  <w:rFonts w:asciiTheme="minorHAnsi" w:hAnsiTheme="minorHAnsi" w:cstheme="minorHAnsi"/>
                </w:rPr>
                <w:t>review</w:t>
              </w:r>
            </w:hyperlink>
            <w:r w:rsidRPr="00233186">
              <w:rPr>
                <w:rFonts w:asciiTheme="minorHAnsi" w:hAnsiTheme="minorHAnsi" w:cstheme="minorHAnsi"/>
              </w:rPr>
              <w:t xml:space="preserve"> of the available literature before making </w:t>
            </w:r>
            <w:r w:rsidR="0053797E">
              <w:rPr>
                <w:rFonts w:asciiTheme="minorHAnsi" w:hAnsiTheme="minorHAnsi" w:cstheme="minorHAnsi"/>
              </w:rPr>
              <w:t>their</w:t>
            </w:r>
            <w:r w:rsidRPr="00233186">
              <w:rPr>
                <w:rFonts w:asciiTheme="minorHAnsi" w:hAnsiTheme="minorHAnsi" w:cstheme="minorHAnsi"/>
              </w:rPr>
              <w:t xml:space="preserve"> first grants in this area, and the Centre for Vocational Education Research published another </w:t>
            </w:r>
            <w:hyperlink r:id="rId9" w:history="1">
              <w:r w:rsidRPr="00233186">
                <w:rPr>
                  <w:rFonts w:asciiTheme="minorHAnsi" w:hAnsiTheme="minorHAnsi" w:cstheme="minorHAnsi"/>
                </w:rPr>
                <w:t>review</w:t>
              </w:r>
            </w:hyperlink>
            <w:r w:rsidRPr="00233186">
              <w:rPr>
                <w:rFonts w:asciiTheme="minorHAnsi" w:hAnsiTheme="minorHAnsi" w:cstheme="minorHAnsi"/>
              </w:rPr>
              <w:t> in April 2017. Both identified a need for more research that uses rigorous methods such as randomised controlled trials, as there are very few of these available to guide teachers at the moment.</w:t>
            </w:r>
          </w:p>
          <w:p w14:paraId="4E6F30B5" w14:textId="77777777" w:rsidR="00233186" w:rsidRPr="00233186" w:rsidRDefault="00233186" w:rsidP="00233186">
            <w:pPr>
              <w:rPr>
                <w:rFonts w:asciiTheme="minorHAnsi" w:hAnsiTheme="minorHAnsi" w:cstheme="minorHAnsi"/>
              </w:rPr>
            </w:pPr>
            <w:r w:rsidRPr="00233186">
              <w:rPr>
                <w:rFonts w:asciiTheme="minorHAnsi" w:hAnsiTheme="minorHAnsi" w:cstheme="minorHAnsi"/>
              </w:rPr>
              <w:t xml:space="preserve">With the caveats about the security of the evidence in mind, research suggests that some features of effective English teaching include peer-mediated support that is sustained over time, and using a range of strategies rather than just focusing on one approach. </w:t>
            </w:r>
          </w:p>
          <w:p w14:paraId="1AAC5ED8" w14:textId="77777777" w:rsidR="0005112A" w:rsidRPr="004D23E4" w:rsidRDefault="0053797E" w:rsidP="0084295C">
            <w:pPr>
              <w:rPr>
                <w:rFonts w:asciiTheme="minorHAnsi" w:hAnsiTheme="minorHAnsi" w:cstheme="minorHAnsi"/>
              </w:rPr>
            </w:pPr>
            <w:r>
              <w:rPr>
                <w:rFonts w:asciiTheme="minorHAnsi" w:hAnsiTheme="minorHAnsi" w:cstheme="minorHAnsi"/>
              </w:rPr>
              <w:t>The EEF are currently trialling a programme through “Access for Success” working with Manchester College to assess incoming students’ English skills so that teachers can deliver a more targeted programme.  However this does not include a specifically developed programme of learning.  Another trial is currently focused on peer-mediated support through text messaging.</w:t>
            </w:r>
          </w:p>
        </w:tc>
      </w:tr>
      <w:tr w:rsidR="008A7544" w:rsidRPr="004D23E4" w14:paraId="37CFCCAF" w14:textId="77777777" w:rsidTr="00CC728D">
        <w:trPr>
          <w:trHeight w:val="731"/>
        </w:trPr>
        <w:tc>
          <w:tcPr>
            <w:tcW w:w="2263" w:type="dxa"/>
            <w:shd w:val="clear" w:color="auto" w:fill="F3FFFF"/>
          </w:tcPr>
          <w:p w14:paraId="0116E1FA"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11. Prospective providers should meet the following criteria:</w:t>
            </w:r>
          </w:p>
        </w:tc>
        <w:tc>
          <w:tcPr>
            <w:tcW w:w="8222" w:type="dxa"/>
          </w:tcPr>
          <w:p w14:paraId="65E7E186" w14:textId="77777777" w:rsidR="008A7544" w:rsidRPr="004D23E4" w:rsidRDefault="008A7544" w:rsidP="0050163E">
            <w:pPr>
              <w:rPr>
                <w:rFonts w:asciiTheme="minorHAnsi" w:hAnsiTheme="minorHAnsi" w:cstheme="minorHAnsi"/>
              </w:rPr>
            </w:pPr>
            <w:r w:rsidRPr="004D23E4">
              <w:rPr>
                <w:rFonts w:asciiTheme="minorHAnsi" w:hAnsiTheme="minorHAnsi" w:cstheme="minorHAnsi"/>
              </w:rPr>
              <w:t>Expertise:</w:t>
            </w:r>
            <w:r w:rsidR="0005112A" w:rsidRPr="004D23E4">
              <w:rPr>
                <w:rFonts w:asciiTheme="minorHAnsi" w:hAnsiTheme="minorHAnsi" w:cstheme="minorHAnsi"/>
              </w:rPr>
              <w:t xml:space="preserve">  </w:t>
            </w:r>
            <w:r w:rsidR="0084295C" w:rsidRPr="004D23E4">
              <w:rPr>
                <w:rFonts w:asciiTheme="minorHAnsi" w:hAnsiTheme="minorHAnsi" w:cstheme="minorHAnsi"/>
              </w:rPr>
              <w:t>Providers should have a clear track record of developing impactful teaching and learning resources and approaches for the post 16 sector, with particular reference to GCSE courses.  They should demonstrate a clear understanding of both the student context, the staffing context and the place of GCSE resits within the wider post 16 Programme of Study.</w:t>
            </w:r>
          </w:p>
          <w:p w14:paraId="0BC3CA3E" w14:textId="0BE3BA42" w:rsidR="008A7544" w:rsidRDefault="008A7544" w:rsidP="0084295C">
            <w:pPr>
              <w:rPr>
                <w:rFonts w:asciiTheme="minorHAnsi" w:hAnsiTheme="minorHAnsi" w:cstheme="minorHAnsi"/>
              </w:rPr>
            </w:pPr>
            <w:r w:rsidRPr="004D23E4">
              <w:rPr>
                <w:rFonts w:asciiTheme="minorHAnsi" w:hAnsiTheme="minorHAnsi" w:cstheme="minorHAnsi"/>
              </w:rPr>
              <w:t>Experience:</w:t>
            </w:r>
            <w:r w:rsidR="0005112A" w:rsidRPr="004D23E4">
              <w:rPr>
                <w:rFonts w:asciiTheme="minorHAnsi" w:hAnsiTheme="minorHAnsi" w:cstheme="minorHAnsi"/>
              </w:rPr>
              <w:t xml:space="preserve"> </w:t>
            </w:r>
            <w:r w:rsidR="0084295C" w:rsidRPr="004D23E4">
              <w:rPr>
                <w:rFonts w:asciiTheme="minorHAnsi" w:hAnsiTheme="minorHAnsi" w:cstheme="minorHAnsi"/>
              </w:rPr>
              <w:t>Providers should have experience of working with managers and teaching staff in a co-design methodology to develop innovative and impactful teaching and learning initiatives, which have led to improved outcomes.</w:t>
            </w:r>
            <w:r w:rsidR="007F370E">
              <w:rPr>
                <w:rFonts w:asciiTheme="minorHAnsi" w:hAnsiTheme="minorHAnsi" w:cstheme="minorHAnsi"/>
              </w:rPr>
              <w:t xml:space="preserve">  They should have experience of successfully delivering CPD.</w:t>
            </w:r>
            <w:r w:rsidR="005C6F98">
              <w:rPr>
                <w:rFonts w:asciiTheme="minorHAnsi" w:hAnsiTheme="minorHAnsi" w:cstheme="minorHAnsi"/>
              </w:rPr>
              <w:t xml:space="preserve">  Good knowledge of a range of exam boards.</w:t>
            </w:r>
          </w:p>
          <w:p w14:paraId="7132756D" w14:textId="77777777" w:rsidR="007F370E" w:rsidRPr="004D23E4" w:rsidRDefault="007F370E" w:rsidP="0084295C">
            <w:pPr>
              <w:rPr>
                <w:rFonts w:asciiTheme="minorHAnsi" w:hAnsiTheme="minorHAnsi" w:cstheme="minorHAnsi"/>
              </w:rPr>
            </w:pPr>
          </w:p>
        </w:tc>
      </w:tr>
      <w:tr w:rsidR="008A7544" w:rsidRPr="004D23E4" w14:paraId="08ED146D" w14:textId="77777777" w:rsidTr="00CC728D">
        <w:trPr>
          <w:trHeight w:val="983"/>
        </w:trPr>
        <w:tc>
          <w:tcPr>
            <w:tcW w:w="2263" w:type="dxa"/>
            <w:shd w:val="clear" w:color="auto" w:fill="F3FFFF"/>
          </w:tcPr>
          <w:p w14:paraId="39EC399B"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12. Prospective providers are invited to submit:</w:t>
            </w:r>
          </w:p>
        </w:tc>
        <w:tc>
          <w:tcPr>
            <w:tcW w:w="8222" w:type="dxa"/>
          </w:tcPr>
          <w:p w14:paraId="366AB598" w14:textId="77777777" w:rsidR="008A7544" w:rsidRPr="004D23E4" w:rsidRDefault="008A7544" w:rsidP="008A7544">
            <w:pPr>
              <w:numPr>
                <w:ilvl w:val="0"/>
                <w:numId w:val="2"/>
              </w:numPr>
              <w:tabs>
                <w:tab w:val="clear" w:pos="360"/>
                <w:tab w:val="num" w:pos="1080"/>
              </w:tabs>
              <w:spacing w:after="0" w:line="240" w:lineRule="auto"/>
              <w:rPr>
                <w:rFonts w:asciiTheme="minorHAnsi" w:hAnsiTheme="minorHAnsi" w:cstheme="minorHAnsi"/>
              </w:rPr>
            </w:pPr>
            <w:r w:rsidRPr="004D23E4">
              <w:rPr>
                <w:rFonts w:asciiTheme="minorHAnsi" w:hAnsiTheme="minorHAnsi" w:cstheme="minorHAnsi"/>
              </w:rPr>
              <w:t>Evidence of expertise and experience stated in section 11 above (Weighting 35%)</w:t>
            </w:r>
          </w:p>
          <w:p w14:paraId="36C54A3B" w14:textId="5A1856D1" w:rsidR="008A7544" w:rsidRPr="004D23E4" w:rsidRDefault="008A7544" w:rsidP="008A7544">
            <w:pPr>
              <w:numPr>
                <w:ilvl w:val="0"/>
                <w:numId w:val="2"/>
              </w:numPr>
              <w:tabs>
                <w:tab w:val="clear" w:pos="360"/>
                <w:tab w:val="num" w:pos="1080"/>
              </w:tabs>
              <w:spacing w:after="0" w:line="240" w:lineRule="auto"/>
              <w:rPr>
                <w:rFonts w:asciiTheme="minorHAnsi" w:hAnsiTheme="minorHAnsi" w:cstheme="minorHAnsi"/>
              </w:rPr>
            </w:pPr>
            <w:r w:rsidRPr="004D23E4">
              <w:rPr>
                <w:rFonts w:asciiTheme="minorHAnsi" w:hAnsiTheme="minorHAnsi" w:cstheme="minorHAnsi"/>
              </w:rPr>
              <w:t xml:space="preserve">Approach to this project (no more than </w:t>
            </w:r>
            <w:r w:rsidR="002E5069">
              <w:rPr>
                <w:rFonts w:asciiTheme="minorHAnsi" w:hAnsiTheme="minorHAnsi" w:cstheme="minorHAnsi"/>
              </w:rPr>
              <w:t>2</w:t>
            </w:r>
            <w:r w:rsidRPr="004D23E4">
              <w:rPr>
                <w:rFonts w:asciiTheme="minorHAnsi" w:hAnsiTheme="minorHAnsi" w:cstheme="minorHAnsi"/>
              </w:rPr>
              <w:t xml:space="preserve"> side</w:t>
            </w:r>
            <w:r w:rsidR="002E5069">
              <w:rPr>
                <w:rFonts w:asciiTheme="minorHAnsi" w:hAnsiTheme="minorHAnsi" w:cstheme="minorHAnsi"/>
              </w:rPr>
              <w:t>s</w:t>
            </w:r>
            <w:r w:rsidRPr="004D23E4">
              <w:rPr>
                <w:rFonts w:asciiTheme="minorHAnsi" w:hAnsiTheme="minorHAnsi" w:cstheme="minorHAnsi"/>
              </w:rPr>
              <w:t xml:space="preserve"> of A4). Including staffing and a description of any potential conflicts of interest and how you will deal with them (Weighting 35%)</w:t>
            </w:r>
          </w:p>
          <w:p w14:paraId="49BD943F" w14:textId="77777777" w:rsidR="008A7544" w:rsidRPr="004D23E4" w:rsidRDefault="008A7544" w:rsidP="008A7544">
            <w:pPr>
              <w:numPr>
                <w:ilvl w:val="0"/>
                <w:numId w:val="2"/>
              </w:numPr>
              <w:tabs>
                <w:tab w:val="clear" w:pos="360"/>
                <w:tab w:val="num" w:pos="1080"/>
              </w:tabs>
              <w:spacing w:after="0" w:line="240" w:lineRule="auto"/>
              <w:rPr>
                <w:rFonts w:asciiTheme="minorHAnsi" w:hAnsiTheme="minorHAnsi" w:cstheme="minorHAnsi"/>
              </w:rPr>
            </w:pPr>
            <w:r w:rsidRPr="004D23E4">
              <w:rPr>
                <w:rFonts w:asciiTheme="minorHAnsi" w:hAnsiTheme="minorHAnsi" w:cstheme="minorHAnsi"/>
              </w:rPr>
              <w:t>Details of your time, fees and expenses required to meet the outcomes and price cap (Weighting 30%)</w:t>
            </w:r>
          </w:p>
        </w:tc>
      </w:tr>
      <w:tr w:rsidR="008A7544" w:rsidRPr="004D23E4" w14:paraId="726B0C16" w14:textId="77777777" w:rsidTr="00CC728D">
        <w:trPr>
          <w:trHeight w:val="983"/>
        </w:trPr>
        <w:tc>
          <w:tcPr>
            <w:tcW w:w="2263" w:type="dxa"/>
            <w:shd w:val="clear" w:color="auto" w:fill="F3FFFF"/>
          </w:tcPr>
          <w:p w14:paraId="0A353D6B"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13. Timetable</w:t>
            </w:r>
          </w:p>
        </w:tc>
        <w:tc>
          <w:tcPr>
            <w:tcW w:w="8222" w:type="dxa"/>
          </w:tcPr>
          <w:p w14:paraId="3781DE9B" w14:textId="11AB5A10" w:rsidR="008A7544" w:rsidRPr="004D23E4" w:rsidRDefault="008A7544" w:rsidP="00374931">
            <w:pPr>
              <w:spacing w:after="0"/>
              <w:rPr>
                <w:rFonts w:asciiTheme="minorHAnsi" w:hAnsiTheme="minorHAnsi" w:cstheme="minorHAnsi"/>
              </w:rPr>
            </w:pPr>
            <w:r w:rsidRPr="004D23E4">
              <w:rPr>
                <w:rFonts w:asciiTheme="minorHAnsi" w:hAnsiTheme="minorHAnsi" w:cstheme="minorHAnsi"/>
              </w:rPr>
              <w:t>Proposals should be submitted by:</w:t>
            </w:r>
            <w:r w:rsidR="007F370E">
              <w:rPr>
                <w:rFonts w:asciiTheme="minorHAnsi" w:hAnsiTheme="minorHAnsi" w:cstheme="minorHAnsi"/>
              </w:rPr>
              <w:t xml:space="preserve"> </w:t>
            </w:r>
            <w:r w:rsidR="00AB0394">
              <w:rPr>
                <w:rFonts w:asciiTheme="minorHAnsi" w:hAnsiTheme="minorHAnsi" w:cstheme="minorHAnsi"/>
              </w:rPr>
              <w:t>23</w:t>
            </w:r>
            <w:r w:rsidR="007F370E">
              <w:rPr>
                <w:rFonts w:asciiTheme="minorHAnsi" w:hAnsiTheme="minorHAnsi" w:cstheme="minorHAnsi"/>
              </w:rPr>
              <w:t>/2/18</w:t>
            </w:r>
          </w:p>
          <w:p w14:paraId="0C45A4A6" w14:textId="73079440" w:rsidR="008A7544" w:rsidRPr="004D23E4" w:rsidRDefault="008A7544" w:rsidP="00374931">
            <w:pPr>
              <w:spacing w:after="0"/>
              <w:rPr>
                <w:rFonts w:asciiTheme="minorHAnsi" w:hAnsiTheme="minorHAnsi" w:cstheme="minorHAnsi"/>
              </w:rPr>
            </w:pPr>
            <w:r w:rsidRPr="004D23E4">
              <w:rPr>
                <w:rFonts w:asciiTheme="minorHAnsi" w:hAnsiTheme="minorHAnsi" w:cstheme="minorHAnsi"/>
              </w:rPr>
              <w:t>Appointment will be notified by:</w:t>
            </w:r>
            <w:r w:rsidR="007F370E">
              <w:rPr>
                <w:rFonts w:asciiTheme="minorHAnsi" w:hAnsiTheme="minorHAnsi" w:cstheme="minorHAnsi"/>
              </w:rPr>
              <w:t xml:space="preserve"> </w:t>
            </w:r>
            <w:r w:rsidR="00AB0394">
              <w:rPr>
                <w:rFonts w:asciiTheme="minorHAnsi" w:hAnsiTheme="minorHAnsi" w:cstheme="minorHAnsi"/>
              </w:rPr>
              <w:t>30</w:t>
            </w:r>
            <w:r w:rsidR="007F370E">
              <w:rPr>
                <w:rFonts w:asciiTheme="minorHAnsi" w:hAnsiTheme="minorHAnsi" w:cstheme="minorHAnsi"/>
              </w:rPr>
              <w:t>/2/18</w:t>
            </w:r>
          </w:p>
          <w:p w14:paraId="66CA1A97" w14:textId="322921D2" w:rsidR="008A7544" w:rsidRPr="004D23E4" w:rsidRDefault="008A7544" w:rsidP="00374931">
            <w:pPr>
              <w:spacing w:after="0"/>
              <w:rPr>
                <w:rFonts w:asciiTheme="minorHAnsi" w:hAnsiTheme="minorHAnsi" w:cstheme="minorHAnsi"/>
              </w:rPr>
            </w:pPr>
            <w:r w:rsidRPr="004D23E4">
              <w:rPr>
                <w:rFonts w:asciiTheme="minorHAnsi" w:hAnsiTheme="minorHAnsi" w:cstheme="minorHAnsi"/>
              </w:rPr>
              <w:t>Project should be completed by:</w:t>
            </w:r>
            <w:r w:rsidR="007F370E">
              <w:rPr>
                <w:rFonts w:asciiTheme="minorHAnsi" w:hAnsiTheme="minorHAnsi" w:cstheme="minorHAnsi"/>
              </w:rPr>
              <w:t xml:space="preserve"> </w:t>
            </w:r>
            <w:r w:rsidR="00AB0394">
              <w:rPr>
                <w:rFonts w:asciiTheme="minorHAnsi" w:hAnsiTheme="minorHAnsi" w:cstheme="minorHAnsi"/>
              </w:rPr>
              <w:t>8</w:t>
            </w:r>
            <w:r w:rsidR="007F370E">
              <w:rPr>
                <w:rFonts w:asciiTheme="minorHAnsi" w:hAnsiTheme="minorHAnsi" w:cstheme="minorHAnsi"/>
              </w:rPr>
              <w:t>/</w:t>
            </w:r>
            <w:r w:rsidR="00AB0394">
              <w:rPr>
                <w:rFonts w:asciiTheme="minorHAnsi" w:hAnsiTheme="minorHAnsi" w:cstheme="minorHAnsi"/>
              </w:rPr>
              <w:t>6</w:t>
            </w:r>
            <w:r w:rsidR="007F370E">
              <w:rPr>
                <w:rFonts w:asciiTheme="minorHAnsi" w:hAnsiTheme="minorHAnsi" w:cstheme="minorHAnsi"/>
              </w:rPr>
              <w:t>/18</w:t>
            </w:r>
            <w:r w:rsidR="00AB0394">
              <w:rPr>
                <w:rFonts w:asciiTheme="minorHAnsi" w:hAnsiTheme="minorHAnsi" w:cstheme="minorHAnsi"/>
              </w:rPr>
              <w:t xml:space="preserve"> with a training event for delivery staff late June.</w:t>
            </w:r>
          </w:p>
        </w:tc>
      </w:tr>
      <w:tr w:rsidR="008A7544" w:rsidRPr="004D23E4" w14:paraId="6FCF0FE7" w14:textId="77777777" w:rsidTr="00CC728D">
        <w:trPr>
          <w:trHeight w:val="500"/>
        </w:trPr>
        <w:tc>
          <w:tcPr>
            <w:tcW w:w="2263" w:type="dxa"/>
            <w:shd w:val="clear" w:color="auto" w:fill="F3FFFF"/>
          </w:tcPr>
          <w:p w14:paraId="0FBBA427" w14:textId="77777777" w:rsidR="008A7544" w:rsidRPr="004D23E4" w:rsidRDefault="008A7544" w:rsidP="0050163E">
            <w:pPr>
              <w:rPr>
                <w:rFonts w:asciiTheme="minorHAnsi" w:hAnsiTheme="minorHAnsi" w:cstheme="minorHAnsi"/>
                <w:b/>
              </w:rPr>
            </w:pPr>
            <w:r w:rsidRPr="004D23E4">
              <w:rPr>
                <w:rFonts w:asciiTheme="minorHAnsi" w:hAnsiTheme="minorHAnsi" w:cstheme="minorHAnsi"/>
                <w:b/>
              </w:rPr>
              <w:t>14. Additional information</w:t>
            </w:r>
          </w:p>
        </w:tc>
        <w:tc>
          <w:tcPr>
            <w:tcW w:w="8222" w:type="dxa"/>
          </w:tcPr>
          <w:p w14:paraId="25E4B5DA" w14:textId="524BF2B5" w:rsidR="008A7544" w:rsidRDefault="005B768D" w:rsidP="0050163E">
            <w:pPr>
              <w:rPr>
                <w:rFonts w:asciiTheme="minorHAnsi" w:hAnsiTheme="minorHAnsi" w:cstheme="minorHAnsi"/>
              </w:rPr>
            </w:pPr>
            <w:r>
              <w:rPr>
                <w:rFonts w:asciiTheme="minorHAnsi" w:hAnsiTheme="minorHAnsi" w:cstheme="minorHAnsi"/>
              </w:rPr>
              <w:t>Alongside this project local post 16 providers, led by City College Norwich, are working with local schools on a data-sharing solution that will give tutors access to a “re-sit” students’ prior exam board, curriculum information, and areas of weakness</w:t>
            </w:r>
            <w:r w:rsidR="007F370E">
              <w:rPr>
                <w:rFonts w:asciiTheme="minorHAnsi" w:hAnsiTheme="minorHAnsi" w:cstheme="minorHAnsi"/>
              </w:rPr>
              <w:t xml:space="preserve">.  It is expected that this programme will enable tutors to use this information to deliver bespoke targeted English revision in the re-sit year rather than delivering a “back to basics/one size fits all” programme in a short period of time.  The </w:t>
            </w:r>
            <w:r w:rsidR="007F370E">
              <w:rPr>
                <w:rFonts w:asciiTheme="minorHAnsi" w:hAnsiTheme="minorHAnsi" w:cstheme="minorHAnsi"/>
              </w:rPr>
              <w:lastRenderedPageBreak/>
              <w:t>successful applicant will be briefed on the development of the data sharing project to facilitate a good synergy between the two projects.</w:t>
            </w:r>
          </w:p>
          <w:p w14:paraId="46AAE385" w14:textId="1D4A42EB" w:rsidR="001D6830" w:rsidRDefault="001D6830" w:rsidP="0050163E">
            <w:pPr>
              <w:rPr>
                <w:rFonts w:asciiTheme="minorHAnsi" w:hAnsiTheme="minorHAnsi" w:cstheme="minorHAnsi"/>
              </w:rPr>
            </w:pPr>
            <w:r>
              <w:rPr>
                <w:rFonts w:asciiTheme="minorHAnsi" w:hAnsiTheme="minorHAnsi" w:cstheme="minorHAnsi"/>
              </w:rPr>
              <w:t>The resources produced will become the intellectual property of the Norwich Opportunity Area.</w:t>
            </w:r>
          </w:p>
          <w:p w14:paraId="2C951EE5" w14:textId="02AA1749" w:rsidR="001D6830" w:rsidRPr="004D23E4" w:rsidRDefault="001D6830" w:rsidP="0050163E">
            <w:pPr>
              <w:rPr>
                <w:rFonts w:asciiTheme="minorHAnsi" w:hAnsiTheme="minorHAnsi" w:cstheme="minorHAnsi"/>
              </w:rPr>
            </w:pPr>
            <w:r>
              <w:rPr>
                <w:rFonts w:asciiTheme="minorHAnsi" w:hAnsiTheme="minorHAnsi" w:cstheme="minorHAnsi"/>
              </w:rPr>
              <w:t xml:space="preserve">If you would like any further information about the project in preparation of your application please contact Jacqueline Bircham, Programme Director for the Norwich Opportunity Area, </w:t>
            </w:r>
            <w:hyperlink r:id="rId10" w:history="1">
              <w:r w:rsidRPr="00CC11AD">
                <w:rPr>
                  <w:rStyle w:val="Hyperlink"/>
                  <w:rFonts w:cstheme="minorHAnsi"/>
                </w:rPr>
                <w:t>Jacqueline.bircham@newanglia.co.uk</w:t>
              </w:r>
            </w:hyperlink>
            <w:r>
              <w:rPr>
                <w:rFonts w:asciiTheme="minorHAnsi" w:hAnsiTheme="minorHAnsi" w:cstheme="minorHAnsi"/>
              </w:rPr>
              <w:t xml:space="preserve"> </w:t>
            </w:r>
          </w:p>
        </w:tc>
      </w:tr>
    </w:tbl>
    <w:p w14:paraId="75A21384" w14:textId="77777777" w:rsidR="008A7544" w:rsidRPr="004D23E4" w:rsidRDefault="008A7544" w:rsidP="008A7544">
      <w:pPr>
        <w:rPr>
          <w:rFonts w:cstheme="minorHAnsi"/>
          <w:b/>
        </w:rPr>
      </w:pPr>
    </w:p>
    <w:p w14:paraId="42EB2713" w14:textId="77777777" w:rsidR="008A7544" w:rsidRPr="004D23E4" w:rsidRDefault="008A7544" w:rsidP="008A7544">
      <w:pPr>
        <w:rPr>
          <w:rFonts w:cstheme="minorHAnsi"/>
          <w:b/>
        </w:rPr>
      </w:pPr>
    </w:p>
    <w:p w14:paraId="58FDBF7B" w14:textId="6AAE9E69" w:rsidR="00870B39" w:rsidRDefault="00870B39" w:rsidP="00870B39">
      <w:r>
        <w:t>Application from providers on the quality questions (not including price</w:t>
      </w:r>
      <w:r>
        <w:t xml:space="preserve">) will </w:t>
      </w:r>
      <w:bookmarkStart w:id="1" w:name="_GoBack"/>
      <w:bookmarkEnd w:id="1"/>
      <w:r>
        <w:t xml:space="preserve">be scored using the following descriptors. </w:t>
      </w:r>
    </w:p>
    <w:p w14:paraId="19A7B471" w14:textId="77777777" w:rsidR="00870B39" w:rsidRPr="002674EE" w:rsidRDefault="00870B39" w:rsidP="00870B3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8500"/>
        <w:gridCol w:w="1106"/>
      </w:tblGrid>
      <w:tr w:rsidR="00870B39" w:rsidRPr="001C734E" w14:paraId="045F8D5A" w14:textId="77777777" w:rsidTr="00EE0264">
        <w:trPr>
          <w:cantSplit/>
          <w:trHeight w:val="487"/>
          <w:tblHeader/>
        </w:trPr>
        <w:tc>
          <w:tcPr>
            <w:tcW w:w="8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15F6" w14:textId="77777777" w:rsidR="00870B39" w:rsidRPr="002674EE" w:rsidRDefault="00870B39" w:rsidP="00EE0264">
            <w:pPr>
              <w:spacing w:after="0" w:line="240" w:lineRule="auto"/>
              <w:rPr>
                <w:b/>
                <w:i/>
                <w:iCs/>
              </w:rPr>
            </w:pPr>
            <w:r w:rsidRPr="002674EE">
              <w:rPr>
                <w:b/>
                <w:i/>
                <w:iCs/>
              </w:rPr>
              <w:t>Descriptor</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16013" w14:textId="77777777" w:rsidR="00870B39" w:rsidRPr="002674EE" w:rsidRDefault="00870B39" w:rsidP="00EE0264">
            <w:pPr>
              <w:spacing w:after="0" w:line="240" w:lineRule="auto"/>
              <w:jc w:val="center"/>
              <w:rPr>
                <w:b/>
                <w:i/>
                <w:iCs/>
              </w:rPr>
            </w:pPr>
            <w:r w:rsidRPr="002674EE">
              <w:rPr>
                <w:b/>
                <w:i/>
                <w:iCs/>
              </w:rPr>
              <w:t>Mark awarded</w:t>
            </w:r>
          </w:p>
        </w:tc>
      </w:tr>
      <w:tr w:rsidR="00870B39" w:rsidRPr="001C734E" w14:paraId="4FE8FB4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0BE5E01" w14:textId="77777777" w:rsidR="00870B39" w:rsidRPr="002674EE" w:rsidRDefault="00870B39" w:rsidP="00EE0264">
            <w:pPr>
              <w:spacing w:after="0" w:line="240" w:lineRule="auto"/>
            </w:pPr>
            <w:r w:rsidRPr="002674EE">
              <w:t xml:space="preserve">Applicant fails to provide a response or provides a response of such a poor standard as to provide no confidence that the </w:t>
            </w:r>
            <w:r>
              <w:t>A</w:t>
            </w:r>
            <w:r w:rsidRPr="002674EE">
              <w:t xml:space="preserve">pplicant </w:t>
            </w:r>
            <w:r>
              <w:t>could successfully deliver the project</w:t>
            </w:r>
            <w:r w:rsidRPr="002674EE">
              <w:t>.</w:t>
            </w:r>
          </w:p>
          <w:p w14:paraId="022941EE" w14:textId="77777777" w:rsidR="00870B39" w:rsidRPr="002674EE" w:rsidRDefault="00870B39" w:rsidP="00EE0264">
            <w:pPr>
              <w:spacing w:after="0" w:line="240" w:lineRule="auto"/>
              <w:rPr>
                <w:b/>
              </w:rPr>
            </w:pPr>
            <w:r w:rsidRPr="002674EE">
              <w:rPr>
                <w:b/>
              </w:rPr>
              <w:t xml:space="preserve">If </w:t>
            </w:r>
            <w:r>
              <w:rPr>
                <w:b/>
              </w:rPr>
              <w:t>the approach or credentials</w:t>
            </w:r>
            <w:r w:rsidRPr="002674EE">
              <w:rPr>
                <w:b/>
              </w:rPr>
              <w:t xml:space="preserve"> receive a score of ‘0’, the entire submission will be rejected.</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2FAB7" w14:textId="77777777" w:rsidR="00870B39" w:rsidRPr="002674EE" w:rsidRDefault="00870B39" w:rsidP="00EE0264">
            <w:pPr>
              <w:spacing w:after="0" w:line="240" w:lineRule="auto"/>
              <w:jc w:val="center"/>
            </w:pPr>
            <w:r w:rsidRPr="002674EE">
              <w:t>0</w:t>
            </w:r>
          </w:p>
        </w:tc>
      </w:tr>
      <w:tr w:rsidR="00870B39" w:rsidRPr="001C734E" w14:paraId="76C662D1"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37FB9CA2" w14:textId="77777777" w:rsidR="00870B39" w:rsidRDefault="00870B39" w:rsidP="00EE0264">
            <w:pPr>
              <w:spacing w:after="0" w:line="240" w:lineRule="auto"/>
            </w:pPr>
            <w:r w:rsidRPr="002674EE">
              <w:t xml:space="preserve">Applicant provides a response of such a poor standard as to provide little confidence that the Applicant meets the requirements. The response shows </w:t>
            </w:r>
            <w:r w:rsidRPr="00223850">
              <w:rPr>
                <w:b/>
              </w:rPr>
              <w:t>many or all</w:t>
            </w:r>
            <w:r w:rsidRPr="002674EE">
              <w:t xml:space="preserve"> of the</w:t>
            </w:r>
            <w:r>
              <w:t xml:space="preserve"> following</w:t>
            </w:r>
            <w:r w:rsidRPr="002674EE">
              <w:t xml:space="preserve"> issues</w:t>
            </w:r>
            <w:r>
              <w:t>:</w:t>
            </w:r>
          </w:p>
          <w:p w14:paraId="4AB4CDF7" w14:textId="77777777" w:rsidR="00870B39" w:rsidRPr="002674EE" w:rsidRDefault="00870B39" w:rsidP="00870B39">
            <w:pPr>
              <w:numPr>
                <w:ilvl w:val="0"/>
                <w:numId w:val="8"/>
              </w:numPr>
              <w:spacing w:after="0" w:line="240" w:lineRule="auto"/>
            </w:pPr>
            <w:r w:rsidRPr="002674EE">
              <w:t>The</w:t>
            </w:r>
            <w:r>
              <w:t xml:space="preserve"> information requested is only partially provided</w:t>
            </w:r>
          </w:p>
          <w:p w14:paraId="154E51C7"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appears</w:t>
            </w:r>
            <w:r>
              <w:t xml:space="preserve"> likely</w:t>
            </w:r>
            <w:r w:rsidRPr="002674EE">
              <w:t xml:space="preserve"> to only partially meet the </w:t>
            </w:r>
            <w:r>
              <w:t>project outcomes</w:t>
            </w:r>
          </w:p>
          <w:p w14:paraId="78A3F8FC"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does not reflect accepted good practice</w:t>
            </w:r>
            <w:r>
              <w:t>/ has a weak evidence base</w:t>
            </w:r>
          </w:p>
          <w:p w14:paraId="4593D681" w14:textId="77777777" w:rsidR="00870B39" w:rsidRPr="002674EE" w:rsidRDefault="00870B39" w:rsidP="00870B39">
            <w:pPr>
              <w:numPr>
                <w:ilvl w:val="0"/>
                <w:numId w:val="8"/>
              </w:numPr>
              <w:spacing w:after="0" w:line="240" w:lineRule="auto"/>
            </w:pPr>
            <w:r w:rsidRPr="002674EE">
              <w:t>The response is insufficiently specific</w:t>
            </w:r>
          </w:p>
          <w:p w14:paraId="5398EF8C"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appears not to deliver expected levels of </w:t>
            </w:r>
            <w:r>
              <w:t>detail</w:t>
            </w:r>
            <w:r w:rsidRPr="002674EE">
              <w:t xml:space="preserve">, performance, </w:t>
            </w:r>
            <w:r>
              <w:t>expertise</w:t>
            </w:r>
            <w:r w:rsidRPr="002674EE">
              <w:t xml:space="preserve">, outcome, </w:t>
            </w:r>
            <w:r>
              <w:t>supporting resources or other relevant characteristics</w:t>
            </w:r>
          </w:p>
          <w:p w14:paraId="2D2AC226" w14:textId="77777777" w:rsidR="00870B39" w:rsidRPr="00223850" w:rsidRDefault="00870B39" w:rsidP="00870B39">
            <w:pPr>
              <w:pStyle w:val="ListParagraph"/>
              <w:numPr>
                <w:ilvl w:val="0"/>
                <w:numId w:val="8"/>
              </w:numPr>
              <w:spacing w:after="0" w:line="240" w:lineRule="auto"/>
            </w:pPr>
            <w:r>
              <w:t>S</w:t>
            </w:r>
            <w:r w:rsidRPr="00223850">
              <w:t>upporting documents (where requested) are of insufficient quality, depth or relevance.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020C" w14:textId="77777777" w:rsidR="00870B39" w:rsidRPr="002674EE" w:rsidRDefault="00870B39" w:rsidP="00EE0264">
            <w:pPr>
              <w:spacing w:after="0" w:line="240" w:lineRule="auto"/>
              <w:jc w:val="center"/>
            </w:pPr>
            <w:r w:rsidRPr="002674EE">
              <w:t>1</w:t>
            </w:r>
          </w:p>
        </w:tc>
      </w:tr>
      <w:tr w:rsidR="00870B39" w:rsidRPr="001C734E" w14:paraId="44AFCB9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33C9F1AD" w14:textId="77777777" w:rsidR="00870B39" w:rsidRPr="002674EE" w:rsidRDefault="00870B39" w:rsidP="00EE0264">
            <w:pPr>
              <w:spacing w:after="0" w:line="240" w:lineRule="auto"/>
            </w:pPr>
            <w:r w:rsidRPr="002674EE">
              <w:t xml:space="preserve">A response with some </w:t>
            </w:r>
            <w:r w:rsidRPr="00C27931">
              <w:rPr>
                <w:b/>
              </w:rPr>
              <w:t>clear strengths</w:t>
            </w:r>
            <w:r w:rsidRPr="002674EE">
              <w:t xml:space="preserve"> but </w:t>
            </w:r>
            <w:r>
              <w:t>demonstrating</w:t>
            </w:r>
            <w:r w:rsidRPr="002674EE">
              <w:t xml:space="preserve"> </w:t>
            </w:r>
            <w:r w:rsidRPr="00223850">
              <w:rPr>
                <w:b/>
              </w:rPr>
              <w:t>some</w:t>
            </w:r>
            <w:r>
              <w:t xml:space="preserve"> of the issues above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362A" w14:textId="77777777" w:rsidR="00870B39" w:rsidRPr="002674EE" w:rsidRDefault="00870B39" w:rsidP="00EE0264">
            <w:pPr>
              <w:spacing w:after="0" w:line="240" w:lineRule="auto"/>
              <w:jc w:val="center"/>
            </w:pPr>
            <w:r>
              <w:t>2</w:t>
            </w:r>
          </w:p>
        </w:tc>
      </w:tr>
      <w:tr w:rsidR="00870B39" w:rsidRPr="001C734E" w14:paraId="6C51FA0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27213924" w14:textId="77777777" w:rsidR="00870B39" w:rsidRPr="002674EE" w:rsidRDefault="00870B39" w:rsidP="00EE0264">
            <w:pPr>
              <w:spacing w:after="0" w:line="240" w:lineRule="auto"/>
            </w:pPr>
            <w:r w:rsidRPr="002674EE">
              <w:t xml:space="preserve">An acceptable response, with </w:t>
            </w:r>
            <w:r w:rsidRPr="00C27931">
              <w:rPr>
                <w:b/>
              </w:rPr>
              <w:t>some degree of weakness</w:t>
            </w:r>
            <w:r w:rsidRPr="002674EE">
              <w:t xml:space="preserve"> but where the weakness does not cause fundamental concerns and is </w:t>
            </w:r>
            <w:r w:rsidRPr="00C27931">
              <w:rPr>
                <w:b/>
              </w:rPr>
              <w:t>outweighed by the strengths.</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EE26" w14:textId="77777777" w:rsidR="00870B39" w:rsidRPr="002674EE" w:rsidRDefault="00870B39" w:rsidP="00EE0264">
            <w:pPr>
              <w:spacing w:after="0" w:line="240" w:lineRule="auto"/>
              <w:jc w:val="center"/>
            </w:pPr>
            <w:r>
              <w:t>3</w:t>
            </w:r>
          </w:p>
        </w:tc>
      </w:tr>
      <w:tr w:rsidR="00870B39" w:rsidRPr="001C734E" w14:paraId="15332791"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1FF0B5CF" w14:textId="77777777" w:rsidR="00870B39" w:rsidRDefault="00870B39" w:rsidP="00EE0264">
            <w:pPr>
              <w:spacing w:after="0" w:line="240" w:lineRule="auto"/>
            </w:pPr>
            <w:r w:rsidRPr="002674EE">
              <w:t xml:space="preserve">A good response where the strengths clearly outweigh any minor weakness(es), and the </w:t>
            </w:r>
            <w:r w:rsidRPr="00C27931">
              <w:rPr>
                <w:b/>
              </w:rPr>
              <w:t>majority</w:t>
            </w:r>
            <w:r w:rsidRPr="002674EE">
              <w:t xml:space="preserve"> of aspects below apply: </w:t>
            </w:r>
          </w:p>
          <w:p w14:paraId="707B7793" w14:textId="77777777" w:rsidR="00870B39" w:rsidRPr="002674EE" w:rsidRDefault="00870B39" w:rsidP="00870B39">
            <w:pPr>
              <w:numPr>
                <w:ilvl w:val="0"/>
                <w:numId w:val="8"/>
              </w:numPr>
              <w:spacing w:after="0" w:line="240" w:lineRule="auto"/>
            </w:pPr>
            <w:r w:rsidRPr="002674EE">
              <w:t xml:space="preserve">All </w:t>
            </w:r>
            <w:r>
              <w:t>information requested has been provided in full</w:t>
            </w:r>
          </w:p>
          <w:p w14:paraId="4BA73724"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w:t>
            </w:r>
            <w:r>
              <w:t>clearly explains how outcomes will be met</w:t>
            </w:r>
          </w:p>
          <w:p w14:paraId="68FB39EA"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reflects accepted good practice</w:t>
            </w:r>
            <w:r>
              <w:t>/has a strong evidence base</w:t>
            </w:r>
          </w:p>
          <w:p w14:paraId="08E9BE0C" w14:textId="77777777" w:rsidR="00870B39" w:rsidRPr="002674EE" w:rsidRDefault="00870B39" w:rsidP="00870B39">
            <w:pPr>
              <w:numPr>
                <w:ilvl w:val="0"/>
                <w:numId w:val="8"/>
              </w:numPr>
              <w:spacing w:after="0" w:line="240" w:lineRule="auto"/>
            </w:pPr>
            <w:r w:rsidRPr="002674EE">
              <w:t>The response is</w:t>
            </w:r>
            <w:r>
              <w:t xml:space="preserve"> well</w:t>
            </w:r>
            <w:r w:rsidRPr="002674EE">
              <w:t xml:space="preserve"> tailored to specific</w:t>
            </w:r>
            <w:r>
              <w:t xml:space="preserve"> stakeholders and</w:t>
            </w:r>
            <w:r w:rsidRPr="002674EE">
              <w:t xml:space="preserve"> circumstances</w:t>
            </w:r>
          </w:p>
          <w:p w14:paraId="0A2C8564"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w:t>
            </w:r>
            <w:r>
              <w:t>offers</w:t>
            </w:r>
            <w:r w:rsidRPr="002674EE">
              <w:t xml:space="preserve"> good levels of </w:t>
            </w:r>
            <w:r>
              <w:t>detail</w:t>
            </w:r>
            <w:r w:rsidRPr="002674EE">
              <w:t xml:space="preserve">, performance, </w:t>
            </w:r>
            <w:r>
              <w:t>expertise</w:t>
            </w:r>
            <w:r w:rsidRPr="002674EE">
              <w:t xml:space="preserve">, outcome, </w:t>
            </w:r>
            <w:r>
              <w:t>supporting resources or other relevant characteristics</w:t>
            </w:r>
          </w:p>
          <w:p w14:paraId="6905F530" w14:textId="77777777" w:rsidR="00870B39" w:rsidRPr="002674EE" w:rsidRDefault="00870B39" w:rsidP="00870B39">
            <w:pPr>
              <w:numPr>
                <w:ilvl w:val="0"/>
                <w:numId w:val="8"/>
              </w:numPr>
              <w:spacing w:after="0" w:line="240" w:lineRule="auto"/>
            </w:pPr>
            <w:r>
              <w:t>S</w:t>
            </w:r>
            <w:r w:rsidRPr="002674EE">
              <w:t>upporting documents (where requested) are of good quality, relevant and of sufficient depth.</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248E" w14:textId="77777777" w:rsidR="00870B39" w:rsidRPr="002674EE" w:rsidRDefault="00870B39" w:rsidP="00EE0264">
            <w:pPr>
              <w:spacing w:after="0" w:line="240" w:lineRule="auto"/>
              <w:jc w:val="center"/>
            </w:pPr>
            <w:r>
              <w:t>4</w:t>
            </w:r>
          </w:p>
        </w:tc>
      </w:tr>
      <w:tr w:rsidR="00870B39" w:rsidRPr="001C734E" w14:paraId="049B7939"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681A031" w14:textId="77777777" w:rsidR="00870B39" w:rsidRPr="002674EE" w:rsidRDefault="00870B39" w:rsidP="00EE0264">
            <w:pPr>
              <w:spacing w:after="0" w:line="240" w:lineRule="auto"/>
            </w:pPr>
            <w:r w:rsidRPr="002674EE">
              <w:t xml:space="preserve">An excellent response with </w:t>
            </w:r>
            <w:r>
              <w:t>no weaknesses, that provides confidence that the project outcomes would be fully met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72B0" w14:textId="77777777" w:rsidR="00870B39" w:rsidRPr="002674EE" w:rsidRDefault="00870B39" w:rsidP="00EE0264">
            <w:pPr>
              <w:spacing w:after="0" w:line="240" w:lineRule="auto"/>
              <w:jc w:val="center"/>
            </w:pPr>
            <w:r>
              <w:t>5</w:t>
            </w:r>
          </w:p>
        </w:tc>
      </w:tr>
    </w:tbl>
    <w:p w14:paraId="5B86246C" w14:textId="77777777" w:rsidR="00870B39" w:rsidRPr="00295F82" w:rsidRDefault="00870B39" w:rsidP="00870B39">
      <w:pPr>
        <w:spacing w:before="120" w:after="120"/>
        <w:rPr>
          <w:rFonts w:ascii="Calibri" w:hAnsi="Calibri"/>
        </w:rPr>
      </w:pPr>
      <w:r>
        <w:rPr>
          <w:rFonts w:ascii="Calibri" w:hAnsi="Calibri"/>
        </w:rPr>
        <w:t>Selection Process</w:t>
      </w:r>
    </w:p>
    <w:p w14:paraId="44301D39" w14:textId="77777777" w:rsidR="00870B39" w:rsidRDefault="00870B39" w:rsidP="00870B39">
      <w:pPr>
        <w:pStyle w:val="ListParagraph"/>
        <w:numPr>
          <w:ilvl w:val="0"/>
          <w:numId w:val="9"/>
        </w:numPr>
        <w:spacing w:before="120" w:after="120"/>
        <w:ind w:hanging="578"/>
        <w:rPr>
          <w:rFonts w:ascii="Calibri" w:hAnsi="Calibri"/>
        </w:rPr>
      </w:pPr>
      <w:r w:rsidRPr="000B5E65">
        <w:rPr>
          <w:rFonts w:ascii="Calibri" w:hAnsi="Calibri"/>
        </w:rPr>
        <w:t xml:space="preserve">The score for each question will be divided by the maximum possible score of five (5) and then multiplied by the individual weighting for that question to give a weighted score. For example, if a score of 3 out of 5 is given and the question is worth 10% of total marks (3/5*10), then the weighted score will be 6. </w:t>
      </w:r>
    </w:p>
    <w:p w14:paraId="04DDF352" w14:textId="77777777" w:rsidR="00870B39" w:rsidRDefault="00870B39" w:rsidP="00870B39">
      <w:pPr>
        <w:spacing w:before="120" w:after="120"/>
        <w:rPr>
          <w:rFonts w:ascii="Calibri" w:hAnsi="Calibri"/>
        </w:rPr>
      </w:pPr>
    </w:p>
    <w:p w14:paraId="51CC3B93" w14:textId="77777777" w:rsidR="00870B39" w:rsidRPr="000B5E65" w:rsidRDefault="00870B39" w:rsidP="00870B39">
      <w:pPr>
        <w:pStyle w:val="ListParagraph"/>
        <w:numPr>
          <w:ilvl w:val="0"/>
          <w:numId w:val="9"/>
        </w:numPr>
        <w:spacing w:before="120" w:after="120"/>
        <w:ind w:hanging="578"/>
        <w:rPr>
          <w:rFonts w:ascii="Calibri" w:hAnsi="Calibri"/>
        </w:rPr>
      </w:pPr>
      <w:r w:rsidRPr="000B5E65">
        <w:rPr>
          <w:rFonts w:ascii="Calibri" w:hAnsi="Calibri"/>
        </w:rPr>
        <w:t xml:space="preserve">The formula to be used to calculate the score for price is as follows: </w:t>
      </w:r>
    </w:p>
    <w:p w14:paraId="23164561" w14:textId="77777777" w:rsidR="00870B39" w:rsidRDefault="00870B39" w:rsidP="00870B39">
      <w:pPr>
        <w:pStyle w:val="ListParagraph"/>
        <w:numPr>
          <w:ilvl w:val="1"/>
          <w:numId w:val="10"/>
        </w:numPr>
        <w:spacing w:before="120" w:after="120"/>
        <w:rPr>
          <w:rFonts w:ascii="Calibri" w:hAnsi="Calibri"/>
        </w:rPr>
      </w:pPr>
      <w:r w:rsidRPr="000B5E65">
        <w:rPr>
          <w:rFonts w:ascii="Calibri" w:hAnsi="Calibri"/>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28705EF3" w14:textId="77777777" w:rsidR="00870B39" w:rsidRDefault="00870B39" w:rsidP="00870B39">
      <w:pPr>
        <w:pStyle w:val="ListParagraph"/>
        <w:numPr>
          <w:ilvl w:val="1"/>
          <w:numId w:val="10"/>
        </w:numPr>
        <w:spacing w:before="120" w:after="120"/>
        <w:rPr>
          <w:rFonts w:ascii="Calibri" w:hAnsi="Calibri"/>
        </w:rPr>
      </w:pPr>
      <w:r w:rsidRPr="000B5E65">
        <w:rPr>
          <w:rFonts w:ascii="Calibri" w:hAnsi="Calibri"/>
        </w:rPr>
        <w:t xml:space="preserve">A total of </w:t>
      </w:r>
      <w:r>
        <w:rPr>
          <w:rFonts w:ascii="Calibri" w:hAnsi="Calibri"/>
        </w:rPr>
        <w:t>30</w:t>
      </w:r>
      <w:r w:rsidRPr="000B5E65">
        <w:rPr>
          <w:rFonts w:ascii="Calibri" w:hAnsi="Calibri"/>
        </w:rPr>
        <w:t>% of the overall score is allocated to Price.</w:t>
      </w:r>
    </w:p>
    <w:p w14:paraId="79F75967" w14:textId="77777777" w:rsidR="00870B39" w:rsidRDefault="00870B39" w:rsidP="00870B39">
      <w:pPr>
        <w:pStyle w:val="ListParagraph"/>
        <w:spacing w:before="120" w:after="120"/>
        <w:ind w:left="1440"/>
        <w:rPr>
          <w:rFonts w:ascii="Calibri" w:hAnsi="Calibri"/>
        </w:rPr>
      </w:pPr>
    </w:p>
    <w:p w14:paraId="212DCF6A" w14:textId="77777777" w:rsidR="00870B39" w:rsidRDefault="00870B39" w:rsidP="00870B39">
      <w:pPr>
        <w:pStyle w:val="ListParagraph"/>
        <w:numPr>
          <w:ilvl w:val="0"/>
          <w:numId w:val="9"/>
        </w:numPr>
        <w:spacing w:before="120" w:after="120"/>
        <w:ind w:hanging="644"/>
        <w:rPr>
          <w:rFonts w:ascii="Calibri" w:hAnsi="Calibri"/>
        </w:rPr>
      </w:pPr>
      <w:r>
        <w:rPr>
          <w:rFonts w:ascii="Calibri" w:hAnsi="Calibri"/>
        </w:rPr>
        <w:t>The contract will be awarded to the person who scores the highest when combining the quality and price score.</w:t>
      </w:r>
    </w:p>
    <w:p w14:paraId="757AC6E2" w14:textId="77777777" w:rsidR="00870B39" w:rsidRDefault="00870B39" w:rsidP="00870B39">
      <w:pPr>
        <w:pStyle w:val="ListParagraph"/>
        <w:spacing w:before="120" w:after="120"/>
        <w:ind w:left="502"/>
        <w:rPr>
          <w:rFonts w:ascii="Calibri" w:hAnsi="Calibri"/>
        </w:rPr>
      </w:pPr>
    </w:p>
    <w:p w14:paraId="022CC0D8" w14:textId="77777777" w:rsidR="00870B39" w:rsidRDefault="00870B39" w:rsidP="00870B39">
      <w:pPr>
        <w:pStyle w:val="ListParagraph"/>
        <w:numPr>
          <w:ilvl w:val="0"/>
          <w:numId w:val="9"/>
        </w:numPr>
        <w:spacing w:before="120" w:after="120"/>
        <w:ind w:hanging="644"/>
        <w:rPr>
          <w:rFonts w:ascii="Calibri" w:hAnsi="Calibri"/>
        </w:rPr>
      </w:pPr>
      <w:r>
        <w:rPr>
          <w:rFonts w:ascii="Calibri" w:hAnsi="Calibri"/>
        </w:rPr>
        <w:t xml:space="preserve">Clarification questions should be sent to Sarah Hardy </w:t>
      </w:r>
      <w:hyperlink r:id="rId11" w:history="1">
        <w:r w:rsidRPr="004F5F7E">
          <w:rPr>
            <w:rStyle w:val="Hyperlink"/>
            <w:rFonts w:ascii="Calibri" w:hAnsi="Calibri"/>
          </w:rPr>
          <w:t>sarah.hardy@norfolk.gov.uk</w:t>
        </w:r>
      </w:hyperlink>
    </w:p>
    <w:p w14:paraId="09EED1F3" w14:textId="77777777" w:rsidR="00870B39" w:rsidRDefault="00870B39" w:rsidP="00870B39">
      <w:pPr>
        <w:pStyle w:val="ListParagraph"/>
        <w:spacing w:before="120" w:after="120"/>
        <w:ind w:left="502"/>
        <w:rPr>
          <w:rFonts w:ascii="Calibri" w:hAnsi="Calibri"/>
        </w:rPr>
      </w:pPr>
    </w:p>
    <w:p w14:paraId="29F90297" w14:textId="77777777" w:rsidR="00870B39" w:rsidRPr="00295F82" w:rsidRDefault="00870B39" w:rsidP="00870B39">
      <w:pPr>
        <w:pStyle w:val="ListParagraph"/>
        <w:numPr>
          <w:ilvl w:val="0"/>
          <w:numId w:val="9"/>
        </w:numPr>
        <w:spacing w:before="120" w:after="120"/>
        <w:ind w:hanging="644"/>
        <w:rPr>
          <w:rFonts w:ascii="Calibri" w:hAnsi="Calibri"/>
        </w:rPr>
      </w:pPr>
      <w:r>
        <w:rPr>
          <w:rFonts w:ascii="Calibri" w:hAnsi="Calibri"/>
        </w:rPr>
        <w:t>Final bids should be submitted to Sarah Hardy sarah.hardy@norfolk.gov.uk</w:t>
      </w:r>
    </w:p>
    <w:p w14:paraId="2DC64588" w14:textId="77777777" w:rsidR="008A7544" w:rsidRDefault="008A7544" w:rsidP="008A7544">
      <w:pPr>
        <w:rPr>
          <w:rFonts w:cstheme="minorHAnsi"/>
        </w:rPr>
      </w:pPr>
    </w:p>
    <w:sectPr w:rsidR="008A7544" w:rsidSect="003749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D907A" w14:textId="77777777" w:rsidR="00BF7B3F" w:rsidRDefault="00BF7B3F" w:rsidP="008A7544">
      <w:pPr>
        <w:spacing w:after="0" w:line="240" w:lineRule="auto"/>
      </w:pPr>
      <w:r>
        <w:separator/>
      </w:r>
    </w:p>
  </w:endnote>
  <w:endnote w:type="continuationSeparator" w:id="0">
    <w:p w14:paraId="332BBAE1" w14:textId="77777777" w:rsidR="00BF7B3F" w:rsidRDefault="00BF7B3F"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NeueLT Pro 57 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C253A" w14:textId="77777777" w:rsidR="00BF7B3F" w:rsidRDefault="00BF7B3F" w:rsidP="008A7544">
      <w:pPr>
        <w:spacing w:after="0" w:line="240" w:lineRule="auto"/>
      </w:pPr>
      <w:r>
        <w:separator/>
      </w:r>
    </w:p>
  </w:footnote>
  <w:footnote w:type="continuationSeparator" w:id="0">
    <w:p w14:paraId="533CAD3D" w14:textId="77777777" w:rsidR="00BF7B3F" w:rsidRDefault="00BF7B3F" w:rsidP="008A7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450pt" o:bullet="t">
        <v:imagedata r:id="rId1" o:title="Ic_check_box_outline_blank_48px"/>
      </v:shape>
    </w:pict>
  </w:numPicBullet>
  <w:abstractNum w:abstractNumId="0"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CB2A2D"/>
    <w:multiLevelType w:val="hybridMultilevel"/>
    <w:tmpl w:val="77C4F5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A5558FF"/>
    <w:multiLevelType w:val="hybridMultilevel"/>
    <w:tmpl w:val="D00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A602C"/>
    <w:multiLevelType w:val="hybridMultilevel"/>
    <w:tmpl w:val="8D1C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C12C1"/>
    <w:multiLevelType w:val="hybridMultilevel"/>
    <w:tmpl w:val="303611AE"/>
    <w:lvl w:ilvl="0" w:tplc="44BC2CFA">
      <w:start w:val="1"/>
      <w:numFmt w:val="bullet"/>
      <w:lvlText w:val="ü"/>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417"/>
    <w:multiLevelType w:val="hybridMultilevel"/>
    <w:tmpl w:val="3B0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3"/>
  </w:num>
  <w:num w:numId="6">
    <w:abstractNumId w:val="1"/>
  </w:num>
  <w:num w:numId="7">
    <w:abstractNumId w:val="4"/>
  </w:num>
  <w:num w:numId="8">
    <w:abstractNumId w:val="5"/>
  </w:num>
  <w:num w:numId="9">
    <w:abstractNumId w:val="7"/>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44"/>
    <w:rsid w:val="000118B2"/>
    <w:rsid w:val="0005112A"/>
    <w:rsid w:val="001D6830"/>
    <w:rsid w:val="00233186"/>
    <w:rsid w:val="002E5069"/>
    <w:rsid w:val="00374931"/>
    <w:rsid w:val="004D23E4"/>
    <w:rsid w:val="0053797E"/>
    <w:rsid w:val="00576AF5"/>
    <w:rsid w:val="005B768D"/>
    <w:rsid w:val="005C6F98"/>
    <w:rsid w:val="006722EC"/>
    <w:rsid w:val="007F370E"/>
    <w:rsid w:val="0084295C"/>
    <w:rsid w:val="008575F6"/>
    <w:rsid w:val="00870B39"/>
    <w:rsid w:val="008A7544"/>
    <w:rsid w:val="00A36DB7"/>
    <w:rsid w:val="00A56AB4"/>
    <w:rsid w:val="00AB0394"/>
    <w:rsid w:val="00B602DD"/>
    <w:rsid w:val="00BF7B3F"/>
    <w:rsid w:val="00CC728D"/>
    <w:rsid w:val="00CE6D89"/>
    <w:rsid w:val="00D94463"/>
    <w:rsid w:val="00DE282C"/>
    <w:rsid w:val="00E4217A"/>
    <w:rsid w:val="00FB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0C6A"/>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basedOn w:val="Normal"/>
    <w:link w:val="ListParagraphChar"/>
    <w:uiPriority w:val="34"/>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character" w:styleId="Hyperlink">
    <w:name w:val="Hyperlink"/>
    <w:basedOn w:val="DefaultParagraphFont"/>
    <w:uiPriority w:val="99"/>
    <w:unhideWhenUsed/>
    <w:rsid w:val="00A56AB4"/>
    <w:rPr>
      <w:color w:val="0563C1" w:themeColor="hyperlink"/>
      <w:u w:val="single"/>
    </w:rPr>
  </w:style>
  <w:style w:type="paragraph" w:customStyle="1" w:styleId="Default">
    <w:name w:val="Default"/>
    <w:rsid w:val="00CC728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3">
    <w:name w:val="Pa3"/>
    <w:basedOn w:val="Default"/>
    <w:next w:val="Default"/>
    <w:uiPriority w:val="99"/>
    <w:rsid w:val="00CC728D"/>
    <w:pPr>
      <w:spacing w:line="241" w:lineRule="atLeast"/>
    </w:pPr>
    <w:rPr>
      <w:rFonts w:cstheme="minorBidi"/>
      <w:color w:val="auto"/>
    </w:rPr>
  </w:style>
  <w:style w:type="paragraph" w:styleId="NormalWeb">
    <w:name w:val="Normal (Web)"/>
    <w:basedOn w:val="Normal"/>
    <w:uiPriority w:val="99"/>
    <w:semiHidden/>
    <w:unhideWhenUsed/>
    <w:rsid w:val="00233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1D68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16-18_Literature_Revie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hardy@norfolk.gov.uk" TargetMode="External"/><Relationship Id="rId5" Type="http://schemas.openxmlformats.org/officeDocument/2006/relationships/footnotes" Target="footnotes.xml"/><Relationship Id="rId10" Type="http://schemas.openxmlformats.org/officeDocument/2006/relationships/hyperlink" Target="mailto:Jacqueline.bircham@newanglia.co.uk" TargetMode="External"/><Relationship Id="rId4" Type="http://schemas.openxmlformats.org/officeDocument/2006/relationships/webSettings" Target="webSettings.xml"/><Relationship Id="rId9" Type="http://schemas.openxmlformats.org/officeDocument/2006/relationships/hyperlink" Target="http://cver.lse.ac.uk/textonly/cver/pubs/cverdp00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Hardy, Sarah</cp:lastModifiedBy>
  <cp:revision>2</cp:revision>
  <dcterms:created xsi:type="dcterms:W3CDTF">2018-02-08T09:42:00Z</dcterms:created>
  <dcterms:modified xsi:type="dcterms:W3CDTF">2018-02-08T09:42:00Z</dcterms:modified>
</cp:coreProperties>
</file>