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E60" w:rsidRDefault="00EF7964" w:rsidP="00200E60">
      <w:pPr>
        <w:pStyle w:val="Heading2"/>
        <w:numPr>
          <w:ilvl w:val="0"/>
          <w:numId w:val="0"/>
        </w:numPr>
        <w:jc w:val="center"/>
      </w:pPr>
      <w:r>
        <w:rPr>
          <w:noProof/>
        </w:rPr>
        <w:drawing>
          <wp:anchor distT="0" distB="0" distL="114300" distR="114300" simplePos="0" relativeHeight="251658240" behindDoc="1" locked="0" layoutInCell="1" allowOverlap="1">
            <wp:simplePos x="0" y="0"/>
            <wp:positionH relativeFrom="column">
              <wp:posOffset>-871220</wp:posOffset>
            </wp:positionH>
            <wp:positionV relativeFrom="paragraph">
              <wp:posOffset>-5715</wp:posOffset>
            </wp:positionV>
            <wp:extent cx="7534910" cy="1076325"/>
            <wp:effectExtent l="0" t="0" r="8890" b="9525"/>
            <wp:wrapNone/>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491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0E60" w:rsidRDefault="00200E60" w:rsidP="00200E60">
      <w:pPr>
        <w:pStyle w:val="Heading2"/>
        <w:numPr>
          <w:ilvl w:val="0"/>
          <w:numId w:val="0"/>
        </w:numPr>
        <w:jc w:val="center"/>
      </w:pPr>
    </w:p>
    <w:p w:rsidR="005E0779" w:rsidRDefault="005E0779" w:rsidP="00EF7964">
      <w:pPr>
        <w:pStyle w:val="Heading2"/>
        <w:numPr>
          <w:ilvl w:val="0"/>
          <w:numId w:val="0"/>
        </w:numPr>
      </w:pPr>
    </w:p>
    <w:p w:rsidR="005E0779" w:rsidRDefault="005E0779" w:rsidP="00200E60">
      <w:pPr>
        <w:pStyle w:val="Heading2"/>
        <w:numPr>
          <w:ilvl w:val="0"/>
          <w:numId w:val="0"/>
        </w:numPr>
        <w:jc w:val="center"/>
      </w:pPr>
    </w:p>
    <w:p w:rsidR="005E0779" w:rsidRDefault="005E0779" w:rsidP="00200E60">
      <w:pPr>
        <w:pStyle w:val="Heading2"/>
        <w:numPr>
          <w:ilvl w:val="0"/>
          <w:numId w:val="0"/>
        </w:numPr>
        <w:jc w:val="center"/>
      </w:pPr>
    </w:p>
    <w:p w:rsidR="005E0779" w:rsidRDefault="005E0779" w:rsidP="00200E60">
      <w:pPr>
        <w:pStyle w:val="Heading2"/>
        <w:numPr>
          <w:ilvl w:val="0"/>
          <w:numId w:val="0"/>
        </w:numPr>
        <w:jc w:val="center"/>
      </w:pPr>
    </w:p>
    <w:p w:rsidR="00200E60" w:rsidRPr="006058CA" w:rsidRDefault="00EF7964" w:rsidP="00200E60">
      <w:pPr>
        <w:pStyle w:val="Heading2"/>
        <w:numPr>
          <w:ilvl w:val="0"/>
          <w:numId w:val="0"/>
        </w:numPr>
        <w:jc w:val="center"/>
        <w:rPr>
          <w:b/>
          <w:sz w:val="28"/>
          <w:szCs w:val="28"/>
        </w:rPr>
      </w:pPr>
      <w:r>
        <w:rPr>
          <w:b/>
          <w:sz w:val="28"/>
          <w:szCs w:val="28"/>
        </w:rPr>
        <w:t xml:space="preserve">WIRRAL COMMUNITY </w:t>
      </w:r>
      <w:r w:rsidR="006058CA" w:rsidRPr="006058CA">
        <w:rPr>
          <w:b/>
          <w:sz w:val="28"/>
          <w:szCs w:val="28"/>
        </w:rPr>
        <w:t>NHS TRUST</w:t>
      </w:r>
    </w:p>
    <w:p w:rsidR="00200E60" w:rsidRDefault="00200E60" w:rsidP="00200E60">
      <w:pPr>
        <w:pStyle w:val="Heading2"/>
        <w:numPr>
          <w:ilvl w:val="0"/>
          <w:numId w:val="0"/>
        </w:numPr>
        <w:jc w:val="center"/>
      </w:pPr>
    </w:p>
    <w:p w:rsidR="00B45130" w:rsidRDefault="00B45130" w:rsidP="00200E60">
      <w:pPr>
        <w:pStyle w:val="Heading2"/>
        <w:numPr>
          <w:ilvl w:val="0"/>
          <w:numId w:val="0"/>
        </w:numPr>
        <w:jc w:val="center"/>
      </w:pPr>
    </w:p>
    <w:p w:rsidR="00200E60" w:rsidRPr="00EF7964" w:rsidRDefault="00336D0E" w:rsidP="00200E60">
      <w:pPr>
        <w:pStyle w:val="Heading2"/>
        <w:numPr>
          <w:ilvl w:val="0"/>
          <w:numId w:val="0"/>
        </w:numPr>
        <w:jc w:val="center"/>
        <w:rPr>
          <w:b/>
          <w:sz w:val="28"/>
          <w:szCs w:val="28"/>
        </w:rPr>
      </w:pPr>
      <w:r w:rsidRPr="005E0779">
        <w:rPr>
          <w:b/>
          <w:sz w:val="28"/>
          <w:szCs w:val="28"/>
        </w:rPr>
        <w:t xml:space="preserve">Invitation to tender for </w:t>
      </w:r>
      <w:r w:rsidR="00200E60" w:rsidRPr="005E0779">
        <w:rPr>
          <w:b/>
          <w:sz w:val="28"/>
          <w:szCs w:val="28"/>
        </w:rPr>
        <w:t xml:space="preserve">the </w:t>
      </w:r>
      <w:r w:rsidR="00B73B57">
        <w:rPr>
          <w:b/>
          <w:sz w:val="28"/>
          <w:szCs w:val="28"/>
        </w:rPr>
        <w:t xml:space="preserve">provision of </w:t>
      </w:r>
      <w:r w:rsidR="00EF7964">
        <w:rPr>
          <w:b/>
          <w:sz w:val="28"/>
          <w:szCs w:val="28"/>
        </w:rPr>
        <w:t>due diligence consultancy services in relation to the i</w:t>
      </w:r>
      <w:r w:rsidR="00EF7964" w:rsidRPr="00EF7964">
        <w:rPr>
          <w:b/>
          <w:sz w:val="28"/>
          <w:szCs w:val="28"/>
        </w:rPr>
        <w:t>ntegration of Adult Social Care Services into NHS Community Services</w:t>
      </w:r>
    </w:p>
    <w:p w:rsidR="00B45130" w:rsidRDefault="00B45130" w:rsidP="00200E60">
      <w:pPr>
        <w:pStyle w:val="Heading2"/>
        <w:numPr>
          <w:ilvl w:val="0"/>
          <w:numId w:val="0"/>
        </w:numPr>
        <w:jc w:val="center"/>
      </w:pPr>
    </w:p>
    <w:p w:rsidR="00AD1F28" w:rsidRDefault="00AD1F28" w:rsidP="00AD1F28">
      <w:pPr>
        <w:pStyle w:val="Heading2"/>
        <w:numPr>
          <w:ilvl w:val="0"/>
          <w:numId w:val="0"/>
        </w:numPr>
        <w:jc w:val="center"/>
        <w:rPr>
          <w:shd w:val="clear" w:color="auto" w:fill="FFFF66"/>
        </w:rPr>
      </w:pPr>
      <w:r>
        <w:t xml:space="preserve">Date of advertisement on Contract Finder: </w:t>
      </w:r>
      <w:r w:rsidR="001B11D9">
        <w:t>11</w:t>
      </w:r>
      <w:r w:rsidR="001B11D9" w:rsidRPr="001B11D9">
        <w:rPr>
          <w:vertAlign w:val="superscript"/>
        </w:rPr>
        <w:t>th</w:t>
      </w:r>
      <w:r w:rsidR="001B11D9">
        <w:t xml:space="preserve"> December 2015</w:t>
      </w:r>
    </w:p>
    <w:p w:rsidR="00AD1F28" w:rsidRDefault="00AD1F28" w:rsidP="00AD1F28">
      <w:pPr>
        <w:pStyle w:val="Heading2"/>
        <w:numPr>
          <w:ilvl w:val="0"/>
          <w:numId w:val="0"/>
        </w:numPr>
        <w:jc w:val="center"/>
        <w:rPr>
          <w:shd w:val="clear" w:color="auto" w:fill="FFFF66"/>
        </w:rPr>
      </w:pPr>
    </w:p>
    <w:p w:rsidR="00AD1F28" w:rsidRDefault="00AD1F28" w:rsidP="00AD1F28">
      <w:pPr>
        <w:pStyle w:val="Heading2"/>
        <w:numPr>
          <w:ilvl w:val="0"/>
          <w:numId w:val="0"/>
        </w:numPr>
        <w:jc w:val="center"/>
        <w:rPr>
          <w:shd w:val="clear" w:color="auto" w:fill="FFFF66"/>
        </w:rPr>
      </w:pPr>
    </w:p>
    <w:p w:rsidR="00AD1F28" w:rsidRDefault="00AD1F28" w:rsidP="00AD1F28">
      <w:pPr>
        <w:pStyle w:val="Heading2"/>
        <w:numPr>
          <w:ilvl w:val="0"/>
          <w:numId w:val="0"/>
        </w:numPr>
        <w:jc w:val="center"/>
      </w:pPr>
      <w:r w:rsidRPr="00A04003">
        <w:t>Authority's reference number</w:t>
      </w:r>
      <w:r w:rsidR="00B73B57">
        <w:t xml:space="preserve">: </w:t>
      </w:r>
      <w:r w:rsidR="001B11D9">
        <w:t>WCT-HT-101</w:t>
      </w:r>
    </w:p>
    <w:p w:rsidR="00B45130" w:rsidRDefault="00B45130" w:rsidP="00200E60">
      <w:pPr>
        <w:pStyle w:val="Heading2"/>
        <w:numPr>
          <w:ilvl w:val="0"/>
          <w:numId w:val="0"/>
        </w:numPr>
        <w:jc w:val="center"/>
      </w:pPr>
    </w:p>
    <w:p w:rsidR="00AD1F28" w:rsidRDefault="00AD1F28" w:rsidP="00200E60">
      <w:pPr>
        <w:pStyle w:val="Heading2"/>
        <w:numPr>
          <w:ilvl w:val="0"/>
          <w:numId w:val="0"/>
        </w:numPr>
        <w:jc w:val="center"/>
      </w:pPr>
    </w:p>
    <w:p w:rsidR="00200E60" w:rsidRDefault="00200E60" w:rsidP="00200E60">
      <w:pPr>
        <w:pStyle w:val="Heading2"/>
        <w:numPr>
          <w:ilvl w:val="0"/>
          <w:numId w:val="0"/>
        </w:numPr>
        <w:jc w:val="center"/>
      </w:pPr>
      <w:r>
        <w:t xml:space="preserve">Deadline for </w:t>
      </w:r>
      <w:r w:rsidR="005D7098">
        <w:t>Tenders</w:t>
      </w:r>
      <w:r w:rsidR="004E51D1">
        <w:t xml:space="preserve"> to be received</w:t>
      </w:r>
      <w:r w:rsidR="0099281D">
        <w:t xml:space="preserve">: </w:t>
      </w:r>
      <w:r w:rsidR="00007052">
        <w:t>Thursday 31</w:t>
      </w:r>
      <w:r w:rsidR="00007052" w:rsidRPr="00007052">
        <w:rPr>
          <w:vertAlign w:val="superscript"/>
        </w:rPr>
        <w:t>st</w:t>
      </w:r>
      <w:r w:rsidR="00007052">
        <w:t xml:space="preserve"> </w:t>
      </w:r>
      <w:r w:rsidR="00742307">
        <w:t>December 2015</w:t>
      </w:r>
      <w:r w:rsidR="00742307" w:rsidRPr="00713634">
        <w:t>, 1</w:t>
      </w:r>
      <w:r w:rsidR="00742307">
        <w:t>2</w:t>
      </w:r>
      <w:r w:rsidR="00742307" w:rsidRPr="00713634">
        <w:t>:00</w:t>
      </w:r>
      <w:r w:rsidR="00742307">
        <w:t xml:space="preserve"> Noon</w:t>
      </w:r>
    </w:p>
    <w:p w:rsidR="00B45130" w:rsidRDefault="00B45130" w:rsidP="00200E60">
      <w:pPr>
        <w:pStyle w:val="Heading2"/>
        <w:numPr>
          <w:ilvl w:val="0"/>
          <w:numId w:val="0"/>
        </w:numPr>
        <w:jc w:val="center"/>
      </w:pPr>
    </w:p>
    <w:p w:rsidR="00B45130" w:rsidRDefault="00B45130" w:rsidP="00200E60">
      <w:pPr>
        <w:pStyle w:val="Heading2"/>
        <w:numPr>
          <w:ilvl w:val="0"/>
          <w:numId w:val="0"/>
        </w:numPr>
        <w:jc w:val="center"/>
      </w:pPr>
    </w:p>
    <w:p w:rsidR="00F15701" w:rsidRDefault="00DE5BF3" w:rsidP="00200E60">
      <w:pPr>
        <w:pStyle w:val="Heading2"/>
        <w:numPr>
          <w:ilvl w:val="0"/>
          <w:numId w:val="0"/>
        </w:numPr>
        <w:jc w:val="center"/>
      </w:pPr>
      <w:r>
        <w:rPr>
          <w:rFonts w:ascii="Times New Roman" w:hAnsi="Times New Roman"/>
          <w:noProof/>
          <w:sz w:val="24"/>
          <w:szCs w:val="24"/>
        </w:rPr>
        <w:drawing>
          <wp:inline distT="0" distB="0" distL="0" distR="0" wp14:anchorId="7C989FDB" wp14:editId="06397D16">
            <wp:extent cx="3037840" cy="508000"/>
            <wp:effectExtent l="0" t="0" r="0" b="6350"/>
            <wp:docPr id="3" name="Picture 3" descr="PromoWirral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oWirralLogoGREY"/>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37840" cy="508000"/>
                    </a:xfrm>
                    <a:prstGeom prst="rect">
                      <a:avLst/>
                    </a:prstGeom>
                    <a:noFill/>
                    <a:ln>
                      <a:noFill/>
                    </a:ln>
                  </pic:spPr>
                </pic:pic>
              </a:graphicData>
            </a:graphic>
          </wp:inline>
        </w:drawing>
      </w:r>
    </w:p>
    <w:p w:rsidR="00F15701" w:rsidRDefault="00F15701" w:rsidP="00200E60">
      <w:pPr>
        <w:pStyle w:val="Heading2"/>
        <w:numPr>
          <w:ilvl w:val="0"/>
          <w:numId w:val="0"/>
        </w:numPr>
        <w:jc w:val="center"/>
      </w:pPr>
    </w:p>
    <w:p w:rsidR="00F15701" w:rsidRDefault="00F15701" w:rsidP="00200E60">
      <w:pPr>
        <w:pStyle w:val="Heading2"/>
        <w:numPr>
          <w:ilvl w:val="0"/>
          <w:numId w:val="0"/>
        </w:numPr>
        <w:jc w:val="center"/>
      </w:pPr>
    </w:p>
    <w:p w:rsidR="00F15701" w:rsidRDefault="00F15701" w:rsidP="00200E60">
      <w:pPr>
        <w:pStyle w:val="Heading2"/>
        <w:numPr>
          <w:ilvl w:val="0"/>
          <w:numId w:val="0"/>
        </w:numPr>
        <w:jc w:val="center"/>
      </w:pPr>
    </w:p>
    <w:p w:rsidR="00D517A7" w:rsidRDefault="00D517A7" w:rsidP="00401FF0">
      <w:pPr>
        <w:pStyle w:val="TOC1"/>
      </w:pPr>
    </w:p>
    <w:p w:rsidR="00D517A7" w:rsidRDefault="00D517A7" w:rsidP="00401FF0">
      <w:pPr>
        <w:pStyle w:val="TOC1"/>
      </w:pPr>
    </w:p>
    <w:p w:rsidR="00DE5BF3" w:rsidRDefault="00DE5BF3">
      <w:pPr>
        <w:spacing w:after="240"/>
        <w:jc w:val="left"/>
        <w:rPr>
          <w:rFonts w:eastAsia="Times New Roman" w:cs="Times New Roman"/>
          <w:b/>
          <w:color w:val="000000" w:themeColor="text1"/>
          <w:lang w:eastAsia="en-GB"/>
        </w:rPr>
      </w:pPr>
      <w:r>
        <w:br w:type="page"/>
      </w:r>
    </w:p>
    <w:p w:rsidR="005B59B7" w:rsidRDefault="005B59B7" w:rsidP="00401FF0">
      <w:pPr>
        <w:pStyle w:val="TOC1"/>
      </w:pPr>
      <w:r w:rsidRPr="005B59B7">
        <w:lastRenderedPageBreak/>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DE5BF3">
          <w:rPr>
            <w:b w:val="0"/>
            <w:noProof/>
            <w:webHidden/>
          </w:rPr>
          <w:t>1</w:t>
        </w:r>
        <w:r w:rsidRPr="001F110F">
          <w:rPr>
            <w:b w:val="0"/>
            <w:noProof/>
            <w:webHidden/>
          </w:rPr>
          <w:fldChar w:fldCharType="end"/>
        </w:r>
      </w:hyperlink>
    </w:p>
    <w:p w:rsidR="005B59B7" w:rsidRPr="001F110F" w:rsidRDefault="001B11D9"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DE5BF3">
          <w:rPr>
            <w:b w:val="0"/>
            <w:noProof/>
            <w:webHidden/>
          </w:rPr>
          <w:t>4</w:t>
        </w:r>
        <w:r w:rsidR="005B59B7" w:rsidRPr="001F110F">
          <w:rPr>
            <w:b w:val="0"/>
            <w:noProof/>
            <w:webHidden/>
          </w:rPr>
          <w:fldChar w:fldCharType="end"/>
        </w:r>
      </w:hyperlink>
    </w:p>
    <w:p w:rsidR="005B59B7" w:rsidRPr="001F110F" w:rsidRDefault="001B11D9"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DE5BF3">
          <w:rPr>
            <w:b w:val="0"/>
            <w:noProof/>
            <w:webHidden/>
          </w:rPr>
          <w:t>5</w:t>
        </w:r>
        <w:r w:rsidR="005B59B7" w:rsidRPr="001F110F">
          <w:rPr>
            <w:b w:val="0"/>
            <w:noProof/>
            <w:webHidden/>
          </w:rPr>
          <w:fldChar w:fldCharType="end"/>
        </w:r>
      </w:hyperlink>
    </w:p>
    <w:p w:rsidR="005B59B7" w:rsidRPr="001F110F" w:rsidRDefault="001B11D9"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DE5BF3">
          <w:rPr>
            <w:b w:val="0"/>
            <w:noProof/>
            <w:webHidden/>
          </w:rPr>
          <w:t>8</w:t>
        </w:r>
        <w:r w:rsidR="005B59B7" w:rsidRPr="001F110F">
          <w:rPr>
            <w:b w:val="0"/>
            <w:noProof/>
            <w:webHidden/>
          </w:rPr>
          <w:fldChar w:fldCharType="end"/>
        </w:r>
      </w:hyperlink>
    </w:p>
    <w:p w:rsidR="005B59B7" w:rsidRPr="001F110F" w:rsidRDefault="001E2724" w:rsidP="001F110F">
      <w:pPr>
        <w:pStyle w:val="TOC1"/>
        <w:spacing w:line="360" w:lineRule="auto"/>
        <w:rPr>
          <w:rFonts w:asciiTheme="minorHAnsi" w:eastAsiaTheme="minorEastAsia" w:hAnsiTheme="minorHAnsi" w:cstheme="minorBidi"/>
          <w:b w:val="0"/>
          <w:noProof/>
          <w:color w:val="auto"/>
          <w:sz w:val="22"/>
          <w:szCs w:val="22"/>
        </w:rPr>
      </w:pPr>
      <w:r>
        <w:tab/>
      </w: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DE5BF3">
          <w:rPr>
            <w:b w:val="0"/>
            <w:noProof/>
            <w:webHidden/>
          </w:rPr>
          <w:t>10</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3"/>
          <w:footerReference w:type="first" r:id="rId14"/>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97239C">
      <w:pPr>
        <w:pStyle w:val="MRNumberedHeading1"/>
        <w:numPr>
          <w:ilvl w:val="0"/>
          <w:numId w:val="19"/>
        </w:numPr>
        <w:tabs>
          <w:tab w:val="clear" w:pos="798"/>
          <w:tab w:val="num" w:pos="709"/>
        </w:tabs>
        <w:ind w:hanging="798"/>
        <w:rPr>
          <w:sz w:val="20"/>
          <w:szCs w:val="20"/>
        </w:rPr>
      </w:pPr>
      <w:bookmarkStart w:id="0" w:name="_Toc403556501"/>
      <w:bookmarkStart w:id="1" w:name="_Toc403556506"/>
      <w:r w:rsidRPr="008F3D2C">
        <w:rPr>
          <w:sz w:val="20"/>
          <w:szCs w:val="20"/>
        </w:rPr>
        <w:lastRenderedPageBreak/>
        <w:t>INTRODUCTION AND BACKGROUND</w:t>
      </w:r>
      <w:bookmarkEnd w:id="0"/>
      <w:bookmarkEnd w:id="1"/>
    </w:p>
    <w:p w:rsidR="003E3276" w:rsidRPr="007724D1" w:rsidRDefault="00EF7964" w:rsidP="006B54D6">
      <w:pPr>
        <w:pStyle w:val="MRNumberedHeading2"/>
      </w:pPr>
      <w:bookmarkStart w:id="2" w:name="_Toc403555077"/>
      <w:r>
        <w:t xml:space="preserve">Wirral NHS Community Trust </w:t>
      </w:r>
      <w:r w:rsidR="003E3276" w:rsidRPr="00836C41">
        <w:t>("</w:t>
      </w:r>
      <w:r w:rsidR="00B012D5" w:rsidRPr="00836C41">
        <w:t xml:space="preserve">the </w:t>
      </w:r>
      <w:r w:rsidR="003E3276" w:rsidRPr="00836C41">
        <w:t xml:space="preserve">Authority") is issuing this </w:t>
      </w:r>
      <w:r w:rsidR="00D66E43" w:rsidRPr="00836C41">
        <w:t>invitation to t</w:t>
      </w:r>
      <w:r w:rsidR="003E3276" w:rsidRPr="00836C41">
        <w:t>ender ("ITT") in connection with the competitive procurement of</w:t>
      </w:r>
      <w:r w:rsidR="00B73B57" w:rsidRPr="00836C41">
        <w:t xml:space="preserve"> </w:t>
      </w:r>
      <w:r w:rsidR="00836C41" w:rsidRPr="00836C41">
        <w:t xml:space="preserve">consultancy </w:t>
      </w:r>
      <w:r>
        <w:t xml:space="preserve">services to perform due diligence in relation to the integration of Adult Social Care services into NHS Community Services.  The procurement is being led by Wirral NHS Community </w:t>
      </w:r>
      <w:bookmarkEnd w:id="2"/>
      <w:r w:rsidRPr="00EF7964">
        <w:rPr>
          <w:szCs w:val="20"/>
        </w:rPr>
        <w:t>Tru</w:t>
      </w:r>
      <w:r w:rsidR="00007052">
        <w:rPr>
          <w:szCs w:val="20"/>
        </w:rPr>
        <w:t xml:space="preserve">st on behalf of the two parties involved i.e. </w:t>
      </w:r>
      <w:r w:rsidR="00007052">
        <w:t xml:space="preserve">Wirral NHS Community Trust and Wirral Metropolitan Borough Council. </w:t>
      </w:r>
    </w:p>
    <w:p w:rsidR="003E3276" w:rsidRPr="007724D1" w:rsidRDefault="003E3276" w:rsidP="006B54D6">
      <w:pPr>
        <w:pStyle w:val="MRNumberedHeading2"/>
      </w:pPr>
      <w:bookmarkStart w:id="3" w:name="_Toc403555078"/>
      <w:r w:rsidRPr="007724D1">
        <w:t xml:space="preserve">This ITT Section A contains further </w:t>
      </w:r>
      <w:r w:rsidRPr="003E3276">
        <w:t>information</w:t>
      </w:r>
      <w:r w:rsidRPr="007724D1">
        <w:t xml:space="preserve"> about the procurement process.</w:t>
      </w:r>
      <w:bookmarkEnd w:id="3"/>
      <w:r w:rsidRPr="007724D1">
        <w:t xml:space="preserve">  </w:t>
      </w:r>
    </w:p>
    <w:p w:rsidR="003E3276" w:rsidRDefault="003E3276" w:rsidP="006B54D6">
      <w:pPr>
        <w:pStyle w:val="MRNumberedHeading2"/>
      </w:pPr>
      <w:bookmarkStart w:id="4"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4"/>
    </w:p>
    <w:p w:rsidR="003E3276" w:rsidRPr="00FB2FE9" w:rsidRDefault="00336D0E" w:rsidP="006B54D6">
      <w:pPr>
        <w:pStyle w:val="MRNumberedHeading2"/>
      </w:pPr>
      <w:bookmarkStart w:id="5"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5"/>
    </w:p>
    <w:p w:rsidR="003E3276" w:rsidRPr="0016628D" w:rsidRDefault="008646F0" w:rsidP="00007052">
      <w:pPr>
        <w:pStyle w:val="MRNumberedHeading2"/>
      </w:pPr>
      <w:bookmarkStart w:id="6" w:name="_Toc403555081"/>
      <w:bookmarkStart w:id="7" w:name="_Ref406062423"/>
      <w:r w:rsidRPr="0016628D">
        <w:t xml:space="preserve">The Authority </w:t>
      </w:r>
      <w:r w:rsidR="00742307" w:rsidRPr="0016628D">
        <w:t>requires all documentation and clarification questions to be submitted electronically via the procurement mailbox: procurement@wirralct.nhs.</w:t>
      </w:r>
      <w:r w:rsidR="00007052" w:rsidRPr="0016628D">
        <w:t>uk</w:t>
      </w:r>
      <w:r w:rsidR="003E3276" w:rsidRPr="0016628D">
        <w:t xml:space="preserve"> </w:t>
      </w:r>
      <w:proofErr w:type="gramStart"/>
      <w:r w:rsidR="003E3276" w:rsidRPr="0016628D">
        <w:t>All</w:t>
      </w:r>
      <w:proofErr w:type="gramEnd"/>
      <w:r w:rsidR="003E3276" w:rsidRPr="0016628D">
        <w:t xml:space="preserve"> communica</w:t>
      </w:r>
      <w:r w:rsidR="00336D0E" w:rsidRPr="0016628D">
        <w:t>tions (including submission of T</w:t>
      </w:r>
      <w:r w:rsidR="00007052" w:rsidRPr="0016628D">
        <w:t xml:space="preserve">enders) should be conducted </w:t>
      </w:r>
      <w:r w:rsidR="003E3276" w:rsidRPr="0016628D">
        <w:t>via th</w:t>
      </w:r>
      <w:r w:rsidR="007D66FE" w:rsidRPr="0016628D">
        <w:t>is means</w:t>
      </w:r>
      <w:r w:rsidR="003E3276" w:rsidRPr="0016628D">
        <w:t>.</w:t>
      </w:r>
      <w:bookmarkEnd w:id="6"/>
      <w:bookmarkEnd w:id="7"/>
    </w:p>
    <w:p w:rsidR="006111AA" w:rsidRDefault="006111AA" w:rsidP="006B54D6">
      <w:pPr>
        <w:pStyle w:val="MRNumberedHeading2"/>
      </w:pPr>
      <w:r>
        <w:t>This procurement process is not regulated by</w:t>
      </w:r>
      <w:r w:rsidR="00014E77">
        <w:t xml:space="preserve"> P</w:t>
      </w:r>
      <w:r w:rsidR="008C5577">
        <w:t>arts 2 and 3 of</w:t>
      </w:r>
      <w:r>
        <w:t xml:space="preserve"> the P</w:t>
      </w:r>
      <w:r w:rsidR="003B1EDB">
        <w:t>ublic Contracts Regulations 2015</w:t>
      </w:r>
      <w:r>
        <w:t>.</w:t>
      </w:r>
    </w:p>
    <w:p w:rsidR="00247F0F" w:rsidRPr="003E3276" w:rsidRDefault="00247F0F" w:rsidP="00337295">
      <w:pPr>
        <w:pStyle w:val="Heading1"/>
        <w:spacing w:before="240" w:after="0"/>
        <w:ind w:left="709"/>
        <w:rPr>
          <w:rFonts w:eastAsiaTheme="minorHAnsi"/>
        </w:rPr>
      </w:pPr>
      <w:bookmarkStart w:id="8" w:name="_Toc403555082"/>
      <w:r w:rsidRPr="003E3276">
        <w:rPr>
          <w:rFonts w:eastAsiaTheme="minorHAnsi"/>
        </w:rPr>
        <w:t>Contents of the ITT</w:t>
      </w:r>
      <w:bookmarkEnd w:id="8"/>
      <w:r w:rsidRPr="003E3276">
        <w:rPr>
          <w:rFonts w:eastAsiaTheme="minorHAnsi"/>
        </w:rPr>
        <w:t xml:space="preserve"> </w:t>
      </w:r>
    </w:p>
    <w:p w:rsidR="00AD3446" w:rsidRPr="003E3276" w:rsidRDefault="00AD3446" w:rsidP="006B54D6">
      <w:pPr>
        <w:pStyle w:val="MRNumberedHeading2"/>
        <w:rPr>
          <w:b/>
        </w:rPr>
      </w:pPr>
      <w:bookmarkStart w:id="9" w:name="_Toc403555083"/>
      <w:bookmarkStart w:id="10" w:name="_Ref405452631"/>
      <w:r>
        <w:t>This ITT document consists of:</w:t>
      </w:r>
      <w:bookmarkEnd w:id="9"/>
      <w:bookmarkEnd w:id="10"/>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337295">
        <w:trPr>
          <w:gridAfter w:val="1"/>
          <w:wAfter w:w="2410" w:type="dxa"/>
        </w:trPr>
        <w:tc>
          <w:tcPr>
            <w:tcW w:w="1418" w:type="dxa"/>
          </w:tcPr>
          <w:p w:rsidR="00953B6C" w:rsidRDefault="00953B6C" w:rsidP="00AD3446">
            <w:pPr>
              <w:pStyle w:val="Heading2"/>
              <w:numPr>
                <w:ilvl w:val="0"/>
                <w:numId w:val="0"/>
              </w:numPr>
              <w:jc w:val="center"/>
              <w:outlineLvl w:val="1"/>
            </w:pPr>
            <w:bookmarkStart w:id="11" w:name="_Ref405453364"/>
            <w:r>
              <w:t xml:space="preserve">Annex </w:t>
            </w:r>
            <w:r w:rsidR="006E3892">
              <w:t>A</w:t>
            </w:r>
            <w:r>
              <w:t>1</w:t>
            </w:r>
            <w:bookmarkEnd w:id="11"/>
          </w:p>
        </w:tc>
        <w:tc>
          <w:tcPr>
            <w:tcW w:w="5386" w:type="dxa"/>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2" w:name="handonesix"/>
            <w:bookmarkEnd w:id="12"/>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B73B57" w:rsidRDefault="00B73B57" w:rsidP="00337295">
      <w:pPr>
        <w:pStyle w:val="Heading1"/>
        <w:spacing w:before="240" w:after="0"/>
        <w:ind w:left="709"/>
      </w:pPr>
      <w:bookmarkStart w:id="13" w:name="_Toc403555084"/>
    </w:p>
    <w:p w:rsidR="00247F0F" w:rsidRDefault="00247F0F" w:rsidP="00337295">
      <w:pPr>
        <w:pStyle w:val="Heading1"/>
        <w:spacing w:before="240" w:after="0"/>
        <w:ind w:left="709"/>
        <w:rPr>
          <w:b w:val="0"/>
        </w:rPr>
      </w:pPr>
      <w:r>
        <w:t xml:space="preserve">Introduction to the </w:t>
      </w:r>
      <w:r w:rsidR="00740C0F">
        <w:t>procurement</w:t>
      </w:r>
      <w:bookmarkEnd w:id="13"/>
      <w:r>
        <w:t xml:space="preserve"> </w:t>
      </w:r>
    </w:p>
    <w:p w:rsidR="00EF7964" w:rsidRDefault="00EF7964" w:rsidP="00EF7964">
      <w:pPr>
        <w:pStyle w:val="MRNumberedHeading2"/>
      </w:pPr>
      <w:r>
        <w:t xml:space="preserve">Wirral is located in the North West of England, and has a population of circa 320,000. The population is served by Wirral </w:t>
      </w:r>
      <w:r w:rsidR="001E2724">
        <w:t xml:space="preserve">Metropolitan Borough Council </w:t>
      </w:r>
      <w:r>
        <w:t>and Wirral Community NHS Trust.</w:t>
      </w:r>
    </w:p>
    <w:p w:rsidR="00EF7964" w:rsidRDefault="00EF7964" w:rsidP="00EF7964">
      <w:pPr>
        <w:pStyle w:val="MRNumberedHeading2"/>
      </w:pPr>
      <w:r>
        <w:t>Both community nursing staff and adult social care staff currently operate from four Integrated Community Care Hubs on the Wirral; however, we aim to fully integrate the teams which may involve transferring staff to WCT.</w:t>
      </w:r>
    </w:p>
    <w:p w:rsidR="00EF7964" w:rsidRDefault="00EF7964" w:rsidP="00EF7964">
      <w:pPr>
        <w:pStyle w:val="MRNumberedHeading2"/>
      </w:pPr>
      <w:r>
        <w:t>Organisations involved</w:t>
      </w:r>
    </w:p>
    <w:p w:rsidR="00EF7964" w:rsidRDefault="00EF7964" w:rsidP="001E2724">
      <w:pPr>
        <w:pStyle w:val="MRNumberedHeading2"/>
        <w:numPr>
          <w:ilvl w:val="0"/>
          <w:numId w:val="0"/>
        </w:numPr>
        <w:ind w:left="720" w:firstLine="78"/>
      </w:pPr>
      <w:r>
        <w:t>Wirral Community NHS Trust</w:t>
      </w:r>
      <w:r>
        <w:tab/>
      </w:r>
      <w:r>
        <w:tab/>
      </w:r>
      <w:r w:rsidR="001E2724">
        <w:tab/>
      </w:r>
      <w:r>
        <w:t>http://www.wirralct.nhs.uk/</w:t>
      </w:r>
    </w:p>
    <w:p w:rsidR="00EF7964" w:rsidRPr="001E2724" w:rsidRDefault="00EF7964" w:rsidP="001E2724">
      <w:pPr>
        <w:pStyle w:val="MRNumberedHeading2"/>
        <w:numPr>
          <w:ilvl w:val="0"/>
          <w:numId w:val="0"/>
        </w:numPr>
        <w:ind w:left="720" w:firstLine="78"/>
      </w:pPr>
      <w:r w:rsidRPr="001E2724">
        <w:t xml:space="preserve">Wirral </w:t>
      </w:r>
      <w:r w:rsidR="001E2724" w:rsidRPr="001E2724">
        <w:t xml:space="preserve">Metropolitan Borough </w:t>
      </w:r>
      <w:r w:rsidRPr="001E2724">
        <w:t>Council</w:t>
      </w:r>
      <w:r w:rsidRPr="001E2724">
        <w:tab/>
      </w:r>
      <w:r w:rsidRPr="001E2724">
        <w:tab/>
        <w:t>http://www.wirral.gov.uk/</w:t>
      </w:r>
    </w:p>
    <w:p w:rsidR="001E2724" w:rsidRPr="001E2724" w:rsidRDefault="001E2724" w:rsidP="001E2724">
      <w:pPr>
        <w:pStyle w:val="MRNumberedHeading1"/>
        <w:jc w:val="both"/>
        <w:rPr>
          <w:b w:val="0"/>
          <w:sz w:val="20"/>
          <w:szCs w:val="20"/>
        </w:rPr>
      </w:pPr>
      <w:r w:rsidRPr="001E2724">
        <w:rPr>
          <w:b w:val="0"/>
          <w:sz w:val="20"/>
          <w:szCs w:val="20"/>
        </w:rPr>
        <w:t xml:space="preserve">Wirral Community NHS Trust (WCT) and Wirral </w:t>
      </w:r>
      <w:r>
        <w:rPr>
          <w:b w:val="0"/>
          <w:sz w:val="20"/>
          <w:szCs w:val="20"/>
        </w:rPr>
        <w:t xml:space="preserve">Metropolitan Borough </w:t>
      </w:r>
      <w:r w:rsidRPr="001E2724">
        <w:rPr>
          <w:b w:val="0"/>
          <w:sz w:val="20"/>
          <w:szCs w:val="20"/>
        </w:rPr>
        <w:t>Council (W</w:t>
      </w:r>
      <w:r>
        <w:rPr>
          <w:b w:val="0"/>
          <w:sz w:val="20"/>
          <w:szCs w:val="20"/>
        </w:rPr>
        <w:t>MB</w:t>
      </w:r>
      <w:r w:rsidRPr="001E2724">
        <w:rPr>
          <w:b w:val="0"/>
          <w:sz w:val="20"/>
          <w:szCs w:val="20"/>
        </w:rPr>
        <w:t xml:space="preserve">C) are in early discussions about the possibility of integrating Adult Social Care Services into NHS Community Services. Together, the Trust and the Council are exploring transferring social care staff to WCT. Due diligence support is required for this </w:t>
      </w:r>
      <w:r>
        <w:rPr>
          <w:b w:val="0"/>
          <w:sz w:val="20"/>
          <w:szCs w:val="20"/>
        </w:rPr>
        <w:t>project</w:t>
      </w:r>
      <w:r w:rsidRPr="001E2724">
        <w:rPr>
          <w:b w:val="0"/>
          <w:sz w:val="20"/>
          <w:szCs w:val="20"/>
        </w:rPr>
        <w:t xml:space="preserve"> to enable both parties to understand the risks, issues and mitigations required for the integration to be acceptable to both organisations. </w:t>
      </w:r>
    </w:p>
    <w:p w:rsidR="001E2724" w:rsidRPr="001E2724" w:rsidRDefault="00EF7964" w:rsidP="001E2724">
      <w:pPr>
        <w:pStyle w:val="MRNumberedHeading2"/>
        <w:rPr>
          <w:b/>
        </w:rPr>
      </w:pPr>
      <w:r>
        <w:t>The work will be carried out for both clients jointly, informing both parties of the risks, issues and mitigations.</w:t>
      </w:r>
    </w:p>
    <w:p w:rsidR="001E2724" w:rsidRPr="001E2724" w:rsidRDefault="001E2724" w:rsidP="001E2724">
      <w:pPr>
        <w:pStyle w:val="MRNumberedHeading2"/>
        <w:rPr>
          <w:b/>
        </w:rPr>
      </w:pPr>
      <w:r>
        <w:t>WCT Board and Wirral Council Cabinet need to be assured that all risks associated with a transfer of Adult Social Care Services from the Council to WCT are considered and mitigated for, so that the transfer is acceptable to both organisations.</w:t>
      </w:r>
    </w:p>
    <w:p w:rsidR="001E2724" w:rsidRDefault="001E2724" w:rsidP="001E2724"/>
    <w:p w:rsidR="001E2724" w:rsidRDefault="001E2724" w:rsidP="001E2724">
      <w:pPr>
        <w:ind w:firstLine="720"/>
      </w:pPr>
      <w:r>
        <w:t>All issues and risks need to be investigated, including:</w:t>
      </w:r>
    </w:p>
    <w:p w:rsidR="001E2724" w:rsidRDefault="001E2724" w:rsidP="001E2724">
      <w:pPr>
        <w:ind w:firstLine="720"/>
      </w:pPr>
    </w:p>
    <w:p w:rsidR="001E2724" w:rsidRPr="00007052" w:rsidRDefault="001E2724" w:rsidP="001E2724">
      <w:pPr>
        <w:pStyle w:val="ListParagraph"/>
        <w:numPr>
          <w:ilvl w:val="0"/>
          <w:numId w:val="26"/>
        </w:numPr>
        <w:rPr>
          <w:rFonts w:ascii="Arial" w:hAnsi="Arial" w:cs="Arial"/>
          <w:sz w:val="20"/>
          <w:szCs w:val="20"/>
        </w:rPr>
      </w:pPr>
      <w:r w:rsidRPr="00007052">
        <w:rPr>
          <w:rFonts w:ascii="Arial" w:hAnsi="Arial" w:cs="Arial"/>
          <w:sz w:val="20"/>
          <w:szCs w:val="20"/>
        </w:rPr>
        <w:t>Model of delivery;</w:t>
      </w:r>
    </w:p>
    <w:p w:rsidR="001E2724" w:rsidRPr="00007052" w:rsidRDefault="001E2724" w:rsidP="001E2724">
      <w:pPr>
        <w:pStyle w:val="ListParagraph"/>
        <w:numPr>
          <w:ilvl w:val="0"/>
          <w:numId w:val="26"/>
        </w:numPr>
        <w:rPr>
          <w:rFonts w:ascii="Arial" w:hAnsi="Arial" w:cs="Arial"/>
          <w:sz w:val="20"/>
          <w:szCs w:val="20"/>
        </w:rPr>
      </w:pPr>
      <w:r w:rsidRPr="00007052">
        <w:rPr>
          <w:rFonts w:ascii="Arial" w:hAnsi="Arial" w:cs="Arial"/>
          <w:sz w:val="20"/>
          <w:szCs w:val="20"/>
        </w:rPr>
        <w:t>Financial;</w:t>
      </w:r>
    </w:p>
    <w:p w:rsidR="001E2724" w:rsidRPr="00007052" w:rsidRDefault="001E2724" w:rsidP="001E2724">
      <w:pPr>
        <w:pStyle w:val="ListParagraph"/>
        <w:numPr>
          <w:ilvl w:val="0"/>
          <w:numId w:val="26"/>
        </w:numPr>
        <w:rPr>
          <w:rFonts w:ascii="Arial" w:hAnsi="Arial" w:cs="Arial"/>
          <w:sz w:val="20"/>
          <w:szCs w:val="20"/>
        </w:rPr>
      </w:pPr>
      <w:r w:rsidRPr="00007052">
        <w:rPr>
          <w:rFonts w:ascii="Arial" w:hAnsi="Arial" w:cs="Arial"/>
          <w:sz w:val="20"/>
          <w:szCs w:val="20"/>
        </w:rPr>
        <w:t>Workforce;</w:t>
      </w:r>
    </w:p>
    <w:p w:rsidR="001E2724" w:rsidRPr="00007052" w:rsidRDefault="001E2724" w:rsidP="001E2724">
      <w:pPr>
        <w:pStyle w:val="ListParagraph"/>
        <w:numPr>
          <w:ilvl w:val="0"/>
          <w:numId w:val="26"/>
        </w:numPr>
        <w:rPr>
          <w:rFonts w:ascii="Arial" w:hAnsi="Arial" w:cs="Arial"/>
          <w:sz w:val="20"/>
          <w:szCs w:val="20"/>
        </w:rPr>
      </w:pPr>
      <w:r w:rsidRPr="00007052">
        <w:rPr>
          <w:rFonts w:ascii="Arial" w:hAnsi="Arial" w:cs="Arial"/>
          <w:sz w:val="20"/>
          <w:szCs w:val="20"/>
        </w:rPr>
        <w:t>Quality of care;</w:t>
      </w:r>
    </w:p>
    <w:p w:rsidR="001E2724" w:rsidRPr="00007052" w:rsidRDefault="001E2724" w:rsidP="001E2724">
      <w:pPr>
        <w:pStyle w:val="ListParagraph"/>
        <w:numPr>
          <w:ilvl w:val="0"/>
          <w:numId w:val="26"/>
        </w:numPr>
        <w:rPr>
          <w:rFonts w:ascii="Arial" w:hAnsi="Arial" w:cs="Arial"/>
          <w:sz w:val="20"/>
          <w:szCs w:val="20"/>
        </w:rPr>
      </w:pPr>
      <w:r w:rsidRPr="00007052">
        <w:rPr>
          <w:rFonts w:ascii="Arial" w:hAnsi="Arial" w:cs="Arial"/>
          <w:sz w:val="20"/>
          <w:szCs w:val="20"/>
        </w:rPr>
        <w:t>Stakeholder interaction;</w:t>
      </w:r>
    </w:p>
    <w:p w:rsidR="001E2724" w:rsidRPr="00007052" w:rsidRDefault="001E2724" w:rsidP="001E2724">
      <w:pPr>
        <w:pStyle w:val="ListParagraph"/>
        <w:numPr>
          <w:ilvl w:val="0"/>
          <w:numId w:val="26"/>
        </w:numPr>
        <w:rPr>
          <w:rFonts w:ascii="Arial" w:hAnsi="Arial" w:cs="Arial"/>
          <w:sz w:val="20"/>
          <w:szCs w:val="20"/>
        </w:rPr>
      </w:pPr>
      <w:r w:rsidRPr="00007052">
        <w:rPr>
          <w:rFonts w:ascii="Arial" w:hAnsi="Arial" w:cs="Arial"/>
          <w:sz w:val="20"/>
          <w:szCs w:val="20"/>
        </w:rPr>
        <w:t>Policy changes;</w:t>
      </w:r>
    </w:p>
    <w:p w:rsidR="001E2724" w:rsidRPr="00007052" w:rsidRDefault="001E2724" w:rsidP="001E2724">
      <w:pPr>
        <w:pStyle w:val="ListParagraph"/>
        <w:numPr>
          <w:ilvl w:val="0"/>
          <w:numId w:val="26"/>
        </w:numPr>
        <w:rPr>
          <w:rFonts w:ascii="Arial" w:hAnsi="Arial" w:cs="Arial"/>
          <w:sz w:val="20"/>
          <w:szCs w:val="20"/>
        </w:rPr>
      </w:pPr>
      <w:r w:rsidRPr="00007052">
        <w:rPr>
          <w:rFonts w:ascii="Arial" w:hAnsi="Arial" w:cs="Arial"/>
          <w:sz w:val="20"/>
          <w:szCs w:val="20"/>
        </w:rPr>
        <w:t>And all other relevant issues and risks.</w:t>
      </w:r>
    </w:p>
    <w:p w:rsidR="00F33E52" w:rsidRDefault="001E2724" w:rsidP="00F33E52">
      <w:pPr>
        <w:ind w:left="850"/>
      </w:pPr>
      <w:r>
        <w:t>The work will involve gathering information, from Adult Social Care Services at W</w:t>
      </w:r>
      <w:r w:rsidR="00007052">
        <w:t>MB</w:t>
      </w:r>
      <w:r>
        <w:t>C and Community Services at WCT, which will need to be analysed and reported in the form of issues and risks, and mitigations proposed. This work will take place alongside the development of an operating model being progressed by a joint project team.</w:t>
      </w:r>
    </w:p>
    <w:p w:rsidR="00F33E52" w:rsidRDefault="00F33E52" w:rsidP="00F33E52"/>
    <w:p w:rsidR="00F33E52" w:rsidRPr="00F33E52" w:rsidRDefault="00F33E52" w:rsidP="00F33E52">
      <w:r>
        <w:t>2.3</w:t>
      </w:r>
      <w:r>
        <w:tab/>
      </w:r>
      <w:r w:rsidRPr="00594238">
        <w:rPr>
          <w:b/>
        </w:rPr>
        <w:t>Value</w:t>
      </w:r>
      <w:r>
        <w:rPr>
          <w:b/>
        </w:rPr>
        <w:t xml:space="preserve"> of the work</w:t>
      </w:r>
    </w:p>
    <w:p w:rsidR="00F33E52" w:rsidRDefault="00F33E52" w:rsidP="00F33E52"/>
    <w:p w:rsidR="00F33E52" w:rsidRDefault="00F33E52" w:rsidP="00F33E52">
      <w:pPr>
        <w:ind w:left="850"/>
      </w:pPr>
      <w:r>
        <w:t>The value of the business that is being considered for transfer is circa £9 million, and consists of circa 80 staff.</w:t>
      </w:r>
    </w:p>
    <w:p w:rsidR="00F33E52" w:rsidRDefault="00F33E52" w:rsidP="00F33E52">
      <w:pPr>
        <w:rPr>
          <w:rStyle w:val="Hyperlink"/>
          <w:b/>
          <w:color w:val="000000" w:themeColor="text1"/>
        </w:rPr>
      </w:pPr>
    </w:p>
    <w:p w:rsidR="007D66FE" w:rsidRDefault="007D66FE" w:rsidP="00F33E52">
      <w:pPr>
        <w:ind w:firstLine="850"/>
        <w:rPr>
          <w:rStyle w:val="Hyperlink"/>
          <w:b/>
          <w:color w:val="000000" w:themeColor="text1"/>
          <w:highlight w:val="yellow"/>
        </w:rPr>
      </w:pPr>
    </w:p>
    <w:p w:rsidR="00873962" w:rsidRDefault="00873962" w:rsidP="00F33E52">
      <w:pPr>
        <w:ind w:firstLine="850"/>
        <w:rPr>
          <w:rStyle w:val="Hyperlink"/>
          <w:b/>
          <w:color w:val="000000" w:themeColor="text1"/>
          <w:highlight w:val="yellow"/>
        </w:rPr>
      </w:pPr>
    </w:p>
    <w:p w:rsidR="00873962" w:rsidRDefault="00873962" w:rsidP="00F33E52">
      <w:pPr>
        <w:ind w:firstLine="850"/>
        <w:rPr>
          <w:rStyle w:val="Hyperlink"/>
          <w:b/>
          <w:color w:val="000000" w:themeColor="text1"/>
          <w:highlight w:val="yellow"/>
        </w:rPr>
      </w:pPr>
    </w:p>
    <w:p w:rsidR="00873962" w:rsidRDefault="00873962" w:rsidP="00F33E52">
      <w:pPr>
        <w:ind w:firstLine="850"/>
        <w:rPr>
          <w:rStyle w:val="Hyperlink"/>
          <w:b/>
          <w:color w:val="000000" w:themeColor="text1"/>
          <w:highlight w:val="yellow"/>
        </w:rPr>
      </w:pPr>
    </w:p>
    <w:p w:rsidR="0016628D" w:rsidRDefault="0016628D" w:rsidP="00F33E52">
      <w:pPr>
        <w:ind w:firstLine="850"/>
        <w:rPr>
          <w:rStyle w:val="Hyperlink"/>
          <w:b/>
          <w:color w:val="000000" w:themeColor="text1"/>
          <w:highlight w:val="yellow"/>
        </w:rPr>
      </w:pPr>
    </w:p>
    <w:p w:rsidR="00F33E52" w:rsidRPr="001B11D9" w:rsidRDefault="00F33E52" w:rsidP="0016628D">
      <w:pPr>
        <w:ind w:left="709"/>
        <w:rPr>
          <w:b/>
          <w:color w:val="000000" w:themeColor="text1"/>
        </w:rPr>
      </w:pPr>
      <w:r w:rsidRPr="001B11D9">
        <w:rPr>
          <w:rStyle w:val="Hyperlink"/>
          <w:b/>
          <w:color w:val="000000" w:themeColor="text1"/>
        </w:rPr>
        <w:lastRenderedPageBreak/>
        <w:t>Timescale</w:t>
      </w:r>
    </w:p>
    <w:p w:rsidR="00F33E52" w:rsidRPr="001B11D9" w:rsidRDefault="00F33E52" w:rsidP="00F33E52"/>
    <w:p w:rsidR="00F33E52" w:rsidRPr="001B11D9" w:rsidRDefault="00F33E52" w:rsidP="00F33E52">
      <w:pPr>
        <w:ind w:left="720"/>
      </w:pPr>
      <w:r w:rsidRPr="001B11D9">
        <w:t xml:space="preserve">Our aspiration is to launch the proposed new delivery vehicle </w:t>
      </w:r>
      <w:r w:rsidR="00007052" w:rsidRPr="001B11D9">
        <w:t>early in the new financial year 2016-17</w:t>
      </w:r>
      <w:r w:rsidRPr="001B11D9">
        <w:t xml:space="preserve">. Project governance is in place, with a series of work streams to develop operational and financial models, workforce and communication plans. </w:t>
      </w:r>
    </w:p>
    <w:p w:rsidR="00F33E52" w:rsidRPr="001B11D9" w:rsidRDefault="00F33E52" w:rsidP="00F33E52">
      <w:pPr>
        <w:ind w:firstLine="720"/>
      </w:pPr>
    </w:p>
    <w:p w:rsidR="00F33E52" w:rsidRDefault="00F33E52" w:rsidP="00007052">
      <w:pPr>
        <w:ind w:left="709"/>
      </w:pPr>
      <w:r w:rsidRPr="001B11D9">
        <w:t>We require due diligence reporting to WCT Board and W</w:t>
      </w:r>
      <w:r w:rsidR="00007052" w:rsidRPr="001B11D9">
        <w:t>MB</w:t>
      </w:r>
      <w:r w:rsidRPr="001B11D9">
        <w:t xml:space="preserve">C Cabinet by </w:t>
      </w:r>
      <w:r w:rsidR="00007052" w:rsidRPr="001B11D9">
        <w:t xml:space="preserve">the end of March </w:t>
      </w:r>
      <w:proofErr w:type="gramStart"/>
      <w:r w:rsidR="00007052" w:rsidRPr="001B11D9">
        <w:t xml:space="preserve">2016 </w:t>
      </w:r>
      <w:r w:rsidRPr="001B11D9">
        <w:t>.</w:t>
      </w:r>
      <w:proofErr w:type="gramEnd"/>
    </w:p>
    <w:p w:rsidR="00F33E52" w:rsidRDefault="00F33E52" w:rsidP="001E2724">
      <w:pPr>
        <w:ind w:left="720"/>
      </w:pPr>
    </w:p>
    <w:p w:rsidR="00603A0D" w:rsidRDefault="00603A0D" w:rsidP="006B54D6">
      <w:pPr>
        <w:pStyle w:val="MRNumberedHeading2"/>
      </w:pPr>
      <w:bookmarkStart w:id="14" w:name="_Toc403555087"/>
      <w:r w:rsidRPr="00533CB2">
        <w:t xml:space="preserve">Full details of the Authority's requirements are set out in the Specification in </w:t>
      </w:r>
      <w:r w:rsidR="007F5F02">
        <w:t>Annex B2</w:t>
      </w:r>
      <w:r w:rsidR="0050545F">
        <w:t xml:space="preserve"> of Section B</w:t>
      </w:r>
      <w:r w:rsidR="007F5F02">
        <w:t>.</w:t>
      </w:r>
      <w:bookmarkEnd w:id="14"/>
      <w:r w:rsidR="007F5F02">
        <w:t xml:space="preserve"> </w:t>
      </w:r>
    </w:p>
    <w:p w:rsidR="005275E6" w:rsidRPr="00B73B57" w:rsidRDefault="00B73B57" w:rsidP="0097239C">
      <w:pPr>
        <w:pStyle w:val="MRNumberedHeading2"/>
      </w:pPr>
      <w:r w:rsidRPr="00B73B57">
        <w:t xml:space="preserve">The Authority is committed to supporting the Government’s small and medium-sized enterprise (SME) initiative; its aspiration is that 25% of spend, direct and through the supply chain, goes to SMEs by 2015. Suppliers are encouraged to work with the Authority to support the wider SME initiative.  </w:t>
      </w:r>
    </w:p>
    <w:p w:rsidR="00603A0D" w:rsidRPr="00B73B57" w:rsidRDefault="00603A0D" w:rsidP="006B54D6">
      <w:pPr>
        <w:pStyle w:val="MRNumberedHeading2"/>
      </w:pPr>
      <w:bookmarkStart w:id="15" w:name="_Toc403555090"/>
      <w:bookmarkStart w:id="16" w:name="_Ref405452851"/>
      <w:r w:rsidRPr="00B73B57">
        <w:t>The link below to the Cabinet Office website provides information on the Government’s Crown Representative for SMEs</w:t>
      </w:r>
      <w:r w:rsidR="00E82493" w:rsidRPr="00B73B57">
        <w:t>,</w:t>
      </w:r>
      <w:r w:rsidRPr="00B73B57">
        <w:t xml:space="preserve"> a link to the definition of an SME and details on the SME initiative:  </w:t>
      </w:r>
      <w:hyperlink r:id="rId15" w:history="1">
        <w:r w:rsidR="00586006" w:rsidRPr="00B73B57">
          <w:t>https://www.gov.uk/government/policies/buying-and-managing-government-goods-and-services-more-efficiently-and-effectively/supporting-pages/making-sure-government-gets-full-value-from-small-and-medium-sized-enterprises</w:t>
        </w:r>
      </w:hyperlink>
      <w:r w:rsidR="004F391B" w:rsidRPr="00B73B57">
        <w:t>.</w:t>
      </w:r>
      <w:bookmarkEnd w:id="15"/>
      <w:bookmarkEnd w:id="16"/>
      <w:r w:rsidR="00B73B57" w:rsidRPr="00B73B57">
        <w:t xml:space="preserve"> </w:t>
      </w:r>
    </w:p>
    <w:p w:rsidR="006534CF" w:rsidRDefault="00825FC5" w:rsidP="00337295">
      <w:pPr>
        <w:pStyle w:val="Heading1"/>
        <w:spacing w:before="240" w:after="0"/>
        <w:ind w:left="709"/>
        <w:rPr>
          <w:b w:val="0"/>
        </w:rPr>
      </w:pPr>
      <w:bookmarkStart w:id="17" w:name="_Toc403555093"/>
      <w:r w:rsidRPr="008646F0">
        <w:t>Questions</w:t>
      </w:r>
      <w:r w:rsidRPr="008646F0">
        <w:rPr>
          <w:b w:val="0"/>
        </w:rPr>
        <w:t xml:space="preserve"> </w:t>
      </w:r>
      <w:r w:rsidRPr="008646F0">
        <w:t>about this ITT</w:t>
      </w:r>
      <w:bookmarkEnd w:id="17"/>
    </w:p>
    <w:p w:rsidR="00A4489A" w:rsidRPr="009A3E29" w:rsidRDefault="00825FC5" w:rsidP="006B54D6">
      <w:pPr>
        <w:pStyle w:val="MRNumberedHeading2"/>
      </w:pPr>
      <w:bookmarkStart w:id="18" w:name="_Toc403555094"/>
      <w:bookmarkStart w:id="19" w:name="_Ref405452872"/>
      <w:r>
        <w:t xml:space="preserve">You may submit, by no later than </w:t>
      </w:r>
      <w:r w:rsidR="008101A1">
        <w:t>15th</w:t>
      </w:r>
      <w:r w:rsidR="00007052">
        <w:t xml:space="preserve"> December </w:t>
      </w:r>
      <w:r>
        <w:t xml:space="preserve">any queries that you have relating to this ITT.  Please submit such queries </w:t>
      </w:r>
      <w:r w:rsidR="001B11D9">
        <w:t xml:space="preserve">via </w:t>
      </w:r>
      <w:r w:rsidR="001E2724">
        <w:t xml:space="preserve">e-mail </w:t>
      </w:r>
      <w:r w:rsidR="00D5659E">
        <w:t>to</w:t>
      </w:r>
      <w:r w:rsidR="001E2724">
        <w:t xml:space="preserve"> </w:t>
      </w:r>
      <w:r w:rsidR="00007052">
        <w:t>procurement@wirralct.nhs.uk</w:t>
      </w:r>
      <w:r w:rsidR="00CF3C3F">
        <w:t xml:space="preserve"> </w:t>
      </w:r>
      <w:bookmarkEnd w:id="18"/>
      <w:bookmarkEnd w:id="19"/>
    </w:p>
    <w:p w:rsidR="00825FC5" w:rsidRDefault="00825FC5" w:rsidP="006B54D6">
      <w:pPr>
        <w:pStyle w:val="MRNumberedHeading2"/>
      </w:pPr>
      <w:bookmarkStart w:id="20"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0"/>
    </w:p>
    <w:p w:rsidR="004E71FF" w:rsidRPr="005A2E47" w:rsidRDefault="00825FC5" w:rsidP="006B54D6">
      <w:pPr>
        <w:pStyle w:val="MRNumberedHeading2"/>
      </w:pPr>
      <w:bookmarkStart w:id="21" w:name="_Toc403555096"/>
      <w:r>
        <w:t xml:space="preserve">Answers to the questions received by the Authority will be circulated to all </w:t>
      </w:r>
      <w:r w:rsidR="00DC0F21">
        <w:t>Bidders</w:t>
      </w:r>
      <w:r w:rsidR="006032F2">
        <w:t xml:space="preserve"> </w:t>
      </w:r>
      <w:r w:rsidR="00D5659E">
        <w:t xml:space="preserve">via </w:t>
      </w:r>
      <w:r w:rsidR="0050545F">
        <w:t>e-</w:t>
      </w:r>
      <w:r w:rsidR="00D5659E">
        <w:t>mail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1"/>
      <w:r w:rsidR="004E71FF">
        <w:br w:type="page"/>
      </w:r>
    </w:p>
    <w:p w:rsidR="008D3217" w:rsidRPr="008F3D2C" w:rsidRDefault="008D3217" w:rsidP="0097239C">
      <w:pPr>
        <w:pStyle w:val="MRNumberedHeading1"/>
        <w:numPr>
          <w:ilvl w:val="0"/>
          <w:numId w:val="19"/>
        </w:numPr>
        <w:tabs>
          <w:tab w:val="clear" w:pos="798"/>
          <w:tab w:val="num" w:pos="709"/>
        </w:tabs>
        <w:ind w:hanging="798"/>
        <w:rPr>
          <w:sz w:val="20"/>
          <w:szCs w:val="20"/>
        </w:rPr>
      </w:pPr>
      <w:bookmarkStart w:id="22" w:name="_Toc403556502"/>
      <w:bookmarkStart w:id="23" w:name="_Toc403556507"/>
      <w:r w:rsidRPr="008F3D2C">
        <w:rPr>
          <w:sz w:val="20"/>
          <w:szCs w:val="20"/>
        </w:rPr>
        <w:lastRenderedPageBreak/>
        <w:t>TENDER TIMETABLE</w:t>
      </w:r>
      <w:bookmarkEnd w:id="22"/>
      <w:bookmarkEnd w:id="23"/>
    </w:p>
    <w:p w:rsidR="008D3217" w:rsidRPr="00276E1B" w:rsidRDefault="008D3217" w:rsidP="00337295">
      <w:pPr>
        <w:pStyle w:val="Heading1"/>
        <w:spacing w:before="240" w:after="0"/>
        <w:ind w:left="709"/>
      </w:pPr>
      <w:bookmarkStart w:id="24" w:name="_Toc403555097"/>
      <w:r w:rsidRPr="00276E1B">
        <w:t>Key dates</w:t>
      </w:r>
      <w:bookmarkEnd w:id="24"/>
    </w:p>
    <w:p w:rsidR="008D3217" w:rsidRDefault="008D3217" w:rsidP="006B54D6">
      <w:pPr>
        <w:pStyle w:val="MRNumberedHeading2"/>
      </w:pPr>
      <w:bookmarkStart w:id="25"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25"/>
      <w:r w:rsidR="00B46DA5">
        <w:t xml:space="preserve"> </w:t>
      </w:r>
    </w:p>
    <w:p w:rsidR="00B46DA5" w:rsidRDefault="00FE07BA" w:rsidP="006B54D6">
      <w:pPr>
        <w:pStyle w:val="MRNumberedHeading2"/>
      </w:pPr>
      <w:bookmarkStart w:id="26" w:name="_Toc403555099"/>
      <w:bookmarkStart w:id="27" w:name="_Ref405452883"/>
      <w:bookmarkStart w:id="28" w:name="_Ref406061800"/>
      <w:bookmarkStart w:id="29" w:name="_Ref406062870"/>
      <w:r>
        <w:t>The key dates for this procurement are currently anticipated to be as follows:</w:t>
      </w:r>
      <w:bookmarkEnd w:id="26"/>
      <w:bookmarkEnd w:id="27"/>
      <w:bookmarkEnd w:id="28"/>
      <w:bookmarkEnd w:id="29"/>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5387"/>
        <w:gridCol w:w="2693"/>
      </w:tblGrid>
      <w:tr w:rsidR="00FE07BA" w:rsidTr="008C5577">
        <w:tc>
          <w:tcPr>
            <w:tcW w:w="5387"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8C5577">
        <w:tc>
          <w:tcPr>
            <w:tcW w:w="5387" w:type="dxa"/>
          </w:tcPr>
          <w:p w:rsidR="00FE07BA" w:rsidRDefault="00FE07BA" w:rsidP="00FE07BA">
            <w:pPr>
              <w:pStyle w:val="Heading2"/>
              <w:numPr>
                <w:ilvl w:val="0"/>
                <w:numId w:val="0"/>
              </w:numPr>
              <w:outlineLvl w:val="1"/>
            </w:pPr>
            <w:r>
              <w:t>ITT issued</w:t>
            </w:r>
          </w:p>
        </w:tc>
        <w:tc>
          <w:tcPr>
            <w:tcW w:w="2693" w:type="dxa"/>
          </w:tcPr>
          <w:p w:rsidR="003273D3" w:rsidRPr="0016628D" w:rsidRDefault="00007052" w:rsidP="00007052">
            <w:pPr>
              <w:pStyle w:val="MRNumberedHeading2"/>
            </w:pPr>
            <w:r w:rsidRPr="0016628D">
              <w:t>Monday 11th</w:t>
            </w:r>
            <w:r w:rsidR="00D5659E" w:rsidRPr="0016628D">
              <w:t xml:space="preserve"> December</w:t>
            </w:r>
            <w:r w:rsidR="000546AF" w:rsidRPr="0016628D">
              <w:t xml:space="preserve"> </w:t>
            </w:r>
            <w:r w:rsidR="000E684F" w:rsidRPr="0016628D">
              <w:t xml:space="preserve"> 2015</w:t>
            </w:r>
          </w:p>
        </w:tc>
      </w:tr>
      <w:tr w:rsidR="00FE07BA" w:rsidTr="008C5577">
        <w:tc>
          <w:tcPr>
            <w:tcW w:w="5387" w:type="dxa"/>
          </w:tcPr>
          <w:p w:rsidR="00FE07BA" w:rsidRDefault="00FE07BA" w:rsidP="00FE07BA">
            <w:pPr>
              <w:pStyle w:val="Heading2"/>
              <w:numPr>
                <w:ilvl w:val="0"/>
                <w:numId w:val="0"/>
              </w:numPr>
              <w:outlineLvl w:val="1"/>
            </w:pPr>
            <w:r>
              <w:t>Deadline for the receipt of clarification questions</w:t>
            </w:r>
          </w:p>
        </w:tc>
        <w:tc>
          <w:tcPr>
            <w:tcW w:w="2693" w:type="dxa"/>
          </w:tcPr>
          <w:p w:rsidR="003273D3" w:rsidRPr="0016628D" w:rsidRDefault="001B11D9" w:rsidP="00007052">
            <w:pPr>
              <w:pStyle w:val="MRNumberedHeading2"/>
            </w:pPr>
            <w:r>
              <w:t>Friday 15</w:t>
            </w:r>
            <w:r w:rsidR="00007052" w:rsidRPr="0016628D">
              <w:t>th</w:t>
            </w:r>
            <w:r w:rsidR="007D66FE" w:rsidRPr="0016628D">
              <w:t xml:space="preserve"> December 2015</w:t>
            </w:r>
          </w:p>
        </w:tc>
      </w:tr>
      <w:tr w:rsidR="00FE07BA" w:rsidRPr="007D66FE" w:rsidTr="008C5577">
        <w:tc>
          <w:tcPr>
            <w:tcW w:w="5387" w:type="dxa"/>
          </w:tcPr>
          <w:p w:rsidR="00FE07BA" w:rsidRDefault="00FE07BA" w:rsidP="00FE07BA">
            <w:pPr>
              <w:pStyle w:val="Heading2"/>
              <w:numPr>
                <w:ilvl w:val="0"/>
                <w:numId w:val="0"/>
              </w:numPr>
              <w:outlineLvl w:val="1"/>
            </w:pPr>
            <w:r>
              <w:t>Target date for responses to clarification questions</w:t>
            </w:r>
          </w:p>
        </w:tc>
        <w:tc>
          <w:tcPr>
            <w:tcW w:w="2693" w:type="dxa"/>
          </w:tcPr>
          <w:p w:rsidR="003273D3" w:rsidRPr="0016628D" w:rsidRDefault="00007052" w:rsidP="00007052">
            <w:pPr>
              <w:pStyle w:val="MRNumberedHeading2"/>
            </w:pPr>
            <w:r w:rsidRPr="0016628D">
              <w:t>Tuesday 22nd</w:t>
            </w:r>
            <w:r w:rsidR="007D66FE" w:rsidRPr="0016628D">
              <w:t xml:space="preserve"> December 2015</w:t>
            </w:r>
          </w:p>
        </w:tc>
      </w:tr>
      <w:tr w:rsidR="00FE07BA" w:rsidTr="008C5577">
        <w:tc>
          <w:tcPr>
            <w:tcW w:w="5387" w:type="dxa"/>
          </w:tcPr>
          <w:p w:rsidR="00FE07BA" w:rsidRDefault="00FE07BA" w:rsidP="00FE07BA">
            <w:pPr>
              <w:pStyle w:val="Heading2"/>
              <w:numPr>
                <w:ilvl w:val="0"/>
                <w:numId w:val="0"/>
              </w:numPr>
              <w:outlineLvl w:val="1"/>
            </w:pPr>
            <w:r>
              <w:t>Deadline for receipt of Tenders</w:t>
            </w:r>
          </w:p>
        </w:tc>
        <w:tc>
          <w:tcPr>
            <w:tcW w:w="2693" w:type="dxa"/>
          </w:tcPr>
          <w:p w:rsidR="003273D3" w:rsidRPr="0016628D" w:rsidRDefault="00AB7CE1" w:rsidP="00AB7CE1">
            <w:pPr>
              <w:pStyle w:val="MRNumberedHeading2"/>
            </w:pPr>
            <w:r w:rsidRPr="0016628D">
              <w:t>Thursday 31</w:t>
            </w:r>
            <w:r w:rsidRPr="0016628D">
              <w:rPr>
                <w:vertAlign w:val="superscript"/>
              </w:rPr>
              <w:t>st</w:t>
            </w:r>
            <w:r w:rsidRPr="0016628D">
              <w:t xml:space="preserve"> D</w:t>
            </w:r>
            <w:r w:rsidR="00D5659E" w:rsidRPr="0016628D">
              <w:t>ecember 2015</w:t>
            </w:r>
            <w:r w:rsidR="000E684F" w:rsidRPr="0016628D">
              <w:t xml:space="preserve">, </w:t>
            </w:r>
            <w:r w:rsidR="00742307" w:rsidRPr="0016628D">
              <w:t>12:00 Noon</w:t>
            </w:r>
          </w:p>
        </w:tc>
      </w:tr>
      <w:tr w:rsidR="00FE07BA" w:rsidTr="008C5577">
        <w:tc>
          <w:tcPr>
            <w:tcW w:w="5387" w:type="dxa"/>
          </w:tcPr>
          <w:p w:rsidR="00FE07BA" w:rsidRDefault="00FE07BA" w:rsidP="00FE07BA">
            <w:pPr>
              <w:pStyle w:val="Heading2"/>
              <w:numPr>
                <w:ilvl w:val="0"/>
                <w:numId w:val="0"/>
              </w:numPr>
              <w:outlineLvl w:val="1"/>
            </w:pPr>
            <w:r>
              <w:t>Evaluation of Tenders</w:t>
            </w:r>
          </w:p>
        </w:tc>
        <w:tc>
          <w:tcPr>
            <w:tcW w:w="2693" w:type="dxa"/>
          </w:tcPr>
          <w:p w:rsidR="003273D3" w:rsidRPr="0016628D" w:rsidRDefault="00AB7CE1" w:rsidP="00AB7CE1">
            <w:pPr>
              <w:pStyle w:val="MRNumberedHeading2"/>
            </w:pPr>
            <w:r w:rsidRPr="0016628D">
              <w:t>Monday 4</w:t>
            </w:r>
            <w:r w:rsidRPr="0016628D">
              <w:rPr>
                <w:vertAlign w:val="superscript"/>
              </w:rPr>
              <w:t>th</w:t>
            </w:r>
            <w:r w:rsidRPr="0016628D">
              <w:t xml:space="preserve"> January </w:t>
            </w:r>
            <w:r w:rsidR="00742307" w:rsidRPr="0016628D">
              <w:t>201</w:t>
            </w:r>
            <w:r w:rsidRPr="0016628D">
              <w:t>6</w:t>
            </w:r>
            <w:r w:rsidR="00742307" w:rsidRPr="0016628D">
              <w:t xml:space="preserve"> – </w:t>
            </w:r>
            <w:r w:rsidRPr="0016628D">
              <w:t>8</w:t>
            </w:r>
            <w:r w:rsidRPr="0016628D">
              <w:rPr>
                <w:vertAlign w:val="superscript"/>
              </w:rPr>
              <w:t>th</w:t>
            </w:r>
            <w:r w:rsidRPr="0016628D">
              <w:t xml:space="preserve"> January 2016</w:t>
            </w:r>
          </w:p>
        </w:tc>
      </w:tr>
      <w:tr w:rsidR="00FE07BA" w:rsidTr="008C5577">
        <w:tc>
          <w:tcPr>
            <w:tcW w:w="5387" w:type="dxa"/>
          </w:tcPr>
          <w:p w:rsidR="00FE07BA" w:rsidRDefault="00623252" w:rsidP="00FE07BA">
            <w:pPr>
              <w:pStyle w:val="Heading2"/>
              <w:numPr>
                <w:ilvl w:val="0"/>
                <w:numId w:val="0"/>
              </w:numPr>
              <w:outlineLvl w:val="1"/>
            </w:pPr>
            <w:r>
              <w:t>C</w:t>
            </w:r>
            <w:r w:rsidR="00FE07BA">
              <w:t>ontract award</w:t>
            </w:r>
          </w:p>
        </w:tc>
        <w:tc>
          <w:tcPr>
            <w:tcW w:w="2693" w:type="dxa"/>
          </w:tcPr>
          <w:p w:rsidR="003273D3" w:rsidRPr="0016628D" w:rsidRDefault="00AB7CE1" w:rsidP="00AB7CE1">
            <w:pPr>
              <w:pStyle w:val="MRNumberedHeading2"/>
            </w:pPr>
            <w:r w:rsidRPr="0016628D">
              <w:t>w/c Monday 11</w:t>
            </w:r>
            <w:r w:rsidRPr="0016628D">
              <w:rPr>
                <w:vertAlign w:val="superscript"/>
              </w:rPr>
              <w:t>th</w:t>
            </w:r>
            <w:r w:rsidRPr="0016628D">
              <w:t xml:space="preserve"> January 2016</w:t>
            </w:r>
          </w:p>
        </w:tc>
      </w:tr>
      <w:tr w:rsidR="00FE07BA" w:rsidTr="008C5577">
        <w:tc>
          <w:tcPr>
            <w:tcW w:w="5387" w:type="dxa"/>
          </w:tcPr>
          <w:p w:rsidR="00FE07BA" w:rsidRDefault="00FE07BA" w:rsidP="00FE07BA">
            <w:pPr>
              <w:pStyle w:val="Heading2"/>
              <w:numPr>
                <w:ilvl w:val="0"/>
                <w:numId w:val="0"/>
              </w:numPr>
              <w:outlineLvl w:val="1"/>
            </w:pPr>
            <w:r>
              <w:t xml:space="preserve">Contract work starts </w:t>
            </w:r>
          </w:p>
        </w:tc>
        <w:tc>
          <w:tcPr>
            <w:tcW w:w="2693" w:type="dxa"/>
          </w:tcPr>
          <w:p w:rsidR="003273D3" w:rsidRPr="0016628D" w:rsidRDefault="0016628D" w:rsidP="00AB7CE1">
            <w:pPr>
              <w:pStyle w:val="MRNumberedHeading2"/>
            </w:pPr>
            <w:r>
              <w:t>w/c</w:t>
            </w:r>
            <w:r w:rsidR="00AB7CE1" w:rsidRPr="0016628D">
              <w:t xml:space="preserve"> </w:t>
            </w:r>
            <w:r w:rsidR="00742307" w:rsidRPr="0016628D">
              <w:t xml:space="preserve">Monday </w:t>
            </w:r>
            <w:r w:rsidR="00AB7CE1" w:rsidRPr="0016628D">
              <w:t>25</w:t>
            </w:r>
            <w:r w:rsidR="00742307" w:rsidRPr="0016628D">
              <w:rPr>
                <w:vertAlign w:val="superscript"/>
              </w:rPr>
              <w:t>th</w:t>
            </w:r>
            <w:r w:rsidR="00742307" w:rsidRPr="0016628D">
              <w:t xml:space="preserve"> January 2016 </w:t>
            </w:r>
          </w:p>
        </w:tc>
      </w:tr>
    </w:tbl>
    <w:p w:rsidR="009A3E29" w:rsidRPr="009A3E29" w:rsidRDefault="009A3E29" w:rsidP="009A3E29">
      <w:pPr>
        <w:pStyle w:val="Heading2"/>
        <w:numPr>
          <w:ilvl w:val="0"/>
          <w:numId w:val="0"/>
        </w:numPr>
        <w:ind w:left="851"/>
      </w:pPr>
    </w:p>
    <w:p w:rsidR="00FE07BA" w:rsidRDefault="00FE07BA" w:rsidP="006B54D6">
      <w:pPr>
        <w:pStyle w:val="MRNumberedHeading2"/>
      </w:pPr>
      <w:bookmarkStart w:id="30" w:name="_Toc403555100"/>
      <w:bookmarkStart w:id="31" w:name="_Ref405452899"/>
      <w:r>
        <w:t>Whilst the Authority does not intend to depart from the timetable, it reserves the right to do so at any stage.</w:t>
      </w:r>
      <w:bookmarkEnd w:id="30"/>
      <w:bookmarkEnd w:id="31"/>
      <w:r>
        <w:t xml:space="preserve">  </w:t>
      </w:r>
    </w:p>
    <w:p w:rsidR="000831C0" w:rsidRPr="00276E1B" w:rsidRDefault="000E189B" w:rsidP="00337295">
      <w:pPr>
        <w:pStyle w:val="Heading1"/>
        <w:spacing w:before="240" w:after="0"/>
        <w:ind w:left="709"/>
      </w:pPr>
      <w:bookmarkStart w:id="32" w:name="_Toc403555104"/>
      <w:r w:rsidRPr="00276E1B">
        <w:t>Deadline for receipt of Tenders</w:t>
      </w:r>
      <w:bookmarkEnd w:id="32"/>
      <w:r w:rsidRPr="00276E1B">
        <w:t xml:space="preserve"> </w:t>
      </w:r>
    </w:p>
    <w:p w:rsidR="000831C0" w:rsidRDefault="0083677A" w:rsidP="006B54D6">
      <w:pPr>
        <w:pStyle w:val="MRNumberedHeading2"/>
      </w:pPr>
      <w:bookmarkStart w:id="33"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33"/>
    </w:p>
    <w:p w:rsidR="00E37725" w:rsidRDefault="00807CF7" w:rsidP="006B54D6">
      <w:pPr>
        <w:pStyle w:val="MRNumberedHeading2"/>
      </w:pPr>
      <w:bookmarkStart w:id="34" w:name="_Toc403555106"/>
      <w:bookmarkStart w:id="35" w:name="_Ref405452913"/>
      <w:r>
        <w:t>Any Tender received after the d</w:t>
      </w:r>
      <w:r w:rsidR="00E37725">
        <w:t>eadline</w:t>
      </w:r>
      <w:r w:rsidR="0083677A">
        <w:t xml:space="preserve"> or b</w:t>
      </w:r>
      <w:r w:rsidR="00D5659E">
        <w:t xml:space="preserve">y any method other than via </w:t>
      </w:r>
      <w:r w:rsidR="0050545F">
        <w:t>e-</w:t>
      </w:r>
      <w:r w:rsidR="00D5659E">
        <w:t xml:space="preserve">mail to the procurement inbox detailed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34"/>
      <w:bookmarkEnd w:id="35"/>
    </w:p>
    <w:p w:rsidR="008824CC" w:rsidRPr="00276E1B" w:rsidRDefault="008824CC" w:rsidP="00337295">
      <w:pPr>
        <w:pStyle w:val="Heading1"/>
        <w:spacing w:before="240" w:after="0"/>
        <w:ind w:left="709"/>
        <w:rPr>
          <w:i/>
          <w:color w:val="808080" w:themeColor="background1" w:themeShade="80"/>
        </w:rPr>
      </w:pPr>
      <w:bookmarkStart w:id="36" w:name="_Toc403555119"/>
      <w:r w:rsidRPr="00276E1B">
        <w:t>Contract award</w:t>
      </w:r>
      <w:bookmarkEnd w:id="36"/>
    </w:p>
    <w:p w:rsidR="00E56F27" w:rsidRDefault="008824CC" w:rsidP="006B54D6">
      <w:pPr>
        <w:pStyle w:val="MRNumberedHeading2"/>
      </w:pPr>
      <w:bookmarkStart w:id="37" w:name="_Toc403555120"/>
      <w:r>
        <w:t>Contract award is subject to the formal approval process of the Authority. Until all necessary approvals are obtained and the</w:t>
      </w:r>
      <w:r w:rsidR="00AD1F28">
        <w:t xml:space="preserve"> voluntary</w:t>
      </w:r>
      <w:r>
        <w:t xml:space="preserve"> s</w:t>
      </w:r>
      <w:r w:rsidR="00E56F27">
        <w:t>tandstill period completed, no c</w:t>
      </w:r>
      <w:r>
        <w:t>ontract(s) will be entered into.</w:t>
      </w:r>
      <w:bookmarkEnd w:id="37"/>
    </w:p>
    <w:p w:rsidR="004E71FF" w:rsidRPr="005A2E47" w:rsidRDefault="008824CC" w:rsidP="006B54D6">
      <w:pPr>
        <w:pStyle w:val="MRNumberedHeading2"/>
      </w:pPr>
      <w:bookmarkStart w:id="38" w:name="_Toc403555121"/>
      <w:bookmarkStart w:id="39" w:name="_Ref405452945"/>
      <w:r>
        <w:t>Once the Authority has reached a decision in respect of a cont</w:t>
      </w:r>
      <w:r w:rsidR="001065C5">
        <w:t>ract award, it will notify all B</w:t>
      </w:r>
      <w:r>
        <w:t xml:space="preserve">idders of that decision and provide for a </w:t>
      </w:r>
      <w:r w:rsidR="0079187F">
        <w:t xml:space="preserve">voluntary </w:t>
      </w:r>
      <w:r>
        <w:t>stands</w:t>
      </w:r>
      <w:r w:rsidR="00E56F27">
        <w:t>till period before entering into any c</w:t>
      </w:r>
      <w:r>
        <w:t>ontract(s).</w:t>
      </w:r>
      <w:bookmarkEnd w:id="38"/>
      <w:bookmarkEnd w:id="39"/>
      <w:r w:rsidR="004E71FF">
        <w:br w:type="page"/>
      </w:r>
    </w:p>
    <w:p w:rsidR="008824CC" w:rsidRPr="008F3D2C" w:rsidRDefault="00A57D02" w:rsidP="0097239C">
      <w:pPr>
        <w:pStyle w:val="MRNumberedHeading1"/>
        <w:numPr>
          <w:ilvl w:val="0"/>
          <w:numId w:val="19"/>
        </w:numPr>
        <w:ind w:hanging="798"/>
        <w:rPr>
          <w:sz w:val="20"/>
          <w:szCs w:val="20"/>
        </w:rPr>
      </w:pPr>
      <w:bookmarkStart w:id="40" w:name="_Toc403556503"/>
      <w:bookmarkStart w:id="41" w:name="_Toc403556508"/>
      <w:r w:rsidRPr="008F3D2C">
        <w:rPr>
          <w:sz w:val="20"/>
          <w:szCs w:val="20"/>
        </w:rPr>
        <w:lastRenderedPageBreak/>
        <w:t xml:space="preserve">INSTRUCTIONS TO </w:t>
      </w:r>
      <w:r w:rsidR="00E7163F" w:rsidRPr="008F3D2C">
        <w:rPr>
          <w:sz w:val="20"/>
          <w:szCs w:val="20"/>
        </w:rPr>
        <w:t>BIDDERS</w:t>
      </w:r>
      <w:bookmarkEnd w:id="40"/>
      <w:bookmarkEnd w:id="41"/>
      <w:r w:rsidRPr="008F3D2C">
        <w:rPr>
          <w:sz w:val="20"/>
          <w:szCs w:val="20"/>
        </w:rPr>
        <w:t xml:space="preserve"> </w:t>
      </w:r>
    </w:p>
    <w:p w:rsidR="006534CF" w:rsidRPr="00276E1B" w:rsidRDefault="00E41C42" w:rsidP="00337295">
      <w:pPr>
        <w:pStyle w:val="Heading1"/>
        <w:spacing w:before="240" w:after="0"/>
        <w:ind w:left="709"/>
      </w:pPr>
      <w:bookmarkStart w:id="42" w:name="_Toc403555122"/>
      <w:r w:rsidRPr="00276E1B">
        <w:t>Formalities for s</w:t>
      </w:r>
      <w:r w:rsidR="003E3EE7" w:rsidRPr="00276E1B">
        <w:t>ubmission of Tender</w:t>
      </w:r>
      <w:bookmarkEnd w:id="42"/>
      <w:r w:rsidR="00226AE3">
        <w:t>s</w:t>
      </w:r>
      <w:r w:rsidR="003E3EE7" w:rsidRPr="00276E1B">
        <w:t xml:space="preserve"> </w:t>
      </w:r>
    </w:p>
    <w:p w:rsidR="00E41C42" w:rsidRPr="000D6E33" w:rsidRDefault="00E7163F" w:rsidP="000D6E33">
      <w:pPr>
        <w:pStyle w:val="Heading1"/>
        <w:spacing w:before="240" w:after="0"/>
        <w:ind w:left="709"/>
        <w:rPr>
          <w:b w:val="0"/>
        </w:rPr>
      </w:pPr>
      <w:bookmarkStart w:id="43" w:name="_Toc403555123"/>
      <w:bookmarkStart w:id="44" w:name="_Ref405452954"/>
      <w:r w:rsidRPr="000D6E33">
        <w:rPr>
          <w:b w:val="0"/>
        </w:rPr>
        <w:t>Bidders</w:t>
      </w:r>
      <w:r w:rsidR="00CC6A3C" w:rsidRPr="000D6E33">
        <w:rPr>
          <w:b w:val="0"/>
        </w:rPr>
        <w:t xml:space="preserve"> must submit </w:t>
      </w:r>
      <w:r w:rsidR="002705A5" w:rsidRPr="000D6E33">
        <w:rPr>
          <w:b w:val="0"/>
        </w:rPr>
        <w:t xml:space="preserve">their Tenders by completing the Annexes to Section B of the ITT.   </w:t>
      </w:r>
      <w:r w:rsidR="00B667F9" w:rsidRPr="000D6E33">
        <w:rPr>
          <w:b w:val="0"/>
        </w:rPr>
        <w:t>As noted above, any Tender received after the deadline may not be considered.</w:t>
      </w:r>
      <w:bookmarkEnd w:id="43"/>
      <w:bookmarkEnd w:id="44"/>
    </w:p>
    <w:p w:rsidR="00E62354" w:rsidRPr="000D6E33" w:rsidRDefault="00FC24F6" w:rsidP="006B54D6">
      <w:pPr>
        <w:pStyle w:val="MRNumberedHeading2"/>
      </w:pPr>
      <w:bookmarkStart w:id="45" w:name="_Toc403555125"/>
      <w:bookmarkStart w:id="46" w:name="_Ref405453188"/>
      <w:r w:rsidRPr="000D6E33">
        <w:t>Bidders must adhere to the</w:t>
      </w:r>
      <w:r w:rsidR="00C27CC2" w:rsidRPr="000D6E33">
        <w:t xml:space="preserve"> following</w:t>
      </w:r>
      <w:r w:rsidR="002869D0" w:rsidRPr="000D6E33">
        <w:t xml:space="preserve"> standard</w:t>
      </w:r>
      <w:r w:rsidR="00C27CC2" w:rsidRPr="000D6E33">
        <w:t xml:space="preserve"> requirements </w:t>
      </w:r>
      <w:r w:rsidR="00E62354" w:rsidRPr="000D6E33">
        <w:t xml:space="preserve">when submitting </w:t>
      </w:r>
      <w:r w:rsidRPr="000D6E33">
        <w:t>their</w:t>
      </w:r>
      <w:r w:rsidR="00E62354" w:rsidRPr="000D6E33">
        <w:t xml:space="preserve"> </w:t>
      </w:r>
      <w:r w:rsidR="00C27CC2" w:rsidRPr="000D6E33">
        <w:t>Tenders:</w:t>
      </w:r>
      <w:bookmarkEnd w:id="45"/>
      <w:bookmarkEnd w:id="46"/>
    </w:p>
    <w:p w:rsidR="00E62354" w:rsidRPr="000D6E33" w:rsidRDefault="00FC24F6" w:rsidP="000D6E33">
      <w:pPr>
        <w:pStyle w:val="MRNumberedHeading2"/>
      </w:pPr>
      <w:r w:rsidRPr="000D6E33">
        <w:t>Do not embed documents</w:t>
      </w:r>
      <w:r w:rsidR="00C27CC2" w:rsidRPr="000D6E33">
        <w:t xml:space="preserve"> within other documents</w:t>
      </w:r>
      <w:r w:rsidRPr="000D6E33">
        <w:t>.</w:t>
      </w:r>
      <w:r w:rsidR="00C27CC2" w:rsidRPr="000D6E33">
        <w:t xml:space="preserve"> </w:t>
      </w:r>
      <w:r w:rsidRPr="000D6E33">
        <w:t>Instead</w:t>
      </w:r>
      <w:r w:rsidR="00C27CC2" w:rsidRPr="000D6E33">
        <w:t xml:space="preserve"> provide separate electronic copies of the </w:t>
      </w:r>
      <w:r w:rsidRPr="000D6E33">
        <w:t>documents, clearly labelled and referenced if necessary.</w:t>
      </w:r>
    </w:p>
    <w:p w:rsidR="00E62354" w:rsidRPr="000D6E33" w:rsidRDefault="00C27CC2" w:rsidP="000D6E33">
      <w:pPr>
        <w:pStyle w:val="MRNumberedHeading2"/>
      </w:pPr>
      <w:r w:rsidRPr="000D6E33">
        <w:t>The Tender must be in English and drafted in accordance with the drafting guidance set out in this ITT.</w:t>
      </w:r>
    </w:p>
    <w:p w:rsidR="00E62354" w:rsidRPr="000D6E33" w:rsidRDefault="00C27CC2" w:rsidP="000D6E33">
      <w:pPr>
        <w:pStyle w:val="MRNumberedHeading2"/>
      </w:pPr>
      <w:r w:rsidRPr="000D6E33">
        <w:t>The Tender must be fully cross-referenced</w:t>
      </w:r>
      <w:r w:rsidR="00F36F19" w:rsidRPr="000D6E33">
        <w:t xml:space="preserve"> and include a</w:t>
      </w:r>
      <w:r w:rsidR="007B6206" w:rsidRPr="000D6E33">
        <w:t xml:space="preserve"> table of contents.</w:t>
      </w:r>
    </w:p>
    <w:p w:rsidR="00E62354" w:rsidRPr="000D6E33" w:rsidRDefault="00A60BD1" w:rsidP="000D6E33">
      <w:pPr>
        <w:pStyle w:val="MRNumberedHeading2"/>
      </w:pPr>
      <w:r w:rsidRPr="000D6E33">
        <w:t>The Tender must include a l</w:t>
      </w:r>
      <w:r w:rsidR="00C27CC2" w:rsidRPr="000D6E33">
        <w:t xml:space="preserve">ist of </w:t>
      </w:r>
      <w:r w:rsidR="00F36F19" w:rsidRPr="000D6E33">
        <w:t xml:space="preserve">all </w:t>
      </w:r>
      <w:r w:rsidR="00C27CC2" w:rsidRPr="000D6E33">
        <w:t>supporting material.</w:t>
      </w:r>
    </w:p>
    <w:p w:rsidR="00E62354" w:rsidRPr="000D6E33" w:rsidRDefault="00F36F19" w:rsidP="000D6E33">
      <w:pPr>
        <w:pStyle w:val="MRNumberedHeading2"/>
        <w:rPr>
          <w:i/>
          <w:shd w:val="clear" w:color="auto" w:fill="FFFF66"/>
        </w:rPr>
      </w:pPr>
      <w:r w:rsidRPr="000D6E33">
        <w:t>E</w:t>
      </w:r>
      <w:r w:rsidR="00C27CC2" w:rsidRPr="000D6E33">
        <w:t xml:space="preserve">lectronic copies of the Tender shall be in both Microsoft </w:t>
      </w:r>
      <w:r w:rsidRPr="000D6E33">
        <w:t>Office formats</w:t>
      </w:r>
      <w:r w:rsidR="00C27CC2" w:rsidRPr="000D6E33">
        <w:t>.</w:t>
      </w:r>
    </w:p>
    <w:p w:rsidR="007B6206" w:rsidRDefault="007B6206" w:rsidP="006B54D6">
      <w:pPr>
        <w:pStyle w:val="MRNumberedHeading2"/>
      </w:pPr>
      <w:bookmarkStart w:id="47"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47"/>
      <w:r>
        <w:t xml:space="preserve">  </w:t>
      </w:r>
    </w:p>
    <w:p w:rsidR="00601937" w:rsidRDefault="00C27CC2" w:rsidP="006B54D6">
      <w:pPr>
        <w:pStyle w:val="MRNumberedHeading2"/>
      </w:pPr>
      <w:bookmarkStart w:id="48" w:name="_Toc403555127"/>
      <w:bookmarkStart w:id="49" w:name="_Ref405453197"/>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48"/>
      <w:bookmarkEnd w:id="49"/>
      <w:r w:rsidR="000E5C37">
        <w:t xml:space="preserve"> </w:t>
      </w:r>
    </w:p>
    <w:p w:rsidR="002471B4" w:rsidRDefault="00C27CC2" w:rsidP="006B54D6">
      <w:pPr>
        <w:pStyle w:val="MRNumberedHeading2"/>
      </w:pPr>
      <w:bookmarkStart w:id="50" w:name="_Toc403555128"/>
      <w:bookmarkStart w:id="51" w:name="_Ref413143046"/>
      <w:r>
        <w:t>Tenders will be evaluated on the basis o</w:t>
      </w:r>
      <w:r w:rsidR="00A7044C">
        <w:t>f information submitted by the d</w:t>
      </w:r>
      <w:r>
        <w:t>eadline.</w:t>
      </w:r>
      <w:bookmarkEnd w:id="50"/>
      <w:r w:rsidR="008C5577">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51"/>
      <w:r w:rsidR="008C5577">
        <w:t xml:space="preserve"> </w:t>
      </w:r>
    </w:p>
    <w:p w:rsidR="00C45A8E" w:rsidRDefault="0017043F" w:rsidP="006B54D6">
      <w:pPr>
        <w:pStyle w:val="MRNumberedHeading2"/>
      </w:pPr>
      <w:bookmarkStart w:id="52" w:name="_Toc403555129"/>
      <w:r>
        <w:t>The</w:t>
      </w:r>
      <w:r w:rsidR="00C27CC2">
        <w:t xml:space="preserve"> Tender must be signed by a duly authorised</w:t>
      </w:r>
      <w:r>
        <w:t xml:space="preserve"> representative of the </w:t>
      </w:r>
      <w:r w:rsidR="00637C62">
        <w:t>Bidder.</w:t>
      </w:r>
      <w:bookmarkEnd w:id="52"/>
      <w:r w:rsidR="00637C62">
        <w:t xml:space="preserve">  </w:t>
      </w:r>
    </w:p>
    <w:p w:rsidR="006534CF" w:rsidRPr="00276E1B" w:rsidRDefault="001375C3" w:rsidP="00337295">
      <w:pPr>
        <w:pStyle w:val="Heading1"/>
        <w:spacing w:before="240" w:after="0"/>
        <w:ind w:left="709"/>
      </w:pPr>
      <w:bookmarkStart w:id="53" w:name="_Toc403555130"/>
      <w:r w:rsidRPr="00276E1B">
        <w:t>Modification and withdrawal of Tenders</w:t>
      </w:r>
      <w:bookmarkEnd w:id="53"/>
    </w:p>
    <w:p w:rsidR="004251F8" w:rsidRDefault="00AE400B" w:rsidP="006B54D6">
      <w:pPr>
        <w:pStyle w:val="MRNumberedHeading2"/>
      </w:pPr>
      <w:bookmarkStart w:id="54" w:name="_Toc403555131"/>
      <w:r>
        <w:t xml:space="preserve">Except as set out in paragraph </w:t>
      </w:r>
      <w:r>
        <w:fldChar w:fldCharType="begin"/>
      </w:r>
      <w:r>
        <w:instrText xml:space="preserve"> REF _Ref413143046 \r \h </w:instrText>
      </w:r>
      <w:r>
        <w:fldChar w:fldCharType="separate"/>
      </w:r>
      <w:r w:rsidR="00DE5BF3">
        <w:t>4.9</w:t>
      </w:r>
      <w:r>
        <w:fldChar w:fldCharType="end"/>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54"/>
    </w:p>
    <w:p w:rsidR="004251F8" w:rsidRDefault="001375C3" w:rsidP="006B54D6">
      <w:pPr>
        <w:pStyle w:val="MRNumberedHeading2"/>
      </w:pPr>
      <w:bookmarkStart w:id="55" w:name="_Toc403555132"/>
      <w:bookmarkStart w:id="56" w:name="_Ref405453207"/>
      <w:r w:rsidRPr="00A24900">
        <w:t>Tenders may be withdrawn at any time before the deadlin</w:t>
      </w:r>
      <w:r w:rsidR="00336D0E">
        <w:t>e for receipt of T</w:t>
      </w:r>
      <w:r w:rsidR="002651E8">
        <w:t>enders.  Revised T</w:t>
      </w:r>
      <w:r w:rsidRPr="00A24900">
        <w:t>enders may be submitted up unt</w:t>
      </w:r>
      <w:r w:rsidR="00336D0E">
        <w:t>il the deadline for receipt of T</w:t>
      </w:r>
      <w:r w:rsidRPr="00A24900">
        <w:t xml:space="preserve">enders, </w:t>
      </w:r>
      <w:r w:rsidR="002651E8" w:rsidRPr="000D6E33">
        <w:t>provided</w:t>
      </w:r>
      <w:r w:rsidRPr="000D6E33">
        <w:t xml:space="preserve"> such intention is notified to the Authority</w:t>
      </w:r>
      <w:r w:rsidR="00EB00F8" w:rsidRPr="000D6E33">
        <w:t xml:space="preserve"> using the </w:t>
      </w:r>
      <w:r w:rsidR="0050545F" w:rsidRPr="000D6E33">
        <w:t xml:space="preserve">e-Tendering </w:t>
      </w:r>
      <w:r w:rsidR="004230E7" w:rsidRPr="000D6E33">
        <w:t>Portal</w:t>
      </w:r>
      <w:r w:rsidR="00A60BD1" w:rsidRPr="000D6E33">
        <w:t>.</w:t>
      </w:r>
      <w:bookmarkEnd w:id="55"/>
      <w:bookmarkEnd w:id="56"/>
      <w:r w:rsidRPr="00A24900">
        <w:t xml:space="preserve"> </w:t>
      </w:r>
    </w:p>
    <w:p w:rsidR="00BA173E" w:rsidRPr="00276E1B" w:rsidRDefault="00430158" w:rsidP="00337295">
      <w:pPr>
        <w:pStyle w:val="Heading1"/>
        <w:spacing w:before="240" w:after="0"/>
        <w:ind w:left="709"/>
      </w:pPr>
      <w:bookmarkStart w:id="57" w:name="_Toc403555134"/>
      <w:r w:rsidRPr="00276E1B">
        <w:rPr>
          <w:bCs/>
        </w:rPr>
        <w:t>Terms and conditions</w:t>
      </w:r>
      <w:bookmarkEnd w:id="57"/>
    </w:p>
    <w:p w:rsidR="00B00C70" w:rsidRPr="00BA173E" w:rsidRDefault="00746CCF" w:rsidP="006B54D6">
      <w:pPr>
        <w:pStyle w:val="MRNumberedHeading2"/>
        <w:rPr>
          <w:rFonts w:cs="Arial"/>
        </w:rPr>
      </w:pPr>
      <w:bookmarkStart w:id="58" w:name="_Toc403555135"/>
      <w:r>
        <w:t xml:space="preserve">The </w:t>
      </w:r>
      <w:r w:rsidR="008D4F8F">
        <w:t>c</w:t>
      </w:r>
      <w:r>
        <w:t xml:space="preserve">ontract will include the NHS </w:t>
      </w:r>
      <w:r w:rsidR="0079187F">
        <w:t>T</w:t>
      </w:r>
      <w:r>
        <w:t xml:space="preserve">erms </w:t>
      </w:r>
      <w:r w:rsidR="0079187F">
        <w:t>a</w:t>
      </w:r>
      <w:r>
        <w:t xml:space="preserve">nd </w:t>
      </w:r>
      <w:r w:rsidR="0079187F">
        <w:t>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79187F">
        <w:t>NHS T</w:t>
      </w:r>
      <w:r w:rsidR="00193011">
        <w:t xml:space="preserve">erms and </w:t>
      </w:r>
      <w:r w:rsidR="0079187F">
        <w:t>C</w:t>
      </w:r>
      <w:r w:rsidR="00193011">
        <w:t>onditions</w:t>
      </w:r>
      <w:r w:rsidR="00B00C70">
        <w:t xml:space="preserve"> without further negotiation or amendment.</w:t>
      </w:r>
      <w:bookmarkEnd w:id="58"/>
    </w:p>
    <w:p w:rsidR="002F23DC" w:rsidRPr="00276E1B" w:rsidRDefault="002F23DC" w:rsidP="00337295">
      <w:pPr>
        <w:pStyle w:val="Heading1"/>
        <w:spacing w:before="240" w:after="0"/>
        <w:ind w:left="709"/>
      </w:pPr>
      <w:bookmarkStart w:id="59" w:name="_Toc403555136"/>
      <w:r w:rsidRPr="00276E1B">
        <w:t>Consortia and subcontractors</w:t>
      </w:r>
      <w:bookmarkEnd w:id="59"/>
      <w:r w:rsidRPr="00276E1B">
        <w:t xml:space="preserve"> </w:t>
      </w:r>
    </w:p>
    <w:p w:rsidR="00BA173E" w:rsidRDefault="00746CCF" w:rsidP="006B54D6">
      <w:pPr>
        <w:pStyle w:val="MRNumberedHeading2"/>
      </w:pPr>
      <w:bookmarkStart w:id="60" w:name="_Toc403555137"/>
      <w:bookmarkStart w:id="61" w:name="_Ref405453227"/>
      <w:r w:rsidRPr="003E3276">
        <w:t>If</w:t>
      </w:r>
      <w:r>
        <w:t xml:space="preserve"> the Bidder is a consortium or will rely on sub-contractors to deliver the contract, it must explain in its Tender precisely which entities will be the supplier.</w:t>
      </w:r>
      <w:bookmarkEnd w:id="60"/>
      <w:bookmarkEnd w:id="61"/>
    </w:p>
    <w:p w:rsidR="00746CCF" w:rsidRPr="008E6BB3" w:rsidRDefault="00746CCF" w:rsidP="006B54D6">
      <w:pPr>
        <w:pStyle w:val="MRNumberedHeading2"/>
      </w:pPr>
      <w:bookmarkStart w:id="62" w:name="_Toc403555139"/>
      <w:r>
        <w:lastRenderedPageBreak/>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62"/>
    </w:p>
    <w:p w:rsidR="002F23DC" w:rsidRPr="00276E1B" w:rsidRDefault="002F23DC" w:rsidP="00337295">
      <w:pPr>
        <w:pStyle w:val="Heading1"/>
        <w:spacing w:before="240" w:after="0"/>
        <w:ind w:left="709"/>
      </w:pPr>
      <w:bookmarkStart w:id="63" w:name="_Toc403555140"/>
      <w:r w:rsidRPr="00276E1B">
        <w:t>Warnings and disclaimers</w:t>
      </w:r>
      <w:bookmarkEnd w:id="63"/>
    </w:p>
    <w:p w:rsidR="001B5F4F" w:rsidRDefault="001B5F4F" w:rsidP="006B54D6">
      <w:pPr>
        <w:pStyle w:val="MRNumberedHeading2"/>
      </w:pPr>
      <w:bookmarkStart w:id="64" w:name="_Toc403555141"/>
      <w:r>
        <w:t>While the information contained in this ITT is believed to be correct at the time of issue, neither the Authority</w:t>
      </w:r>
      <w:r w:rsidR="0079187F">
        <w:t xml:space="preserve"> nor</w:t>
      </w:r>
      <w:r>
        <w:t xml:space="preserve"> its advisors </w:t>
      </w:r>
      <w:proofErr w:type="gramStart"/>
      <w:r>
        <w:t>will accept</w:t>
      </w:r>
      <w:proofErr w:type="gramEnd"/>
      <w:r>
        <w:t xml:space="preserve">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64"/>
    </w:p>
    <w:p w:rsidR="001B5F4F" w:rsidRDefault="001B5F4F" w:rsidP="006B54D6">
      <w:pPr>
        <w:pStyle w:val="MRNumberedHeading2"/>
      </w:pPr>
      <w:bookmarkStart w:id="65"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65"/>
    </w:p>
    <w:p w:rsidR="001B5F4F" w:rsidRDefault="001B5F4F" w:rsidP="006B54D6">
      <w:pPr>
        <w:pStyle w:val="MRNumberedHeading2"/>
      </w:pPr>
      <w:bookmarkStart w:id="66" w:name="_Toc403555143"/>
      <w:r>
        <w:t>Neither the issue of this ITT, nor any of the information presented in it, should be regarded as a commitment or representation on the part of the Authority (or any other person) to enter into a contractual arrangement.</w:t>
      </w:r>
      <w:bookmarkEnd w:id="66"/>
    </w:p>
    <w:p w:rsidR="002F23DC" w:rsidRPr="00276E1B" w:rsidRDefault="001B5F4F" w:rsidP="00337295">
      <w:pPr>
        <w:pStyle w:val="Heading1"/>
        <w:spacing w:before="240" w:after="0"/>
        <w:ind w:left="709"/>
      </w:pPr>
      <w:bookmarkStart w:id="67" w:name="_Toc403555144"/>
      <w:r w:rsidRPr="00276E1B">
        <w:t>Freedom of Information Act 2000</w:t>
      </w:r>
      <w:r w:rsidR="008A56A2" w:rsidRPr="00276E1B">
        <w:t xml:space="preserve"> and Environmental Information Regulations 2004</w:t>
      </w:r>
      <w:bookmarkEnd w:id="67"/>
    </w:p>
    <w:p w:rsidR="001664D9" w:rsidRPr="001375C3" w:rsidRDefault="001664D9" w:rsidP="006B54D6">
      <w:pPr>
        <w:pStyle w:val="MRNumberedHeading2"/>
      </w:pPr>
      <w:bookmarkStart w:id="68"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69"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68"/>
      <w:r w:rsidRPr="001375C3">
        <w:t xml:space="preserve"> </w:t>
      </w:r>
      <w:bookmarkEnd w:id="69"/>
    </w:p>
    <w:p w:rsidR="001664D9" w:rsidRPr="001375C3" w:rsidRDefault="0079187F" w:rsidP="006B54D6">
      <w:pPr>
        <w:pStyle w:val="MRNumberedHeading2"/>
      </w:pPr>
      <w:bookmarkStart w:id="70"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70"/>
    </w:p>
    <w:p w:rsidR="001664D9" w:rsidRPr="001375C3" w:rsidRDefault="001664D9" w:rsidP="006B54D6">
      <w:pPr>
        <w:pStyle w:val="MRNumberedHeading2"/>
      </w:pPr>
      <w:bookmarkStart w:id="71" w:name="_Ref149547621"/>
      <w:bookmarkStart w:id="72"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71"/>
      <w:r w:rsidR="001C747B">
        <w:t>or otherwise exempt.</w:t>
      </w:r>
      <w:bookmarkEnd w:id="72"/>
    </w:p>
    <w:p w:rsidR="00491808" w:rsidRPr="00276E1B" w:rsidRDefault="00491808" w:rsidP="00337295">
      <w:pPr>
        <w:pStyle w:val="Heading1"/>
        <w:spacing w:before="240" w:after="0"/>
        <w:ind w:left="709"/>
      </w:pPr>
      <w:bookmarkStart w:id="73" w:name="_Toc403555149"/>
      <w:r w:rsidRPr="00276E1B">
        <w:t>Publicity</w:t>
      </w:r>
      <w:bookmarkEnd w:id="73"/>
    </w:p>
    <w:p w:rsidR="00491808" w:rsidRPr="00541CDA" w:rsidRDefault="00645517" w:rsidP="006B54D6">
      <w:pPr>
        <w:pStyle w:val="MRNumberedHeading2"/>
      </w:pPr>
      <w:bookmarkStart w:id="74"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74"/>
    </w:p>
    <w:p w:rsidR="00491808" w:rsidRPr="00276E1B" w:rsidRDefault="00785DDF" w:rsidP="00337295">
      <w:pPr>
        <w:pStyle w:val="Heading1"/>
        <w:spacing w:before="240" w:after="0"/>
        <w:ind w:left="709"/>
      </w:pPr>
      <w:bookmarkStart w:id="75" w:name="a699927"/>
      <w:bookmarkStart w:id="76" w:name="_Toc403555151"/>
      <w:bookmarkEnd w:id="75"/>
      <w:r w:rsidRPr="00276E1B">
        <w:t>Bidder</w:t>
      </w:r>
      <w:r w:rsidR="00491808" w:rsidRPr="00276E1B">
        <w:t xml:space="preserve"> conduct and conflicts of interest</w:t>
      </w:r>
      <w:bookmarkEnd w:id="76"/>
    </w:p>
    <w:p w:rsidR="00491808" w:rsidRPr="00491808" w:rsidRDefault="00491808" w:rsidP="006B54D6">
      <w:pPr>
        <w:pStyle w:val="MRNumberedHeading2"/>
      </w:pPr>
      <w:bookmarkStart w:id="77"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77"/>
    </w:p>
    <w:p w:rsidR="00491808"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ender, or offer to pay any sum of money or valuable consideration to any person to effect changes to the form</w:t>
      </w:r>
      <w:r w:rsidR="00CE2FEF" w:rsidRPr="007301E9">
        <w:rPr>
          <w:bCs/>
        </w:rPr>
        <w:t xml:space="preserve"> or content of any o</w:t>
      </w:r>
      <w:r w:rsidR="00336D0E">
        <w:rPr>
          <w:bCs/>
        </w:rPr>
        <w:t>ther T</w:t>
      </w:r>
      <w:r w:rsidRPr="007301E9">
        <w:rPr>
          <w:bCs/>
        </w:rPr>
        <w:t xml:space="preserve">ender; </w:t>
      </w:r>
    </w:p>
    <w:p w:rsidR="00491808"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rsidR="00491808"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r w:rsidRPr="007301E9">
        <w:rPr>
          <w:bCs/>
        </w:rPr>
        <w:lastRenderedPageBreak/>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proofErr w:type="gramStart"/>
      <w:r w:rsidRPr="007301E9">
        <w:rPr>
          <w:bCs/>
        </w:rPr>
        <w:t>a</w:t>
      </w:r>
      <w:r w:rsidR="00491808" w:rsidRPr="007301E9">
        <w:rPr>
          <w:bCs/>
        </w:rPr>
        <w:t>ttempt</w:t>
      </w:r>
      <w:proofErr w:type="gramEnd"/>
      <w:r w:rsidR="00491808" w:rsidRPr="007301E9">
        <w:rPr>
          <w:bCs/>
        </w:rPr>
        <w:t xml:space="preserve">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rsidR="00491808" w:rsidRPr="00645517" w:rsidRDefault="00E7163F" w:rsidP="006B54D6">
      <w:pPr>
        <w:pStyle w:val="MRNumberedHeading2"/>
      </w:pPr>
      <w:bookmarkStart w:id="78"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78"/>
      <w:r w:rsidR="007B6206">
        <w:t xml:space="preserve">  </w:t>
      </w:r>
      <w:r w:rsidR="00BD4D8C">
        <w:t xml:space="preserve"> </w:t>
      </w:r>
      <w:r w:rsidR="00E2328D">
        <w:t xml:space="preserve"> </w:t>
      </w:r>
    </w:p>
    <w:p w:rsidR="00491808" w:rsidRPr="00491808" w:rsidRDefault="00491808" w:rsidP="00337295">
      <w:pPr>
        <w:pStyle w:val="Heading1"/>
        <w:spacing w:before="240" w:after="0"/>
        <w:ind w:left="709"/>
      </w:pPr>
      <w:bookmarkStart w:id="79" w:name="a582432"/>
      <w:bookmarkStart w:id="80" w:name="_Toc403555154"/>
      <w:bookmarkEnd w:id="79"/>
      <w:r w:rsidRPr="00491808">
        <w:t>Authority's rights</w:t>
      </w:r>
      <w:bookmarkEnd w:id="80"/>
    </w:p>
    <w:p w:rsidR="00491808" w:rsidRPr="00491808" w:rsidRDefault="008D2128" w:rsidP="006B54D6">
      <w:pPr>
        <w:pStyle w:val="MRNumberedHeading2"/>
      </w:pPr>
      <w:bookmarkStart w:id="81" w:name="_Toc403555155"/>
      <w:r>
        <w:t>Subject to its obligations to act in a transparent, proportionate and non-discriminatory manner, t</w:t>
      </w:r>
      <w:r w:rsidR="00491808" w:rsidRPr="00491808">
        <w:t>he Authority reserves the right to:</w:t>
      </w:r>
      <w:bookmarkEnd w:id="81"/>
    </w:p>
    <w:p w:rsidR="00491808"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rsidR="00491808"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rsidR="00491808"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rsidR="00491808" w:rsidRPr="007301E9" w:rsidRDefault="00645517" w:rsidP="0097239C">
      <w:pPr>
        <w:pStyle w:val="MRNumberedHeading3"/>
        <w:numPr>
          <w:ilvl w:val="2"/>
          <w:numId w:val="18"/>
        </w:numPr>
        <w:tabs>
          <w:tab w:val="clear" w:pos="2214"/>
          <w:tab w:val="num" w:pos="1794"/>
        </w:tabs>
        <w:spacing w:line="240" w:lineRule="auto"/>
        <w:ind w:left="1702" w:hanging="851"/>
        <w:jc w:val="both"/>
        <w:rPr>
          <w:bCs/>
        </w:rPr>
      </w:pPr>
      <w:proofErr w:type="gramStart"/>
      <w:r w:rsidRPr="007301E9">
        <w:rPr>
          <w:bCs/>
        </w:rPr>
        <w:t>m</w:t>
      </w:r>
      <w:r w:rsidR="00491808" w:rsidRPr="007301E9">
        <w:rPr>
          <w:bCs/>
        </w:rPr>
        <w:t>ake</w:t>
      </w:r>
      <w:proofErr w:type="gramEnd"/>
      <w:r w:rsidR="00491808" w:rsidRPr="007301E9">
        <w:rPr>
          <w:bCs/>
        </w:rPr>
        <w:t xml:space="preserv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337295">
      <w:pPr>
        <w:pStyle w:val="Heading1"/>
        <w:spacing w:before="240" w:after="0"/>
        <w:ind w:left="709"/>
      </w:pPr>
      <w:bookmarkStart w:id="82" w:name="a934916"/>
      <w:bookmarkStart w:id="83" w:name="_Toc403555156"/>
      <w:bookmarkEnd w:id="82"/>
      <w:r w:rsidRPr="00491808">
        <w:t>Bid costs</w:t>
      </w:r>
      <w:bookmarkEnd w:id="83"/>
    </w:p>
    <w:p w:rsidR="0022652F" w:rsidRDefault="00491808" w:rsidP="006B54D6">
      <w:pPr>
        <w:pStyle w:val="MRNumberedHeading2"/>
      </w:pPr>
      <w:bookmarkStart w:id="84"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84"/>
    </w:p>
    <w:p w:rsidR="00491808" w:rsidRPr="00276E1B" w:rsidRDefault="00491808" w:rsidP="00337295">
      <w:pPr>
        <w:pStyle w:val="Heading1"/>
        <w:spacing w:before="240" w:after="0"/>
        <w:ind w:left="709"/>
      </w:pPr>
      <w:bookmarkStart w:id="85" w:name="_Toc403555158"/>
      <w:r w:rsidRPr="00276E1B">
        <w:t>Language</w:t>
      </w:r>
      <w:bookmarkEnd w:id="85"/>
    </w:p>
    <w:p w:rsidR="006534CF" w:rsidRDefault="00491808" w:rsidP="006B54D6">
      <w:pPr>
        <w:pStyle w:val="MRNumberedHeading2"/>
      </w:pPr>
      <w:bookmarkStart w:id="86" w:name="_Toc403555159"/>
      <w:r w:rsidRPr="00A24900">
        <w:t xml:space="preserve">Tenders, all documents and all </w:t>
      </w:r>
      <w:r w:rsidR="003219DA">
        <w:t>correspondence relating to the T</w:t>
      </w:r>
      <w:r w:rsidRPr="00A24900">
        <w:t>ender must be written in English.</w:t>
      </w:r>
      <w:bookmarkEnd w:id="86"/>
    </w:p>
    <w:p w:rsidR="00F35E09" w:rsidRPr="00276E1B" w:rsidRDefault="00F35E09" w:rsidP="00337295">
      <w:pPr>
        <w:pStyle w:val="Heading1"/>
        <w:spacing w:before="240" w:after="0"/>
        <w:ind w:left="709"/>
      </w:pPr>
      <w:bookmarkStart w:id="87" w:name="_Toc403555160"/>
      <w:r w:rsidRPr="00276E1B">
        <w:t>Transparency</w:t>
      </w:r>
      <w:bookmarkEnd w:id="87"/>
      <w:r w:rsidRPr="00276E1B">
        <w:t xml:space="preserve">  </w:t>
      </w:r>
    </w:p>
    <w:p w:rsidR="00F35E09" w:rsidRDefault="00F35E09" w:rsidP="006B54D6">
      <w:pPr>
        <w:pStyle w:val="MRNumberedHeading2"/>
      </w:pPr>
      <w:bookmarkStart w:id="88" w:name="_Toc403555161"/>
      <w:bookmarkStart w:id="89" w:name="_Ref405453244"/>
      <w:r>
        <w:t xml:space="preserve">In accordance with the </w:t>
      </w:r>
      <w:r w:rsidR="002D378C">
        <w:t xml:space="preserve">Public Contracts Regulations 2015 and the </w:t>
      </w:r>
      <w:r>
        <w:t xml:space="preserve">Government’s policy on transparency, Bidders should be aware that the Authority intends to make the ITT and </w:t>
      </w:r>
      <w:r w:rsidR="0079187F">
        <w:t xml:space="preserve">details of </w:t>
      </w:r>
      <w:r>
        <w:t xml:space="preserve">any subsequent contract publicly available, </w:t>
      </w:r>
      <w:r w:rsidR="0079187F">
        <w:t xml:space="preserve">by publication </w:t>
      </w:r>
      <w:r>
        <w:t>on the Government</w:t>
      </w:r>
      <w:bookmarkEnd w:id="88"/>
      <w:bookmarkEnd w:id="89"/>
      <w:r w:rsidR="0050545F">
        <w:t xml:space="preserve">'s Contracts Finder portal. </w:t>
      </w:r>
    </w:p>
    <w:p w:rsidR="00236A55" w:rsidRPr="00276E1B" w:rsidRDefault="00236A55" w:rsidP="00337295">
      <w:pPr>
        <w:pStyle w:val="Heading1"/>
        <w:spacing w:before="240" w:after="0"/>
        <w:ind w:left="709"/>
      </w:pPr>
      <w:bookmarkStart w:id="90" w:name="_Toc403555162"/>
      <w:r w:rsidRPr="00276E1B">
        <w:t>Governing Law and Jurisdiction</w:t>
      </w:r>
      <w:bookmarkEnd w:id="90"/>
      <w:r w:rsidRPr="00276E1B">
        <w:t xml:space="preserve"> </w:t>
      </w:r>
    </w:p>
    <w:p w:rsidR="004E71FF" w:rsidRPr="005A2E47" w:rsidRDefault="00236A55" w:rsidP="006B54D6">
      <w:pPr>
        <w:pStyle w:val="MRNumberedHeading2"/>
      </w:pPr>
      <w:bookmarkStart w:id="91" w:name="_Toc403555163"/>
      <w:r>
        <w:t>This ITT and any dispute concerning it (including non-contractual disputes or claims) shall be governed by English law and subject to the jurisdiction of the English Courts</w:t>
      </w:r>
      <w:bookmarkEnd w:id="91"/>
      <w:r w:rsidR="007A3602">
        <w:t>.</w:t>
      </w:r>
    </w:p>
    <w:p w:rsidR="0079187F" w:rsidRDefault="0079187F">
      <w:pPr>
        <w:spacing w:after="240"/>
        <w:jc w:val="left"/>
        <w:rPr>
          <w:rFonts w:eastAsia="Calibri" w:cs="Arial"/>
          <w:b/>
          <w:lang w:eastAsia="en-GB"/>
        </w:rPr>
      </w:pPr>
      <w:bookmarkStart w:id="92" w:name="_Toc403556504"/>
      <w:bookmarkStart w:id="93" w:name="_Toc403556509"/>
      <w:r>
        <w:br w:type="page"/>
      </w:r>
    </w:p>
    <w:p w:rsidR="008824CC" w:rsidRPr="008F3D2C" w:rsidRDefault="008731E8" w:rsidP="0097239C">
      <w:pPr>
        <w:pStyle w:val="MRNumberedHeading1"/>
        <w:numPr>
          <w:ilvl w:val="0"/>
          <w:numId w:val="19"/>
        </w:numPr>
        <w:tabs>
          <w:tab w:val="clear" w:pos="798"/>
          <w:tab w:val="num" w:pos="709"/>
        </w:tabs>
        <w:ind w:hanging="798"/>
        <w:rPr>
          <w:sz w:val="20"/>
          <w:szCs w:val="20"/>
        </w:rPr>
      </w:pPr>
      <w:r w:rsidRPr="008F3D2C">
        <w:rPr>
          <w:sz w:val="20"/>
          <w:szCs w:val="20"/>
        </w:rPr>
        <w:lastRenderedPageBreak/>
        <w:t>TENDER EVALUATION METHODOLOGY AND CRITERIA</w:t>
      </w:r>
      <w:bookmarkEnd w:id="92"/>
      <w:bookmarkEnd w:id="93"/>
      <w:r w:rsidRPr="008F3D2C">
        <w:rPr>
          <w:sz w:val="20"/>
          <w:szCs w:val="20"/>
        </w:rPr>
        <w:t xml:space="preserve"> </w:t>
      </w:r>
    </w:p>
    <w:p w:rsidR="008824CC" w:rsidRDefault="00277BB6" w:rsidP="00337295">
      <w:pPr>
        <w:pStyle w:val="Heading1"/>
        <w:spacing w:before="240" w:after="0"/>
        <w:ind w:left="709"/>
      </w:pPr>
      <w:bookmarkStart w:id="94" w:name="_Toc403555164"/>
      <w:r>
        <w:t>Overview</w:t>
      </w:r>
      <w:bookmarkEnd w:id="94"/>
    </w:p>
    <w:p w:rsidR="00BF48A1" w:rsidRDefault="00BF48A1" w:rsidP="006B54D6">
      <w:pPr>
        <w:pStyle w:val="MRNumberedHeading2"/>
      </w:pPr>
      <w:bookmarkStart w:id="95" w:name="_Toc403555165"/>
      <w:r>
        <w:t>T</w:t>
      </w:r>
      <w:r w:rsidRPr="003E3276">
        <w:t>h</w:t>
      </w:r>
      <w:r>
        <w:t>is section of the ITT sets out the criteria that the Authority will use to ev</w:t>
      </w:r>
      <w:r w:rsidR="006A3BFB">
        <w:t>aluate Tenders</w:t>
      </w:r>
      <w:r w:rsidR="00FB21E9">
        <w:t>.</w:t>
      </w:r>
      <w:bookmarkEnd w:id="95"/>
    </w:p>
    <w:p w:rsidR="00FB21E9" w:rsidRDefault="00FB21E9" w:rsidP="006B54D6">
      <w:pPr>
        <w:pStyle w:val="MRNumberedHeading2"/>
      </w:pPr>
      <w:bookmarkStart w:id="96"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 xml:space="preserve">ender is equivocal or unclear, the Authority may deduct marks when scoring </w:t>
      </w:r>
      <w:proofErr w:type="gramStart"/>
      <w:r w:rsidR="00F10ACE">
        <w:t>it,</w:t>
      </w:r>
      <w:proofErr w:type="gramEnd"/>
      <w:r w:rsidR="00F10ACE">
        <w:t xml:space="preserve"> or it may</w:t>
      </w:r>
      <w:r w:rsidR="00B853EE">
        <w:t xml:space="preserve"> treat the Tender as non-complia</w:t>
      </w:r>
      <w:r w:rsidR="00F10ACE">
        <w:t>nt and reject it.</w:t>
      </w:r>
      <w:bookmarkEnd w:id="96"/>
    </w:p>
    <w:p w:rsidR="00C14AA9" w:rsidRDefault="00C14AA9" w:rsidP="006B54D6">
      <w:pPr>
        <w:pStyle w:val="MRNumberedHeading2"/>
      </w:pPr>
      <w:bookmarkStart w:id="97" w:name="_Toc403555167"/>
      <w:r>
        <w:t>The Authority will award the contract to the Tender that scores the highest marks, applying the methodology below. Scoring will be carried out as follows:</w:t>
      </w:r>
      <w:bookmarkEnd w:id="97"/>
      <w:r>
        <w:t xml:space="preserve"> </w:t>
      </w:r>
    </w:p>
    <w:p w:rsidR="00C14AA9" w:rsidRDefault="00C14AA9" w:rsidP="0097239C">
      <w:pPr>
        <w:pStyle w:val="MRNumberedHeading3"/>
        <w:numPr>
          <w:ilvl w:val="2"/>
          <w:numId w:val="18"/>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rsidR="00C14AA9" w:rsidRDefault="00A12F7A" w:rsidP="0097239C">
      <w:pPr>
        <w:pStyle w:val="MRNumberedHeading3"/>
        <w:numPr>
          <w:ilvl w:val="2"/>
          <w:numId w:val="18"/>
        </w:numPr>
        <w:tabs>
          <w:tab w:val="clear" w:pos="2214"/>
          <w:tab w:val="num" w:pos="1794"/>
        </w:tabs>
        <w:spacing w:line="240" w:lineRule="auto"/>
        <w:ind w:left="1702" w:hanging="851"/>
        <w:jc w:val="both"/>
      </w:pPr>
      <w:r>
        <w:t>The Authority will then assess compliance to</w:t>
      </w:r>
      <w:r w:rsidR="00C14AA9">
        <w:t xml:space="preserve"> An</w:t>
      </w:r>
      <w:r w:rsidR="00D63140">
        <w:t xml:space="preserve">nex B2 </w:t>
      </w:r>
      <w:r w:rsidR="0050545F">
        <w:t xml:space="preserve">of Section B </w:t>
      </w:r>
      <w:r w:rsidR="00D63140">
        <w:t>(Specification) an</w:t>
      </w:r>
      <w:r w:rsidR="009E6FB5">
        <w:t>d</w:t>
      </w:r>
      <w:r w:rsidR="00C14AA9">
        <w:t xml:space="preserve"> </w:t>
      </w:r>
      <w:r>
        <w:t xml:space="preserve">mark </w:t>
      </w:r>
      <w:r w:rsidR="00C14AA9">
        <w:t xml:space="preserve">Annex B3 </w:t>
      </w:r>
      <w:r w:rsidR="0050545F">
        <w:t xml:space="preserve">of Section B </w:t>
      </w:r>
      <w:r w:rsidR="00C14AA9">
        <w:t>(</w:t>
      </w:r>
      <w:r w:rsidR="0079187F">
        <w:t>Tender Response Document</w:t>
      </w:r>
      <w:r w:rsidR="00C14AA9">
        <w:t>) ("</w:t>
      </w:r>
      <w:r w:rsidR="00C14AA9" w:rsidRPr="004B6544">
        <w:rPr>
          <w:b/>
        </w:rPr>
        <w:t>Scored Questions</w:t>
      </w:r>
      <w:r w:rsidR="00C14AA9">
        <w:t>") for all Bidders that pass all the Eligibil</w:t>
      </w:r>
      <w:r w:rsidR="0079187F">
        <w:t>i</w:t>
      </w:r>
      <w:r w:rsidR="00C14AA9">
        <w:t xml:space="preserve">ty Questions. </w:t>
      </w:r>
    </w:p>
    <w:p w:rsidR="00C14AA9" w:rsidRDefault="00C14AA9" w:rsidP="006B54D6">
      <w:pPr>
        <w:pStyle w:val="MRNumberedHeading2"/>
      </w:pPr>
      <w:bookmarkStart w:id="98" w:name="_Toc403555168"/>
      <w:r>
        <w:t xml:space="preserve">The Authority will mark Eligibility Questions as described in paragraphs </w:t>
      </w:r>
      <w:r w:rsidR="00A77338">
        <w:fldChar w:fldCharType="begin"/>
      </w:r>
      <w:r w:rsidR="00A77338">
        <w:instrText xml:space="preserve"> REF _Ref403484377 \r \h </w:instrText>
      </w:r>
      <w:r w:rsidR="00A77338">
        <w:fldChar w:fldCharType="separate"/>
      </w:r>
      <w:r w:rsidR="00DE5BF3">
        <w:t>5.5</w:t>
      </w:r>
      <w:r w:rsidR="00A77338">
        <w:fldChar w:fldCharType="end"/>
      </w:r>
      <w:r w:rsidR="00A77338">
        <w:t xml:space="preserve"> to </w:t>
      </w:r>
      <w:r w:rsidR="00A77338">
        <w:fldChar w:fldCharType="begin"/>
      </w:r>
      <w:r w:rsidR="00A77338">
        <w:instrText xml:space="preserve"> REF _Ref403484379 \r \h </w:instrText>
      </w:r>
      <w:r w:rsidR="00A77338">
        <w:fldChar w:fldCharType="separate"/>
      </w:r>
      <w:r w:rsidR="00DE5BF3">
        <w:t>5.7</w:t>
      </w:r>
      <w:r w:rsidR="00A77338">
        <w:fldChar w:fldCharType="end"/>
      </w:r>
      <w:r w:rsidR="00A77338">
        <w:t xml:space="preserve"> </w:t>
      </w:r>
      <w:r>
        <w:t xml:space="preserve">below.  It will mark the Scored Questions as described in paragraphs </w:t>
      </w:r>
      <w:bookmarkEnd w:id="98"/>
      <w:r w:rsidR="00593428">
        <w:t>5</w:t>
      </w:r>
      <w:r w:rsidR="007F1C28">
        <w:t xml:space="preserve">.8 to </w:t>
      </w:r>
      <w:r w:rsidR="00593428">
        <w:t>5</w:t>
      </w:r>
      <w:r w:rsidR="007F1C28">
        <w:t>.10</w:t>
      </w:r>
    </w:p>
    <w:p w:rsidR="00C14AA9" w:rsidRDefault="00C14AA9" w:rsidP="00337295">
      <w:pPr>
        <w:pStyle w:val="Heading1"/>
        <w:spacing w:before="240" w:after="0"/>
        <w:ind w:left="709"/>
      </w:pPr>
      <w:bookmarkStart w:id="99" w:name="_Toc403555169"/>
      <w:r>
        <w:t>Criteria – Eligibility Questions</w:t>
      </w:r>
      <w:bookmarkEnd w:id="99"/>
    </w:p>
    <w:p w:rsidR="00B44E25" w:rsidRDefault="00C14AA9" w:rsidP="006B54D6">
      <w:pPr>
        <w:pStyle w:val="MRNumberedHeading2"/>
      </w:pPr>
      <w:bookmarkStart w:id="100" w:name="_Ref403484377"/>
      <w:bookmarkStart w:id="101" w:name="_Toc403555170"/>
      <w:r>
        <w:t>The Authority will score Eligibility Questions on the following basis:</w:t>
      </w:r>
      <w:bookmarkEnd w:id="100"/>
      <w:bookmarkEnd w:id="101"/>
    </w:p>
    <w:p w:rsidR="00AE400B" w:rsidRPr="00AE400B" w:rsidRDefault="00AE400B" w:rsidP="00AE400B">
      <w:pPr>
        <w:spacing w:before="240"/>
        <w:jc w:val="left"/>
        <w:outlineLvl w:val="1"/>
        <w:rPr>
          <w:rFonts w:eastAsia="Times New Roman" w:cs="Times New Roman"/>
          <w:szCs w:val="24"/>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AE400B" w:rsidRPr="00AE400B" w:rsidTr="007F1C28">
        <w:tc>
          <w:tcPr>
            <w:tcW w:w="3827" w:type="dxa"/>
            <w:shd w:val="clear" w:color="auto" w:fill="A6A6A6"/>
          </w:tcPr>
          <w:p w:rsidR="00AE400B" w:rsidRPr="00AE400B" w:rsidRDefault="00AE400B" w:rsidP="00AE400B">
            <w:pPr>
              <w:spacing w:after="240"/>
              <w:outlineLvl w:val="2"/>
              <w:rPr>
                <w:color w:val="000000"/>
              </w:rPr>
            </w:pPr>
            <w:r w:rsidRPr="00AE400B">
              <w:rPr>
                <w:color w:val="000000"/>
              </w:rPr>
              <w:t xml:space="preserve">Eligibility Questions </w:t>
            </w:r>
          </w:p>
        </w:tc>
        <w:tc>
          <w:tcPr>
            <w:tcW w:w="4536" w:type="dxa"/>
            <w:shd w:val="clear" w:color="auto" w:fill="A6A6A6"/>
          </w:tcPr>
          <w:p w:rsidR="00AE400B" w:rsidRPr="00AE400B" w:rsidRDefault="00AE400B" w:rsidP="00AE400B">
            <w:pPr>
              <w:spacing w:after="240"/>
              <w:outlineLvl w:val="2"/>
              <w:rPr>
                <w:color w:val="000000"/>
              </w:rPr>
            </w:pPr>
            <w:r w:rsidRPr="00AE400B">
              <w:rPr>
                <w:color w:val="000000"/>
              </w:rPr>
              <w:t>Selection criteria</w:t>
            </w:r>
          </w:p>
        </w:tc>
      </w:tr>
      <w:tr w:rsidR="00AE400B" w:rsidRPr="00AE400B" w:rsidTr="007F1C28">
        <w:tc>
          <w:tcPr>
            <w:tcW w:w="3827" w:type="dxa"/>
            <w:shd w:val="clear" w:color="auto" w:fill="auto"/>
          </w:tcPr>
          <w:p w:rsidR="00AE400B" w:rsidRPr="00AE400B" w:rsidRDefault="00AE400B" w:rsidP="0097239C">
            <w:pPr>
              <w:numPr>
                <w:ilvl w:val="0"/>
                <w:numId w:val="21"/>
              </w:numPr>
              <w:spacing w:after="240"/>
              <w:contextualSpacing/>
              <w:outlineLvl w:val="2"/>
              <w:rPr>
                <w:color w:val="000000"/>
              </w:rPr>
            </w:pPr>
            <w:r w:rsidRPr="00AE400B">
              <w:rPr>
                <w:color w:val="000000"/>
              </w:rPr>
              <w:t xml:space="preserve"> Supplier information</w:t>
            </w:r>
          </w:p>
        </w:tc>
        <w:tc>
          <w:tcPr>
            <w:tcW w:w="4536" w:type="dxa"/>
            <w:shd w:val="clear" w:color="auto" w:fill="auto"/>
          </w:tcPr>
          <w:p w:rsidR="00AE400B" w:rsidRPr="00AE400B" w:rsidRDefault="00AE400B" w:rsidP="00AE400B">
            <w:pPr>
              <w:spacing w:after="240"/>
              <w:outlineLvl w:val="2"/>
              <w:rPr>
                <w:color w:val="000000"/>
              </w:rPr>
            </w:pPr>
            <w:r w:rsidRPr="00AE400B">
              <w:rPr>
                <w:color w:val="000000"/>
              </w:rPr>
              <w:t>For information only</w:t>
            </w:r>
          </w:p>
        </w:tc>
      </w:tr>
      <w:tr w:rsidR="00AE400B" w:rsidRPr="00AE400B" w:rsidTr="007F1C28">
        <w:tc>
          <w:tcPr>
            <w:tcW w:w="3827" w:type="dxa"/>
            <w:shd w:val="clear" w:color="auto" w:fill="auto"/>
          </w:tcPr>
          <w:p w:rsidR="00AE400B" w:rsidRPr="00AE400B" w:rsidRDefault="00AE400B" w:rsidP="0097239C">
            <w:pPr>
              <w:numPr>
                <w:ilvl w:val="0"/>
                <w:numId w:val="21"/>
              </w:numPr>
              <w:tabs>
                <w:tab w:val="left" w:pos="459"/>
              </w:tabs>
              <w:spacing w:after="240"/>
              <w:contextualSpacing/>
              <w:outlineLvl w:val="2"/>
              <w:rPr>
                <w:color w:val="000000"/>
              </w:rPr>
            </w:pPr>
            <w:r w:rsidRPr="00AE400B">
              <w:rPr>
                <w:color w:val="000000"/>
              </w:rPr>
              <w:t>Grounds for mandatory exclusion</w:t>
            </w:r>
          </w:p>
        </w:tc>
        <w:tc>
          <w:tcPr>
            <w:tcW w:w="4536" w:type="dxa"/>
            <w:shd w:val="clear" w:color="auto" w:fill="auto"/>
          </w:tcPr>
          <w:p w:rsidR="00AE400B" w:rsidRPr="00AE400B" w:rsidRDefault="00AE400B" w:rsidP="00AE400B">
            <w:pPr>
              <w:spacing w:after="240"/>
              <w:outlineLvl w:val="2"/>
              <w:rPr>
                <w:color w:val="000000"/>
              </w:rPr>
            </w:pPr>
            <w:r w:rsidRPr="00AE400B">
              <w:rPr>
                <w:color w:val="000000"/>
              </w:rPr>
              <w:t>Pass or Fail</w:t>
            </w:r>
          </w:p>
        </w:tc>
      </w:tr>
      <w:tr w:rsidR="00AE400B" w:rsidRPr="00AE400B" w:rsidTr="007F1C28">
        <w:tc>
          <w:tcPr>
            <w:tcW w:w="3827" w:type="dxa"/>
            <w:shd w:val="clear" w:color="auto" w:fill="auto"/>
          </w:tcPr>
          <w:p w:rsidR="00AE400B" w:rsidRPr="00AE400B" w:rsidRDefault="00AE400B" w:rsidP="0097239C">
            <w:pPr>
              <w:numPr>
                <w:ilvl w:val="0"/>
                <w:numId w:val="21"/>
              </w:numPr>
              <w:spacing w:after="240"/>
              <w:contextualSpacing/>
              <w:outlineLvl w:val="2"/>
              <w:rPr>
                <w:color w:val="000000"/>
              </w:rPr>
            </w:pPr>
            <w:r w:rsidRPr="00AE400B">
              <w:rPr>
                <w:color w:val="000000"/>
              </w:rPr>
              <w:t xml:space="preserve">Grounds for discretionary exclusion </w:t>
            </w:r>
          </w:p>
        </w:tc>
        <w:tc>
          <w:tcPr>
            <w:tcW w:w="4536" w:type="dxa"/>
            <w:shd w:val="clear" w:color="auto" w:fill="auto"/>
          </w:tcPr>
          <w:p w:rsidR="00AE400B" w:rsidRPr="00AE400B" w:rsidRDefault="00AE400B" w:rsidP="00AE400B">
            <w:pPr>
              <w:spacing w:after="240"/>
              <w:outlineLvl w:val="2"/>
              <w:rPr>
                <w:color w:val="000000"/>
              </w:rPr>
            </w:pPr>
            <w:r w:rsidRPr="00AE400B">
              <w:rPr>
                <w:color w:val="000000"/>
              </w:rPr>
              <w:t>Pass or Fail</w:t>
            </w:r>
          </w:p>
        </w:tc>
      </w:tr>
    </w:tbl>
    <w:p w:rsidR="00B44E25" w:rsidRDefault="00B44E25" w:rsidP="00AE400B">
      <w:pPr>
        <w:rPr>
          <w:rFonts w:cs="Arial"/>
          <w:b/>
          <w:szCs w:val="22"/>
        </w:rPr>
      </w:pPr>
    </w:p>
    <w:p w:rsidR="007C2F2F" w:rsidRPr="007C2F2F" w:rsidRDefault="007C2F2F" w:rsidP="006B54D6">
      <w:pPr>
        <w:pStyle w:val="MRNumberedHeading2"/>
        <w:rPr>
          <w:i/>
        </w:rPr>
      </w:pPr>
      <w:bookmarkStart w:id="102" w:name="_Toc403555171"/>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02"/>
    </w:p>
    <w:p w:rsidR="00B44E25" w:rsidRPr="00B44E25" w:rsidRDefault="00B44E25" w:rsidP="006B54D6">
      <w:pPr>
        <w:pStyle w:val="MRNumberedHeading2"/>
        <w:rPr>
          <w:i/>
        </w:rPr>
      </w:pPr>
      <w:bookmarkStart w:id="103" w:name="_Ref403484379"/>
      <w:bookmarkStart w:id="104" w:name="_Toc403555172"/>
      <w:r w:rsidRPr="00B44E25">
        <w:t>Where a Bidder scores a "</w:t>
      </w:r>
      <w:r w:rsidRPr="000D6E33">
        <w:t>fail</w:t>
      </w:r>
      <w:r w:rsidRPr="00B44E25">
        <w:t xml:space="preserve">" for any question, </w:t>
      </w:r>
      <w:r w:rsidR="00C14AA9">
        <w:t>the Authority will treat the Tender as non-compliant and it will not award a mark for the Scored Questions.</w:t>
      </w:r>
      <w:bookmarkEnd w:id="103"/>
      <w:bookmarkEnd w:id="104"/>
      <w:r w:rsidR="00C14AA9">
        <w:t xml:space="preserve"> </w:t>
      </w:r>
    </w:p>
    <w:p w:rsidR="002E45ED" w:rsidRDefault="007C2F2F" w:rsidP="000D6E33">
      <w:pPr>
        <w:pStyle w:val="Heading1"/>
        <w:spacing w:before="240" w:after="0"/>
        <w:ind w:left="709"/>
      </w:pPr>
      <w:bookmarkStart w:id="105" w:name="_Toc403555173"/>
      <w:r w:rsidRPr="007C2F2F">
        <w:t>C</w:t>
      </w:r>
      <w:r w:rsidR="000B1075" w:rsidRPr="007C2F2F">
        <w:t xml:space="preserve">riteria </w:t>
      </w:r>
      <w:r w:rsidRPr="007C2F2F">
        <w:t>– Scored Questions</w:t>
      </w:r>
      <w:bookmarkEnd w:id="105"/>
      <w:r w:rsidR="002E45ED">
        <w:t>: Technical and Quality Evaluation</w:t>
      </w:r>
    </w:p>
    <w:p w:rsidR="002E45ED" w:rsidRDefault="0097239C" w:rsidP="000D6E33">
      <w:pPr>
        <w:pStyle w:val="Heading1"/>
        <w:spacing w:before="240" w:after="0"/>
        <w:ind w:left="709"/>
        <w:rPr>
          <w:b w:val="0"/>
        </w:rPr>
      </w:pPr>
      <w:r w:rsidRPr="0097239C">
        <w:rPr>
          <w:b w:val="0"/>
        </w:rPr>
        <w:t>A further breakdown of scor</w:t>
      </w:r>
      <w:r w:rsidR="002E45ED">
        <w:rPr>
          <w:b w:val="0"/>
        </w:rPr>
        <w:t>ing is advised within section B of the tender</w:t>
      </w:r>
      <w:r w:rsidRPr="0097239C">
        <w:rPr>
          <w:b w:val="0"/>
        </w:rPr>
        <w:t xml:space="preserve"> document</w:t>
      </w:r>
      <w:r w:rsidR="002E45ED">
        <w:rPr>
          <w:b w:val="0"/>
        </w:rPr>
        <w:t xml:space="preserve">s.  </w:t>
      </w:r>
    </w:p>
    <w:p w:rsidR="003E3276" w:rsidRDefault="002E45ED" w:rsidP="000D6E33">
      <w:pPr>
        <w:pStyle w:val="Heading1"/>
        <w:spacing w:before="240" w:after="0"/>
        <w:ind w:left="709"/>
        <w:rPr>
          <w:b w:val="0"/>
        </w:rPr>
      </w:pPr>
      <w:r>
        <w:rPr>
          <w:b w:val="0"/>
        </w:rPr>
        <w:t xml:space="preserve">Section B - B2 – Will require all bidders to indicate confirmed to each statement made by the Trust, non-compliance to any statement will mean automatic removal from the tender process.  </w:t>
      </w:r>
    </w:p>
    <w:p w:rsidR="00751B5E" w:rsidRDefault="002E45ED" w:rsidP="002E45ED">
      <w:pPr>
        <w:pStyle w:val="Body1"/>
        <w:ind w:left="0"/>
      </w:pPr>
      <w:r>
        <w:t xml:space="preserve">            </w:t>
      </w:r>
    </w:p>
    <w:p w:rsidR="002E45ED" w:rsidRPr="002E45ED" w:rsidRDefault="002E45ED" w:rsidP="00751B5E">
      <w:pPr>
        <w:pStyle w:val="Body1"/>
        <w:ind w:left="0" w:firstLine="709"/>
      </w:pPr>
      <w:r>
        <w:t>Section B3 – 1.3 – Will be scored based on the sub criteria detailed in the tender document.</w:t>
      </w:r>
    </w:p>
    <w:p w:rsidR="000D6E33" w:rsidRDefault="000D6E33" w:rsidP="000D6E33">
      <w:pPr>
        <w:pStyle w:val="Body1"/>
      </w:pPr>
    </w:p>
    <w:p w:rsidR="002E45ED" w:rsidRPr="000D6E33" w:rsidRDefault="002E45ED" w:rsidP="000D6E33">
      <w:pPr>
        <w:pStyle w:val="Body1"/>
      </w:pPr>
      <w:r>
        <w:lastRenderedPageBreak/>
        <w:t xml:space="preserve">The overall breakdown of weighting is as follows - </w:t>
      </w:r>
    </w:p>
    <w:tbl>
      <w:tblPr>
        <w:tblStyle w:val="TableGrid"/>
        <w:tblW w:w="0" w:type="auto"/>
        <w:tblInd w:w="817" w:type="dxa"/>
        <w:tblLayout w:type="fixed"/>
        <w:tblLook w:val="04A0" w:firstRow="1" w:lastRow="0" w:firstColumn="1" w:lastColumn="0" w:noHBand="0" w:noVBand="1"/>
      </w:tblPr>
      <w:tblGrid>
        <w:gridCol w:w="4972"/>
        <w:gridCol w:w="1705"/>
      </w:tblGrid>
      <w:tr w:rsidR="006058CA" w:rsidTr="007F1C28">
        <w:trPr>
          <w:trHeight w:val="205"/>
        </w:trPr>
        <w:tc>
          <w:tcPr>
            <w:tcW w:w="4972" w:type="dxa"/>
            <w:shd w:val="clear" w:color="auto" w:fill="BFBFBF" w:themeFill="background1" w:themeFillShade="BF"/>
          </w:tcPr>
          <w:p w:rsidR="006058CA" w:rsidRPr="00EF71DD" w:rsidRDefault="006058CA" w:rsidP="003318CA">
            <w:pPr>
              <w:pStyle w:val="Heading2"/>
              <w:numPr>
                <w:ilvl w:val="0"/>
                <w:numId w:val="0"/>
              </w:numPr>
              <w:outlineLvl w:val="1"/>
              <w:rPr>
                <w:b/>
              </w:rPr>
            </w:pPr>
            <w:r w:rsidRPr="00EF71DD">
              <w:rPr>
                <w:b/>
              </w:rPr>
              <w:t>Evaluation criteria</w:t>
            </w:r>
          </w:p>
        </w:tc>
        <w:tc>
          <w:tcPr>
            <w:tcW w:w="1705" w:type="dxa"/>
            <w:shd w:val="clear" w:color="auto" w:fill="BFBFBF" w:themeFill="background1" w:themeFillShade="BF"/>
          </w:tcPr>
          <w:p w:rsidR="006058CA" w:rsidRPr="00EF71DD" w:rsidRDefault="006058CA" w:rsidP="00C9108B">
            <w:pPr>
              <w:pStyle w:val="Heading2"/>
              <w:numPr>
                <w:ilvl w:val="0"/>
                <w:numId w:val="0"/>
              </w:numPr>
              <w:outlineLvl w:val="1"/>
              <w:rPr>
                <w:b/>
              </w:rPr>
            </w:pPr>
            <w:r w:rsidRPr="00EF71DD">
              <w:rPr>
                <w:b/>
              </w:rPr>
              <w:t>Weighting</w:t>
            </w:r>
          </w:p>
        </w:tc>
      </w:tr>
      <w:tr w:rsidR="006058CA" w:rsidRPr="007F1C28" w:rsidTr="007F1C28">
        <w:trPr>
          <w:trHeight w:val="423"/>
        </w:trPr>
        <w:tc>
          <w:tcPr>
            <w:tcW w:w="4972" w:type="dxa"/>
          </w:tcPr>
          <w:p w:rsidR="006058CA" w:rsidRPr="00873CB8" w:rsidRDefault="006058CA" w:rsidP="00AB7CE1">
            <w:pPr>
              <w:pStyle w:val="MRNumberedHeading2"/>
              <w:numPr>
                <w:ilvl w:val="0"/>
                <w:numId w:val="0"/>
              </w:numPr>
              <w:ind w:left="34"/>
            </w:pPr>
            <w:r w:rsidRPr="00873CB8">
              <w:t>Technical</w:t>
            </w:r>
            <w:r w:rsidR="00A22516" w:rsidRPr="00873CB8">
              <w:t xml:space="preserve"> and Quality</w:t>
            </w:r>
            <w:r w:rsidR="003D0BE2" w:rsidRPr="00873CB8">
              <w:t xml:space="preserve"> </w:t>
            </w:r>
          </w:p>
        </w:tc>
        <w:tc>
          <w:tcPr>
            <w:tcW w:w="1705" w:type="dxa"/>
          </w:tcPr>
          <w:p w:rsidR="007F1C28" w:rsidRPr="00873CB8" w:rsidRDefault="007F1C28" w:rsidP="00BF48A1">
            <w:pPr>
              <w:pStyle w:val="Heading2"/>
              <w:numPr>
                <w:ilvl w:val="0"/>
                <w:numId w:val="0"/>
              </w:numPr>
              <w:outlineLvl w:val="1"/>
            </w:pPr>
          </w:p>
          <w:p w:rsidR="006058CA" w:rsidRPr="00873CB8" w:rsidRDefault="00AB7CE1" w:rsidP="007F1C28">
            <w:pPr>
              <w:pStyle w:val="Heading2"/>
              <w:numPr>
                <w:ilvl w:val="0"/>
                <w:numId w:val="0"/>
              </w:numPr>
              <w:outlineLvl w:val="1"/>
            </w:pPr>
            <w:r w:rsidRPr="00873CB8">
              <w:t>5</w:t>
            </w:r>
            <w:r w:rsidR="006058CA" w:rsidRPr="00873CB8">
              <w:t>0%</w:t>
            </w:r>
          </w:p>
        </w:tc>
      </w:tr>
      <w:tr w:rsidR="006058CA" w:rsidRPr="007F1C28" w:rsidTr="007F1C28">
        <w:trPr>
          <w:trHeight w:val="517"/>
        </w:trPr>
        <w:tc>
          <w:tcPr>
            <w:tcW w:w="4972" w:type="dxa"/>
          </w:tcPr>
          <w:p w:rsidR="006058CA" w:rsidRPr="00873CB8" w:rsidRDefault="006058CA" w:rsidP="000D6E33">
            <w:pPr>
              <w:pStyle w:val="MRNumberedHeading2"/>
              <w:numPr>
                <w:ilvl w:val="0"/>
                <w:numId w:val="0"/>
              </w:numPr>
              <w:ind w:left="720" w:hanging="720"/>
            </w:pPr>
            <w:r w:rsidRPr="00873CB8">
              <w:t>Financial</w:t>
            </w:r>
          </w:p>
        </w:tc>
        <w:tc>
          <w:tcPr>
            <w:tcW w:w="1705" w:type="dxa"/>
          </w:tcPr>
          <w:p w:rsidR="007F1C28" w:rsidRPr="00873CB8" w:rsidRDefault="007F1C28" w:rsidP="00BF48A1">
            <w:pPr>
              <w:pStyle w:val="Heading2"/>
              <w:numPr>
                <w:ilvl w:val="0"/>
                <w:numId w:val="0"/>
              </w:numPr>
              <w:outlineLvl w:val="1"/>
            </w:pPr>
          </w:p>
          <w:p w:rsidR="006058CA" w:rsidRPr="00873CB8" w:rsidRDefault="00AB7CE1" w:rsidP="007F1C28">
            <w:pPr>
              <w:pStyle w:val="Heading2"/>
              <w:numPr>
                <w:ilvl w:val="0"/>
                <w:numId w:val="0"/>
              </w:numPr>
              <w:outlineLvl w:val="1"/>
            </w:pPr>
            <w:r w:rsidRPr="00873CB8">
              <w:t>5</w:t>
            </w:r>
            <w:r w:rsidR="006058CA" w:rsidRPr="00873CB8">
              <w:t>0%</w:t>
            </w:r>
          </w:p>
        </w:tc>
      </w:tr>
      <w:tr w:rsidR="006058CA" w:rsidTr="007F1C28">
        <w:trPr>
          <w:trHeight w:val="318"/>
        </w:trPr>
        <w:tc>
          <w:tcPr>
            <w:tcW w:w="4972" w:type="dxa"/>
          </w:tcPr>
          <w:p w:rsidR="007F1C28" w:rsidRPr="00873CB8" w:rsidRDefault="007F1C28" w:rsidP="00BF48A1">
            <w:pPr>
              <w:pStyle w:val="Heading2"/>
              <w:numPr>
                <w:ilvl w:val="0"/>
                <w:numId w:val="0"/>
              </w:numPr>
              <w:outlineLvl w:val="1"/>
              <w:rPr>
                <w:b/>
              </w:rPr>
            </w:pPr>
          </w:p>
          <w:p w:rsidR="007F1C28" w:rsidRPr="00873CB8" w:rsidRDefault="007F1C28" w:rsidP="00BF48A1">
            <w:pPr>
              <w:pStyle w:val="Heading2"/>
              <w:numPr>
                <w:ilvl w:val="0"/>
                <w:numId w:val="0"/>
              </w:numPr>
              <w:outlineLvl w:val="1"/>
              <w:rPr>
                <w:b/>
              </w:rPr>
            </w:pPr>
          </w:p>
          <w:p w:rsidR="000D6E33" w:rsidRPr="00873CB8" w:rsidRDefault="006058CA" w:rsidP="00BF48A1">
            <w:pPr>
              <w:pStyle w:val="Heading2"/>
              <w:numPr>
                <w:ilvl w:val="0"/>
                <w:numId w:val="0"/>
              </w:numPr>
              <w:outlineLvl w:val="1"/>
              <w:rPr>
                <w:b/>
              </w:rPr>
            </w:pPr>
            <w:r w:rsidRPr="00873CB8">
              <w:rPr>
                <w:b/>
              </w:rPr>
              <w:t>Total</w:t>
            </w:r>
          </w:p>
        </w:tc>
        <w:tc>
          <w:tcPr>
            <w:tcW w:w="1705" w:type="dxa"/>
          </w:tcPr>
          <w:p w:rsidR="007F1C28" w:rsidRPr="00873CB8" w:rsidRDefault="007F1C28" w:rsidP="00BF48A1">
            <w:pPr>
              <w:pStyle w:val="Heading2"/>
              <w:numPr>
                <w:ilvl w:val="0"/>
                <w:numId w:val="0"/>
              </w:numPr>
              <w:outlineLvl w:val="1"/>
            </w:pPr>
          </w:p>
          <w:p w:rsidR="007F1C28" w:rsidRPr="00873CB8" w:rsidRDefault="007F1C28" w:rsidP="00BF48A1">
            <w:pPr>
              <w:pStyle w:val="Heading2"/>
              <w:numPr>
                <w:ilvl w:val="0"/>
                <w:numId w:val="0"/>
              </w:numPr>
              <w:outlineLvl w:val="1"/>
            </w:pPr>
          </w:p>
          <w:p w:rsidR="006058CA" w:rsidRPr="00873CB8" w:rsidRDefault="006058CA" w:rsidP="00BF48A1">
            <w:pPr>
              <w:pStyle w:val="Heading2"/>
              <w:numPr>
                <w:ilvl w:val="0"/>
                <w:numId w:val="0"/>
              </w:numPr>
              <w:outlineLvl w:val="1"/>
            </w:pPr>
            <w:r w:rsidRPr="00873CB8">
              <w:t>100%</w:t>
            </w:r>
          </w:p>
        </w:tc>
      </w:tr>
    </w:tbl>
    <w:p w:rsidR="00362AE0" w:rsidRDefault="00362AE0" w:rsidP="0097239C">
      <w:pPr>
        <w:pStyle w:val="Heading2"/>
        <w:numPr>
          <w:ilvl w:val="0"/>
          <w:numId w:val="0"/>
        </w:numPr>
        <w:rPr>
          <w:b/>
        </w:rPr>
      </w:pPr>
    </w:p>
    <w:p w:rsidR="007C2F2F" w:rsidRPr="007C2F2F" w:rsidRDefault="007C2F2F" w:rsidP="00DD4504">
      <w:pPr>
        <w:pStyle w:val="Heading1"/>
        <w:spacing w:before="240" w:after="0"/>
        <w:ind w:left="709"/>
      </w:pPr>
      <w:bookmarkStart w:id="106" w:name="_Toc403555175"/>
      <w:r w:rsidRPr="007C2F2F">
        <w:t>Criteria – Scored Questions</w:t>
      </w:r>
      <w:r>
        <w:t>:  pricing evaluation</w:t>
      </w:r>
      <w:bookmarkEnd w:id="106"/>
    </w:p>
    <w:p w:rsidR="007C364A" w:rsidRPr="00296E12" w:rsidRDefault="008E7F55" w:rsidP="006B54D6">
      <w:pPr>
        <w:pStyle w:val="MRNumberedHeading2"/>
        <w:rPr>
          <w:shd w:val="clear" w:color="auto" w:fill="FFFF66"/>
        </w:rPr>
      </w:pPr>
      <w:bookmarkStart w:id="107" w:name="_Toc403555176"/>
      <w:bookmarkStart w:id="108" w:name="_Ref405453282"/>
      <w:r w:rsidRPr="0097239C">
        <w:t>Tender</w:t>
      </w:r>
      <w:r w:rsidR="00B30006" w:rsidRPr="0097239C">
        <w:t xml:space="preserve"> prices will be scored on a comparative basis, with the lowest</w:t>
      </w:r>
      <w:r w:rsidR="00982C42" w:rsidRPr="0097239C">
        <w:t xml:space="preserve"> compliant</w:t>
      </w:r>
      <w:r w:rsidR="00B30006" w:rsidRPr="0097239C">
        <w:t xml:space="preserve"> </w:t>
      </w:r>
      <w:r w:rsidRPr="0097239C">
        <w:t>Tender</w:t>
      </w:r>
      <w:r w:rsidR="006C1E7E" w:rsidRPr="0097239C">
        <w:t xml:space="preserve"> </w:t>
      </w:r>
      <w:r w:rsidR="00982C42" w:rsidRPr="0097239C">
        <w:t>(excluding any Tenders that the Authority rejects as being abnormally low</w:t>
      </w:r>
      <w:r w:rsidRPr="0097239C">
        <w:t xml:space="preserve"> or non-compliant</w:t>
      </w:r>
      <w:r w:rsidR="00982C42" w:rsidRPr="0097239C">
        <w:t xml:space="preserve">) </w:t>
      </w:r>
      <w:r w:rsidR="006C1E7E" w:rsidRPr="0097239C">
        <w:t>receivin</w:t>
      </w:r>
      <w:r w:rsidR="008646F0" w:rsidRPr="0097239C">
        <w:t>g 100% of the available marks 60% following weighting</w:t>
      </w:r>
      <w:r w:rsidR="006C1E7E" w:rsidRPr="0097239C">
        <w:t xml:space="preserve">.  All other </w:t>
      </w:r>
      <w:r w:rsidR="00336D0E" w:rsidRPr="0097239C">
        <w:t>T</w:t>
      </w:r>
      <w:r w:rsidRPr="0097239C">
        <w:t>enders</w:t>
      </w:r>
      <w:r w:rsidR="006C1E7E" w:rsidRPr="0097239C">
        <w:t xml:space="preserve"> will be co</w:t>
      </w:r>
      <w:r w:rsidR="00D27579" w:rsidRPr="0097239C">
        <w:t xml:space="preserve">mpared against that lowest </w:t>
      </w:r>
      <w:r w:rsidR="00336D0E" w:rsidRPr="0097239C">
        <w:t>T</w:t>
      </w:r>
      <w:r w:rsidRPr="0097239C">
        <w:t>ender</w:t>
      </w:r>
      <w:r w:rsidR="007C364A" w:rsidRPr="0097239C">
        <w:t xml:space="preserve"> using the formula:</w:t>
      </w:r>
      <w:bookmarkEnd w:id="107"/>
      <w:bookmarkEnd w:id="108"/>
      <w:r w:rsidR="007C364A" w:rsidRPr="00296E12">
        <w:rPr>
          <w:shd w:val="clear" w:color="auto" w:fill="FFFF66"/>
        </w:rPr>
        <w:t xml:space="preserve"> </w:t>
      </w:r>
    </w:p>
    <w:p w:rsidR="007C364A" w:rsidRPr="00873CB8" w:rsidRDefault="007C364A" w:rsidP="0097239C">
      <w:pPr>
        <w:pStyle w:val="MRNumberedHeading2"/>
        <w:numPr>
          <w:ilvl w:val="0"/>
          <w:numId w:val="0"/>
        </w:numPr>
        <w:ind w:left="720"/>
      </w:pPr>
      <w:r w:rsidRPr="00873CB8">
        <w:t>(A / B) x</w:t>
      </w:r>
      <w:r w:rsidR="00D5659E" w:rsidRPr="00873CB8">
        <w:t xml:space="preserve"> Financial weighting</w:t>
      </w:r>
    </w:p>
    <w:p w:rsidR="007C364A" w:rsidRPr="00873CB8" w:rsidRDefault="007C364A" w:rsidP="0097239C">
      <w:pPr>
        <w:pStyle w:val="MRNumberedHeading2"/>
        <w:numPr>
          <w:ilvl w:val="0"/>
          <w:numId w:val="0"/>
        </w:numPr>
        <w:ind w:left="720"/>
      </w:pPr>
      <w:r w:rsidRPr="00873CB8">
        <w:t xml:space="preserve">A = </w:t>
      </w:r>
      <w:r w:rsidR="008E7F55" w:rsidRPr="00873CB8">
        <w:t xml:space="preserve">price of </w:t>
      </w:r>
      <w:r w:rsidRPr="00873CB8">
        <w:t xml:space="preserve">lowest compliant </w:t>
      </w:r>
      <w:r w:rsidR="00336D0E" w:rsidRPr="00873CB8">
        <w:t>T</w:t>
      </w:r>
      <w:r w:rsidR="008E7F55" w:rsidRPr="00873CB8">
        <w:t>ender</w:t>
      </w:r>
    </w:p>
    <w:p w:rsidR="006C1E7E" w:rsidRDefault="007B6206" w:rsidP="0097239C">
      <w:pPr>
        <w:pStyle w:val="MRNumberedHeading2"/>
        <w:numPr>
          <w:ilvl w:val="0"/>
          <w:numId w:val="0"/>
        </w:numPr>
        <w:ind w:left="720"/>
      </w:pPr>
      <w:r w:rsidRPr="00873CB8">
        <w:t xml:space="preserve">B = </w:t>
      </w:r>
      <w:r w:rsidR="007C364A" w:rsidRPr="00873CB8">
        <w:t xml:space="preserve">price of the </w:t>
      </w:r>
      <w:r w:rsidR="008E7F55" w:rsidRPr="00873CB8">
        <w:t>Tender</w:t>
      </w:r>
      <w:r w:rsidR="007C364A" w:rsidRPr="00873CB8">
        <w:t xml:space="preserve"> being scored</w:t>
      </w:r>
      <w:r w:rsidR="007C364A">
        <w:t xml:space="preserve">  </w:t>
      </w:r>
      <w:r w:rsidR="00D27579">
        <w:t xml:space="preserve"> </w:t>
      </w:r>
    </w:p>
    <w:p w:rsidR="007C2F2F" w:rsidRPr="0025200C" w:rsidRDefault="007C2F2F" w:rsidP="006B54D6">
      <w:pPr>
        <w:pStyle w:val="MRNumberedHeading2"/>
      </w:pPr>
      <w:bookmarkStart w:id="109"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09"/>
    </w:p>
    <w:p w:rsidR="00A77338" w:rsidRPr="007C2F2F" w:rsidRDefault="00A77338" w:rsidP="00DD4504">
      <w:pPr>
        <w:pStyle w:val="Heading1"/>
        <w:spacing w:before="240" w:after="0"/>
        <w:ind w:left="709"/>
      </w:pPr>
      <w:bookmarkStart w:id="110" w:name="_Toc403555179"/>
      <w:r w:rsidRPr="007C2F2F">
        <w:t>Criteria – Scored Questions</w:t>
      </w:r>
      <w:r w:rsidR="002E45ED">
        <w:t>:  Technical and Quality E</w:t>
      </w:r>
      <w:r>
        <w:t>valuation</w:t>
      </w:r>
      <w:bookmarkEnd w:id="110"/>
    </w:p>
    <w:p w:rsidR="003E3276" w:rsidRDefault="006C1E7E" w:rsidP="006B54D6">
      <w:pPr>
        <w:pStyle w:val="MRNumberedHeading2"/>
        <w:numPr>
          <w:ilvl w:val="0"/>
          <w:numId w:val="0"/>
        </w:numPr>
        <w:ind w:left="720"/>
      </w:pPr>
      <w:bookmarkStart w:id="111" w:name="_Toc403555180"/>
      <w:bookmarkStart w:id="112" w:name="_Ref405453301"/>
      <w:bookmarkStart w:id="113" w:name="_Ref408579700"/>
      <w:r>
        <w:t xml:space="preserve">The </w:t>
      </w:r>
      <w:r w:rsidR="006A7F8F">
        <w:t>technical evaluation will be scored in accordance with the table below:</w:t>
      </w:r>
      <w:bookmarkEnd w:id="111"/>
      <w:bookmarkEnd w:id="112"/>
      <w:bookmarkEnd w:id="113"/>
      <w:r w:rsidR="006A7F8F">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92"/>
        <w:gridCol w:w="5387"/>
      </w:tblGrid>
      <w:tr w:rsidR="006A7F8F" w:rsidRPr="00A24900" w:rsidTr="00DD4504">
        <w:trPr>
          <w:cantSplit/>
          <w:trHeight w:val="538"/>
        </w:trPr>
        <w:tc>
          <w:tcPr>
            <w:tcW w:w="1843" w:type="dxa"/>
            <w:shd w:val="clear" w:color="auto" w:fill="BFBFBF" w:themeFill="background1" w:themeFillShade="BF"/>
            <w:vAlign w:val="center"/>
          </w:tcPr>
          <w:p w:rsidR="006A7F8F" w:rsidRPr="0005222A" w:rsidRDefault="0005222A" w:rsidP="001D5911">
            <w:pPr>
              <w:pStyle w:val="Table"/>
              <w:keepNext/>
              <w:rPr>
                <w:b/>
              </w:rPr>
            </w:pPr>
            <w:r w:rsidRPr="0005222A">
              <w:rPr>
                <w:b/>
              </w:rPr>
              <w:t>Grade label</w:t>
            </w:r>
          </w:p>
        </w:tc>
        <w:tc>
          <w:tcPr>
            <w:tcW w:w="992" w:type="dxa"/>
            <w:shd w:val="clear" w:color="auto" w:fill="BFBFBF" w:themeFill="background1" w:themeFillShade="BF"/>
            <w:vAlign w:val="center"/>
          </w:tcPr>
          <w:p w:rsidR="006A7F8F" w:rsidRPr="0005222A" w:rsidRDefault="0005222A" w:rsidP="001D5911">
            <w:pPr>
              <w:pStyle w:val="Table"/>
              <w:keepNext/>
              <w:jc w:val="center"/>
              <w:rPr>
                <w:b/>
              </w:rPr>
            </w:pPr>
            <w:r w:rsidRPr="0005222A">
              <w:rPr>
                <w:b/>
              </w:rPr>
              <w:t>Grade</w:t>
            </w:r>
          </w:p>
        </w:tc>
        <w:tc>
          <w:tcPr>
            <w:tcW w:w="5387" w:type="dxa"/>
            <w:shd w:val="clear" w:color="auto" w:fill="BFBFBF" w:themeFill="background1" w:themeFillShade="BF"/>
            <w:vAlign w:val="center"/>
          </w:tcPr>
          <w:p w:rsidR="006A7F8F" w:rsidRPr="0005222A" w:rsidRDefault="0005222A" w:rsidP="001D5911">
            <w:pPr>
              <w:pStyle w:val="Table"/>
              <w:keepNext/>
              <w:rPr>
                <w:b/>
              </w:rPr>
            </w:pPr>
            <w:r w:rsidRPr="0005222A">
              <w:rPr>
                <w:b/>
              </w:rPr>
              <w:t>Definition of Grade</w:t>
            </w:r>
          </w:p>
        </w:tc>
      </w:tr>
      <w:tr w:rsidR="0005222A" w:rsidRPr="00A24900" w:rsidTr="00DD4504">
        <w:trPr>
          <w:cantSplit/>
          <w:trHeight w:val="860"/>
        </w:trPr>
        <w:tc>
          <w:tcPr>
            <w:tcW w:w="1843" w:type="dxa"/>
            <w:shd w:val="clear" w:color="auto" w:fill="auto"/>
            <w:vAlign w:val="center"/>
          </w:tcPr>
          <w:p w:rsidR="0005222A" w:rsidRPr="00A24900" w:rsidRDefault="0005222A" w:rsidP="008E2B30">
            <w:pPr>
              <w:pStyle w:val="Table"/>
              <w:keepNext/>
            </w:pPr>
            <w:r w:rsidRPr="00A24900">
              <w:t>Unacceptable</w:t>
            </w:r>
          </w:p>
        </w:tc>
        <w:tc>
          <w:tcPr>
            <w:tcW w:w="992" w:type="dxa"/>
            <w:shd w:val="clear" w:color="auto" w:fill="auto"/>
            <w:vAlign w:val="center"/>
          </w:tcPr>
          <w:p w:rsidR="0005222A" w:rsidRPr="00A24900" w:rsidRDefault="0005222A" w:rsidP="008E2B30">
            <w:pPr>
              <w:pStyle w:val="Table"/>
              <w:keepNext/>
              <w:jc w:val="center"/>
            </w:pPr>
            <w:r w:rsidRPr="00A24900">
              <w:t>0</w:t>
            </w:r>
          </w:p>
        </w:tc>
        <w:tc>
          <w:tcPr>
            <w:tcW w:w="5387" w:type="dxa"/>
            <w:shd w:val="clear" w:color="auto" w:fill="auto"/>
            <w:vAlign w:val="center"/>
          </w:tcPr>
          <w:p w:rsidR="0005222A" w:rsidRPr="00A24900" w:rsidRDefault="000226A1" w:rsidP="00287834">
            <w:pPr>
              <w:pStyle w:val="Table"/>
              <w:keepNext/>
              <w:jc w:val="both"/>
            </w:pPr>
            <w:r>
              <w:t>The proposal c</w:t>
            </w:r>
            <w:r w:rsidR="00287834">
              <w:t xml:space="preserve">ompletely fails to meet </w:t>
            </w:r>
            <w:r w:rsidR="00202FD5">
              <w:t xml:space="preserve">the </w:t>
            </w:r>
            <w:r w:rsidR="00287834">
              <w:t>required standard or does not provide an answer</w:t>
            </w:r>
          </w:p>
        </w:tc>
      </w:tr>
      <w:tr w:rsidR="0005222A" w:rsidRPr="00A24900" w:rsidTr="00DD4504">
        <w:trPr>
          <w:cantSplit/>
          <w:trHeight w:val="861"/>
        </w:trPr>
        <w:tc>
          <w:tcPr>
            <w:tcW w:w="1843" w:type="dxa"/>
            <w:shd w:val="clear" w:color="auto" w:fill="auto"/>
            <w:vAlign w:val="center"/>
          </w:tcPr>
          <w:p w:rsidR="0005222A" w:rsidRPr="00A24900" w:rsidRDefault="0005222A" w:rsidP="001D5911">
            <w:pPr>
              <w:pStyle w:val="Table"/>
              <w:keepNext/>
            </w:pPr>
            <w:r w:rsidRPr="00A24900">
              <w:t>Weak</w:t>
            </w:r>
          </w:p>
        </w:tc>
        <w:tc>
          <w:tcPr>
            <w:tcW w:w="992" w:type="dxa"/>
            <w:shd w:val="clear" w:color="auto" w:fill="auto"/>
            <w:vAlign w:val="center"/>
          </w:tcPr>
          <w:p w:rsidR="0005222A" w:rsidRPr="00A24900" w:rsidRDefault="0005222A" w:rsidP="001D5911">
            <w:pPr>
              <w:pStyle w:val="Table"/>
              <w:keepNext/>
              <w:jc w:val="center"/>
            </w:pPr>
            <w:r w:rsidRPr="00A24900">
              <w:t>1</w:t>
            </w:r>
          </w:p>
        </w:tc>
        <w:tc>
          <w:tcPr>
            <w:tcW w:w="5387" w:type="dxa"/>
            <w:shd w:val="clear" w:color="auto" w:fill="auto"/>
            <w:vAlign w:val="center"/>
          </w:tcPr>
          <w:p w:rsidR="0005222A" w:rsidRPr="00A24900" w:rsidRDefault="000226A1" w:rsidP="00202FD5">
            <w:pPr>
              <w:pStyle w:val="Table"/>
              <w:keepNext/>
              <w:jc w:val="both"/>
            </w:pPr>
            <w:r>
              <w:t>The proposal s</w:t>
            </w:r>
            <w:r w:rsidR="00287834">
              <w:t>ignificantly fails to meet the standards required, contains significant shortcomings or is inconsistent with other aspects of the Tender</w:t>
            </w:r>
          </w:p>
        </w:tc>
      </w:tr>
      <w:tr w:rsidR="0005222A" w:rsidRPr="00A24900" w:rsidTr="00DD4504">
        <w:trPr>
          <w:cantSplit/>
          <w:trHeight w:val="860"/>
        </w:trPr>
        <w:tc>
          <w:tcPr>
            <w:tcW w:w="1843" w:type="dxa"/>
            <w:shd w:val="clear" w:color="auto" w:fill="auto"/>
            <w:vAlign w:val="center"/>
          </w:tcPr>
          <w:p w:rsidR="0005222A" w:rsidRPr="00A24900" w:rsidRDefault="00873962" w:rsidP="001D5911">
            <w:pPr>
              <w:pStyle w:val="Table"/>
              <w:keepNext/>
            </w:pPr>
            <w:r>
              <w:t>Partial</w:t>
            </w:r>
          </w:p>
        </w:tc>
        <w:tc>
          <w:tcPr>
            <w:tcW w:w="992" w:type="dxa"/>
            <w:shd w:val="clear" w:color="auto" w:fill="auto"/>
            <w:vAlign w:val="center"/>
          </w:tcPr>
          <w:p w:rsidR="0005222A" w:rsidRPr="00A24900" w:rsidRDefault="0005222A" w:rsidP="001D5911">
            <w:pPr>
              <w:pStyle w:val="Table"/>
              <w:keepNext/>
              <w:jc w:val="center"/>
            </w:pPr>
            <w:r w:rsidRPr="00A24900">
              <w:t>2</w:t>
            </w:r>
          </w:p>
        </w:tc>
        <w:tc>
          <w:tcPr>
            <w:tcW w:w="5387" w:type="dxa"/>
            <w:shd w:val="clear" w:color="auto" w:fill="auto"/>
            <w:vAlign w:val="center"/>
          </w:tcPr>
          <w:p w:rsidR="0005222A" w:rsidRPr="00A24900" w:rsidRDefault="00873962" w:rsidP="0005222A">
            <w:pPr>
              <w:pStyle w:val="Table"/>
              <w:keepNext/>
              <w:jc w:val="both"/>
            </w:pPr>
            <w:r w:rsidRPr="00873962">
              <w:t>Partial satisfaction of some aspects of the question but with deficiencies apparent.</w:t>
            </w:r>
          </w:p>
        </w:tc>
      </w:tr>
      <w:tr w:rsidR="0005222A" w:rsidRPr="00A24900" w:rsidTr="00DD4504">
        <w:trPr>
          <w:cantSplit/>
          <w:trHeight w:val="861"/>
        </w:trPr>
        <w:tc>
          <w:tcPr>
            <w:tcW w:w="1843" w:type="dxa"/>
            <w:shd w:val="clear" w:color="auto" w:fill="auto"/>
            <w:vAlign w:val="center"/>
          </w:tcPr>
          <w:p w:rsidR="0005222A" w:rsidRPr="00A24900" w:rsidRDefault="00873962" w:rsidP="001D5911">
            <w:pPr>
              <w:pStyle w:val="Table"/>
              <w:keepNext/>
            </w:pPr>
            <w:r>
              <w:t>Satisfactory</w:t>
            </w:r>
          </w:p>
        </w:tc>
        <w:tc>
          <w:tcPr>
            <w:tcW w:w="992" w:type="dxa"/>
            <w:shd w:val="clear" w:color="auto" w:fill="auto"/>
            <w:vAlign w:val="center"/>
          </w:tcPr>
          <w:p w:rsidR="0005222A" w:rsidRPr="00A24900" w:rsidRDefault="0005222A" w:rsidP="001D5911">
            <w:pPr>
              <w:pStyle w:val="Table"/>
              <w:keepNext/>
              <w:jc w:val="center"/>
            </w:pPr>
            <w:r w:rsidRPr="00A24900">
              <w:t>3</w:t>
            </w:r>
          </w:p>
        </w:tc>
        <w:tc>
          <w:tcPr>
            <w:tcW w:w="5387" w:type="dxa"/>
            <w:shd w:val="clear" w:color="auto" w:fill="auto"/>
            <w:vAlign w:val="center"/>
          </w:tcPr>
          <w:p w:rsidR="0005222A" w:rsidRPr="00A24900" w:rsidRDefault="000226A1" w:rsidP="0005222A">
            <w:pPr>
              <w:pStyle w:val="Table"/>
              <w:keepNext/>
              <w:jc w:val="both"/>
            </w:pPr>
            <w:r>
              <w:t>The proposal m</w:t>
            </w:r>
            <w:r w:rsidR="00287834">
              <w:t>eets the required standard in all material respects</w:t>
            </w:r>
            <w:r w:rsidR="00873962">
              <w:t xml:space="preserve"> </w:t>
            </w:r>
            <w:r w:rsidR="00873962" w:rsidRPr="00873962">
              <w:t>but provides only basic detail</w:t>
            </w:r>
          </w:p>
        </w:tc>
      </w:tr>
      <w:tr w:rsidR="00873962" w:rsidRPr="00A24900" w:rsidTr="00DD4504">
        <w:trPr>
          <w:cantSplit/>
          <w:trHeight w:val="861"/>
        </w:trPr>
        <w:tc>
          <w:tcPr>
            <w:tcW w:w="1843" w:type="dxa"/>
            <w:shd w:val="clear" w:color="auto" w:fill="auto"/>
            <w:vAlign w:val="center"/>
          </w:tcPr>
          <w:p w:rsidR="00873962" w:rsidRPr="00A24900" w:rsidRDefault="00873962" w:rsidP="001D5911">
            <w:pPr>
              <w:pStyle w:val="Table"/>
              <w:keepNext/>
            </w:pPr>
            <w:r>
              <w:t>Good</w:t>
            </w:r>
          </w:p>
        </w:tc>
        <w:tc>
          <w:tcPr>
            <w:tcW w:w="992" w:type="dxa"/>
            <w:shd w:val="clear" w:color="auto" w:fill="auto"/>
            <w:vAlign w:val="center"/>
          </w:tcPr>
          <w:p w:rsidR="00873962" w:rsidRPr="00A24900" w:rsidRDefault="00873962" w:rsidP="001D5911">
            <w:pPr>
              <w:pStyle w:val="Table"/>
              <w:keepNext/>
              <w:jc w:val="center"/>
            </w:pPr>
            <w:r>
              <w:t>4</w:t>
            </w:r>
          </w:p>
        </w:tc>
        <w:tc>
          <w:tcPr>
            <w:tcW w:w="5387" w:type="dxa"/>
            <w:shd w:val="clear" w:color="auto" w:fill="auto"/>
            <w:vAlign w:val="center"/>
          </w:tcPr>
          <w:p w:rsidR="00873962" w:rsidRDefault="00873962" w:rsidP="00287834">
            <w:pPr>
              <w:pStyle w:val="Table"/>
              <w:keepNext/>
              <w:jc w:val="both"/>
            </w:pPr>
            <w:r>
              <w:t xml:space="preserve">The proposal meets the required standard </w:t>
            </w:r>
            <w:r w:rsidRPr="00873962">
              <w:t>and contains a good level of detail.</w:t>
            </w:r>
          </w:p>
        </w:tc>
      </w:tr>
      <w:tr w:rsidR="0005222A" w:rsidRPr="00A24900" w:rsidTr="00DD4504">
        <w:trPr>
          <w:cantSplit/>
          <w:trHeight w:val="861"/>
        </w:trPr>
        <w:tc>
          <w:tcPr>
            <w:tcW w:w="1843" w:type="dxa"/>
            <w:shd w:val="clear" w:color="auto" w:fill="auto"/>
            <w:vAlign w:val="center"/>
          </w:tcPr>
          <w:p w:rsidR="0005222A" w:rsidRPr="00A24900" w:rsidRDefault="0005222A" w:rsidP="001D5911">
            <w:pPr>
              <w:pStyle w:val="Table"/>
              <w:keepNext/>
            </w:pPr>
            <w:r w:rsidRPr="00A24900">
              <w:t>Excellent</w:t>
            </w:r>
          </w:p>
        </w:tc>
        <w:tc>
          <w:tcPr>
            <w:tcW w:w="992" w:type="dxa"/>
            <w:shd w:val="clear" w:color="auto" w:fill="auto"/>
            <w:vAlign w:val="center"/>
          </w:tcPr>
          <w:p w:rsidR="0005222A" w:rsidRPr="00A24900" w:rsidRDefault="00873962" w:rsidP="001D5911">
            <w:pPr>
              <w:pStyle w:val="Table"/>
              <w:keepNext/>
              <w:jc w:val="center"/>
            </w:pPr>
            <w:r>
              <w:t>5</w:t>
            </w:r>
          </w:p>
        </w:tc>
        <w:tc>
          <w:tcPr>
            <w:tcW w:w="5387" w:type="dxa"/>
            <w:shd w:val="clear" w:color="auto" w:fill="auto"/>
            <w:vAlign w:val="center"/>
          </w:tcPr>
          <w:p w:rsidR="0005222A" w:rsidRPr="00A24900" w:rsidRDefault="00547486" w:rsidP="00287834">
            <w:pPr>
              <w:pStyle w:val="Table"/>
              <w:keepNext/>
              <w:jc w:val="both"/>
            </w:pPr>
            <w:r>
              <w:t>The proposal m</w:t>
            </w:r>
            <w:r w:rsidR="00287834">
              <w:t>eets the required standard in all material respects and exceeds some o</w:t>
            </w:r>
            <w:r w:rsidR="00873962">
              <w:t xml:space="preserve">r all of the major requirements. </w:t>
            </w:r>
            <w:r w:rsidR="00873962" w:rsidRPr="00873962">
              <w:t>Response adds value and may contain some innovation.</w:t>
            </w:r>
          </w:p>
        </w:tc>
      </w:tr>
    </w:tbl>
    <w:p w:rsidR="006A7F8F" w:rsidRPr="00116860" w:rsidRDefault="006A7F8F" w:rsidP="000E189B">
      <w:pPr>
        <w:pStyle w:val="Heading2"/>
        <w:numPr>
          <w:ilvl w:val="0"/>
          <w:numId w:val="0"/>
        </w:numPr>
        <w:rPr>
          <w:i/>
          <w:color w:val="808080" w:themeColor="background1" w:themeShade="80"/>
        </w:rPr>
      </w:pPr>
    </w:p>
    <w:p w:rsidR="005E4E9D" w:rsidRPr="005B59B7" w:rsidRDefault="005E4E9D" w:rsidP="00401FF0">
      <w:pPr>
        <w:pStyle w:val="MainHeading"/>
        <w:spacing w:line="480" w:lineRule="auto"/>
        <w:ind w:left="0"/>
        <w:jc w:val="center"/>
        <w:rPr>
          <w:b/>
        </w:rPr>
      </w:pPr>
      <w:bookmarkStart w:id="114" w:name="_Toc403556511"/>
      <w:r w:rsidRPr="005B59B7">
        <w:rPr>
          <w:b/>
        </w:rPr>
        <w:lastRenderedPageBreak/>
        <w:t>ANNEX A1</w:t>
      </w:r>
      <w:r w:rsidR="00E84532" w:rsidRPr="005B59B7">
        <w:rPr>
          <w:b/>
        </w:rPr>
        <w:br/>
      </w:r>
      <w:r w:rsidRPr="005B59B7">
        <w:rPr>
          <w:b/>
        </w:rPr>
        <w:t>NHS TERMS AND CONDITIONS</w:t>
      </w:r>
      <w:bookmarkEnd w:id="114"/>
    </w:p>
    <w:p w:rsidR="005E4E9D" w:rsidRPr="00EE57C8" w:rsidRDefault="005E4E9D" w:rsidP="005E4E9D">
      <w:pPr>
        <w:pStyle w:val="Body1"/>
        <w:ind w:left="0"/>
      </w:pPr>
      <w:r w:rsidRPr="00EE57C8">
        <w:t xml:space="preserve">The Authority intends to enter into a contract with the successful Bidder on the NHS </w:t>
      </w:r>
      <w:r w:rsidR="00586006">
        <w:t>T</w:t>
      </w:r>
      <w:r w:rsidRPr="00EE57C8">
        <w:t xml:space="preserve">erms and </w:t>
      </w:r>
      <w:r w:rsidR="00586006">
        <w:t>C</w:t>
      </w:r>
      <w:r w:rsidR="009D7D37">
        <w:t xml:space="preserve">onditions </w:t>
      </w:r>
      <w:r w:rsidR="00A3093F" w:rsidRPr="0097239C">
        <w:t>for the Provision of S</w:t>
      </w:r>
      <w:r w:rsidRPr="0097239C">
        <w:t>ervices (</w:t>
      </w:r>
      <w:r w:rsidR="006E5FE1" w:rsidRPr="0097239C">
        <w:t xml:space="preserve">Contract </w:t>
      </w:r>
      <w:r w:rsidR="00A3093F" w:rsidRPr="0097239C">
        <w:t>V</w:t>
      </w:r>
      <w:r w:rsidRPr="0097239C">
        <w:t>ersion)</w:t>
      </w:r>
      <w:r>
        <w:t xml:space="preserve">.  </w:t>
      </w:r>
      <w:r w:rsidRPr="00EE57C8">
        <w:t xml:space="preserve"> </w:t>
      </w:r>
    </w:p>
    <w:p w:rsidR="007D66FE" w:rsidRDefault="005E4E9D" w:rsidP="005E4E9D">
      <w:pPr>
        <w:pStyle w:val="Body1"/>
        <w:ind w:left="0"/>
      </w:pPr>
      <w:r>
        <w:t xml:space="preserve">This Annex A1 contains the NHS </w:t>
      </w:r>
      <w:r w:rsidR="00586006">
        <w:t>T</w:t>
      </w:r>
      <w:r>
        <w:t xml:space="preserve">erms and </w:t>
      </w:r>
      <w:r w:rsidR="00586006">
        <w:t>C</w:t>
      </w:r>
      <w:r>
        <w:t>onditions</w:t>
      </w:r>
      <w:r w:rsidR="007D66FE">
        <w:t>.</w:t>
      </w:r>
    </w:p>
    <w:p w:rsidR="006829A2" w:rsidRDefault="005E4E9D" w:rsidP="005E4E9D">
      <w:pPr>
        <w:pStyle w:val="Body1"/>
        <w:ind w:left="0"/>
      </w:pPr>
      <w:r>
        <w:t xml:space="preserve">The Specification </w:t>
      </w:r>
      <w:r w:rsidR="006829A2">
        <w:t xml:space="preserve">and Tender Response Document are set out in Annex B2 and B3 section </w:t>
      </w:r>
      <w:r>
        <w:t xml:space="preserve">of this ITT. </w:t>
      </w:r>
    </w:p>
    <w:bookmarkStart w:id="115" w:name="_MON_1498044401"/>
    <w:bookmarkEnd w:id="115"/>
    <w:p w:rsidR="00CF6718" w:rsidRDefault="00752140">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object w:dxaOrig="8306"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3.5pt" o:ole="">
            <v:imagedata r:id="rId16" o:title=""/>
          </v:shape>
          <o:OLEObject Type="Embed" ProgID="Word.Document.12" ShapeID="_x0000_i1025" DrawAspect="Content" ObjectID="_1511332579" r:id="rId17">
            <o:FieldCodes>\s</o:FieldCodes>
          </o:OLEObject>
        </w:object>
      </w:r>
    </w:p>
    <w:p w:rsidR="00D5659E" w:rsidRPr="001B11D9" w:rsidRDefault="00D5659E">
      <w:pPr>
        <w:spacing w:after="240"/>
        <w:jc w:val="left"/>
        <w:rPr>
          <w:rFonts w:eastAsia="Times New Roman" w:cs="Times New Roman"/>
          <w:b/>
          <w:color w:val="000000" w:themeColor="text1"/>
          <w:u w:val="single"/>
          <w:lang w:eastAsia="en-GB"/>
        </w:rPr>
      </w:pPr>
      <w:r w:rsidRPr="001B11D9">
        <w:rPr>
          <w:rFonts w:eastAsia="Times New Roman" w:cs="Times New Roman"/>
          <w:b/>
          <w:color w:val="000000" w:themeColor="text1"/>
          <w:u w:val="single"/>
          <w:lang w:eastAsia="en-GB"/>
        </w:rPr>
        <w:t>NHS</w:t>
      </w:r>
      <w:r w:rsidR="001B11D9" w:rsidRPr="001B11D9">
        <w:rPr>
          <w:rFonts w:eastAsia="Times New Roman" w:cs="Times New Roman"/>
          <w:b/>
          <w:color w:val="000000" w:themeColor="text1"/>
          <w:u w:val="single"/>
          <w:lang w:eastAsia="en-GB"/>
        </w:rPr>
        <w:t xml:space="preserve"> Terms and Conditions are attached with this document.</w:t>
      </w:r>
      <w:bookmarkStart w:id="116" w:name="_GoBack"/>
      <w:bookmarkEnd w:id="116"/>
    </w:p>
    <w:sectPr w:rsidR="00D5659E" w:rsidRPr="001B11D9" w:rsidSect="00B02442">
      <w:footerReference w:type="default" r:id="rId18"/>
      <w:footerReference w:type="first" r:id="rId19"/>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0AD" w:rsidRDefault="004E70AD" w:rsidP="00C82318">
      <w:r>
        <w:separator/>
      </w:r>
    </w:p>
  </w:endnote>
  <w:endnote w:type="continuationSeparator" w:id="0">
    <w:p w:rsidR="004E70AD" w:rsidRDefault="004E70AD"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0AD" w:rsidRPr="00100953" w:rsidRDefault="004E70AD"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E70AD" w:rsidRDefault="004E70AD">
    <w:pPr>
      <w:pStyle w:val="Footer"/>
      <w:jc w:val="center"/>
    </w:pPr>
  </w:p>
  <w:p w:rsidR="004E70AD" w:rsidRDefault="004E70AD"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0AD" w:rsidRDefault="004E70AD">
    <w:pPr>
      <w:pStyle w:val="Footer"/>
      <w:jc w:val="center"/>
    </w:pPr>
  </w:p>
  <w:p w:rsidR="004E70AD" w:rsidRDefault="004E70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4E70AD" w:rsidRPr="00100953" w:rsidRDefault="004E70AD" w:rsidP="00D635F5">
        <w:pPr>
          <w:pStyle w:val="Footer"/>
          <w:rPr>
            <w:color w:val="808080" w:themeColor="background1" w:themeShade="80"/>
          </w:rPr>
        </w:pPr>
        <w:r>
          <w:rPr>
            <w:color w:val="808080" w:themeColor="background1" w:themeShade="80"/>
          </w:rPr>
          <w:t>ITT section A – below-threshold (February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E70AD" w:rsidRDefault="004E70AD">
        <w:pPr>
          <w:pStyle w:val="Footer"/>
          <w:jc w:val="center"/>
        </w:pPr>
        <w:r>
          <w:fldChar w:fldCharType="begin"/>
        </w:r>
        <w:r>
          <w:instrText xml:space="preserve"> PAGE   \* MERGEFORMAT </w:instrText>
        </w:r>
        <w:r>
          <w:fldChar w:fldCharType="separate"/>
        </w:r>
        <w:r w:rsidR="001B11D9">
          <w:rPr>
            <w:noProof/>
          </w:rPr>
          <w:t>9</w:t>
        </w:r>
        <w:r>
          <w:rPr>
            <w:noProof/>
          </w:rPr>
          <w:fldChar w:fldCharType="end"/>
        </w:r>
      </w:p>
    </w:sdtContent>
  </w:sdt>
  <w:p w:rsidR="004E70AD" w:rsidRDefault="004E70AD"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4E70AD" w:rsidRPr="00100953" w:rsidRDefault="004E70AD"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E70AD" w:rsidRDefault="004E70AD">
        <w:pPr>
          <w:pStyle w:val="Footer"/>
          <w:jc w:val="center"/>
        </w:pPr>
        <w:r>
          <w:fldChar w:fldCharType="begin"/>
        </w:r>
        <w:r>
          <w:instrText xml:space="preserve"> PAGE   \* MERGEFORMAT </w:instrText>
        </w:r>
        <w:r>
          <w:fldChar w:fldCharType="separate"/>
        </w:r>
        <w:r w:rsidR="001B11D9">
          <w:rPr>
            <w:noProof/>
          </w:rPr>
          <w:t>1</w:t>
        </w:r>
        <w:r>
          <w:rPr>
            <w:noProof/>
          </w:rPr>
          <w:fldChar w:fldCharType="end"/>
        </w:r>
      </w:p>
    </w:sdtContent>
  </w:sdt>
  <w:p w:rsidR="004E70AD" w:rsidRDefault="004E7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0AD" w:rsidRDefault="004E70AD" w:rsidP="00C82318">
      <w:r>
        <w:separator/>
      </w:r>
    </w:p>
  </w:footnote>
  <w:footnote w:type="continuationSeparator" w:id="0">
    <w:p w:rsidR="004E70AD" w:rsidRDefault="004E70AD" w:rsidP="00C82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E010151"/>
    <w:multiLevelType w:val="hybridMultilevel"/>
    <w:tmpl w:val="3AB20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7">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A604E3"/>
    <w:multiLevelType w:val="multilevel"/>
    <w:tmpl w:val="2092EF2A"/>
    <w:name w:val="M&amp;R"/>
    <w:lvl w:ilvl="0">
      <w:start w:val="1"/>
      <w:numFmt w:val="decimal"/>
      <w:pStyle w:val="MRNumberedHeading1"/>
      <w:lvlText w:val="%1"/>
      <w:lvlJc w:val="left"/>
      <w:pPr>
        <w:tabs>
          <w:tab w:val="num" w:pos="798"/>
        </w:tabs>
        <w:ind w:left="79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1">
    <w:nsid w:val="33E057FA"/>
    <w:multiLevelType w:val="hybridMultilevel"/>
    <w:tmpl w:val="C18E0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3">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6">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3657346"/>
    <w:multiLevelType w:val="hybridMultilevel"/>
    <w:tmpl w:val="1584A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2">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4"/>
  </w:num>
  <w:num w:numId="2">
    <w:abstractNumId w:val="2"/>
  </w:num>
  <w:num w:numId="3">
    <w:abstractNumId w:val="12"/>
  </w:num>
  <w:num w:numId="4">
    <w:abstractNumId w:val="13"/>
  </w:num>
  <w:num w:numId="5">
    <w:abstractNumId w:val="1"/>
  </w:num>
  <w:num w:numId="6">
    <w:abstractNumId w:val="6"/>
  </w:num>
  <w:num w:numId="7">
    <w:abstractNumId w:val="16"/>
  </w:num>
  <w:num w:numId="8">
    <w:abstractNumId w:val="0"/>
  </w:num>
  <w:num w:numId="9">
    <w:abstractNumId w:val="20"/>
  </w:num>
  <w:num w:numId="10">
    <w:abstractNumId w:val="14"/>
  </w:num>
  <w:num w:numId="11">
    <w:abstractNumId w:val="15"/>
  </w:num>
  <w:num w:numId="12">
    <w:abstractNumId w:val="19"/>
  </w:num>
  <w:num w:numId="13">
    <w:abstractNumId w:val="5"/>
  </w:num>
  <w:num w:numId="14">
    <w:abstractNumId w:val="7"/>
  </w:num>
  <w:num w:numId="15">
    <w:abstractNumId w:val="21"/>
  </w:num>
  <w:num w:numId="16">
    <w:abstractNumId w:val="10"/>
  </w:num>
  <w:num w:numId="17">
    <w:abstractNumId w:val="17"/>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8"/>
  </w:num>
  <w:num w:numId="22">
    <w:abstractNumId w:val="18"/>
  </w:num>
  <w:num w:numId="23">
    <w:abstractNumId w:val="9"/>
  </w:num>
  <w:num w:numId="24">
    <w:abstractNumId w:val="9"/>
  </w:num>
  <w:num w:numId="25">
    <w:abstractNumId w:val="3"/>
  </w:num>
  <w:num w:numId="2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052"/>
    <w:rsid w:val="00007458"/>
    <w:rsid w:val="00010DCA"/>
    <w:rsid w:val="00014E77"/>
    <w:rsid w:val="00017AD9"/>
    <w:rsid w:val="000226A1"/>
    <w:rsid w:val="00023643"/>
    <w:rsid w:val="00030477"/>
    <w:rsid w:val="00030FC3"/>
    <w:rsid w:val="000354F5"/>
    <w:rsid w:val="00036C7D"/>
    <w:rsid w:val="00040181"/>
    <w:rsid w:val="00041C11"/>
    <w:rsid w:val="0005222A"/>
    <w:rsid w:val="00053672"/>
    <w:rsid w:val="000546AF"/>
    <w:rsid w:val="00060F58"/>
    <w:rsid w:val="000627AD"/>
    <w:rsid w:val="00063052"/>
    <w:rsid w:val="00065291"/>
    <w:rsid w:val="00067301"/>
    <w:rsid w:val="00070790"/>
    <w:rsid w:val="00076883"/>
    <w:rsid w:val="000800FA"/>
    <w:rsid w:val="00081B88"/>
    <w:rsid w:val="000831C0"/>
    <w:rsid w:val="000849EC"/>
    <w:rsid w:val="000927EE"/>
    <w:rsid w:val="00094EC7"/>
    <w:rsid w:val="00097408"/>
    <w:rsid w:val="000974B1"/>
    <w:rsid w:val="000A0DF7"/>
    <w:rsid w:val="000A1883"/>
    <w:rsid w:val="000A4844"/>
    <w:rsid w:val="000B1075"/>
    <w:rsid w:val="000B31A2"/>
    <w:rsid w:val="000C7354"/>
    <w:rsid w:val="000D1451"/>
    <w:rsid w:val="000D6E33"/>
    <w:rsid w:val="000D7C50"/>
    <w:rsid w:val="000E0132"/>
    <w:rsid w:val="000E07E4"/>
    <w:rsid w:val="000E189B"/>
    <w:rsid w:val="000E408B"/>
    <w:rsid w:val="000E5634"/>
    <w:rsid w:val="000E56A8"/>
    <w:rsid w:val="000E5C37"/>
    <w:rsid w:val="000E684F"/>
    <w:rsid w:val="000E7C13"/>
    <w:rsid w:val="000F54F5"/>
    <w:rsid w:val="000F79D6"/>
    <w:rsid w:val="0010037F"/>
    <w:rsid w:val="001039C4"/>
    <w:rsid w:val="00105BDB"/>
    <w:rsid w:val="001065C5"/>
    <w:rsid w:val="00112B59"/>
    <w:rsid w:val="00113020"/>
    <w:rsid w:val="00113880"/>
    <w:rsid w:val="00116860"/>
    <w:rsid w:val="001215FE"/>
    <w:rsid w:val="0012295A"/>
    <w:rsid w:val="00131271"/>
    <w:rsid w:val="001338B0"/>
    <w:rsid w:val="00134E47"/>
    <w:rsid w:val="00136596"/>
    <w:rsid w:val="001375C3"/>
    <w:rsid w:val="0013762C"/>
    <w:rsid w:val="00145A4D"/>
    <w:rsid w:val="00151149"/>
    <w:rsid w:val="00152C7C"/>
    <w:rsid w:val="001601C8"/>
    <w:rsid w:val="00161FF0"/>
    <w:rsid w:val="00162244"/>
    <w:rsid w:val="0016628D"/>
    <w:rsid w:val="001664D9"/>
    <w:rsid w:val="0017043F"/>
    <w:rsid w:val="00173842"/>
    <w:rsid w:val="00173E4A"/>
    <w:rsid w:val="00173FAB"/>
    <w:rsid w:val="00184371"/>
    <w:rsid w:val="00193011"/>
    <w:rsid w:val="001930C3"/>
    <w:rsid w:val="00194490"/>
    <w:rsid w:val="001945BD"/>
    <w:rsid w:val="001A0407"/>
    <w:rsid w:val="001A0E3F"/>
    <w:rsid w:val="001A3B2A"/>
    <w:rsid w:val="001A504D"/>
    <w:rsid w:val="001A5DF8"/>
    <w:rsid w:val="001A786B"/>
    <w:rsid w:val="001B11D9"/>
    <w:rsid w:val="001B1C55"/>
    <w:rsid w:val="001B5F4F"/>
    <w:rsid w:val="001B7E88"/>
    <w:rsid w:val="001C30BB"/>
    <w:rsid w:val="001C4CA0"/>
    <w:rsid w:val="001C747B"/>
    <w:rsid w:val="001D1FC8"/>
    <w:rsid w:val="001D268B"/>
    <w:rsid w:val="001D5911"/>
    <w:rsid w:val="001E1DE2"/>
    <w:rsid w:val="001E2724"/>
    <w:rsid w:val="001E27EC"/>
    <w:rsid w:val="001E5F7F"/>
    <w:rsid w:val="001E7C74"/>
    <w:rsid w:val="001E7D3C"/>
    <w:rsid w:val="001F110F"/>
    <w:rsid w:val="001F3352"/>
    <w:rsid w:val="001F37D7"/>
    <w:rsid w:val="00200E60"/>
    <w:rsid w:val="00202FD5"/>
    <w:rsid w:val="00203270"/>
    <w:rsid w:val="0020513D"/>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7686"/>
    <w:rsid w:val="00257EF9"/>
    <w:rsid w:val="0026116A"/>
    <w:rsid w:val="00262D1B"/>
    <w:rsid w:val="002651E8"/>
    <w:rsid w:val="00270180"/>
    <w:rsid w:val="002705A5"/>
    <w:rsid w:val="002734C0"/>
    <w:rsid w:val="002741B5"/>
    <w:rsid w:val="0027505F"/>
    <w:rsid w:val="00276E1B"/>
    <w:rsid w:val="00277BB6"/>
    <w:rsid w:val="002820AF"/>
    <w:rsid w:val="0028393A"/>
    <w:rsid w:val="002869D0"/>
    <w:rsid w:val="00287298"/>
    <w:rsid w:val="00287614"/>
    <w:rsid w:val="00287834"/>
    <w:rsid w:val="00291461"/>
    <w:rsid w:val="00296E12"/>
    <w:rsid w:val="002A718A"/>
    <w:rsid w:val="002A73DD"/>
    <w:rsid w:val="002B3866"/>
    <w:rsid w:val="002B7BAF"/>
    <w:rsid w:val="002C0B25"/>
    <w:rsid w:val="002C1FFB"/>
    <w:rsid w:val="002C28D2"/>
    <w:rsid w:val="002C56F6"/>
    <w:rsid w:val="002C6631"/>
    <w:rsid w:val="002D2E91"/>
    <w:rsid w:val="002D378C"/>
    <w:rsid w:val="002D6116"/>
    <w:rsid w:val="002E072D"/>
    <w:rsid w:val="002E0D88"/>
    <w:rsid w:val="002E1DD8"/>
    <w:rsid w:val="002E2E62"/>
    <w:rsid w:val="002E45ED"/>
    <w:rsid w:val="002F18DD"/>
    <w:rsid w:val="002F23DC"/>
    <w:rsid w:val="002F4080"/>
    <w:rsid w:val="003003CB"/>
    <w:rsid w:val="00302870"/>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3763"/>
    <w:rsid w:val="00345B84"/>
    <w:rsid w:val="00345E83"/>
    <w:rsid w:val="00347CA3"/>
    <w:rsid w:val="003549F4"/>
    <w:rsid w:val="00362AE0"/>
    <w:rsid w:val="00366CFD"/>
    <w:rsid w:val="00366F30"/>
    <w:rsid w:val="003702BE"/>
    <w:rsid w:val="0038098B"/>
    <w:rsid w:val="00390E8B"/>
    <w:rsid w:val="003A031F"/>
    <w:rsid w:val="003A0A98"/>
    <w:rsid w:val="003A0D57"/>
    <w:rsid w:val="003A1D39"/>
    <w:rsid w:val="003A1E3E"/>
    <w:rsid w:val="003A5CAB"/>
    <w:rsid w:val="003B1EDB"/>
    <w:rsid w:val="003B7C51"/>
    <w:rsid w:val="003B7E1D"/>
    <w:rsid w:val="003C35CA"/>
    <w:rsid w:val="003C3C19"/>
    <w:rsid w:val="003D0BE2"/>
    <w:rsid w:val="003D6B24"/>
    <w:rsid w:val="003D791D"/>
    <w:rsid w:val="003E1425"/>
    <w:rsid w:val="003E3276"/>
    <w:rsid w:val="003E3454"/>
    <w:rsid w:val="003E3EE7"/>
    <w:rsid w:val="003F42CF"/>
    <w:rsid w:val="004010FB"/>
    <w:rsid w:val="00401301"/>
    <w:rsid w:val="00401FF0"/>
    <w:rsid w:val="004164C8"/>
    <w:rsid w:val="00417951"/>
    <w:rsid w:val="004230E7"/>
    <w:rsid w:val="004244F2"/>
    <w:rsid w:val="004251F8"/>
    <w:rsid w:val="00430158"/>
    <w:rsid w:val="004411D8"/>
    <w:rsid w:val="00453A99"/>
    <w:rsid w:val="00456FE6"/>
    <w:rsid w:val="00457D9A"/>
    <w:rsid w:val="00461A05"/>
    <w:rsid w:val="00465EF9"/>
    <w:rsid w:val="004834F5"/>
    <w:rsid w:val="00486F32"/>
    <w:rsid w:val="004900DB"/>
    <w:rsid w:val="00491808"/>
    <w:rsid w:val="00492142"/>
    <w:rsid w:val="00496B53"/>
    <w:rsid w:val="004A129B"/>
    <w:rsid w:val="004B1A24"/>
    <w:rsid w:val="004B6544"/>
    <w:rsid w:val="004C3605"/>
    <w:rsid w:val="004C3B98"/>
    <w:rsid w:val="004C58D8"/>
    <w:rsid w:val="004D1477"/>
    <w:rsid w:val="004D33A7"/>
    <w:rsid w:val="004E1ABD"/>
    <w:rsid w:val="004E51D1"/>
    <w:rsid w:val="004E70AD"/>
    <w:rsid w:val="004E71FF"/>
    <w:rsid w:val="004E775C"/>
    <w:rsid w:val="004F391B"/>
    <w:rsid w:val="00503BB6"/>
    <w:rsid w:val="00504FA1"/>
    <w:rsid w:val="0050545F"/>
    <w:rsid w:val="005207B7"/>
    <w:rsid w:val="00523CAB"/>
    <w:rsid w:val="005275E6"/>
    <w:rsid w:val="005308BB"/>
    <w:rsid w:val="00533CB2"/>
    <w:rsid w:val="0053546C"/>
    <w:rsid w:val="00541CDA"/>
    <w:rsid w:val="00547486"/>
    <w:rsid w:val="00550EFF"/>
    <w:rsid w:val="00556A0A"/>
    <w:rsid w:val="00557DBA"/>
    <w:rsid w:val="00561F1C"/>
    <w:rsid w:val="00562B64"/>
    <w:rsid w:val="005717F4"/>
    <w:rsid w:val="00581A29"/>
    <w:rsid w:val="00585FA5"/>
    <w:rsid w:val="00586006"/>
    <w:rsid w:val="00586837"/>
    <w:rsid w:val="00593428"/>
    <w:rsid w:val="005957B2"/>
    <w:rsid w:val="005A16A5"/>
    <w:rsid w:val="005A1CC2"/>
    <w:rsid w:val="005A2E47"/>
    <w:rsid w:val="005A2EA3"/>
    <w:rsid w:val="005A53CA"/>
    <w:rsid w:val="005A7AD6"/>
    <w:rsid w:val="005B39A7"/>
    <w:rsid w:val="005B4FA2"/>
    <w:rsid w:val="005B59B7"/>
    <w:rsid w:val="005C16F0"/>
    <w:rsid w:val="005C360C"/>
    <w:rsid w:val="005C423B"/>
    <w:rsid w:val="005C47BD"/>
    <w:rsid w:val="005C55FB"/>
    <w:rsid w:val="005C5973"/>
    <w:rsid w:val="005C64CE"/>
    <w:rsid w:val="005D52ED"/>
    <w:rsid w:val="005D6EB1"/>
    <w:rsid w:val="005D7098"/>
    <w:rsid w:val="005E0779"/>
    <w:rsid w:val="005E10B8"/>
    <w:rsid w:val="005E4E9D"/>
    <w:rsid w:val="005E7402"/>
    <w:rsid w:val="005E76AD"/>
    <w:rsid w:val="005F3F33"/>
    <w:rsid w:val="005F42C5"/>
    <w:rsid w:val="005F4C9F"/>
    <w:rsid w:val="00600BCE"/>
    <w:rsid w:val="00601937"/>
    <w:rsid w:val="006032F2"/>
    <w:rsid w:val="00603A0D"/>
    <w:rsid w:val="006058CA"/>
    <w:rsid w:val="00610AC8"/>
    <w:rsid w:val="006111AA"/>
    <w:rsid w:val="00611712"/>
    <w:rsid w:val="00612B4A"/>
    <w:rsid w:val="00623252"/>
    <w:rsid w:val="00631612"/>
    <w:rsid w:val="00635364"/>
    <w:rsid w:val="00636468"/>
    <w:rsid w:val="00637C62"/>
    <w:rsid w:val="00643075"/>
    <w:rsid w:val="0064464B"/>
    <w:rsid w:val="00645517"/>
    <w:rsid w:val="00647144"/>
    <w:rsid w:val="00647ADF"/>
    <w:rsid w:val="006501D8"/>
    <w:rsid w:val="0065066E"/>
    <w:rsid w:val="00651438"/>
    <w:rsid w:val="00652792"/>
    <w:rsid w:val="006534CF"/>
    <w:rsid w:val="00653DCC"/>
    <w:rsid w:val="006549A6"/>
    <w:rsid w:val="006550B3"/>
    <w:rsid w:val="006676B9"/>
    <w:rsid w:val="006705FE"/>
    <w:rsid w:val="00677EFB"/>
    <w:rsid w:val="006829A2"/>
    <w:rsid w:val="006856A7"/>
    <w:rsid w:val="00690AAF"/>
    <w:rsid w:val="0069159F"/>
    <w:rsid w:val="00692B07"/>
    <w:rsid w:val="00694024"/>
    <w:rsid w:val="00696981"/>
    <w:rsid w:val="006A3BFB"/>
    <w:rsid w:val="006A50B5"/>
    <w:rsid w:val="006A7F8F"/>
    <w:rsid w:val="006B3EFA"/>
    <w:rsid w:val="006B54D6"/>
    <w:rsid w:val="006B60E4"/>
    <w:rsid w:val="006C158D"/>
    <w:rsid w:val="006C1E7E"/>
    <w:rsid w:val="006C5838"/>
    <w:rsid w:val="006D186C"/>
    <w:rsid w:val="006D2CD0"/>
    <w:rsid w:val="006D312E"/>
    <w:rsid w:val="006E2D76"/>
    <w:rsid w:val="006E3892"/>
    <w:rsid w:val="006E500B"/>
    <w:rsid w:val="006E5FE1"/>
    <w:rsid w:val="006E7E7E"/>
    <w:rsid w:val="006F4A5B"/>
    <w:rsid w:val="006F6ABF"/>
    <w:rsid w:val="006F782D"/>
    <w:rsid w:val="0070095E"/>
    <w:rsid w:val="0070356D"/>
    <w:rsid w:val="007042B7"/>
    <w:rsid w:val="00706A06"/>
    <w:rsid w:val="00713634"/>
    <w:rsid w:val="0071468F"/>
    <w:rsid w:val="00721F4F"/>
    <w:rsid w:val="00727643"/>
    <w:rsid w:val="007301E9"/>
    <w:rsid w:val="00730C14"/>
    <w:rsid w:val="0073556F"/>
    <w:rsid w:val="00740C0F"/>
    <w:rsid w:val="00742307"/>
    <w:rsid w:val="00742A8D"/>
    <w:rsid w:val="00746CCF"/>
    <w:rsid w:val="00750F40"/>
    <w:rsid w:val="00751B5E"/>
    <w:rsid w:val="00752140"/>
    <w:rsid w:val="00753FDC"/>
    <w:rsid w:val="0075474E"/>
    <w:rsid w:val="0075483B"/>
    <w:rsid w:val="007724D1"/>
    <w:rsid w:val="00774707"/>
    <w:rsid w:val="007768B0"/>
    <w:rsid w:val="007819BC"/>
    <w:rsid w:val="007829E9"/>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D17"/>
    <w:rsid w:val="007D66FE"/>
    <w:rsid w:val="007D7562"/>
    <w:rsid w:val="007E1147"/>
    <w:rsid w:val="007E124C"/>
    <w:rsid w:val="007E269D"/>
    <w:rsid w:val="007E29D4"/>
    <w:rsid w:val="007E379F"/>
    <w:rsid w:val="007F1C28"/>
    <w:rsid w:val="007F5F02"/>
    <w:rsid w:val="00807CF7"/>
    <w:rsid w:val="008101A1"/>
    <w:rsid w:val="00811FA0"/>
    <w:rsid w:val="00814588"/>
    <w:rsid w:val="00815813"/>
    <w:rsid w:val="00816028"/>
    <w:rsid w:val="00824E99"/>
    <w:rsid w:val="00825FC5"/>
    <w:rsid w:val="008306CC"/>
    <w:rsid w:val="00830FE1"/>
    <w:rsid w:val="00831204"/>
    <w:rsid w:val="00831521"/>
    <w:rsid w:val="008347D9"/>
    <w:rsid w:val="0083677A"/>
    <w:rsid w:val="00836C41"/>
    <w:rsid w:val="00844254"/>
    <w:rsid w:val="00845FBE"/>
    <w:rsid w:val="008523D8"/>
    <w:rsid w:val="00852A24"/>
    <w:rsid w:val="00852C8E"/>
    <w:rsid w:val="008543D2"/>
    <w:rsid w:val="00861604"/>
    <w:rsid w:val="00863629"/>
    <w:rsid w:val="008646F0"/>
    <w:rsid w:val="0087001B"/>
    <w:rsid w:val="00871C8E"/>
    <w:rsid w:val="008731E8"/>
    <w:rsid w:val="00873854"/>
    <w:rsid w:val="00873962"/>
    <w:rsid w:val="00873CB8"/>
    <w:rsid w:val="00874878"/>
    <w:rsid w:val="00874EA8"/>
    <w:rsid w:val="00876C2C"/>
    <w:rsid w:val="008824CC"/>
    <w:rsid w:val="008852C8"/>
    <w:rsid w:val="0088639D"/>
    <w:rsid w:val="00891FFA"/>
    <w:rsid w:val="00893339"/>
    <w:rsid w:val="00897556"/>
    <w:rsid w:val="0089780F"/>
    <w:rsid w:val="008A093C"/>
    <w:rsid w:val="008A56A2"/>
    <w:rsid w:val="008B0CA8"/>
    <w:rsid w:val="008B2936"/>
    <w:rsid w:val="008C5577"/>
    <w:rsid w:val="008D2128"/>
    <w:rsid w:val="008D3217"/>
    <w:rsid w:val="008D4F8F"/>
    <w:rsid w:val="008E1517"/>
    <w:rsid w:val="008E2B30"/>
    <w:rsid w:val="008E363A"/>
    <w:rsid w:val="008E6BB3"/>
    <w:rsid w:val="008E6EC7"/>
    <w:rsid w:val="008E7E5A"/>
    <w:rsid w:val="008E7F55"/>
    <w:rsid w:val="008F25B4"/>
    <w:rsid w:val="008F3D2C"/>
    <w:rsid w:val="008F6885"/>
    <w:rsid w:val="008F79E8"/>
    <w:rsid w:val="009009DB"/>
    <w:rsid w:val="00901017"/>
    <w:rsid w:val="00911444"/>
    <w:rsid w:val="00912243"/>
    <w:rsid w:val="00914926"/>
    <w:rsid w:val="009158CB"/>
    <w:rsid w:val="0092538F"/>
    <w:rsid w:val="0092698E"/>
    <w:rsid w:val="009349DC"/>
    <w:rsid w:val="00935045"/>
    <w:rsid w:val="009464EA"/>
    <w:rsid w:val="00951656"/>
    <w:rsid w:val="00951B7E"/>
    <w:rsid w:val="00953B6C"/>
    <w:rsid w:val="00955E7B"/>
    <w:rsid w:val="009570B6"/>
    <w:rsid w:val="0095789C"/>
    <w:rsid w:val="009675E1"/>
    <w:rsid w:val="009719DE"/>
    <w:rsid w:val="0097239C"/>
    <w:rsid w:val="0097584E"/>
    <w:rsid w:val="00982C42"/>
    <w:rsid w:val="009852C1"/>
    <w:rsid w:val="00986ACE"/>
    <w:rsid w:val="00986C82"/>
    <w:rsid w:val="0099281D"/>
    <w:rsid w:val="00993534"/>
    <w:rsid w:val="00996FCF"/>
    <w:rsid w:val="009A32E3"/>
    <w:rsid w:val="009A3E29"/>
    <w:rsid w:val="009A6B8A"/>
    <w:rsid w:val="009B12C4"/>
    <w:rsid w:val="009B2F74"/>
    <w:rsid w:val="009B4115"/>
    <w:rsid w:val="009C4CA5"/>
    <w:rsid w:val="009C5E46"/>
    <w:rsid w:val="009D7244"/>
    <w:rsid w:val="009D7D37"/>
    <w:rsid w:val="009E1581"/>
    <w:rsid w:val="009E25A6"/>
    <w:rsid w:val="009E4D46"/>
    <w:rsid w:val="009E6FB5"/>
    <w:rsid w:val="009F49C7"/>
    <w:rsid w:val="009F7574"/>
    <w:rsid w:val="009F79AA"/>
    <w:rsid w:val="00A04307"/>
    <w:rsid w:val="00A109FC"/>
    <w:rsid w:val="00A12F7A"/>
    <w:rsid w:val="00A14C3B"/>
    <w:rsid w:val="00A15ADC"/>
    <w:rsid w:val="00A21DFB"/>
    <w:rsid w:val="00A2230A"/>
    <w:rsid w:val="00A22516"/>
    <w:rsid w:val="00A30764"/>
    <w:rsid w:val="00A3093F"/>
    <w:rsid w:val="00A3127A"/>
    <w:rsid w:val="00A432D4"/>
    <w:rsid w:val="00A4489A"/>
    <w:rsid w:val="00A4718B"/>
    <w:rsid w:val="00A51144"/>
    <w:rsid w:val="00A53B21"/>
    <w:rsid w:val="00A5689D"/>
    <w:rsid w:val="00A57D02"/>
    <w:rsid w:val="00A60BD1"/>
    <w:rsid w:val="00A62099"/>
    <w:rsid w:val="00A6558E"/>
    <w:rsid w:val="00A66B5D"/>
    <w:rsid w:val="00A7044C"/>
    <w:rsid w:val="00A740CF"/>
    <w:rsid w:val="00A7423D"/>
    <w:rsid w:val="00A77338"/>
    <w:rsid w:val="00A80F52"/>
    <w:rsid w:val="00A8278F"/>
    <w:rsid w:val="00A858C9"/>
    <w:rsid w:val="00A86DAE"/>
    <w:rsid w:val="00A93755"/>
    <w:rsid w:val="00A93A32"/>
    <w:rsid w:val="00A9537F"/>
    <w:rsid w:val="00AA2C15"/>
    <w:rsid w:val="00AA3CCC"/>
    <w:rsid w:val="00AA402D"/>
    <w:rsid w:val="00AA56AE"/>
    <w:rsid w:val="00AB7050"/>
    <w:rsid w:val="00AB7CE1"/>
    <w:rsid w:val="00AC10C4"/>
    <w:rsid w:val="00AC4F90"/>
    <w:rsid w:val="00AC6CAF"/>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30006"/>
    <w:rsid w:val="00B32B50"/>
    <w:rsid w:val="00B33B1E"/>
    <w:rsid w:val="00B33EB1"/>
    <w:rsid w:val="00B44457"/>
    <w:rsid w:val="00B44E25"/>
    <w:rsid w:val="00B45130"/>
    <w:rsid w:val="00B46DA5"/>
    <w:rsid w:val="00B50EAD"/>
    <w:rsid w:val="00B51C48"/>
    <w:rsid w:val="00B54DC9"/>
    <w:rsid w:val="00B61061"/>
    <w:rsid w:val="00B667F9"/>
    <w:rsid w:val="00B73B57"/>
    <w:rsid w:val="00B80A50"/>
    <w:rsid w:val="00B853EE"/>
    <w:rsid w:val="00B87DF6"/>
    <w:rsid w:val="00B90510"/>
    <w:rsid w:val="00B91692"/>
    <w:rsid w:val="00B97D75"/>
    <w:rsid w:val="00BA0984"/>
    <w:rsid w:val="00BA09A1"/>
    <w:rsid w:val="00BA0AB7"/>
    <w:rsid w:val="00BA173E"/>
    <w:rsid w:val="00BA1850"/>
    <w:rsid w:val="00BB03F9"/>
    <w:rsid w:val="00BB233A"/>
    <w:rsid w:val="00BB6707"/>
    <w:rsid w:val="00BC2A7C"/>
    <w:rsid w:val="00BC5E86"/>
    <w:rsid w:val="00BD09FF"/>
    <w:rsid w:val="00BD1F42"/>
    <w:rsid w:val="00BD2C5B"/>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440D"/>
    <w:rsid w:val="00C14AA9"/>
    <w:rsid w:val="00C14D48"/>
    <w:rsid w:val="00C158D5"/>
    <w:rsid w:val="00C2061F"/>
    <w:rsid w:val="00C2319B"/>
    <w:rsid w:val="00C23B02"/>
    <w:rsid w:val="00C259A7"/>
    <w:rsid w:val="00C261A8"/>
    <w:rsid w:val="00C26BAF"/>
    <w:rsid w:val="00C27CC2"/>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A31"/>
    <w:rsid w:val="00C82318"/>
    <w:rsid w:val="00C863F5"/>
    <w:rsid w:val="00C9108B"/>
    <w:rsid w:val="00C92F81"/>
    <w:rsid w:val="00C95CD4"/>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2FEF"/>
    <w:rsid w:val="00CE4B87"/>
    <w:rsid w:val="00CE66B9"/>
    <w:rsid w:val="00CE77D9"/>
    <w:rsid w:val="00CF3813"/>
    <w:rsid w:val="00CF3C3F"/>
    <w:rsid w:val="00CF60B2"/>
    <w:rsid w:val="00CF6718"/>
    <w:rsid w:val="00CF6B32"/>
    <w:rsid w:val="00CF72F4"/>
    <w:rsid w:val="00D11BC1"/>
    <w:rsid w:val="00D146E1"/>
    <w:rsid w:val="00D27579"/>
    <w:rsid w:val="00D27683"/>
    <w:rsid w:val="00D3206D"/>
    <w:rsid w:val="00D375C0"/>
    <w:rsid w:val="00D4251F"/>
    <w:rsid w:val="00D433DF"/>
    <w:rsid w:val="00D517A7"/>
    <w:rsid w:val="00D5659E"/>
    <w:rsid w:val="00D57B99"/>
    <w:rsid w:val="00D63140"/>
    <w:rsid w:val="00D635F5"/>
    <w:rsid w:val="00D64977"/>
    <w:rsid w:val="00D64EA9"/>
    <w:rsid w:val="00D66B01"/>
    <w:rsid w:val="00D66E43"/>
    <w:rsid w:val="00D67F0C"/>
    <w:rsid w:val="00D74229"/>
    <w:rsid w:val="00D92C7C"/>
    <w:rsid w:val="00D938CE"/>
    <w:rsid w:val="00D94FBD"/>
    <w:rsid w:val="00D9565A"/>
    <w:rsid w:val="00DA07F4"/>
    <w:rsid w:val="00DA1E23"/>
    <w:rsid w:val="00DA3AE6"/>
    <w:rsid w:val="00DA7146"/>
    <w:rsid w:val="00DB5CBF"/>
    <w:rsid w:val="00DB6EAC"/>
    <w:rsid w:val="00DC0F21"/>
    <w:rsid w:val="00DC3206"/>
    <w:rsid w:val="00DD4504"/>
    <w:rsid w:val="00DD5A7F"/>
    <w:rsid w:val="00DD7EB6"/>
    <w:rsid w:val="00DE48E3"/>
    <w:rsid w:val="00DE4917"/>
    <w:rsid w:val="00DE4A99"/>
    <w:rsid w:val="00DE5BF3"/>
    <w:rsid w:val="00DE6938"/>
    <w:rsid w:val="00DE7630"/>
    <w:rsid w:val="00DE7A8C"/>
    <w:rsid w:val="00DF2836"/>
    <w:rsid w:val="00DF5E45"/>
    <w:rsid w:val="00DF6087"/>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2E19"/>
    <w:rsid w:val="00E9322B"/>
    <w:rsid w:val="00E93328"/>
    <w:rsid w:val="00E9451F"/>
    <w:rsid w:val="00E9460D"/>
    <w:rsid w:val="00E95B41"/>
    <w:rsid w:val="00E971AF"/>
    <w:rsid w:val="00EA15AE"/>
    <w:rsid w:val="00EA3E9E"/>
    <w:rsid w:val="00EA7D29"/>
    <w:rsid w:val="00EB00F8"/>
    <w:rsid w:val="00ED0968"/>
    <w:rsid w:val="00ED2376"/>
    <w:rsid w:val="00EE1D9C"/>
    <w:rsid w:val="00EE2543"/>
    <w:rsid w:val="00EE3A88"/>
    <w:rsid w:val="00EE3E27"/>
    <w:rsid w:val="00EE5E83"/>
    <w:rsid w:val="00EE5EB0"/>
    <w:rsid w:val="00EF19F5"/>
    <w:rsid w:val="00EF6D74"/>
    <w:rsid w:val="00EF71DD"/>
    <w:rsid w:val="00EF7964"/>
    <w:rsid w:val="00F00FE7"/>
    <w:rsid w:val="00F02C90"/>
    <w:rsid w:val="00F03443"/>
    <w:rsid w:val="00F06BBD"/>
    <w:rsid w:val="00F102F0"/>
    <w:rsid w:val="00F10ACE"/>
    <w:rsid w:val="00F15701"/>
    <w:rsid w:val="00F204D3"/>
    <w:rsid w:val="00F23ECD"/>
    <w:rsid w:val="00F24035"/>
    <w:rsid w:val="00F269B7"/>
    <w:rsid w:val="00F3175D"/>
    <w:rsid w:val="00F33E52"/>
    <w:rsid w:val="00F35E09"/>
    <w:rsid w:val="00F36F19"/>
    <w:rsid w:val="00F36FE2"/>
    <w:rsid w:val="00F370BE"/>
    <w:rsid w:val="00F4540C"/>
    <w:rsid w:val="00F5045A"/>
    <w:rsid w:val="00F53CC3"/>
    <w:rsid w:val="00F54160"/>
    <w:rsid w:val="00F54543"/>
    <w:rsid w:val="00F6415F"/>
    <w:rsid w:val="00F64183"/>
    <w:rsid w:val="00F70121"/>
    <w:rsid w:val="00F721F3"/>
    <w:rsid w:val="00F72447"/>
    <w:rsid w:val="00F72C04"/>
    <w:rsid w:val="00F73857"/>
    <w:rsid w:val="00F76258"/>
    <w:rsid w:val="00F77A11"/>
    <w:rsid w:val="00F80535"/>
    <w:rsid w:val="00F81325"/>
    <w:rsid w:val="00F821A1"/>
    <w:rsid w:val="00F8519C"/>
    <w:rsid w:val="00F85C8C"/>
    <w:rsid w:val="00F867C8"/>
    <w:rsid w:val="00F91289"/>
    <w:rsid w:val="00F91F7B"/>
    <w:rsid w:val="00F92753"/>
    <w:rsid w:val="00F977E8"/>
    <w:rsid w:val="00FA1419"/>
    <w:rsid w:val="00FA504A"/>
    <w:rsid w:val="00FB0878"/>
    <w:rsid w:val="00FB21E9"/>
    <w:rsid w:val="00FB2FE9"/>
    <w:rsid w:val="00FB6821"/>
    <w:rsid w:val="00FB6FA0"/>
    <w:rsid w:val="00FC24F6"/>
    <w:rsid w:val="00FD4D40"/>
    <w:rsid w:val="00FD597F"/>
    <w:rsid w:val="00FD6702"/>
    <w:rsid w:val="00FE07BA"/>
    <w:rsid w:val="00FE3C27"/>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Normal (Web)"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qFormat/>
    <w:rsid w:val="001E2724"/>
    <w:pPr>
      <w:spacing w:after="200" w:line="276" w:lineRule="auto"/>
      <w:ind w:left="720"/>
      <w:contextualSpacing/>
      <w:jc w:val="left"/>
    </w:pPr>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Normal (Web)"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qFormat/>
    <w:rsid w:val="001E2724"/>
    <w:pPr>
      <w:spacing w:after="200" w:line="276" w:lineRule="auto"/>
      <w:ind w:left="720"/>
      <w:contextualSpacing/>
      <w:jc w:val="left"/>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cid:image001.jpg@01D13355.39E746B0" TargetMode="External"/><Relationship Id="rId17" Type="http://schemas.openxmlformats.org/officeDocument/2006/relationships/package" Target="embeddings/Microsoft_Word_Document1.doc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735AC-7781-45CB-876A-77156C7D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3333</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Windows User</cp:lastModifiedBy>
  <cp:revision>5</cp:revision>
  <cp:lastPrinted>2015-05-14T14:38:00Z</cp:lastPrinted>
  <dcterms:created xsi:type="dcterms:W3CDTF">2015-12-08T10:00:00Z</dcterms:created>
  <dcterms:modified xsi:type="dcterms:W3CDTF">2015-12-11T09:50:00Z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