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4C0C" w14:textId="77777777" w:rsidR="00717FD0" w:rsidRDefault="00717FD0" w:rsidP="00616D25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7B545647" w14:textId="77777777" w:rsidR="0081513E" w:rsidRPr="00616D25" w:rsidRDefault="000574E9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Call-Off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 xml:space="preserve">Call-Off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14:paraId="6D7ECD8A" w14:textId="77777777" w:rsidR="007E12FE" w:rsidRPr="000C76ED" w:rsidRDefault="007E12FE" w:rsidP="007E12FE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1" w:name="_Hlt365637504"/>
      <w:bookmarkStart w:id="2" w:name="_Hlt365637641"/>
      <w:bookmarkStart w:id="3" w:name="_Hlt365636904"/>
      <w:bookmarkStart w:id="4" w:name="_Hlt365636907"/>
      <w:bookmarkStart w:id="5" w:name="_Toc349230508"/>
      <w:bookmarkStart w:id="6" w:name="_Toc349230509"/>
      <w:bookmarkStart w:id="7" w:name="_Toc349230615"/>
      <w:bookmarkStart w:id="8" w:name="_Toc349230624"/>
      <w:bookmarkStart w:id="9" w:name="_Toc349230661"/>
      <w:bookmarkStart w:id="10" w:name="_Toc349230715"/>
      <w:bookmarkStart w:id="11" w:name="_Toc349230717"/>
      <w:bookmarkStart w:id="12" w:name="_Toc349231564"/>
      <w:bookmarkStart w:id="13" w:name="_Toc348712421"/>
      <w:bookmarkStart w:id="14" w:name="_Toc348712423"/>
      <w:bookmarkStart w:id="15" w:name="_Toc348712425"/>
      <w:bookmarkStart w:id="16" w:name="_Toc349230720"/>
      <w:bookmarkStart w:id="17" w:name="_Toc349231566"/>
      <w:bookmarkStart w:id="18" w:name="_Toc348712427"/>
      <w:bookmarkStart w:id="19" w:name="_Toc348712429"/>
      <w:bookmarkStart w:id="20" w:name="_Toc349230723"/>
      <w:bookmarkStart w:id="21" w:name="_Toc348712431"/>
      <w:bookmarkStart w:id="22" w:name="_Toc349230725"/>
      <w:bookmarkStart w:id="23" w:name="_Toc349231569"/>
      <w:bookmarkStart w:id="24" w:name="_Toc349230741"/>
      <w:bookmarkStart w:id="25" w:name="_Toc349231585"/>
      <w:bookmarkStart w:id="26" w:name="_Toc349232221"/>
      <w:bookmarkStart w:id="27" w:name="_Toc349230757"/>
      <w:bookmarkStart w:id="28" w:name="_Toc349230765"/>
      <w:bookmarkStart w:id="29" w:name="_Toc349231607"/>
      <w:bookmarkStart w:id="30" w:name="_Toc349232238"/>
      <w:bookmarkStart w:id="31" w:name="_Toc349230785"/>
      <w:bookmarkStart w:id="32" w:name="_Toc349231627"/>
      <w:bookmarkStart w:id="33" w:name="_Toc349230790"/>
      <w:bookmarkStart w:id="34" w:name="_Toc349231632"/>
      <w:bookmarkStart w:id="35" w:name="_Toc349230792"/>
      <w:bookmarkStart w:id="36" w:name="_Toc349230803"/>
      <w:bookmarkStart w:id="37" w:name="_Toc349231642"/>
      <w:bookmarkStart w:id="38" w:name="_Toc349232261"/>
      <w:bookmarkStart w:id="39" w:name="_Toc349230813"/>
      <w:bookmarkStart w:id="40" w:name="_Toc349231652"/>
      <w:bookmarkStart w:id="41" w:name="_Toc349232271"/>
      <w:bookmarkStart w:id="42" w:name="_Toc349230815"/>
      <w:bookmarkStart w:id="43" w:name="_Toc349231654"/>
      <w:bookmarkStart w:id="44" w:name="_Toc349232273"/>
      <w:bookmarkStart w:id="45" w:name="_Toc349230822"/>
      <w:bookmarkStart w:id="46" w:name="_Toc349231661"/>
      <w:bookmarkStart w:id="47" w:name="_Toc349232279"/>
      <w:bookmarkStart w:id="48" w:name="_Toc349230832"/>
      <w:bookmarkStart w:id="49" w:name="_Toc348712442"/>
      <w:bookmarkStart w:id="50" w:name="_Toc349230834"/>
      <w:bookmarkStart w:id="51" w:name="_Toc349231671"/>
      <w:bookmarkStart w:id="52" w:name="_Toc349230841"/>
      <w:bookmarkStart w:id="53" w:name="_Toc349231678"/>
      <w:bookmarkStart w:id="54" w:name="_Toc349232291"/>
      <w:bookmarkStart w:id="55" w:name="_Toc349230869"/>
      <w:bookmarkStart w:id="56" w:name="_Toc348712444"/>
      <w:bookmarkStart w:id="57" w:name="_Toc348712446"/>
      <w:bookmarkStart w:id="58" w:name="_Toc348712448"/>
      <w:bookmarkStart w:id="59" w:name="_Toc349230895"/>
      <w:bookmarkStart w:id="60" w:name="_Toc349231722"/>
      <w:bookmarkStart w:id="61" w:name="_Toc349230912"/>
      <w:bookmarkStart w:id="62" w:name="_Toc349230938"/>
      <w:bookmarkStart w:id="63" w:name="_Toc349231748"/>
      <w:bookmarkStart w:id="64" w:name="_Toc348712500"/>
      <w:bookmarkStart w:id="65" w:name="_Toc349231028"/>
      <w:bookmarkStart w:id="66" w:name="_Toc349231805"/>
      <w:bookmarkStart w:id="67" w:name="_Toc348712594"/>
      <w:bookmarkStart w:id="68" w:name="_Toc349231076"/>
      <w:bookmarkStart w:id="69" w:name="_Toc349231179"/>
      <w:bookmarkStart w:id="70" w:name="_Toc349231185"/>
      <w:bookmarkStart w:id="71" w:name="_Toc348712710"/>
      <w:bookmarkStart w:id="72" w:name="_Toc348712716"/>
      <w:bookmarkStart w:id="73" w:name="_Toc34923120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14:paraId="34A008C4" w14:textId="77777777" w:rsidR="007E12FE" w:rsidRPr="00FB1F1B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  <w:highlight w:val="yellow"/>
        </w:rPr>
      </w:pPr>
    </w:p>
    <w:p w14:paraId="3B09C30D" w14:textId="20DB3FBC" w:rsidR="004C7294" w:rsidRPr="00363BCE" w:rsidRDefault="004C7294" w:rsidP="009B601F">
      <w:pPr>
        <w:pStyle w:val="Default"/>
        <w:numPr>
          <w:ilvl w:val="0"/>
          <w:numId w:val="4"/>
        </w:numPr>
        <w:ind w:left="0" w:firstLine="0"/>
        <w:rPr>
          <w:b/>
          <w:bCs/>
        </w:rPr>
      </w:pPr>
      <w:r w:rsidRPr="00363BCE">
        <w:rPr>
          <w:b/>
          <w:bCs/>
        </w:rPr>
        <w:t>Definitions</w:t>
      </w:r>
      <w:r w:rsidR="00363BCE" w:rsidRPr="00363BCE">
        <w:rPr>
          <w:b/>
          <w:bCs/>
        </w:rPr>
        <w:t>/Acronyms</w:t>
      </w:r>
    </w:p>
    <w:p w14:paraId="1628E1A5" w14:textId="77777777" w:rsidR="00363BCE" w:rsidRPr="00363BCE" w:rsidRDefault="00363BCE" w:rsidP="00363BCE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2984"/>
      </w:tblGrid>
      <w:tr w:rsidR="00363BCE" w:rsidRPr="00363BCE" w14:paraId="5BD04ADB" w14:textId="77777777" w:rsidTr="00F678C1">
        <w:trPr>
          <w:trHeight w:val="112"/>
          <w:jc w:val="center"/>
        </w:trPr>
        <w:tc>
          <w:tcPr>
            <w:tcW w:w="2984" w:type="dxa"/>
          </w:tcPr>
          <w:p w14:paraId="2C1DC8FD" w14:textId="77777777" w:rsidR="00363BCE" w:rsidRPr="00363BCE" w:rsidRDefault="00363BCE" w:rsidP="00EC6255">
            <w:pPr>
              <w:pStyle w:val="Default"/>
            </w:pPr>
            <w:r w:rsidRPr="00363BCE">
              <w:t xml:space="preserve">BOM </w:t>
            </w:r>
          </w:p>
        </w:tc>
        <w:tc>
          <w:tcPr>
            <w:tcW w:w="2984" w:type="dxa"/>
          </w:tcPr>
          <w:p w14:paraId="0DB45FEA" w14:textId="77777777" w:rsidR="00363BCE" w:rsidRPr="00363BCE" w:rsidRDefault="00363BCE" w:rsidP="00EC6255">
            <w:pPr>
              <w:pStyle w:val="Default"/>
            </w:pPr>
            <w:r w:rsidRPr="00363BCE">
              <w:t xml:space="preserve">Bill of Materials </w:t>
            </w:r>
          </w:p>
        </w:tc>
      </w:tr>
      <w:tr w:rsidR="00363BCE" w:rsidRPr="00363BCE" w14:paraId="28B59A26" w14:textId="77777777" w:rsidTr="00F678C1">
        <w:trPr>
          <w:trHeight w:val="112"/>
          <w:jc w:val="center"/>
        </w:trPr>
        <w:tc>
          <w:tcPr>
            <w:tcW w:w="2984" w:type="dxa"/>
            <w:shd w:val="clear" w:color="auto" w:fill="DBE5F1" w:themeFill="accent1" w:themeFillTint="33"/>
          </w:tcPr>
          <w:p w14:paraId="60D48BE6" w14:textId="77777777" w:rsidR="00363BCE" w:rsidRPr="00363BCE" w:rsidRDefault="00363BCE" w:rsidP="00EC6255">
            <w:pPr>
              <w:pStyle w:val="Default"/>
            </w:pPr>
            <w:r w:rsidRPr="00363BCE">
              <w:t xml:space="preserve">CDIS </w:t>
            </w:r>
          </w:p>
        </w:tc>
        <w:tc>
          <w:tcPr>
            <w:tcW w:w="2984" w:type="dxa"/>
            <w:shd w:val="clear" w:color="auto" w:fill="DBE5F1" w:themeFill="accent1" w:themeFillTint="33"/>
          </w:tcPr>
          <w:p w14:paraId="5507D650" w14:textId="77777777" w:rsidR="00363BCE" w:rsidRPr="00363BCE" w:rsidRDefault="00363BCE" w:rsidP="00EC6255">
            <w:pPr>
              <w:pStyle w:val="Default"/>
            </w:pPr>
            <w:r w:rsidRPr="00363BCE">
              <w:t xml:space="preserve">Cross Domain Interoperability Services </w:t>
            </w:r>
          </w:p>
        </w:tc>
      </w:tr>
      <w:tr w:rsidR="00363BCE" w:rsidRPr="00363BCE" w14:paraId="73508A4D" w14:textId="77777777" w:rsidTr="00F678C1">
        <w:trPr>
          <w:trHeight w:val="112"/>
          <w:jc w:val="center"/>
        </w:trPr>
        <w:tc>
          <w:tcPr>
            <w:tcW w:w="2984" w:type="dxa"/>
          </w:tcPr>
          <w:p w14:paraId="59E76A89" w14:textId="77777777" w:rsidR="00363BCE" w:rsidRPr="00363BCE" w:rsidRDefault="00363BCE" w:rsidP="00EC6255">
            <w:pPr>
              <w:pStyle w:val="Default"/>
            </w:pPr>
            <w:r w:rsidRPr="00363BCE">
              <w:t xml:space="preserve">IT </w:t>
            </w:r>
          </w:p>
        </w:tc>
        <w:tc>
          <w:tcPr>
            <w:tcW w:w="2984" w:type="dxa"/>
          </w:tcPr>
          <w:p w14:paraId="1DEEF598" w14:textId="77777777" w:rsidR="00363BCE" w:rsidRPr="00363BCE" w:rsidRDefault="00363BCE" w:rsidP="00EC6255">
            <w:pPr>
              <w:pStyle w:val="Default"/>
            </w:pPr>
            <w:r w:rsidRPr="00363BCE">
              <w:t xml:space="preserve">Information Technology </w:t>
            </w:r>
          </w:p>
        </w:tc>
      </w:tr>
      <w:tr w:rsidR="00363BCE" w:rsidRPr="00363BCE" w14:paraId="463CAD90" w14:textId="77777777" w:rsidTr="00F678C1">
        <w:trPr>
          <w:trHeight w:val="112"/>
          <w:jc w:val="center"/>
        </w:trPr>
        <w:tc>
          <w:tcPr>
            <w:tcW w:w="2984" w:type="dxa"/>
            <w:shd w:val="clear" w:color="auto" w:fill="DBE5F1" w:themeFill="accent1" w:themeFillTint="33"/>
          </w:tcPr>
          <w:p w14:paraId="73D6B41D" w14:textId="77777777" w:rsidR="00363BCE" w:rsidRPr="00363BCE" w:rsidRDefault="00363BCE" w:rsidP="00EC6255">
            <w:pPr>
              <w:pStyle w:val="Default"/>
            </w:pPr>
            <w:r w:rsidRPr="00363BCE">
              <w:t xml:space="preserve">MOD </w:t>
            </w:r>
          </w:p>
        </w:tc>
        <w:tc>
          <w:tcPr>
            <w:tcW w:w="2984" w:type="dxa"/>
            <w:shd w:val="clear" w:color="auto" w:fill="DBE5F1" w:themeFill="accent1" w:themeFillTint="33"/>
          </w:tcPr>
          <w:p w14:paraId="0EC8BE64" w14:textId="77777777" w:rsidR="00363BCE" w:rsidRPr="00363BCE" w:rsidRDefault="00363BCE" w:rsidP="00EC6255">
            <w:pPr>
              <w:pStyle w:val="Default"/>
            </w:pPr>
            <w:r w:rsidRPr="00363BCE">
              <w:t xml:space="preserve">Ministry of Defence </w:t>
            </w:r>
          </w:p>
        </w:tc>
      </w:tr>
    </w:tbl>
    <w:p w14:paraId="3B078FA0" w14:textId="77777777" w:rsidR="00363BCE" w:rsidRPr="00363BCE" w:rsidRDefault="00363BCE" w:rsidP="00363BCE">
      <w:pPr>
        <w:pStyle w:val="Default"/>
      </w:pPr>
    </w:p>
    <w:p w14:paraId="012DAEB3" w14:textId="77777777" w:rsidR="004C7294" w:rsidRPr="00363BCE" w:rsidRDefault="004C7294" w:rsidP="00363BCE">
      <w:pPr>
        <w:pStyle w:val="Default"/>
      </w:pPr>
    </w:p>
    <w:p w14:paraId="30D3F838" w14:textId="6700EAF7" w:rsidR="004C7294" w:rsidRPr="00363BCE" w:rsidRDefault="004C7294" w:rsidP="009B601F">
      <w:pPr>
        <w:pStyle w:val="Default"/>
        <w:numPr>
          <w:ilvl w:val="0"/>
          <w:numId w:val="4"/>
        </w:numPr>
        <w:ind w:left="0" w:firstLine="0"/>
      </w:pPr>
      <w:r w:rsidRPr="00363BCE">
        <w:rPr>
          <w:b/>
          <w:bCs/>
        </w:rPr>
        <w:t>B</w:t>
      </w:r>
      <w:r w:rsidR="00363BCE" w:rsidRPr="00363BCE">
        <w:rPr>
          <w:b/>
          <w:bCs/>
        </w:rPr>
        <w:t xml:space="preserve">ackground </w:t>
      </w:r>
      <w:r w:rsidR="00F678C1">
        <w:rPr>
          <w:b/>
          <w:bCs/>
        </w:rPr>
        <w:t>t</w:t>
      </w:r>
      <w:r w:rsidR="00363BCE" w:rsidRPr="00363BCE">
        <w:rPr>
          <w:b/>
          <w:bCs/>
        </w:rPr>
        <w:t>o Requirement</w:t>
      </w:r>
    </w:p>
    <w:p w14:paraId="0793F3E4" w14:textId="4F1E5FB7" w:rsidR="004C7294" w:rsidRPr="00363BCE" w:rsidRDefault="004C7294" w:rsidP="009B601F">
      <w:pPr>
        <w:pStyle w:val="Default"/>
        <w:numPr>
          <w:ilvl w:val="1"/>
          <w:numId w:val="4"/>
        </w:numPr>
        <w:ind w:left="709"/>
      </w:pPr>
      <w:r w:rsidRPr="00363BCE">
        <w:t xml:space="preserve">The Defence Digital team require provision of the CDIS BOM </w:t>
      </w:r>
      <w:r w:rsidR="00363BCE" w:rsidRPr="00363BCE">
        <w:t xml:space="preserve">to </w:t>
      </w:r>
      <w:r w:rsidRPr="00363BCE">
        <w:t>the programme to continue onto its journey into the B</w:t>
      </w:r>
      <w:r w:rsidR="00363BCE" w:rsidRPr="00363BCE">
        <w:t>ETA</w:t>
      </w:r>
      <w:r w:rsidRPr="00363BCE">
        <w:t xml:space="preserve"> phase of design and development.</w:t>
      </w:r>
    </w:p>
    <w:p w14:paraId="74F52179" w14:textId="0B82BD7A" w:rsidR="00363BCE" w:rsidRDefault="004C7294" w:rsidP="009B601F">
      <w:pPr>
        <w:pStyle w:val="Default"/>
        <w:numPr>
          <w:ilvl w:val="1"/>
          <w:numId w:val="4"/>
        </w:numPr>
        <w:ind w:left="709"/>
      </w:pPr>
      <w:r w:rsidRPr="00363BCE">
        <w:t>The requirement is for supply of parts only. No installation or configuration is required as part of this procurement.</w:t>
      </w:r>
    </w:p>
    <w:p w14:paraId="31ABAA0B" w14:textId="77777777" w:rsidR="00363BCE" w:rsidRPr="00363BCE" w:rsidRDefault="00363BCE" w:rsidP="00363BCE">
      <w:pPr>
        <w:pStyle w:val="Default"/>
        <w:ind w:left="709"/>
      </w:pPr>
    </w:p>
    <w:p w14:paraId="31482EE6" w14:textId="77777777" w:rsidR="00363BCE" w:rsidRDefault="00363BCE" w:rsidP="009B601F">
      <w:pPr>
        <w:pStyle w:val="Default"/>
        <w:numPr>
          <w:ilvl w:val="0"/>
          <w:numId w:val="4"/>
        </w:numPr>
      </w:pPr>
      <w:r>
        <w:rPr>
          <w:b/>
        </w:rPr>
        <w:t>Scope of Requirement</w:t>
      </w:r>
    </w:p>
    <w:p w14:paraId="6648AC74" w14:textId="77777777" w:rsidR="00363BCE" w:rsidRPr="00363BCE" w:rsidRDefault="004C7294" w:rsidP="009B601F">
      <w:pPr>
        <w:pStyle w:val="Default"/>
        <w:numPr>
          <w:ilvl w:val="1"/>
          <w:numId w:val="4"/>
        </w:numPr>
        <w:rPr>
          <w:bCs/>
        </w:rPr>
      </w:pPr>
      <w:r w:rsidRPr="00363BCE">
        <w:rPr>
          <w:bCs/>
        </w:rPr>
        <w:t>The scope of this requirement extends to the following provisions:</w:t>
      </w:r>
    </w:p>
    <w:p w14:paraId="3CA76219" w14:textId="0705BF1A" w:rsidR="00363BCE" w:rsidRPr="00363BCE" w:rsidRDefault="004C7294" w:rsidP="009B601F">
      <w:pPr>
        <w:pStyle w:val="Default"/>
        <w:numPr>
          <w:ilvl w:val="2"/>
          <w:numId w:val="4"/>
        </w:numPr>
        <w:rPr>
          <w:bCs/>
        </w:rPr>
      </w:pPr>
      <w:r w:rsidRPr="004C7294">
        <w:rPr>
          <w:rFonts w:eastAsia="Times New Roman"/>
          <w:bCs/>
          <w:lang w:eastAsia="zh-CN"/>
        </w:rPr>
        <w:t xml:space="preserve">The provision of IT hardware, software and licences relating to the CDIS BOM as outlined in Section </w:t>
      </w:r>
      <w:r w:rsidR="00363BCE">
        <w:rPr>
          <w:rFonts w:eastAsia="Times New Roman"/>
          <w:bCs/>
          <w:lang w:eastAsia="zh-CN"/>
        </w:rPr>
        <w:t>4</w:t>
      </w:r>
      <w:r w:rsidRPr="004C7294">
        <w:rPr>
          <w:rFonts w:eastAsia="Times New Roman"/>
          <w:bCs/>
          <w:lang w:eastAsia="zh-CN"/>
        </w:rPr>
        <w:t xml:space="preserve"> ‘The Requirement’</w:t>
      </w:r>
    </w:p>
    <w:p w14:paraId="593E7150" w14:textId="77777777" w:rsidR="00363BCE" w:rsidRPr="00363BCE" w:rsidRDefault="004C7294" w:rsidP="009B601F">
      <w:pPr>
        <w:pStyle w:val="Default"/>
        <w:numPr>
          <w:ilvl w:val="2"/>
          <w:numId w:val="4"/>
        </w:numPr>
        <w:rPr>
          <w:bCs/>
        </w:rPr>
      </w:pPr>
      <w:r w:rsidRPr="004C7294">
        <w:rPr>
          <w:rFonts w:eastAsia="Times New Roman"/>
          <w:bCs/>
          <w:lang w:eastAsia="zh-CN"/>
        </w:rPr>
        <w:t>This Statement of Requirement does not extend to any</w:t>
      </w:r>
      <w:r w:rsidRPr="00363BCE">
        <w:rPr>
          <w:bCs/>
        </w:rPr>
        <w:t xml:space="preserve"> i</w:t>
      </w:r>
      <w:r w:rsidRPr="004C7294">
        <w:rPr>
          <w:rFonts w:eastAsia="Times New Roman"/>
          <w:bCs/>
          <w:lang w:eastAsia="zh-CN"/>
        </w:rPr>
        <w:t>nstallation, maintenance or configuration.</w:t>
      </w:r>
    </w:p>
    <w:p w14:paraId="6F102AC8" w14:textId="77777777" w:rsidR="00363BCE" w:rsidRDefault="004C7294" w:rsidP="009B601F">
      <w:pPr>
        <w:pStyle w:val="Default"/>
        <w:numPr>
          <w:ilvl w:val="0"/>
          <w:numId w:val="4"/>
        </w:numPr>
        <w:rPr>
          <w:b/>
        </w:rPr>
      </w:pPr>
      <w:r w:rsidRPr="00363BCE">
        <w:rPr>
          <w:b/>
        </w:rPr>
        <w:t>T</w:t>
      </w:r>
      <w:r w:rsidR="00363BCE" w:rsidRPr="00363BCE">
        <w:rPr>
          <w:b/>
        </w:rPr>
        <w:t>he Requirement</w:t>
      </w:r>
    </w:p>
    <w:p w14:paraId="17613E51" w14:textId="77777777" w:rsidR="00363BCE" w:rsidRPr="00363BCE" w:rsidRDefault="004C7294" w:rsidP="009B601F">
      <w:pPr>
        <w:pStyle w:val="Default"/>
        <w:numPr>
          <w:ilvl w:val="1"/>
          <w:numId w:val="4"/>
        </w:numPr>
        <w:rPr>
          <w:bCs/>
        </w:rPr>
      </w:pPr>
      <w:r w:rsidRPr="00363BCE">
        <w:rPr>
          <w:bCs/>
        </w:rPr>
        <w:t>The Authority requires the provision of BOM items from the original vendors as listed in Call-Off Schedule 5 (</w:t>
      </w:r>
      <w:r w:rsidRPr="00363BCE">
        <w:rPr>
          <w:bCs/>
          <w:i/>
          <w:iCs/>
        </w:rPr>
        <w:t>Pricing Information</w:t>
      </w:r>
      <w:r w:rsidRPr="00363BCE">
        <w:rPr>
          <w:bCs/>
        </w:rPr>
        <w:t>).</w:t>
      </w:r>
    </w:p>
    <w:p w14:paraId="266FD778" w14:textId="516459D8" w:rsidR="004C7294" w:rsidRPr="00363BCE" w:rsidRDefault="004C7294" w:rsidP="009B601F">
      <w:pPr>
        <w:pStyle w:val="Default"/>
        <w:numPr>
          <w:ilvl w:val="1"/>
          <w:numId w:val="4"/>
        </w:numPr>
        <w:rPr>
          <w:bCs/>
        </w:rPr>
      </w:pPr>
      <w:r w:rsidRPr="00363BCE">
        <w:rPr>
          <w:bCs/>
        </w:rPr>
        <w:t>No alternative or reconditioned equipment will be accepted by the Authority. All hardware and software laid out within this Statement of Requirement must be procured Original Equipment Manufacturers (OEM)</w:t>
      </w:r>
      <w:r w:rsidR="00363BCE">
        <w:rPr>
          <w:bCs/>
        </w:rPr>
        <w:t xml:space="preserve">, </w:t>
      </w:r>
      <w:r w:rsidRPr="00363BCE">
        <w:rPr>
          <w:bCs/>
        </w:rPr>
        <w:t>stock and cannot be from unknown, untrusted or ‘grey’ sources.</w:t>
      </w:r>
    </w:p>
    <w:p w14:paraId="340AA778" w14:textId="77777777" w:rsidR="00363BCE" w:rsidRPr="00363BCE" w:rsidRDefault="00363BCE" w:rsidP="009B601F">
      <w:pPr>
        <w:pStyle w:val="GPSL2NumberedBoldHeading"/>
        <w:numPr>
          <w:ilvl w:val="1"/>
          <w:numId w:val="4"/>
        </w:numPr>
        <w:jc w:val="left"/>
        <w:rPr>
          <w:rFonts w:ascii="Arial" w:hAnsi="Arial"/>
          <w:bCs/>
          <w:sz w:val="24"/>
        </w:rPr>
      </w:pPr>
      <w:r w:rsidRPr="00363BCE">
        <w:rPr>
          <w:rFonts w:ascii="Arial" w:hAnsi="Arial"/>
          <w:bCs/>
          <w:sz w:val="24"/>
        </w:rPr>
        <w:t>Manufacturer’s</w:t>
      </w:r>
      <w:r w:rsidR="004C7294" w:rsidRPr="00363BCE">
        <w:rPr>
          <w:rFonts w:ascii="Arial" w:hAnsi="Arial"/>
          <w:bCs/>
          <w:sz w:val="24"/>
        </w:rPr>
        <w:t xml:space="preserve"> warranty will apply to all goods provided in this tender. </w:t>
      </w:r>
      <w:r w:rsidRPr="00363BCE">
        <w:rPr>
          <w:rFonts w:ascii="Arial" w:hAnsi="Arial"/>
          <w:bCs/>
          <w:sz w:val="24"/>
        </w:rPr>
        <w:t xml:space="preserve">The Contractor is to </w:t>
      </w:r>
      <w:r w:rsidR="004C7294" w:rsidRPr="00363BCE">
        <w:rPr>
          <w:rFonts w:ascii="Arial" w:hAnsi="Arial"/>
          <w:bCs/>
          <w:sz w:val="24"/>
        </w:rPr>
        <w:t xml:space="preserve">ensure that the correct warranty period and/or subscription as requested within the Bill of Materials in </w:t>
      </w:r>
      <w:r w:rsidRPr="00363BCE">
        <w:rPr>
          <w:rFonts w:ascii="Arial" w:hAnsi="Arial"/>
          <w:bCs/>
          <w:sz w:val="24"/>
        </w:rPr>
        <w:t>Call-Off Schedule 5 (</w:t>
      </w:r>
      <w:r w:rsidRPr="00363BCE">
        <w:rPr>
          <w:rFonts w:ascii="Arial" w:hAnsi="Arial"/>
          <w:bCs/>
          <w:i/>
          <w:iCs/>
          <w:sz w:val="24"/>
        </w:rPr>
        <w:t>Pricing Information</w:t>
      </w:r>
      <w:r w:rsidRPr="00363BCE">
        <w:rPr>
          <w:rFonts w:ascii="Arial" w:hAnsi="Arial"/>
          <w:bCs/>
          <w:sz w:val="24"/>
        </w:rPr>
        <w:t>)</w:t>
      </w:r>
      <w:r w:rsidR="004C7294" w:rsidRPr="00363BCE">
        <w:rPr>
          <w:rFonts w:ascii="Arial" w:hAnsi="Arial"/>
          <w:bCs/>
          <w:sz w:val="24"/>
        </w:rPr>
        <w:t xml:space="preserve"> only commences upon receipted delivery to the Ministry of Defence, Corsham.</w:t>
      </w:r>
    </w:p>
    <w:p w14:paraId="15F5BEDA" w14:textId="28DCE7BE" w:rsidR="00363BCE" w:rsidRPr="00363BCE" w:rsidRDefault="00363BCE" w:rsidP="009B601F">
      <w:pPr>
        <w:pStyle w:val="GPSL2NumberedBoldHeading"/>
        <w:numPr>
          <w:ilvl w:val="1"/>
          <w:numId w:val="4"/>
        </w:numPr>
        <w:jc w:val="left"/>
        <w:rPr>
          <w:rFonts w:ascii="Arial" w:hAnsi="Arial"/>
          <w:bCs/>
          <w:sz w:val="24"/>
        </w:rPr>
      </w:pPr>
      <w:r w:rsidRPr="00363BCE">
        <w:rPr>
          <w:rFonts w:ascii="Arial" w:hAnsi="Arial"/>
          <w:bCs/>
          <w:sz w:val="24"/>
        </w:rPr>
        <w:t xml:space="preserve">The Contractor </w:t>
      </w:r>
      <w:r w:rsidR="004C7294" w:rsidRPr="00363BCE">
        <w:rPr>
          <w:rFonts w:ascii="Arial" w:hAnsi="Arial"/>
          <w:bCs/>
          <w:sz w:val="24"/>
        </w:rPr>
        <w:t>must ensure that the Key Milestones and Deliverables in the table below can be met.</w:t>
      </w:r>
    </w:p>
    <w:p w14:paraId="3DB330AD" w14:textId="1E2FDA81" w:rsidR="00363BCE" w:rsidRPr="00363BCE" w:rsidRDefault="00363BCE" w:rsidP="009B601F">
      <w:pPr>
        <w:pStyle w:val="GPSL2NumberedBoldHeading"/>
        <w:numPr>
          <w:ilvl w:val="0"/>
          <w:numId w:val="4"/>
        </w:numPr>
        <w:jc w:val="left"/>
        <w:rPr>
          <w:rFonts w:ascii="Arial" w:hAnsi="Arial"/>
          <w:b/>
          <w:sz w:val="24"/>
        </w:rPr>
      </w:pPr>
      <w:r w:rsidRPr="00363BCE">
        <w:rPr>
          <w:rFonts w:ascii="Arial" w:hAnsi="Arial"/>
          <w:b/>
          <w:sz w:val="24"/>
        </w:rPr>
        <w:t>Key Milestones &amp; Deliverable</w:t>
      </w:r>
    </w:p>
    <w:p w14:paraId="2CDE3AA4" w14:textId="730A11FC" w:rsidR="00363BCE" w:rsidRDefault="00363BCE" w:rsidP="009B601F">
      <w:pPr>
        <w:pStyle w:val="GPSL2NumberedBoldHeading"/>
        <w:numPr>
          <w:ilvl w:val="1"/>
          <w:numId w:val="4"/>
        </w:numPr>
        <w:jc w:val="left"/>
        <w:rPr>
          <w:rFonts w:ascii="Arial" w:hAnsi="Arial"/>
          <w:bCs/>
          <w:sz w:val="24"/>
        </w:rPr>
      </w:pPr>
      <w:r w:rsidRPr="00363BCE">
        <w:rPr>
          <w:rFonts w:ascii="Arial" w:hAnsi="Arial"/>
          <w:bCs/>
          <w:sz w:val="24"/>
        </w:rPr>
        <w:lastRenderedPageBreak/>
        <w:t xml:space="preserve">The </w:t>
      </w:r>
      <w:r>
        <w:rPr>
          <w:rFonts w:ascii="Arial" w:hAnsi="Arial"/>
          <w:bCs/>
          <w:sz w:val="24"/>
        </w:rPr>
        <w:t>Contractor</w:t>
      </w:r>
      <w:r w:rsidRPr="00363BCE">
        <w:rPr>
          <w:rFonts w:ascii="Arial" w:hAnsi="Arial"/>
          <w:bCs/>
          <w:sz w:val="24"/>
        </w:rPr>
        <w:t xml:space="preserve"> sh</w:t>
      </w:r>
      <w:r>
        <w:rPr>
          <w:rFonts w:ascii="Arial" w:hAnsi="Arial"/>
          <w:bCs/>
          <w:sz w:val="24"/>
        </w:rPr>
        <w:t>all</w:t>
      </w:r>
      <w:r w:rsidRPr="00363BCE">
        <w:rPr>
          <w:rFonts w:ascii="Arial" w:hAnsi="Arial"/>
          <w:bCs/>
          <w:sz w:val="24"/>
        </w:rPr>
        <w:t xml:space="preserve"> note that the Contracting Authority </w:t>
      </w:r>
      <w:r>
        <w:rPr>
          <w:rFonts w:ascii="Arial" w:hAnsi="Arial"/>
          <w:bCs/>
          <w:sz w:val="24"/>
        </w:rPr>
        <w:t>shall</w:t>
      </w:r>
      <w:r w:rsidRPr="00363BCE">
        <w:rPr>
          <w:rFonts w:ascii="Arial" w:hAnsi="Arial"/>
          <w:bCs/>
          <w:sz w:val="24"/>
        </w:rPr>
        <w:t xml:space="preserve"> measure the quality of the delivery against the following milestones.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69"/>
        <w:gridCol w:w="2849"/>
        <w:gridCol w:w="2838"/>
      </w:tblGrid>
      <w:tr w:rsidR="00363BCE" w14:paraId="4E7663CC" w14:textId="77777777" w:rsidTr="00363BCE">
        <w:tc>
          <w:tcPr>
            <w:tcW w:w="2969" w:type="dxa"/>
            <w:shd w:val="clear" w:color="auto" w:fill="B8CCE4" w:themeFill="accent1" w:themeFillTint="66"/>
          </w:tcPr>
          <w:p w14:paraId="35242F98" w14:textId="32FD0782" w:rsidR="00363BCE" w:rsidRPr="00363BCE" w:rsidRDefault="00363BCE" w:rsidP="00363BCE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Milestone/</w:t>
            </w:r>
            <w:r w:rsidRPr="00363BCE">
              <w:rPr>
                <w:rFonts w:ascii="Arial" w:hAnsi="Arial"/>
                <w:b/>
                <w:sz w:val="24"/>
              </w:rPr>
              <w:t>Deliverable</w:t>
            </w:r>
          </w:p>
        </w:tc>
        <w:tc>
          <w:tcPr>
            <w:tcW w:w="2849" w:type="dxa"/>
            <w:shd w:val="clear" w:color="auto" w:fill="B8CCE4" w:themeFill="accent1" w:themeFillTint="66"/>
          </w:tcPr>
          <w:p w14:paraId="48429E07" w14:textId="46A0B7BD" w:rsidR="00363BCE" w:rsidRPr="00363BCE" w:rsidRDefault="00363BCE" w:rsidP="00363BCE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4"/>
              </w:rPr>
            </w:pPr>
            <w:r w:rsidRPr="00363BCE">
              <w:rPr>
                <w:rFonts w:ascii="Arial" w:hAnsi="Arial"/>
                <w:b/>
                <w:sz w:val="24"/>
              </w:rPr>
              <w:t>Description</w:t>
            </w:r>
          </w:p>
        </w:tc>
        <w:tc>
          <w:tcPr>
            <w:tcW w:w="2838" w:type="dxa"/>
            <w:shd w:val="clear" w:color="auto" w:fill="B8CCE4" w:themeFill="accent1" w:themeFillTint="66"/>
          </w:tcPr>
          <w:p w14:paraId="3EB55B25" w14:textId="1BD174D7" w:rsidR="00363BCE" w:rsidRPr="00363BCE" w:rsidRDefault="00363BCE" w:rsidP="00363BCE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4"/>
              </w:rPr>
            </w:pPr>
            <w:r w:rsidRPr="00363BCE">
              <w:rPr>
                <w:rFonts w:ascii="Arial" w:hAnsi="Arial"/>
                <w:b/>
                <w:sz w:val="24"/>
              </w:rPr>
              <w:t>Timeframe or Delivery Date</w:t>
            </w:r>
          </w:p>
        </w:tc>
      </w:tr>
      <w:tr w:rsidR="00363BCE" w14:paraId="1299204E" w14:textId="77777777" w:rsidTr="00363BCE">
        <w:tc>
          <w:tcPr>
            <w:tcW w:w="2969" w:type="dxa"/>
          </w:tcPr>
          <w:p w14:paraId="2EDF5C48" w14:textId="0D6B1726" w:rsidR="00363BCE" w:rsidRDefault="00363BCE" w:rsidP="00363BCE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2849" w:type="dxa"/>
          </w:tcPr>
          <w:p w14:paraId="49E40175" w14:textId="32FC202C" w:rsidR="00363BCE" w:rsidRDefault="00363BCE" w:rsidP="00363BCE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Delivery of CDIS BOM</w:t>
            </w:r>
          </w:p>
        </w:tc>
        <w:tc>
          <w:tcPr>
            <w:tcW w:w="2838" w:type="dxa"/>
          </w:tcPr>
          <w:p w14:paraId="4B18D466" w14:textId="498B3C48" w:rsidR="00363BCE" w:rsidRDefault="00363BCE" w:rsidP="00363BCE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Within eight (8) weeks of Contract Awar</w:t>
            </w:r>
            <w:r w:rsidR="00F678C1">
              <w:rPr>
                <w:rFonts w:ascii="Arial" w:hAnsi="Arial"/>
                <w:bCs/>
                <w:sz w:val="24"/>
              </w:rPr>
              <w:t>d with deliveries commencing no earlier than 15-03-21.</w:t>
            </w:r>
          </w:p>
        </w:tc>
      </w:tr>
    </w:tbl>
    <w:p w14:paraId="284BC369" w14:textId="77777777" w:rsidR="00542AEB" w:rsidRDefault="00542AEB" w:rsidP="009B601F">
      <w:pPr>
        <w:pStyle w:val="GPSL2NumberedBoldHeading"/>
        <w:numPr>
          <w:ilvl w:val="0"/>
          <w:numId w:val="4"/>
        </w:numPr>
        <w:rPr>
          <w:rFonts w:ascii="Arial" w:hAnsi="Arial"/>
          <w:b/>
          <w:sz w:val="24"/>
        </w:rPr>
      </w:pPr>
      <w:r w:rsidRPr="00542AEB">
        <w:rPr>
          <w:rFonts w:ascii="Arial" w:hAnsi="Arial"/>
          <w:b/>
          <w:sz w:val="24"/>
        </w:rPr>
        <w:t>Management Information/Reporting</w:t>
      </w:r>
    </w:p>
    <w:p w14:paraId="4C23548B" w14:textId="77777777" w:rsidR="00542AEB" w:rsidRDefault="00542AEB" w:rsidP="009B601F">
      <w:pPr>
        <w:pStyle w:val="GPSL2NumberedBoldHeading"/>
        <w:numPr>
          <w:ilvl w:val="1"/>
          <w:numId w:val="4"/>
        </w:numPr>
        <w:rPr>
          <w:rFonts w:ascii="Arial" w:hAnsi="Arial"/>
          <w:b/>
          <w:sz w:val="24"/>
        </w:rPr>
      </w:pPr>
      <w:r w:rsidRPr="00542AEB">
        <w:rPr>
          <w:rFonts w:ascii="Arial" w:hAnsi="Arial"/>
          <w:bCs/>
          <w:sz w:val="24"/>
        </w:rPr>
        <w:t xml:space="preserve">The </w:t>
      </w:r>
      <w:r>
        <w:rPr>
          <w:rFonts w:ascii="Arial" w:hAnsi="Arial"/>
          <w:bCs/>
          <w:sz w:val="24"/>
        </w:rPr>
        <w:t xml:space="preserve">Contractor shall </w:t>
      </w:r>
      <w:r w:rsidRPr="00542AEB">
        <w:rPr>
          <w:rFonts w:ascii="Arial" w:hAnsi="Arial"/>
          <w:bCs/>
          <w:sz w:val="24"/>
        </w:rPr>
        <w:t>send weekly email confirmation</w:t>
      </w:r>
      <w:r>
        <w:rPr>
          <w:rFonts w:ascii="Arial" w:hAnsi="Arial"/>
          <w:bCs/>
          <w:sz w:val="24"/>
        </w:rPr>
        <w:t>s</w:t>
      </w:r>
      <w:r w:rsidRPr="00542AEB">
        <w:rPr>
          <w:rFonts w:ascii="Arial" w:hAnsi="Arial"/>
          <w:bCs/>
          <w:sz w:val="24"/>
        </w:rPr>
        <w:t xml:space="preserve"> to the Authority, keeping the Authority up to date on progress of BOM item deliveries and lead times.</w:t>
      </w:r>
    </w:p>
    <w:p w14:paraId="084AC554" w14:textId="77777777" w:rsidR="00542AEB" w:rsidRDefault="00542AEB" w:rsidP="009B601F">
      <w:pPr>
        <w:pStyle w:val="GPSL2NumberedBoldHeading"/>
        <w:numPr>
          <w:ilvl w:val="0"/>
          <w:numId w:val="4"/>
        </w:numPr>
        <w:rPr>
          <w:rFonts w:ascii="Arial" w:hAnsi="Arial"/>
          <w:b/>
          <w:sz w:val="24"/>
        </w:rPr>
      </w:pPr>
      <w:r w:rsidRPr="00542AEB">
        <w:rPr>
          <w:rFonts w:ascii="Arial" w:hAnsi="Arial"/>
          <w:b/>
          <w:sz w:val="24"/>
        </w:rPr>
        <w:t>Volumes</w:t>
      </w:r>
    </w:p>
    <w:p w14:paraId="5E3F8AF1" w14:textId="77777777" w:rsidR="00542AEB" w:rsidRDefault="00542AEB" w:rsidP="009B601F">
      <w:pPr>
        <w:pStyle w:val="GPSL2NumberedBoldHeading"/>
        <w:numPr>
          <w:ilvl w:val="1"/>
          <w:numId w:val="4"/>
        </w:numPr>
        <w:jc w:val="left"/>
        <w:rPr>
          <w:rFonts w:ascii="Arial" w:hAnsi="Arial"/>
          <w:bCs/>
          <w:sz w:val="24"/>
        </w:rPr>
      </w:pPr>
      <w:r w:rsidRPr="00542AEB">
        <w:rPr>
          <w:rFonts w:ascii="Arial" w:hAnsi="Arial"/>
          <w:bCs/>
          <w:sz w:val="24"/>
        </w:rPr>
        <w:t>Full details of the quantities of all components required under this requirement are contained within Call-Off Schedule 5 (Pricing Information).</w:t>
      </w:r>
    </w:p>
    <w:p w14:paraId="6460D8EC" w14:textId="70A7F87D" w:rsidR="00363BCE" w:rsidRDefault="00542AEB" w:rsidP="009B601F">
      <w:pPr>
        <w:pStyle w:val="GPSL2NumberedBoldHeading"/>
        <w:numPr>
          <w:ilvl w:val="1"/>
          <w:numId w:val="4"/>
        </w:numPr>
        <w:jc w:val="left"/>
        <w:rPr>
          <w:rFonts w:ascii="Arial" w:hAnsi="Arial"/>
          <w:bCs/>
          <w:sz w:val="24"/>
        </w:rPr>
      </w:pPr>
      <w:r w:rsidRPr="00542AEB">
        <w:rPr>
          <w:rFonts w:ascii="Arial" w:hAnsi="Arial"/>
          <w:bCs/>
          <w:sz w:val="24"/>
        </w:rPr>
        <w:t xml:space="preserve">Any proposed changes to the way in which the </w:t>
      </w:r>
      <w:r>
        <w:rPr>
          <w:rFonts w:ascii="Arial" w:hAnsi="Arial"/>
          <w:bCs/>
          <w:sz w:val="24"/>
        </w:rPr>
        <w:t>Goods</w:t>
      </w:r>
      <w:r w:rsidRPr="00542AEB">
        <w:rPr>
          <w:rFonts w:ascii="Arial" w:hAnsi="Arial"/>
          <w:bCs/>
          <w:sz w:val="24"/>
        </w:rPr>
        <w:t xml:space="preserve"> are to be delivered must be brought to the Authority’s attention and agreed prior to any changes being implemented.</w:t>
      </w:r>
    </w:p>
    <w:p w14:paraId="44EFE049" w14:textId="77777777" w:rsidR="00542AEB" w:rsidRDefault="00542AEB" w:rsidP="009B601F">
      <w:pPr>
        <w:pStyle w:val="GPSL2NumberedBoldHeading"/>
        <w:numPr>
          <w:ilvl w:val="0"/>
          <w:numId w:val="4"/>
        </w:numPr>
        <w:rPr>
          <w:rFonts w:ascii="Arial" w:hAnsi="Arial"/>
          <w:b/>
          <w:sz w:val="24"/>
        </w:rPr>
      </w:pPr>
      <w:r w:rsidRPr="00542AEB">
        <w:rPr>
          <w:rFonts w:ascii="Arial" w:hAnsi="Arial"/>
          <w:b/>
          <w:sz w:val="24"/>
        </w:rPr>
        <w:t>Quality</w:t>
      </w:r>
    </w:p>
    <w:p w14:paraId="6A3E3E5E" w14:textId="04BF9626" w:rsidR="00542AEB" w:rsidRPr="00542AEB" w:rsidRDefault="00542AEB" w:rsidP="009B601F">
      <w:pPr>
        <w:pStyle w:val="GPSL2NumberedBoldHeading"/>
        <w:numPr>
          <w:ilvl w:val="1"/>
          <w:numId w:val="4"/>
        </w:numPr>
        <w:rPr>
          <w:rFonts w:ascii="Arial" w:hAnsi="Arial"/>
          <w:b/>
          <w:sz w:val="24"/>
        </w:rPr>
      </w:pPr>
      <w:r w:rsidRPr="00542AEB">
        <w:rPr>
          <w:rFonts w:ascii="Arial" w:hAnsi="Arial"/>
          <w:bCs/>
          <w:sz w:val="24"/>
        </w:rPr>
        <w:t>Quality standards shall comply with those terms set out in this ITT and in line with the Terms and Conditions of RM6068 Technology Products &amp; Associated Services.</w:t>
      </w:r>
    </w:p>
    <w:p w14:paraId="76F4D927" w14:textId="6CA315DA" w:rsidR="00542AEB" w:rsidRDefault="00542AEB" w:rsidP="009B601F">
      <w:pPr>
        <w:pStyle w:val="GPSL2NumberedBoldHeading"/>
        <w:numPr>
          <w:ilvl w:val="1"/>
          <w:numId w:val="4"/>
        </w:numPr>
        <w:jc w:val="left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Goods</w:t>
      </w:r>
      <w:r w:rsidRPr="00542AEB">
        <w:rPr>
          <w:rFonts w:ascii="Arial" w:hAnsi="Arial"/>
          <w:bCs/>
          <w:sz w:val="24"/>
        </w:rPr>
        <w:t xml:space="preserve"> must be sourced by the </w:t>
      </w:r>
      <w:r>
        <w:rPr>
          <w:rFonts w:ascii="Arial" w:hAnsi="Arial"/>
          <w:bCs/>
          <w:sz w:val="24"/>
        </w:rPr>
        <w:t>Contractor</w:t>
      </w:r>
      <w:r w:rsidRPr="00542AEB">
        <w:rPr>
          <w:rFonts w:ascii="Arial" w:hAnsi="Arial"/>
          <w:bCs/>
          <w:sz w:val="24"/>
        </w:rPr>
        <w:t xml:space="preserve"> directly from the original vendor or through a distribution channel approved by the manufacturer for purchase of Services within the UK</w:t>
      </w:r>
      <w:r>
        <w:rPr>
          <w:rFonts w:ascii="Arial" w:hAnsi="Arial"/>
          <w:bCs/>
          <w:sz w:val="24"/>
        </w:rPr>
        <w:t>.</w:t>
      </w:r>
    </w:p>
    <w:p w14:paraId="41E9DFB8" w14:textId="77777777" w:rsidR="00542AEB" w:rsidRDefault="00542AEB" w:rsidP="009B601F">
      <w:pPr>
        <w:pStyle w:val="GPSL2NumberedBoldHeading"/>
        <w:numPr>
          <w:ilvl w:val="0"/>
          <w:numId w:val="4"/>
        </w:numPr>
        <w:rPr>
          <w:rFonts w:ascii="Arial" w:hAnsi="Arial"/>
          <w:b/>
          <w:sz w:val="24"/>
        </w:rPr>
      </w:pPr>
      <w:r w:rsidRPr="00542AEB">
        <w:rPr>
          <w:rFonts w:ascii="Arial" w:hAnsi="Arial"/>
          <w:b/>
          <w:sz w:val="24"/>
        </w:rPr>
        <w:t>Staff and Customer Service</w:t>
      </w:r>
    </w:p>
    <w:p w14:paraId="478A3DB6" w14:textId="1669FCD9" w:rsidR="00542AEB" w:rsidRPr="00542AEB" w:rsidRDefault="00542AEB" w:rsidP="009B601F">
      <w:pPr>
        <w:pStyle w:val="GPSL2NumberedBoldHeading"/>
        <w:numPr>
          <w:ilvl w:val="1"/>
          <w:numId w:val="4"/>
        </w:numPr>
        <w:rPr>
          <w:rFonts w:ascii="Arial" w:hAnsi="Arial"/>
          <w:b/>
          <w:sz w:val="24"/>
        </w:rPr>
      </w:pPr>
      <w:r w:rsidRPr="00542AEB">
        <w:rPr>
          <w:rFonts w:ascii="Arial" w:hAnsi="Arial"/>
          <w:bCs/>
          <w:sz w:val="24"/>
        </w:rPr>
        <w:t xml:space="preserve">The </w:t>
      </w:r>
      <w:r>
        <w:rPr>
          <w:rFonts w:ascii="Arial" w:hAnsi="Arial"/>
          <w:bCs/>
          <w:sz w:val="24"/>
        </w:rPr>
        <w:t>Contractor</w:t>
      </w:r>
      <w:r w:rsidRPr="00542AEB">
        <w:rPr>
          <w:rFonts w:ascii="Arial" w:hAnsi="Arial"/>
          <w:bCs/>
          <w:sz w:val="24"/>
        </w:rPr>
        <w:t xml:space="preserve"> shall provide a </w:t>
      </w:r>
      <w:proofErr w:type="gramStart"/>
      <w:r w:rsidRPr="00542AEB">
        <w:rPr>
          <w:rFonts w:ascii="Arial" w:hAnsi="Arial"/>
          <w:bCs/>
          <w:sz w:val="24"/>
        </w:rPr>
        <w:t>sufficient</w:t>
      </w:r>
      <w:proofErr w:type="gramEnd"/>
      <w:r w:rsidRPr="00542AEB">
        <w:rPr>
          <w:rFonts w:ascii="Arial" w:hAnsi="Arial"/>
          <w:bCs/>
          <w:sz w:val="24"/>
        </w:rPr>
        <w:t xml:space="preserve"> level of resource throughout the duration of the Contract in order to consistently deliver a quality service and to ensure that the reporting requirements outlined above are met.</w:t>
      </w:r>
    </w:p>
    <w:p w14:paraId="7B15E02E" w14:textId="757B3D97" w:rsidR="00542AEB" w:rsidRPr="00542AEB" w:rsidRDefault="00542AEB" w:rsidP="009B601F">
      <w:pPr>
        <w:pStyle w:val="GPSL2NumberedBoldHeading"/>
        <w:numPr>
          <w:ilvl w:val="0"/>
          <w:numId w:val="4"/>
        </w:numPr>
        <w:rPr>
          <w:rFonts w:ascii="Arial" w:hAnsi="Arial"/>
          <w:b/>
          <w:sz w:val="24"/>
        </w:rPr>
      </w:pPr>
      <w:r w:rsidRPr="00542AEB">
        <w:rPr>
          <w:rFonts w:ascii="Arial" w:hAnsi="Arial"/>
          <w:b/>
          <w:sz w:val="24"/>
        </w:rPr>
        <w:t>Service Levels &amp; Performance</w:t>
      </w:r>
    </w:p>
    <w:p w14:paraId="13F6B322" w14:textId="5B0C45F3" w:rsidR="00542AEB" w:rsidRDefault="00542AEB" w:rsidP="009B601F">
      <w:pPr>
        <w:pStyle w:val="GPSL2NumberedBoldHeading"/>
        <w:numPr>
          <w:ilvl w:val="1"/>
          <w:numId w:val="4"/>
        </w:numPr>
        <w:rPr>
          <w:rFonts w:ascii="Arial" w:hAnsi="Arial"/>
          <w:bCs/>
          <w:sz w:val="24"/>
        </w:rPr>
      </w:pPr>
      <w:r w:rsidRPr="00542AEB">
        <w:rPr>
          <w:rFonts w:ascii="Arial" w:hAnsi="Arial"/>
          <w:bCs/>
          <w:sz w:val="24"/>
        </w:rPr>
        <w:t>The Authority will measure the quality of the Supplier’s delivery by: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4"/>
        <w:gridCol w:w="2179"/>
        <w:gridCol w:w="2188"/>
        <w:gridCol w:w="2135"/>
      </w:tblGrid>
      <w:tr w:rsidR="00542AEB" w14:paraId="7AB0C2D1" w14:textId="77777777" w:rsidTr="00542AEB">
        <w:tc>
          <w:tcPr>
            <w:tcW w:w="2154" w:type="dxa"/>
            <w:shd w:val="clear" w:color="auto" w:fill="B8CCE4" w:themeFill="accent1" w:themeFillTint="66"/>
          </w:tcPr>
          <w:p w14:paraId="593A4B90" w14:textId="0865517D" w:rsidR="00542AEB" w:rsidRP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/>
                <w:sz w:val="24"/>
              </w:rPr>
            </w:pPr>
            <w:r w:rsidRPr="00542AEB">
              <w:rPr>
                <w:rFonts w:ascii="Arial" w:hAnsi="Arial"/>
                <w:b/>
                <w:sz w:val="24"/>
              </w:rPr>
              <w:t>KPI/SLA</w:t>
            </w:r>
          </w:p>
        </w:tc>
        <w:tc>
          <w:tcPr>
            <w:tcW w:w="2179" w:type="dxa"/>
            <w:shd w:val="clear" w:color="auto" w:fill="B8CCE4" w:themeFill="accent1" w:themeFillTint="66"/>
          </w:tcPr>
          <w:p w14:paraId="2C71C9C7" w14:textId="3A21E67F" w:rsidR="00542AEB" w:rsidRP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/>
                <w:sz w:val="24"/>
              </w:rPr>
            </w:pPr>
            <w:r w:rsidRPr="00542AEB">
              <w:rPr>
                <w:rFonts w:ascii="Arial" w:hAnsi="Arial"/>
                <w:b/>
                <w:sz w:val="24"/>
              </w:rPr>
              <w:t>Service Area</w:t>
            </w:r>
          </w:p>
        </w:tc>
        <w:tc>
          <w:tcPr>
            <w:tcW w:w="2188" w:type="dxa"/>
            <w:shd w:val="clear" w:color="auto" w:fill="B8CCE4" w:themeFill="accent1" w:themeFillTint="66"/>
          </w:tcPr>
          <w:p w14:paraId="24569170" w14:textId="3C15C4F8" w:rsidR="00542AEB" w:rsidRP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/>
                <w:sz w:val="24"/>
              </w:rPr>
            </w:pPr>
            <w:r w:rsidRPr="00542AEB">
              <w:rPr>
                <w:rFonts w:ascii="Arial" w:hAnsi="Arial"/>
                <w:b/>
                <w:sz w:val="24"/>
              </w:rPr>
              <w:t>Description</w:t>
            </w:r>
          </w:p>
        </w:tc>
        <w:tc>
          <w:tcPr>
            <w:tcW w:w="2135" w:type="dxa"/>
            <w:shd w:val="clear" w:color="auto" w:fill="B8CCE4" w:themeFill="accent1" w:themeFillTint="66"/>
          </w:tcPr>
          <w:p w14:paraId="28164DBB" w14:textId="2C009E95" w:rsidR="00542AEB" w:rsidRP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/>
                <w:sz w:val="24"/>
              </w:rPr>
            </w:pPr>
            <w:r w:rsidRPr="00542AEB">
              <w:rPr>
                <w:rFonts w:ascii="Arial" w:hAnsi="Arial"/>
                <w:b/>
                <w:sz w:val="24"/>
              </w:rPr>
              <w:t>Target</w:t>
            </w:r>
          </w:p>
        </w:tc>
      </w:tr>
      <w:tr w:rsidR="00542AEB" w14:paraId="151BC8EE" w14:textId="77777777" w:rsidTr="00542AEB">
        <w:tc>
          <w:tcPr>
            <w:tcW w:w="2154" w:type="dxa"/>
          </w:tcPr>
          <w:p w14:paraId="6A2EBB7E" w14:textId="2ED085CF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2179" w:type="dxa"/>
          </w:tcPr>
          <w:p w14:paraId="1DDBBC73" w14:textId="5837D53B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Delivery Timescales</w:t>
            </w:r>
          </w:p>
        </w:tc>
        <w:tc>
          <w:tcPr>
            <w:tcW w:w="2188" w:type="dxa"/>
          </w:tcPr>
          <w:p w14:paraId="11D93BEE" w14:textId="5E12F6F8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MoD to be informed of order by the vendor within five (5) working days of contract award.</w:t>
            </w:r>
          </w:p>
        </w:tc>
        <w:tc>
          <w:tcPr>
            <w:tcW w:w="2135" w:type="dxa"/>
          </w:tcPr>
          <w:p w14:paraId="55DCDD1F" w14:textId="383D1E62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100%</w:t>
            </w:r>
          </w:p>
        </w:tc>
      </w:tr>
      <w:tr w:rsidR="00542AEB" w14:paraId="071B0CEC" w14:textId="77777777" w:rsidTr="00542AEB">
        <w:tc>
          <w:tcPr>
            <w:tcW w:w="2154" w:type="dxa"/>
            <w:shd w:val="clear" w:color="auto" w:fill="DBE5F1" w:themeFill="accent1" w:themeFillTint="33"/>
          </w:tcPr>
          <w:p w14:paraId="65F7FDB1" w14:textId="10AA1B36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lastRenderedPageBreak/>
              <w:t>2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14:paraId="75CC6815" w14:textId="208D862D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Delivery Timescales</w:t>
            </w:r>
          </w:p>
        </w:tc>
        <w:tc>
          <w:tcPr>
            <w:tcW w:w="2188" w:type="dxa"/>
            <w:shd w:val="clear" w:color="auto" w:fill="DBE5F1" w:themeFill="accent1" w:themeFillTint="33"/>
          </w:tcPr>
          <w:p w14:paraId="3DC1E657" w14:textId="5672C68D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Delivery of CDIS BOM items within eight (8) weeks following Contract Award</w:t>
            </w:r>
          </w:p>
        </w:tc>
        <w:tc>
          <w:tcPr>
            <w:tcW w:w="2135" w:type="dxa"/>
            <w:shd w:val="clear" w:color="auto" w:fill="DBE5F1" w:themeFill="accent1" w:themeFillTint="33"/>
          </w:tcPr>
          <w:p w14:paraId="52AE630F" w14:textId="7C7A666E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100%</w:t>
            </w:r>
          </w:p>
        </w:tc>
      </w:tr>
      <w:tr w:rsidR="00542AEB" w14:paraId="73B29EDF" w14:textId="77777777" w:rsidTr="00542AEB">
        <w:tc>
          <w:tcPr>
            <w:tcW w:w="2154" w:type="dxa"/>
          </w:tcPr>
          <w:p w14:paraId="33CB5E60" w14:textId="68E2A541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2179" w:type="dxa"/>
          </w:tcPr>
          <w:p w14:paraId="1BF05BE6" w14:textId="390E17B1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Service Delivery</w:t>
            </w:r>
          </w:p>
        </w:tc>
        <w:tc>
          <w:tcPr>
            <w:tcW w:w="2188" w:type="dxa"/>
          </w:tcPr>
          <w:p w14:paraId="6F0243EB" w14:textId="18B1AEE7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Weekly product updates to be</w:t>
            </w:r>
            <w:r>
              <w:rPr>
                <w:rFonts w:ascii="Arial" w:hAnsi="Arial"/>
                <w:bCs/>
                <w:sz w:val="24"/>
              </w:rPr>
              <w:t xml:space="preserve"> </w:t>
            </w:r>
            <w:r w:rsidRPr="00542AEB">
              <w:rPr>
                <w:rFonts w:ascii="Arial" w:hAnsi="Arial"/>
                <w:bCs/>
                <w:sz w:val="24"/>
              </w:rPr>
              <w:t>received during the</w:t>
            </w:r>
            <w:r>
              <w:rPr>
                <w:rFonts w:ascii="Arial" w:hAnsi="Arial"/>
                <w:bCs/>
                <w:sz w:val="24"/>
              </w:rPr>
              <w:t xml:space="preserve"> </w:t>
            </w:r>
            <w:r w:rsidRPr="00542AEB">
              <w:rPr>
                <w:rFonts w:ascii="Arial" w:hAnsi="Arial"/>
                <w:bCs/>
                <w:sz w:val="24"/>
              </w:rPr>
              <w:t>Contract term.</w:t>
            </w:r>
          </w:p>
        </w:tc>
        <w:tc>
          <w:tcPr>
            <w:tcW w:w="2135" w:type="dxa"/>
          </w:tcPr>
          <w:p w14:paraId="44F48582" w14:textId="633199E9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100%</w:t>
            </w:r>
          </w:p>
        </w:tc>
      </w:tr>
      <w:tr w:rsidR="00542AEB" w14:paraId="3C8777DF" w14:textId="77777777" w:rsidTr="00542AEB">
        <w:tc>
          <w:tcPr>
            <w:tcW w:w="2154" w:type="dxa"/>
            <w:shd w:val="clear" w:color="auto" w:fill="DBE5F1" w:themeFill="accent1" w:themeFillTint="33"/>
          </w:tcPr>
          <w:p w14:paraId="2685B844" w14:textId="59EAA91F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14:paraId="72FAC7DD" w14:textId="7653F35B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Service Delivery</w:t>
            </w:r>
          </w:p>
        </w:tc>
        <w:tc>
          <w:tcPr>
            <w:tcW w:w="2188" w:type="dxa"/>
            <w:shd w:val="clear" w:color="auto" w:fill="DBE5F1" w:themeFill="accent1" w:themeFillTint="33"/>
          </w:tcPr>
          <w:p w14:paraId="19D26E36" w14:textId="089D06DF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jc w:val="left"/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Response resolution to queries and issues raised within 24 hours.</w:t>
            </w:r>
          </w:p>
        </w:tc>
        <w:tc>
          <w:tcPr>
            <w:tcW w:w="2135" w:type="dxa"/>
            <w:shd w:val="clear" w:color="auto" w:fill="DBE5F1" w:themeFill="accent1" w:themeFillTint="33"/>
          </w:tcPr>
          <w:p w14:paraId="38DACA16" w14:textId="186F550D" w:rsidR="00542AEB" w:rsidRDefault="00542AEB" w:rsidP="00542AEB">
            <w:pPr>
              <w:pStyle w:val="GPSL2NumberedBoldHeading"/>
              <w:numPr>
                <w:ilvl w:val="0"/>
                <w:numId w:val="0"/>
              </w:numPr>
              <w:rPr>
                <w:rFonts w:ascii="Arial" w:hAnsi="Arial"/>
                <w:bCs/>
                <w:sz w:val="24"/>
              </w:rPr>
            </w:pPr>
            <w:r w:rsidRPr="00542AEB">
              <w:rPr>
                <w:rFonts w:ascii="Arial" w:hAnsi="Arial"/>
                <w:bCs/>
                <w:sz w:val="24"/>
              </w:rPr>
              <w:t>100%</w:t>
            </w:r>
          </w:p>
        </w:tc>
      </w:tr>
    </w:tbl>
    <w:p w14:paraId="37600D79" w14:textId="77777777" w:rsidR="00F678C1" w:rsidRDefault="00F678C1" w:rsidP="00F678C1">
      <w:pPr>
        <w:pStyle w:val="GPSL2NumberedBoldHeading"/>
        <w:numPr>
          <w:ilvl w:val="0"/>
          <w:numId w:val="0"/>
        </w:numPr>
        <w:rPr>
          <w:rFonts w:ascii="Arial" w:hAnsi="Arial"/>
          <w:bCs/>
          <w:sz w:val="24"/>
        </w:rPr>
      </w:pPr>
    </w:p>
    <w:p w14:paraId="1B776F91" w14:textId="77777777" w:rsidR="00F678C1" w:rsidRDefault="00F678C1" w:rsidP="009B601F">
      <w:pPr>
        <w:pStyle w:val="GPSL2NumberedBoldHeading"/>
        <w:numPr>
          <w:ilvl w:val="0"/>
          <w:numId w:val="4"/>
        </w:numPr>
        <w:rPr>
          <w:rFonts w:ascii="Arial" w:hAnsi="Arial"/>
          <w:b/>
          <w:sz w:val="24"/>
        </w:rPr>
      </w:pPr>
      <w:r w:rsidRPr="00F678C1">
        <w:rPr>
          <w:rFonts w:ascii="Arial" w:hAnsi="Arial"/>
          <w:b/>
          <w:sz w:val="24"/>
        </w:rPr>
        <w:t>Security and Confidentiality Requirements</w:t>
      </w:r>
    </w:p>
    <w:p w14:paraId="282852AA" w14:textId="63601BFD" w:rsidR="00542AEB" w:rsidRPr="00F678C1" w:rsidRDefault="00542AEB" w:rsidP="009B601F">
      <w:pPr>
        <w:pStyle w:val="GPSL2NumberedBoldHeading"/>
        <w:numPr>
          <w:ilvl w:val="1"/>
          <w:numId w:val="4"/>
        </w:numPr>
        <w:rPr>
          <w:rFonts w:ascii="Arial" w:hAnsi="Arial"/>
          <w:b/>
          <w:sz w:val="24"/>
        </w:rPr>
      </w:pPr>
      <w:r w:rsidRPr="00F678C1">
        <w:rPr>
          <w:rFonts w:ascii="Arial" w:hAnsi="Arial"/>
          <w:bCs/>
          <w:sz w:val="24"/>
        </w:rPr>
        <w:t>A Cyber risk assessment has been carried out against this requirement, the risk is N/A. The reference number is: RAR-3GASY7JH.</w:t>
      </w:r>
    </w:p>
    <w:p w14:paraId="2DF80F10" w14:textId="4FF18D7A" w:rsidR="00542AEB" w:rsidRPr="00542AEB" w:rsidRDefault="00F678C1" w:rsidP="009B601F">
      <w:pPr>
        <w:pStyle w:val="GPSL2NumberedBoldHeading"/>
        <w:numPr>
          <w:ilvl w:val="1"/>
          <w:numId w:val="4"/>
        </w:numPr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T</w:t>
      </w:r>
      <w:r w:rsidR="00542AEB" w:rsidRPr="00542AEB">
        <w:rPr>
          <w:rFonts w:ascii="Arial" w:hAnsi="Arial"/>
          <w:bCs/>
          <w:sz w:val="24"/>
        </w:rPr>
        <w:t xml:space="preserve">he Authority requires details of the delivery vehicle and driver (plus any additional personnel) </w:t>
      </w:r>
      <w:r w:rsidRPr="00542AEB">
        <w:rPr>
          <w:rFonts w:ascii="Arial" w:hAnsi="Arial"/>
          <w:bCs/>
          <w:sz w:val="24"/>
        </w:rPr>
        <w:t>twenty-four</w:t>
      </w:r>
      <w:r w:rsidR="00542AEB" w:rsidRPr="00542AEB">
        <w:rPr>
          <w:rFonts w:ascii="Arial" w:hAnsi="Arial"/>
          <w:bCs/>
          <w:sz w:val="24"/>
        </w:rPr>
        <w:t xml:space="preserve"> (24) hours before the scheduled delivery.</w:t>
      </w:r>
      <w:r>
        <w:rPr>
          <w:rFonts w:ascii="Arial" w:hAnsi="Arial"/>
          <w:bCs/>
          <w:sz w:val="24"/>
        </w:rPr>
        <w:t xml:space="preserve"> </w:t>
      </w:r>
      <w:r w:rsidR="00542AEB" w:rsidRPr="00542AEB">
        <w:rPr>
          <w:rFonts w:ascii="Arial" w:hAnsi="Arial"/>
          <w:bCs/>
          <w:sz w:val="24"/>
        </w:rPr>
        <w:t>Deliveries not booked in advance will be turned away.</w:t>
      </w:r>
    </w:p>
    <w:p w14:paraId="2066A158" w14:textId="49BD7537" w:rsidR="00542AEB" w:rsidRPr="00542AEB" w:rsidRDefault="00542AEB" w:rsidP="009B601F">
      <w:pPr>
        <w:pStyle w:val="GPSL2NumberedBoldHeading"/>
        <w:numPr>
          <w:ilvl w:val="1"/>
          <w:numId w:val="4"/>
        </w:numPr>
        <w:rPr>
          <w:rFonts w:ascii="Arial" w:hAnsi="Arial"/>
          <w:bCs/>
          <w:sz w:val="24"/>
        </w:rPr>
      </w:pPr>
      <w:r w:rsidRPr="00542AEB">
        <w:rPr>
          <w:rFonts w:ascii="Arial" w:hAnsi="Arial"/>
          <w:bCs/>
          <w:sz w:val="24"/>
        </w:rPr>
        <w:t>Both the delivery driver (plus any additional personnel) may be subject to search.</w:t>
      </w:r>
    </w:p>
    <w:p w14:paraId="00E47198" w14:textId="00CD7217" w:rsidR="00542AEB" w:rsidRDefault="00542AEB" w:rsidP="009B601F">
      <w:pPr>
        <w:pStyle w:val="GPSL2NumberedBoldHeading"/>
        <w:numPr>
          <w:ilvl w:val="1"/>
          <w:numId w:val="4"/>
        </w:numPr>
        <w:rPr>
          <w:rFonts w:ascii="Arial" w:hAnsi="Arial"/>
          <w:bCs/>
          <w:sz w:val="24"/>
        </w:rPr>
      </w:pPr>
      <w:r w:rsidRPr="00542AEB">
        <w:rPr>
          <w:rFonts w:ascii="Arial" w:hAnsi="Arial"/>
          <w:bCs/>
          <w:sz w:val="24"/>
        </w:rPr>
        <w:t>All hardware must be in its original packaging with the manufacturer’s seals intact.</w:t>
      </w:r>
    </w:p>
    <w:p w14:paraId="649E9DFE" w14:textId="20F62219" w:rsidR="00F678C1" w:rsidRPr="00F678C1" w:rsidRDefault="00F678C1" w:rsidP="009B601F">
      <w:pPr>
        <w:pStyle w:val="GPSL2NumberedBoldHeading"/>
        <w:numPr>
          <w:ilvl w:val="0"/>
          <w:numId w:val="4"/>
        </w:numPr>
        <w:rPr>
          <w:rFonts w:ascii="Arial" w:hAnsi="Arial"/>
          <w:b/>
          <w:sz w:val="24"/>
        </w:rPr>
      </w:pPr>
      <w:r w:rsidRPr="00F678C1">
        <w:rPr>
          <w:rFonts w:ascii="Arial" w:hAnsi="Arial"/>
          <w:b/>
          <w:sz w:val="24"/>
        </w:rPr>
        <w:t>Delivery Location</w:t>
      </w:r>
    </w:p>
    <w:p w14:paraId="1141CDB6" w14:textId="32EE8191" w:rsidR="00F678C1" w:rsidRDefault="00F678C1" w:rsidP="009B601F">
      <w:pPr>
        <w:pStyle w:val="GPSL2NumberedBoldHeading"/>
        <w:numPr>
          <w:ilvl w:val="1"/>
          <w:numId w:val="4"/>
        </w:numPr>
        <w:rPr>
          <w:rFonts w:ascii="Arial" w:hAnsi="Arial"/>
          <w:bCs/>
          <w:sz w:val="24"/>
        </w:rPr>
      </w:pPr>
      <w:r w:rsidRPr="00F678C1">
        <w:rPr>
          <w:rFonts w:ascii="Arial" w:hAnsi="Arial"/>
          <w:bCs/>
          <w:sz w:val="24"/>
        </w:rPr>
        <w:t xml:space="preserve">The delivery of all items specified within the </w:t>
      </w:r>
      <w:r>
        <w:rPr>
          <w:rFonts w:ascii="Arial" w:hAnsi="Arial"/>
          <w:bCs/>
          <w:sz w:val="24"/>
        </w:rPr>
        <w:t>Call-Off Schedule 5 (</w:t>
      </w:r>
      <w:r w:rsidRPr="00F678C1">
        <w:rPr>
          <w:rFonts w:ascii="Arial" w:hAnsi="Arial"/>
          <w:bCs/>
          <w:i/>
          <w:iCs/>
          <w:sz w:val="24"/>
        </w:rPr>
        <w:t>Pricing Information</w:t>
      </w:r>
      <w:r>
        <w:rPr>
          <w:rFonts w:ascii="Arial" w:hAnsi="Arial"/>
          <w:bCs/>
          <w:sz w:val="24"/>
        </w:rPr>
        <w:t>) shall</w:t>
      </w:r>
      <w:r w:rsidRPr="00F678C1">
        <w:rPr>
          <w:rFonts w:ascii="Arial" w:hAnsi="Arial"/>
          <w:bCs/>
          <w:sz w:val="24"/>
        </w:rPr>
        <w:t xml:space="preserve"> be delivered to the following address</w:t>
      </w:r>
      <w:r>
        <w:rPr>
          <w:rFonts w:ascii="Arial" w:hAnsi="Arial"/>
          <w:bCs/>
          <w:sz w:val="24"/>
        </w:rPr>
        <w:t>:</w:t>
      </w:r>
    </w:p>
    <w:p w14:paraId="72C6D855" w14:textId="77777777" w:rsidR="00F678C1" w:rsidRPr="00F678C1" w:rsidRDefault="00F678C1" w:rsidP="00F678C1">
      <w:pPr>
        <w:pStyle w:val="GPSL2NumberedBoldHeading"/>
        <w:numPr>
          <w:ilvl w:val="0"/>
          <w:numId w:val="0"/>
        </w:numPr>
        <w:ind w:left="792"/>
        <w:rPr>
          <w:rFonts w:ascii="Arial" w:hAnsi="Arial"/>
          <w:bCs/>
          <w:sz w:val="24"/>
        </w:rPr>
      </w:pPr>
    </w:p>
    <w:p w14:paraId="247D8A33" w14:textId="77777777" w:rsidR="00F678C1" w:rsidRPr="00F678C1" w:rsidRDefault="00F678C1" w:rsidP="00F678C1">
      <w:pPr>
        <w:pStyle w:val="GPSL2NumberedBoldHeading"/>
        <w:numPr>
          <w:ilvl w:val="0"/>
          <w:numId w:val="0"/>
        </w:numPr>
        <w:ind w:left="792"/>
        <w:rPr>
          <w:rFonts w:ascii="Arial" w:hAnsi="Arial"/>
          <w:bCs/>
          <w:sz w:val="24"/>
        </w:rPr>
      </w:pPr>
      <w:r w:rsidRPr="00F678C1">
        <w:rPr>
          <w:rFonts w:ascii="Arial" w:hAnsi="Arial"/>
          <w:bCs/>
          <w:sz w:val="24"/>
        </w:rPr>
        <w:t>D1, Building 405,</w:t>
      </w:r>
    </w:p>
    <w:p w14:paraId="7F2B7A26" w14:textId="77777777" w:rsidR="00F678C1" w:rsidRPr="00F678C1" w:rsidRDefault="00F678C1" w:rsidP="00F678C1">
      <w:pPr>
        <w:pStyle w:val="GPSL2NumberedBoldHeading"/>
        <w:numPr>
          <w:ilvl w:val="0"/>
          <w:numId w:val="0"/>
        </w:numPr>
        <w:ind w:left="792"/>
        <w:rPr>
          <w:rFonts w:ascii="Arial" w:hAnsi="Arial"/>
          <w:bCs/>
          <w:sz w:val="24"/>
        </w:rPr>
      </w:pPr>
      <w:r w:rsidRPr="00F678C1">
        <w:rPr>
          <w:rFonts w:ascii="Arial" w:hAnsi="Arial"/>
          <w:bCs/>
          <w:sz w:val="24"/>
        </w:rPr>
        <w:t>MOD Corsham,</w:t>
      </w:r>
    </w:p>
    <w:p w14:paraId="41FA09C7" w14:textId="77777777" w:rsidR="00F678C1" w:rsidRPr="00F678C1" w:rsidRDefault="00F678C1" w:rsidP="00F678C1">
      <w:pPr>
        <w:pStyle w:val="GPSL2NumberedBoldHeading"/>
        <w:numPr>
          <w:ilvl w:val="0"/>
          <w:numId w:val="0"/>
        </w:numPr>
        <w:ind w:left="792"/>
        <w:rPr>
          <w:rFonts w:ascii="Arial" w:hAnsi="Arial"/>
          <w:bCs/>
          <w:sz w:val="24"/>
        </w:rPr>
      </w:pPr>
      <w:proofErr w:type="spellStart"/>
      <w:r w:rsidRPr="00F678C1">
        <w:rPr>
          <w:rFonts w:ascii="Arial" w:hAnsi="Arial"/>
          <w:bCs/>
          <w:sz w:val="24"/>
        </w:rPr>
        <w:t>Westwells</w:t>
      </w:r>
      <w:proofErr w:type="spellEnd"/>
      <w:r w:rsidRPr="00F678C1">
        <w:rPr>
          <w:rFonts w:ascii="Arial" w:hAnsi="Arial"/>
          <w:bCs/>
          <w:sz w:val="24"/>
        </w:rPr>
        <w:t xml:space="preserve"> Rd,</w:t>
      </w:r>
    </w:p>
    <w:p w14:paraId="3055E871" w14:textId="77777777" w:rsidR="00F678C1" w:rsidRPr="00F678C1" w:rsidRDefault="00F678C1" w:rsidP="00F678C1">
      <w:pPr>
        <w:pStyle w:val="GPSL2NumberedBoldHeading"/>
        <w:numPr>
          <w:ilvl w:val="0"/>
          <w:numId w:val="0"/>
        </w:numPr>
        <w:ind w:left="792"/>
        <w:rPr>
          <w:rFonts w:ascii="Arial" w:hAnsi="Arial"/>
          <w:bCs/>
          <w:sz w:val="24"/>
        </w:rPr>
      </w:pPr>
      <w:r w:rsidRPr="00F678C1">
        <w:rPr>
          <w:rFonts w:ascii="Arial" w:hAnsi="Arial"/>
          <w:bCs/>
          <w:sz w:val="24"/>
        </w:rPr>
        <w:t>Corsham,</w:t>
      </w:r>
    </w:p>
    <w:p w14:paraId="1D86D3E7" w14:textId="6AC30606" w:rsidR="00F678C1" w:rsidRPr="00542AEB" w:rsidRDefault="00F678C1" w:rsidP="00F678C1">
      <w:pPr>
        <w:pStyle w:val="GPSL2NumberedBoldHeading"/>
        <w:numPr>
          <w:ilvl w:val="0"/>
          <w:numId w:val="0"/>
        </w:numPr>
        <w:ind w:left="792"/>
        <w:rPr>
          <w:rFonts w:ascii="Arial" w:hAnsi="Arial"/>
          <w:bCs/>
          <w:sz w:val="24"/>
        </w:rPr>
      </w:pPr>
      <w:r w:rsidRPr="00F678C1">
        <w:rPr>
          <w:rFonts w:ascii="Arial" w:hAnsi="Arial"/>
          <w:bCs/>
          <w:sz w:val="24"/>
        </w:rPr>
        <w:t>SN13 9NR</w:t>
      </w:r>
    </w:p>
    <w:sectPr w:rsidR="00F678C1" w:rsidRPr="00542AE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2828D" w14:textId="77777777" w:rsidR="003B159B" w:rsidRDefault="003B159B">
      <w:pPr>
        <w:spacing w:after="0" w:line="240" w:lineRule="auto"/>
      </w:pPr>
      <w:r>
        <w:separator/>
      </w:r>
    </w:p>
  </w:endnote>
  <w:endnote w:type="continuationSeparator" w:id="0">
    <w:p w14:paraId="136C925A" w14:textId="77777777" w:rsidR="003B159B" w:rsidRDefault="003B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DFC60" w14:textId="77777777"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14:paraId="0D97BF80" w14:textId="77777777" w:rsidR="00597414" w:rsidRPr="007E12FE" w:rsidRDefault="00597414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Framework Ref: RM</w:t>
    </w:r>
    <w:r w:rsidR="00CA1946">
      <w:rPr>
        <w:rFonts w:ascii="Arial" w:hAnsi="Arial" w:cs="Arial"/>
        <w:sz w:val="20"/>
      </w:rPr>
      <w:t>6068</w:t>
    </w:r>
  </w:p>
  <w:p w14:paraId="119A5610" w14:textId="77777777" w:rsidR="00597414" w:rsidRPr="007E12FE" w:rsidRDefault="00433263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 w:rsidR="00717FD0" w:rsidRPr="007E12FE">
      <w:rPr>
        <w:rFonts w:ascii="Arial" w:hAnsi="Arial" w:cs="Arial"/>
        <w:sz w:val="20"/>
      </w:rPr>
      <w:tab/>
      <w:t xml:space="preserve"> 1</w:t>
    </w:r>
  </w:p>
  <w:p w14:paraId="68E45F01" w14:textId="77777777" w:rsidR="0081513E" w:rsidRPr="007E12FE" w:rsidRDefault="00717FD0" w:rsidP="00597414">
    <w:pPr>
      <w:pStyle w:val="Footer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64DDA" w14:textId="77777777" w:rsidR="003B159B" w:rsidRDefault="003B159B">
      <w:pPr>
        <w:spacing w:after="0" w:line="240" w:lineRule="auto"/>
      </w:pPr>
      <w:r>
        <w:separator/>
      </w:r>
    </w:p>
  </w:footnote>
  <w:footnote w:type="continuationSeparator" w:id="0">
    <w:p w14:paraId="2056BCFD" w14:textId="77777777" w:rsidR="003B159B" w:rsidRDefault="003B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911B" w14:textId="77777777" w:rsidR="007E12FE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Schedule 20 (Call-Off Specification)</w:t>
    </w:r>
  </w:p>
  <w:p w14:paraId="11A461F3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Ref:</w:t>
    </w:r>
  </w:p>
  <w:p w14:paraId="6A4E5009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Crown Copyright 2018</w:t>
    </w:r>
  </w:p>
  <w:p w14:paraId="59616247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08E5217"/>
    <w:multiLevelType w:val="multilevel"/>
    <w:tmpl w:val="E6B66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E"/>
    <w:rsid w:val="000574E9"/>
    <w:rsid w:val="00123B48"/>
    <w:rsid w:val="001649BE"/>
    <w:rsid w:val="002824DB"/>
    <w:rsid w:val="002E32B7"/>
    <w:rsid w:val="00336691"/>
    <w:rsid w:val="00363BCE"/>
    <w:rsid w:val="00395C1A"/>
    <w:rsid w:val="003B159B"/>
    <w:rsid w:val="00412D4E"/>
    <w:rsid w:val="00433263"/>
    <w:rsid w:val="004B33C1"/>
    <w:rsid w:val="004C111F"/>
    <w:rsid w:val="004C7294"/>
    <w:rsid w:val="00542AEB"/>
    <w:rsid w:val="00562676"/>
    <w:rsid w:val="00597414"/>
    <w:rsid w:val="005B4E76"/>
    <w:rsid w:val="005C04C4"/>
    <w:rsid w:val="00616D25"/>
    <w:rsid w:val="00692427"/>
    <w:rsid w:val="00717FD0"/>
    <w:rsid w:val="007335CD"/>
    <w:rsid w:val="007E12FE"/>
    <w:rsid w:val="0081513E"/>
    <w:rsid w:val="00880F36"/>
    <w:rsid w:val="008906FC"/>
    <w:rsid w:val="008F480A"/>
    <w:rsid w:val="009612FD"/>
    <w:rsid w:val="009B601F"/>
    <w:rsid w:val="00A4427B"/>
    <w:rsid w:val="00A663BD"/>
    <w:rsid w:val="00B7260B"/>
    <w:rsid w:val="00BF1FD7"/>
    <w:rsid w:val="00CA1946"/>
    <w:rsid w:val="00D236B6"/>
    <w:rsid w:val="00D44FC1"/>
    <w:rsid w:val="00D6435D"/>
    <w:rsid w:val="00DC54C2"/>
    <w:rsid w:val="00E63C82"/>
    <w:rsid w:val="00E86078"/>
    <w:rsid w:val="00E94174"/>
    <w:rsid w:val="00F678C1"/>
    <w:rsid w:val="00FA26ED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D4FF1E"/>
  <w15:docId w15:val="{9DBC35DE-84D2-4942-918A-C1D0787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3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customStyle="1" w:styleId="Default">
    <w:name w:val="Default"/>
    <w:rsid w:val="004C72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5772-6249-4C79-9FDE-58576B8E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Howard, Amy Miss (ISS Comrcl-D-18)</cp:lastModifiedBy>
  <cp:revision>2</cp:revision>
  <dcterms:created xsi:type="dcterms:W3CDTF">2021-02-24T09:25:00Z</dcterms:created>
  <dcterms:modified xsi:type="dcterms:W3CDTF">2021-02-24T09:25:00Z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