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827" w:rsidRDefault="00152827" w:rsidP="003C64E7">
      <w:pPr>
        <w:jc w:val="center"/>
        <w:rPr>
          <w:rFonts w:ascii="Arial" w:hAnsi="Arial" w:cs="Arial"/>
          <w:b/>
          <w:sz w:val="28"/>
          <w:szCs w:val="28"/>
        </w:rPr>
      </w:pPr>
    </w:p>
    <w:p w:rsidR="007D40B6" w:rsidRDefault="67F86581" w:rsidP="67F86581">
      <w:pPr>
        <w:jc w:val="center"/>
        <w:rPr>
          <w:rFonts w:ascii="Arial" w:hAnsi="Arial" w:cs="Arial"/>
          <w:b/>
          <w:bCs/>
          <w:sz w:val="28"/>
          <w:szCs w:val="28"/>
        </w:rPr>
      </w:pPr>
      <w:r w:rsidRPr="67F86581">
        <w:rPr>
          <w:rFonts w:ascii="Arial" w:hAnsi="Arial" w:cs="Arial"/>
          <w:b/>
          <w:bCs/>
          <w:sz w:val="28"/>
          <w:szCs w:val="28"/>
        </w:rPr>
        <w:t xml:space="preserve">London Borough of Lambeth – Ivanti Service Desk &amp; ALM/LPM Support &amp; Maintenance </w:t>
      </w:r>
    </w:p>
    <w:p w:rsidR="003C64E7" w:rsidRDefault="003C64E7" w:rsidP="003C64E7">
      <w:pPr>
        <w:jc w:val="center"/>
        <w:rPr>
          <w:rFonts w:ascii="Arial" w:hAnsi="Arial" w:cs="Arial"/>
          <w:b/>
          <w:sz w:val="28"/>
          <w:szCs w:val="28"/>
        </w:rPr>
      </w:pPr>
    </w:p>
    <w:p w:rsidR="003C64E7" w:rsidRDefault="5875C6AB" w:rsidP="5875C6AB">
      <w:pPr>
        <w:jc w:val="center"/>
        <w:rPr>
          <w:rFonts w:ascii="Arial" w:hAnsi="Arial" w:cs="Arial"/>
          <w:b/>
          <w:bCs/>
          <w:sz w:val="28"/>
          <w:szCs w:val="28"/>
        </w:rPr>
      </w:pPr>
      <w:r w:rsidRPr="5875C6AB">
        <w:rPr>
          <w:rFonts w:ascii="Arial" w:hAnsi="Arial" w:cs="Arial"/>
          <w:b/>
          <w:bCs/>
          <w:sz w:val="28"/>
          <w:szCs w:val="28"/>
        </w:rPr>
        <w:t>SPECIFICATION OF REQUIREMENTS</w:t>
      </w:r>
    </w:p>
    <w:p w:rsidR="003C64E7" w:rsidRDefault="003C64E7" w:rsidP="003C64E7">
      <w:pPr>
        <w:jc w:val="center"/>
        <w:rPr>
          <w:rFonts w:ascii="Arial" w:hAnsi="Arial" w:cs="Arial"/>
          <w:b/>
          <w:sz w:val="28"/>
          <w:szCs w:val="28"/>
        </w:rPr>
      </w:pPr>
    </w:p>
    <w:p w:rsidR="003C64E7" w:rsidRDefault="5875C6AB" w:rsidP="003C64E7">
      <w:pPr>
        <w:pStyle w:val="Heading1"/>
        <w:numPr>
          <w:ilvl w:val="0"/>
          <w:numId w:val="1"/>
        </w:numPr>
      </w:pPr>
      <w:r>
        <w:t>Introduction</w:t>
      </w:r>
    </w:p>
    <w:p w:rsidR="003C64E7" w:rsidRDefault="003C64E7" w:rsidP="003C64E7"/>
    <w:p w:rsidR="003C64E7" w:rsidRDefault="67F86581" w:rsidP="67F86581">
      <w:pPr>
        <w:rPr>
          <w:rFonts w:ascii="Arial" w:hAnsi="Arial" w:cs="Arial"/>
          <w:sz w:val="24"/>
          <w:szCs w:val="24"/>
        </w:rPr>
      </w:pPr>
      <w:r w:rsidRPr="67F86581">
        <w:rPr>
          <w:rFonts w:ascii="Arial" w:hAnsi="Arial" w:cs="Arial"/>
          <w:sz w:val="24"/>
          <w:szCs w:val="24"/>
        </w:rPr>
        <w:t>The London Borough of Lambeth (</w:t>
      </w:r>
      <w:r w:rsidRPr="67F86581">
        <w:rPr>
          <w:rFonts w:ascii="Arial" w:hAnsi="Arial" w:cs="Arial"/>
          <w:b/>
          <w:bCs/>
          <w:sz w:val="24"/>
          <w:szCs w:val="24"/>
        </w:rPr>
        <w:t>LBL</w:t>
      </w:r>
      <w:r w:rsidRPr="67F86581">
        <w:rPr>
          <w:rFonts w:ascii="Arial" w:hAnsi="Arial" w:cs="Arial"/>
          <w:sz w:val="24"/>
          <w:szCs w:val="24"/>
        </w:rPr>
        <w:t xml:space="preserve">) </w:t>
      </w:r>
      <w:r w:rsidRPr="67F86581">
        <w:rPr>
          <w:rFonts w:ascii="Arial" w:hAnsi="Arial" w:cs="Arial"/>
          <w:noProof/>
          <w:sz w:val="24"/>
          <w:szCs w:val="24"/>
        </w:rPr>
        <w:t>is</w:t>
      </w:r>
      <w:r w:rsidRPr="67F86581">
        <w:rPr>
          <w:rFonts w:ascii="Arial" w:hAnsi="Arial" w:cs="Arial"/>
          <w:sz w:val="24"/>
          <w:szCs w:val="24"/>
        </w:rPr>
        <w:t xml:space="preserve"> seeking a </w:t>
      </w:r>
      <w:r w:rsidR="002C2D7C">
        <w:rPr>
          <w:rFonts w:ascii="Arial" w:hAnsi="Arial" w:cs="Arial"/>
          <w:sz w:val="24"/>
          <w:szCs w:val="24"/>
        </w:rPr>
        <w:t>Service Provider</w:t>
      </w:r>
      <w:r w:rsidRPr="67F86581">
        <w:rPr>
          <w:rFonts w:ascii="Arial" w:hAnsi="Arial" w:cs="Arial"/>
          <w:sz w:val="24"/>
          <w:szCs w:val="24"/>
        </w:rPr>
        <w:t xml:space="preserve"> to provide support and maintenance of our existing Service Desk software, Ivanti’s Service Desk powered by LANDESK.</w:t>
      </w:r>
    </w:p>
    <w:p w:rsidR="008D190E" w:rsidRDefault="00002DD6" w:rsidP="5875C6AB">
      <w:pPr>
        <w:rPr>
          <w:rFonts w:ascii="Arial" w:hAnsi="Arial" w:cs="Arial"/>
          <w:sz w:val="24"/>
          <w:szCs w:val="24"/>
        </w:rPr>
      </w:pPr>
      <w:r>
        <w:rPr>
          <w:rFonts w:ascii="Arial" w:hAnsi="Arial" w:cs="Arial"/>
          <w:sz w:val="24"/>
          <w:szCs w:val="24"/>
        </w:rPr>
        <w:t>Service provider</w:t>
      </w:r>
      <w:r w:rsidR="5875C6AB" w:rsidRPr="5875C6AB">
        <w:rPr>
          <w:rFonts w:ascii="Arial" w:hAnsi="Arial" w:cs="Arial"/>
          <w:sz w:val="24"/>
          <w:szCs w:val="24"/>
        </w:rPr>
        <w:t xml:space="preserve">s </w:t>
      </w:r>
      <w:r w:rsidR="5875C6AB" w:rsidRPr="5875C6AB">
        <w:rPr>
          <w:rFonts w:ascii="Arial" w:hAnsi="Arial" w:cs="Arial"/>
          <w:noProof/>
          <w:sz w:val="24"/>
          <w:szCs w:val="24"/>
        </w:rPr>
        <w:t>will, therefore,</w:t>
      </w:r>
      <w:r w:rsidR="5875C6AB" w:rsidRPr="5875C6AB">
        <w:rPr>
          <w:rFonts w:ascii="Arial" w:hAnsi="Arial" w:cs="Arial"/>
          <w:sz w:val="24"/>
          <w:szCs w:val="24"/>
        </w:rPr>
        <w:t xml:space="preserve"> have demonstrated their ability to offer day to day support for issues arising with the software within agreed timescales and additionally a proven record of ensuring that their client has access to the latest version and updates/patches available.</w:t>
      </w:r>
    </w:p>
    <w:p w:rsidR="005437D6" w:rsidRDefault="5875C6AB" w:rsidP="5875C6AB">
      <w:pPr>
        <w:rPr>
          <w:rFonts w:ascii="Arial" w:hAnsi="Arial" w:cs="Arial"/>
          <w:sz w:val="24"/>
          <w:szCs w:val="24"/>
        </w:rPr>
      </w:pPr>
      <w:r w:rsidRPr="5875C6AB">
        <w:rPr>
          <w:rFonts w:ascii="Arial" w:hAnsi="Arial" w:cs="Arial"/>
          <w:sz w:val="24"/>
          <w:szCs w:val="24"/>
        </w:rPr>
        <w:t xml:space="preserve">The </w:t>
      </w:r>
      <w:r w:rsidR="00002DD6">
        <w:rPr>
          <w:rFonts w:ascii="Arial" w:hAnsi="Arial" w:cs="Arial"/>
          <w:sz w:val="24"/>
          <w:szCs w:val="24"/>
        </w:rPr>
        <w:t xml:space="preserve">service provider </w:t>
      </w:r>
      <w:r w:rsidRPr="5875C6AB">
        <w:rPr>
          <w:rFonts w:ascii="Arial" w:hAnsi="Arial" w:cs="Arial"/>
          <w:sz w:val="24"/>
          <w:szCs w:val="24"/>
        </w:rPr>
        <w:t>will also be expected to show that they have experience with other public sector organisations and will be required to provide references.</w:t>
      </w:r>
    </w:p>
    <w:p w:rsidR="52A3A177" w:rsidRDefault="52A3A177" w:rsidP="52A3A177">
      <w:pPr>
        <w:rPr>
          <w:rFonts w:ascii="Arial" w:hAnsi="Arial" w:cs="Arial"/>
          <w:sz w:val="24"/>
          <w:szCs w:val="24"/>
        </w:rPr>
      </w:pPr>
    </w:p>
    <w:p w:rsidR="00F162ED" w:rsidRDefault="5875C6AB" w:rsidP="00F162ED">
      <w:pPr>
        <w:pStyle w:val="Heading1"/>
        <w:numPr>
          <w:ilvl w:val="0"/>
          <w:numId w:val="1"/>
        </w:numPr>
      </w:pPr>
      <w:r>
        <w:t>Background</w:t>
      </w:r>
    </w:p>
    <w:p w:rsidR="52A3A177" w:rsidRDefault="52A3A177" w:rsidP="52A3A177">
      <w:pPr>
        <w:rPr>
          <w:rFonts w:ascii="Arial" w:hAnsi="Arial" w:cs="Arial"/>
          <w:sz w:val="24"/>
          <w:szCs w:val="24"/>
        </w:rPr>
      </w:pPr>
    </w:p>
    <w:p w:rsidR="52A3A177" w:rsidRDefault="5875C6AB" w:rsidP="5875C6AB">
      <w:pPr>
        <w:rPr>
          <w:rFonts w:ascii="Arial" w:hAnsi="Arial" w:cs="Arial"/>
          <w:sz w:val="24"/>
          <w:szCs w:val="24"/>
        </w:rPr>
      </w:pPr>
      <w:r w:rsidRPr="5875C6AB">
        <w:rPr>
          <w:rFonts w:ascii="Arial" w:hAnsi="Arial" w:cs="Arial"/>
          <w:sz w:val="24"/>
          <w:szCs w:val="24"/>
        </w:rPr>
        <w:t>This contract will replace the existing contract which expires on the 31</w:t>
      </w:r>
      <w:r w:rsidRPr="5875C6AB">
        <w:rPr>
          <w:rFonts w:ascii="Arial" w:hAnsi="Arial" w:cs="Arial"/>
          <w:sz w:val="24"/>
          <w:szCs w:val="24"/>
          <w:vertAlign w:val="superscript"/>
        </w:rPr>
        <w:t>st</w:t>
      </w:r>
      <w:r w:rsidRPr="5875C6AB">
        <w:rPr>
          <w:rFonts w:ascii="Arial" w:hAnsi="Arial" w:cs="Arial"/>
          <w:sz w:val="24"/>
          <w:szCs w:val="24"/>
        </w:rPr>
        <w:t xml:space="preserve"> March 20</w:t>
      </w:r>
      <w:r w:rsidR="31BC555B" w:rsidRPr="5875C6AB">
        <w:rPr>
          <w:rFonts w:ascii="Arial" w:hAnsi="Arial" w:cs="Arial"/>
          <w:sz w:val="24"/>
          <w:szCs w:val="24"/>
        </w:rPr>
        <w:t>20</w:t>
      </w:r>
      <w:r w:rsidRPr="5875C6AB">
        <w:rPr>
          <w:rFonts w:ascii="Arial" w:hAnsi="Arial" w:cs="Arial"/>
          <w:sz w:val="24"/>
          <w:szCs w:val="24"/>
        </w:rPr>
        <w:t>. Service desk is used as the first point of contact across a number of teams including ICT, HR, Property Services, Procurement and some areas of Financial Transaction Services. LBL has ~240 analysts using a mixture of fixed and concurrent licences, ~ 3500 end user staff. We have a current integration with a 3</w:t>
      </w:r>
      <w:r w:rsidRPr="5875C6AB">
        <w:rPr>
          <w:rFonts w:ascii="Arial" w:hAnsi="Arial" w:cs="Arial"/>
          <w:sz w:val="24"/>
          <w:szCs w:val="24"/>
          <w:vertAlign w:val="superscript"/>
        </w:rPr>
        <w:t>rd</w:t>
      </w:r>
      <w:r w:rsidRPr="5875C6AB">
        <w:rPr>
          <w:rFonts w:ascii="Arial" w:hAnsi="Arial" w:cs="Arial"/>
          <w:sz w:val="24"/>
          <w:szCs w:val="24"/>
        </w:rPr>
        <w:t xml:space="preserve"> party that makes use of LPM/ALM workflows and includes a piece of bespoke development that changes the format of the XML messages being passed.</w:t>
      </w:r>
    </w:p>
    <w:p w:rsidR="52A3A177" w:rsidRDefault="5875C6AB" w:rsidP="5875C6AB">
      <w:pPr>
        <w:rPr>
          <w:rFonts w:ascii="Arial" w:hAnsi="Arial" w:cs="Arial"/>
          <w:sz w:val="24"/>
          <w:szCs w:val="24"/>
        </w:rPr>
      </w:pPr>
      <w:r w:rsidRPr="5875C6AB">
        <w:rPr>
          <w:rFonts w:ascii="Arial" w:hAnsi="Arial" w:cs="Arial"/>
          <w:sz w:val="24"/>
          <w:szCs w:val="24"/>
        </w:rPr>
        <w:t>The databases are SQL2012 and we have three servers hosting the application, one in the DMZ hosts web access &amp; workspaces, one hosts the framework for the ~100 client installs and a dedicated background services server.</w:t>
      </w:r>
    </w:p>
    <w:p w:rsidR="008533DE" w:rsidRDefault="5875C6AB" w:rsidP="008533DE">
      <w:pPr>
        <w:pStyle w:val="Heading1"/>
        <w:numPr>
          <w:ilvl w:val="0"/>
          <w:numId w:val="1"/>
        </w:numPr>
      </w:pPr>
      <w:r>
        <w:t>Objectives</w:t>
      </w:r>
    </w:p>
    <w:p w:rsidR="52A3A177" w:rsidRDefault="52A3A177" w:rsidP="52A3A177">
      <w:pPr>
        <w:rPr>
          <w:rFonts w:ascii="Arial" w:hAnsi="Arial" w:cs="Arial"/>
          <w:sz w:val="24"/>
          <w:szCs w:val="24"/>
        </w:rPr>
      </w:pPr>
    </w:p>
    <w:p w:rsidR="005529DE" w:rsidRDefault="5875C6AB" w:rsidP="5875C6AB">
      <w:pPr>
        <w:rPr>
          <w:rFonts w:ascii="Arial" w:hAnsi="Arial" w:cs="Arial"/>
          <w:sz w:val="24"/>
          <w:szCs w:val="24"/>
        </w:rPr>
      </w:pPr>
      <w:r w:rsidRPr="5875C6AB">
        <w:rPr>
          <w:rFonts w:ascii="Arial" w:hAnsi="Arial" w:cs="Arial"/>
          <w:sz w:val="24"/>
          <w:szCs w:val="24"/>
        </w:rPr>
        <w:t xml:space="preserve">LBL use </w:t>
      </w:r>
      <w:r w:rsidR="002C2D7C">
        <w:rPr>
          <w:rFonts w:ascii="Arial" w:hAnsi="Arial" w:cs="Arial"/>
          <w:sz w:val="24"/>
          <w:szCs w:val="24"/>
        </w:rPr>
        <w:t>Ivanti’s Service Desk product</w:t>
      </w:r>
      <w:r w:rsidR="002C2D7C" w:rsidRPr="5875C6AB">
        <w:rPr>
          <w:rFonts w:ascii="Arial" w:hAnsi="Arial" w:cs="Arial"/>
          <w:sz w:val="24"/>
          <w:szCs w:val="24"/>
        </w:rPr>
        <w:t xml:space="preserve"> </w:t>
      </w:r>
      <w:r w:rsidRPr="5875C6AB">
        <w:rPr>
          <w:rFonts w:ascii="Arial" w:hAnsi="Arial" w:cs="Arial"/>
          <w:sz w:val="24"/>
          <w:szCs w:val="24"/>
        </w:rPr>
        <w:t>as a single point of contact for corporate service requests and</w:t>
      </w:r>
      <w:r w:rsidR="002C2D7C">
        <w:rPr>
          <w:rFonts w:ascii="Arial" w:hAnsi="Arial" w:cs="Arial"/>
          <w:sz w:val="24"/>
          <w:szCs w:val="24"/>
        </w:rPr>
        <w:t xml:space="preserve"> </w:t>
      </w:r>
      <w:r w:rsidRPr="5875C6AB">
        <w:rPr>
          <w:rFonts w:ascii="Arial" w:hAnsi="Arial" w:cs="Arial"/>
          <w:sz w:val="24"/>
          <w:szCs w:val="24"/>
        </w:rPr>
        <w:t xml:space="preserve">as </w:t>
      </w:r>
      <w:r w:rsidR="002C2D7C">
        <w:rPr>
          <w:rFonts w:ascii="Arial" w:hAnsi="Arial" w:cs="Arial"/>
          <w:sz w:val="24"/>
          <w:szCs w:val="24"/>
        </w:rPr>
        <w:t xml:space="preserve">an </w:t>
      </w:r>
      <w:r w:rsidRPr="5875C6AB">
        <w:rPr>
          <w:rFonts w:ascii="Arial" w:hAnsi="Arial" w:cs="Arial"/>
          <w:sz w:val="24"/>
          <w:szCs w:val="24"/>
        </w:rPr>
        <w:t xml:space="preserve">ITIL </w:t>
      </w:r>
      <w:r w:rsidR="002C2D7C">
        <w:rPr>
          <w:rFonts w:ascii="Arial" w:hAnsi="Arial" w:cs="Arial"/>
          <w:sz w:val="24"/>
          <w:szCs w:val="24"/>
        </w:rPr>
        <w:t xml:space="preserve">compliant workflow engine </w:t>
      </w:r>
      <w:r w:rsidRPr="5875C6AB">
        <w:rPr>
          <w:rFonts w:ascii="Arial" w:hAnsi="Arial" w:cs="Arial"/>
          <w:sz w:val="24"/>
          <w:szCs w:val="24"/>
        </w:rPr>
        <w:t>for ICT. As such this contract would:</w:t>
      </w:r>
    </w:p>
    <w:p w:rsidR="00E042DE" w:rsidRDefault="5875C6AB" w:rsidP="5875C6AB">
      <w:pPr>
        <w:rPr>
          <w:rFonts w:ascii="Arial" w:hAnsi="Arial" w:cs="Arial"/>
          <w:sz w:val="24"/>
          <w:szCs w:val="24"/>
        </w:rPr>
      </w:pPr>
      <w:r w:rsidRPr="5875C6AB">
        <w:rPr>
          <w:rFonts w:ascii="Arial" w:hAnsi="Arial" w:cs="Arial"/>
          <w:sz w:val="24"/>
          <w:szCs w:val="24"/>
        </w:rPr>
        <w:t>Allow LBL</w:t>
      </w:r>
      <w:r w:rsidR="00DC1717">
        <w:rPr>
          <w:rFonts w:ascii="Arial" w:hAnsi="Arial" w:cs="Arial"/>
          <w:sz w:val="24"/>
          <w:szCs w:val="24"/>
        </w:rPr>
        <w:t xml:space="preserve"> or the service provider</w:t>
      </w:r>
      <w:r w:rsidRPr="5875C6AB">
        <w:rPr>
          <w:rFonts w:ascii="Arial" w:hAnsi="Arial" w:cs="Arial"/>
          <w:sz w:val="24"/>
          <w:szCs w:val="24"/>
        </w:rPr>
        <w:t xml:space="preserve"> to keep current with the most recent version of the products allowing LBL to make use of new functionality as it is added.</w:t>
      </w:r>
    </w:p>
    <w:p w:rsidR="00517F1B" w:rsidRDefault="5875C6AB" w:rsidP="5875C6AB">
      <w:pPr>
        <w:rPr>
          <w:rFonts w:ascii="Arial" w:hAnsi="Arial" w:cs="Arial"/>
          <w:sz w:val="24"/>
          <w:szCs w:val="24"/>
        </w:rPr>
      </w:pPr>
      <w:r w:rsidRPr="5875C6AB">
        <w:rPr>
          <w:rFonts w:ascii="Arial" w:hAnsi="Arial" w:cs="Arial"/>
          <w:sz w:val="24"/>
          <w:szCs w:val="24"/>
        </w:rPr>
        <w:t xml:space="preserve">Allow </w:t>
      </w:r>
      <w:r w:rsidR="00DC1717" w:rsidRPr="5875C6AB">
        <w:rPr>
          <w:rFonts w:ascii="Arial" w:hAnsi="Arial" w:cs="Arial"/>
          <w:sz w:val="24"/>
          <w:szCs w:val="24"/>
        </w:rPr>
        <w:t>LBL</w:t>
      </w:r>
      <w:r w:rsidR="00DC1717">
        <w:rPr>
          <w:rFonts w:ascii="Arial" w:hAnsi="Arial" w:cs="Arial"/>
          <w:sz w:val="24"/>
          <w:szCs w:val="24"/>
        </w:rPr>
        <w:t xml:space="preserve"> or the service provider</w:t>
      </w:r>
      <w:r w:rsidR="00DC1717" w:rsidRPr="5875C6AB">
        <w:rPr>
          <w:rFonts w:ascii="Arial" w:hAnsi="Arial" w:cs="Arial"/>
          <w:sz w:val="24"/>
          <w:szCs w:val="24"/>
        </w:rPr>
        <w:t xml:space="preserve"> </w:t>
      </w:r>
      <w:r w:rsidRPr="5875C6AB">
        <w:rPr>
          <w:rFonts w:ascii="Arial" w:hAnsi="Arial" w:cs="Arial"/>
          <w:sz w:val="24"/>
          <w:szCs w:val="24"/>
        </w:rPr>
        <w:t>to apply fixes</w:t>
      </w:r>
      <w:r w:rsidR="00DC1717">
        <w:rPr>
          <w:rFonts w:ascii="Arial" w:hAnsi="Arial" w:cs="Arial"/>
          <w:sz w:val="24"/>
          <w:szCs w:val="24"/>
        </w:rPr>
        <w:t xml:space="preserve"> provided by Ivanti</w:t>
      </w:r>
      <w:r w:rsidRPr="5875C6AB">
        <w:rPr>
          <w:rFonts w:ascii="Arial" w:hAnsi="Arial" w:cs="Arial"/>
          <w:sz w:val="24"/>
          <w:szCs w:val="24"/>
        </w:rPr>
        <w:t xml:space="preserve"> for any bugs and/or security issues that may be uncovered.</w:t>
      </w:r>
    </w:p>
    <w:p w:rsidR="00517F1B" w:rsidRDefault="00DD4D3F" w:rsidP="5875C6AB">
      <w:pPr>
        <w:rPr>
          <w:rFonts w:ascii="Arial" w:hAnsi="Arial" w:cs="Arial"/>
          <w:sz w:val="24"/>
          <w:szCs w:val="24"/>
        </w:rPr>
      </w:pPr>
      <w:r>
        <w:rPr>
          <w:rFonts w:ascii="Arial" w:hAnsi="Arial" w:cs="Arial"/>
          <w:sz w:val="24"/>
          <w:szCs w:val="24"/>
        </w:rPr>
        <w:t>Provide</w:t>
      </w:r>
      <w:r w:rsidR="5875C6AB" w:rsidRPr="5875C6AB">
        <w:rPr>
          <w:rFonts w:ascii="Arial" w:hAnsi="Arial" w:cs="Arial"/>
          <w:sz w:val="24"/>
          <w:szCs w:val="24"/>
        </w:rPr>
        <w:t xml:space="preserve"> support/advice within normal business hours within agreed SLAs for issues LBL are unable to resolve themselves both for live and development environments</w:t>
      </w:r>
    </w:p>
    <w:p w:rsidR="008533DE" w:rsidRDefault="5875C6AB" w:rsidP="006469B5">
      <w:pPr>
        <w:pStyle w:val="Heading1"/>
        <w:numPr>
          <w:ilvl w:val="0"/>
          <w:numId w:val="1"/>
        </w:numPr>
      </w:pPr>
      <w:r w:rsidRPr="5875C6AB">
        <w:rPr>
          <w:rFonts w:cs="Arial"/>
        </w:rPr>
        <w:t>Overview</w:t>
      </w:r>
      <w:r>
        <w:t xml:space="preserve"> of Requirements</w:t>
      </w:r>
    </w:p>
    <w:p w:rsidR="008533DE" w:rsidRPr="00B3230A" w:rsidRDefault="008533DE" w:rsidP="008533DE">
      <w:pPr>
        <w:rPr>
          <w:rFonts w:ascii="Arial" w:hAnsi="Arial" w:cs="Arial"/>
          <w:sz w:val="24"/>
          <w:szCs w:val="24"/>
        </w:rPr>
      </w:pPr>
    </w:p>
    <w:p w:rsidR="00995E6A" w:rsidRDefault="67F86581" w:rsidP="67F86581">
      <w:pPr>
        <w:rPr>
          <w:rFonts w:ascii="Arial" w:hAnsi="Arial" w:cs="Arial"/>
          <w:sz w:val="24"/>
          <w:szCs w:val="24"/>
        </w:rPr>
      </w:pPr>
      <w:r w:rsidRPr="67F86581">
        <w:rPr>
          <w:rFonts w:ascii="Arial" w:hAnsi="Arial" w:cs="Arial"/>
          <w:sz w:val="24"/>
          <w:szCs w:val="24"/>
        </w:rPr>
        <w:t>The anticipated value of this contract</w:t>
      </w:r>
      <w:r w:rsidR="00EF5B2E">
        <w:rPr>
          <w:rFonts w:ascii="Arial" w:hAnsi="Arial" w:cs="Arial"/>
          <w:sz w:val="24"/>
          <w:szCs w:val="24"/>
        </w:rPr>
        <w:t>,</w:t>
      </w:r>
      <w:r w:rsidR="00DC1717">
        <w:rPr>
          <w:rFonts w:ascii="Arial" w:hAnsi="Arial" w:cs="Arial"/>
          <w:sz w:val="24"/>
          <w:szCs w:val="24"/>
        </w:rPr>
        <w:t xml:space="preserve"> including any optional extensions</w:t>
      </w:r>
      <w:r w:rsidR="00EF5B2E">
        <w:rPr>
          <w:rFonts w:ascii="Arial" w:hAnsi="Arial" w:cs="Arial"/>
          <w:sz w:val="24"/>
          <w:szCs w:val="24"/>
        </w:rPr>
        <w:t>,</w:t>
      </w:r>
      <w:r w:rsidRPr="67F86581">
        <w:rPr>
          <w:rFonts w:ascii="Arial" w:hAnsi="Arial" w:cs="Arial"/>
          <w:sz w:val="24"/>
          <w:szCs w:val="24"/>
        </w:rPr>
        <w:t xml:space="preserve"> will be no more than £</w:t>
      </w:r>
      <w:r w:rsidR="00DC1717">
        <w:rPr>
          <w:rFonts w:ascii="Arial" w:hAnsi="Arial" w:cs="Arial"/>
          <w:sz w:val="24"/>
          <w:szCs w:val="24"/>
        </w:rPr>
        <w:t>100</w:t>
      </w:r>
      <w:r w:rsidRPr="67F86581">
        <w:rPr>
          <w:rFonts w:ascii="Arial" w:hAnsi="Arial" w:cs="Arial"/>
          <w:sz w:val="24"/>
          <w:szCs w:val="24"/>
        </w:rPr>
        <w:t>,000</w:t>
      </w:r>
      <w:r w:rsidR="00DC1717">
        <w:rPr>
          <w:rFonts w:ascii="Arial" w:hAnsi="Arial" w:cs="Arial"/>
          <w:sz w:val="24"/>
          <w:szCs w:val="24"/>
        </w:rPr>
        <w:t>; as,</w:t>
      </w:r>
      <w:r w:rsidR="00EF5B2E">
        <w:rPr>
          <w:rFonts w:ascii="Arial" w:hAnsi="Arial" w:cs="Arial"/>
          <w:sz w:val="24"/>
          <w:szCs w:val="24"/>
        </w:rPr>
        <w:t xml:space="preserve"> if it was more than £100,000,</w:t>
      </w:r>
      <w:r w:rsidR="00DC1717">
        <w:rPr>
          <w:rFonts w:ascii="Arial" w:hAnsi="Arial" w:cs="Arial"/>
          <w:sz w:val="24"/>
          <w:szCs w:val="24"/>
        </w:rPr>
        <w:t xml:space="preserve"> this would change the procurement process we have to follow and therefore any</w:t>
      </w:r>
      <w:r w:rsidR="00EF5B2E">
        <w:rPr>
          <w:rFonts w:ascii="Arial" w:hAnsi="Arial" w:cs="Arial"/>
          <w:sz w:val="24"/>
          <w:szCs w:val="24"/>
        </w:rPr>
        <w:t xml:space="preserve"> quote over £100,000 will be immediately discounted</w:t>
      </w:r>
      <w:r w:rsidRPr="67F86581">
        <w:rPr>
          <w:rFonts w:ascii="Arial" w:hAnsi="Arial" w:cs="Arial"/>
          <w:sz w:val="24"/>
          <w:szCs w:val="24"/>
        </w:rPr>
        <w:t xml:space="preserve">. The anticipated length of this contract will be no less than two years but may </w:t>
      </w:r>
      <w:r w:rsidR="00DC1717" w:rsidRPr="67F86581">
        <w:rPr>
          <w:rFonts w:ascii="Arial" w:hAnsi="Arial" w:cs="Arial"/>
          <w:sz w:val="24"/>
          <w:szCs w:val="24"/>
        </w:rPr>
        <w:t>inc</w:t>
      </w:r>
      <w:r w:rsidR="00DC1717">
        <w:rPr>
          <w:rFonts w:ascii="Arial" w:hAnsi="Arial" w:cs="Arial"/>
          <w:sz w:val="24"/>
          <w:szCs w:val="24"/>
        </w:rPr>
        <w:t>lu</w:t>
      </w:r>
      <w:r w:rsidR="00DC1717" w:rsidRPr="67F86581">
        <w:rPr>
          <w:rFonts w:ascii="Arial" w:hAnsi="Arial" w:cs="Arial"/>
          <w:sz w:val="24"/>
          <w:szCs w:val="24"/>
        </w:rPr>
        <w:t xml:space="preserve">de </w:t>
      </w:r>
      <w:r w:rsidRPr="67F86581">
        <w:rPr>
          <w:rFonts w:ascii="Arial" w:hAnsi="Arial" w:cs="Arial"/>
          <w:sz w:val="24"/>
          <w:szCs w:val="24"/>
        </w:rPr>
        <w:t>the possibility of an additional year as an extension</w:t>
      </w:r>
    </w:p>
    <w:p w:rsidR="00F81B2D" w:rsidRPr="00F81B2D" w:rsidRDefault="5875C6AB" w:rsidP="5875C6AB">
      <w:pPr>
        <w:rPr>
          <w:rFonts w:ascii="Arial" w:hAnsi="Arial" w:cs="Arial"/>
          <w:sz w:val="24"/>
          <w:szCs w:val="24"/>
        </w:rPr>
      </w:pPr>
      <w:r w:rsidRPr="5875C6AB">
        <w:rPr>
          <w:rFonts w:ascii="Arial" w:hAnsi="Arial" w:cs="Arial"/>
          <w:b/>
          <w:bCs/>
          <w:sz w:val="24"/>
          <w:szCs w:val="24"/>
        </w:rPr>
        <w:t>LBL</w:t>
      </w:r>
      <w:r w:rsidRPr="5875C6AB">
        <w:rPr>
          <w:rFonts w:ascii="Arial" w:hAnsi="Arial" w:cs="Arial"/>
          <w:sz w:val="24"/>
          <w:szCs w:val="24"/>
        </w:rPr>
        <w:t xml:space="preserve"> will use the Most Economically Advantageous Tender (</w:t>
      </w:r>
      <w:r w:rsidRPr="5875C6AB">
        <w:rPr>
          <w:rFonts w:ascii="Arial" w:hAnsi="Arial" w:cs="Arial"/>
          <w:b/>
          <w:bCs/>
          <w:sz w:val="24"/>
          <w:szCs w:val="24"/>
        </w:rPr>
        <w:t>MEAT)</w:t>
      </w:r>
      <w:r w:rsidRPr="5875C6AB">
        <w:rPr>
          <w:rFonts w:ascii="Arial" w:hAnsi="Arial" w:cs="Arial"/>
          <w:sz w:val="24"/>
          <w:szCs w:val="24"/>
        </w:rPr>
        <w:t xml:space="preserve"> to evaluate your quote, </w:t>
      </w:r>
      <w:r w:rsidRPr="5875C6AB">
        <w:rPr>
          <w:rFonts w:ascii="Arial" w:hAnsi="Arial" w:cs="Arial"/>
          <w:b/>
          <w:bCs/>
          <w:sz w:val="24"/>
          <w:szCs w:val="24"/>
        </w:rPr>
        <w:t>40%</w:t>
      </w:r>
      <w:r w:rsidRPr="5875C6AB">
        <w:rPr>
          <w:rFonts w:ascii="Arial" w:hAnsi="Arial" w:cs="Arial"/>
          <w:sz w:val="24"/>
          <w:szCs w:val="24"/>
        </w:rPr>
        <w:t xml:space="preserve"> Price – </w:t>
      </w:r>
      <w:r w:rsidRPr="5875C6AB">
        <w:rPr>
          <w:rFonts w:ascii="Arial" w:hAnsi="Arial" w:cs="Arial"/>
          <w:b/>
          <w:bCs/>
          <w:sz w:val="24"/>
          <w:szCs w:val="24"/>
        </w:rPr>
        <w:t xml:space="preserve">60% </w:t>
      </w:r>
      <w:r w:rsidRPr="5875C6AB">
        <w:rPr>
          <w:rFonts w:ascii="Arial" w:hAnsi="Arial" w:cs="Arial"/>
          <w:sz w:val="24"/>
          <w:szCs w:val="24"/>
        </w:rPr>
        <w:t xml:space="preserve">Quality </w:t>
      </w:r>
    </w:p>
    <w:p w:rsidR="52A3A177" w:rsidRDefault="52A3A177" w:rsidP="52A3A177">
      <w:pPr>
        <w:rPr>
          <w:rFonts w:ascii="Arial" w:hAnsi="Arial" w:cs="Arial"/>
          <w:b/>
          <w:bCs/>
          <w:sz w:val="24"/>
          <w:szCs w:val="24"/>
        </w:rPr>
      </w:pPr>
    </w:p>
    <w:p w:rsidR="000B5CDF" w:rsidRDefault="5875C6AB" w:rsidP="5875C6AB">
      <w:pPr>
        <w:rPr>
          <w:rFonts w:ascii="Arial" w:hAnsi="Arial" w:cs="Arial"/>
          <w:b/>
          <w:bCs/>
          <w:sz w:val="24"/>
          <w:szCs w:val="24"/>
        </w:rPr>
      </w:pPr>
      <w:r w:rsidRPr="5875C6AB">
        <w:rPr>
          <w:rFonts w:ascii="Arial" w:hAnsi="Arial" w:cs="Arial"/>
          <w:b/>
          <w:bCs/>
          <w:sz w:val="24"/>
          <w:szCs w:val="24"/>
        </w:rPr>
        <w:t>Mandatory Requirements:</w:t>
      </w:r>
    </w:p>
    <w:p w:rsidR="000B5CDF" w:rsidRDefault="000B5CDF" w:rsidP="00F81B2D">
      <w:pPr>
        <w:rPr>
          <w:rFonts w:ascii="Arial" w:hAnsi="Arial" w:cs="Arial"/>
          <w:b/>
          <w:sz w:val="24"/>
          <w:szCs w:val="24"/>
        </w:rPr>
      </w:pPr>
    </w:p>
    <w:p w:rsidR="00EA216F" w:rsidRDefault="5875C6AB" w:rsidP="5875C6AB">
      <w:pPr>
        <w:rPr>
          <w:rFonts w:ascii="Arial" w:hAnsi="Arial" w:cs="Arial"/>
          <w:b/>
          <w:bCs/>
          <w:sz w:val="24"/>
          <w:szCs w:val="24"/>
        </w:rPr>
      </w:pPr>
      <w:r w:rsidRPr="5875C6AB">
        <w:rPr>
          <w:rFonts w:ascii="Arial" w:hAnsi="Arial" w:cs="Arial"/>
          <w:sz w:val="24"/>
          <w:szCs w:val="24"/>
        </w:rPr>
        <w:t xml:space="preserve">Successful </w:t>
      </w:r>
      <w:r w:rsidR="00002DD6">
        <w:rPr>
          <w:rFonts w:ascii="Arial" w:hAnsi="Arial" w:cs="Arial"/>
          <w:sz w:val="24"/>
          <w:szCs w:val="24"/>
        </w:rPr>
        <w:t>service providers</w:t>
      </w:r>
      <w:r w:rsidRPr="5875C6AB">
        <w:rPr>
          <w:rFonts w:ascii="Arial" w:hAnsi="Arial" w:cs="Arial"/>
          <w:sz w:val="24"/>
          <w:szCs w:val="24"/>
        </w:rPr>
        <w:t xml:space="preserve"> will be required to provide a maintenance and support service which includes (but not limited to):</w:t>
      </w:r>
    </w:p>
    <w:p w:rsidR="00DF3476" w:rsidRPr="00EA216F" w:rsidRDefault="67F86581" w:rsidP="67F86581">
      <w:pPr>
        <w:pStyle w:val="ListParagraph"/>
        <w:numPr>
          <w:ilvl w:val="0"/>
          <w:numId w:val="5"/>
        </w:numPr>
        <w:rPr>
          <w:rFonts w:ascii="Arial" w:hAnsi="Arial" w:cs="Arial"/>
          <w:sz w:val="24"/>
          <w:szCs w:val="24"/>
        </w:rPr>
      </w:pPr>
      <w:r w:rsidRPr="67F86581">
        <w:rPr>
          <w:rFonts w:ascii="Arial" w:hAnsi="Arial" w:cs="Arial"/>
          <w:sz w:val="24"/>
          <w:szCs w:val="24"/>
        </w:rPr>
        <w:t>Access to upgrades</w:t>
      </w:r>
      <w:r w:rsidR="00EF5B2E">
        <w:rPr>
          <w:rFonts w:ascii="Arial" w:hAnsi="Arial" w:cs="Arial"/>
          <w:sz w:val="24"/>
          <w:szCs w:val="24"/>
        </w:rPr>
        <w:t>/hotfixes</w:t>
      </w:r>
      <w:r w:rsidRPr="67F86581">
        <w:rPr>
          <w:rFonts w:ascii="Arial" w:hAnsi="Arial" w:cs="Arial"/>
          <w:sz w:val="24"/>
          <w:szCs w:val="24"/>
        </w:rPr>
        <w:t xml:space="preserve"> published by Ivanti. Ie. Patches / updates.</w:t>
      </w:r>
    </w:p>
    <w:p w:rsidR="52A3A177" w:rsidRPr="00EA216F" w:rsidRDefault="03D4E6AC" w:rsidP="03D4E6AC">
      <w:pPr>
        <w:pStyle w:val="ListParagraph"/>
        <w:numPr>
          <w:ilvl w:val="0"/>
          <w:numId w:val="5"/>
        </w:numPr>
        <w:rPr>
          <w:rFonts w:ascii="Arial" w:hAnsi="Arial" w:cs="Arial"/>
          <w:sz w:val="24"/>
          <w:szCs w:val="24"/>
        </w:rPr>
      </w:pPr>
      <w:r w:rsidRPr="03D4E6AC">
        <w:rPr>
          <w:rFonts w:ascii="Arial" w:hAnsi="Arial" w:cs="Arial"/>
          <w:sz w:val="24"/>
          <w:szCs w:val="24"/>
        </w:rPr>
        <w:t>Business Hours support within agreed SLAs – 08:00 – 18:00 Monday to Friday.</w:t>
      </w:r>
    </w:p>
    <w:p w:rsidR="52A3A177" w:rsidRPr="008F018C" w:rsidRDefault="5875C6AB" w:rsidP="5875C6AB">
      <w:pPr>
        <w:pStyle w:val="ListParagraph"/>
        <w:numPr>
          <w:ilvl w:val="0"/>
          <w:numId w:val="5"/>
        </w:numPr>
        <w:rPr>
          <w:rFonts w:ascii="Arial" w:hAnsi="Arial" w:cs="Arial"/>
          <w:sz w:val="24"/>
          <w:szCs w:val="24"/>
        </w:rPr>
      </w:pPr>
      <w:r w:rsidRPr="5875C6AB">
        <w:rPr>
          <w:rFonts w:ascii="Arial" w:hAnsi="Arial" w:cs="Arial"/>
          <w:sz w:val="24"/>
          <w:szCs w:val="24"/>
        </w:rPr>
        <w:t>To comply with all current GDPR, DPA and FOI regulations.</w:t>
      </w:r>
    </w:p>
    <w:p w:rsidR="000B5CDF" w:rsidRPr="000B5CDF" w:rsidRDefault="00EA216F" w:rsidP="00F81B2D">
      <w:pPr>
        <w:rPr>
          <w:rFonts w:ascii="Arial" w:hAnsi="Arial" w:cs="Arial"/>
          <w:sz w:val="24"/>
          <w:szCs w:val="24"/>
        </w:rPr>
      </w:pPr>
      <w:r>
        <w:rPr>
          <w:rFonts w:ascii="Arial" w:hAnsi="Arial" w:cs="Arial"/>
          <w:sz w:val="24"/>
          <w:szCs w:val="24"/>
        </w:rPr>
        <w:t xml:space="preserve"> </w:t>
      </w:r>
    </w:p>
    <w:p w:rsidR="00987EF2" w:rsidRPr="00987EF2" w:rsidRDefault="5875C6AB" w:rsidP="5875C6AB">
      <w:pPr>
        <w:rPr>
          <w:rFonts w:ascii="Arial" w:hAnsi="Arial" w:cs="Arial"/>
          <w:b/>
          <w:bCs/>
          <w:sz w:val="24"/>
          <w:szCs w:val="24"/>
        </w:rPr>
      </w:pPr>
      <w:r w:rsidRPr="5875C6AB">
        <w:rPr>
          <w:rFonts w:ascii="Arial" w:hAnsi="Arial" w:cs="Arial"/>
          <w:b/>
          <w:bCs/>
          <w:sz w:val="24"/>
          <w:szCs w:val="24"/>
        </w:rPr>
        <w:t>Quality</w:t>
      </w:r>
    </w:p>
    <w:p w:rsidR="00987EF2" w:rsidRDefault="00987EF2" w:rsidP="00F81B2D">
      <w:pPr>
        <w:rPr>
          <w:rFonts w:ascii="Arial" w:hAnsi="Arial" w:cs="Arial"/>
          <w:sz w:val="24"/>
          <w:szCs w:val="24"/>
        </w:rPr>
      </w:pPr>
    </w:p>
    <w:p w:rsidR="00BC537F" w:rsidRPr="00F81B2D" w:rsidRDefault="5875C6AB" w:rsidP="5875C6AB">
      <w:pPr>
        <w:rPr>
          <w:rFonts w:ascii="Arial" w:hAnsi="Arial" w:cs="Arial"/>
          <w:sz w:val="24"/>
          <w:szCs w:val="24"/>
        </w:rPr>
      </w:pPr>
      <w:r w:rsidRPr="5875C6AB">
        <w:rPr>
          <w:rFonts w:ascii="Arial" w:hAnsi="Arial" w:cs="Arial"/>
          <w:sz w:val="24"/>
          <w:szCs w:val="24"/>
        </w:rPr>
        <w:t>The questions below will be used to evaluate your quote. Failure to answer or supply evidence to any of the questions below will result in your quote being rejected:</w:t>
      </w:r>
    </w:p>
    <w:p w:rsidR="00F81B2D" w:rsidRDefault="00F81B2D" w:rsidP="008533DE">
      <w:pPr>
        <w:rPr>
          <w:rFonts w:ascii="Arial" w:hAnsi="Arial" w:cs="Arial"/>
          <w:sz w:val="24"/>
          <w:szCs w:val="24"/>
        </w:rPr>
      </w:pPr>
    </w:p>
    <w:p w:rsidR="005D4E0A" w:rsidRDefault="5875C6AB" w:rsidP="5875C6AB">
      <w:pPr>
        <w:rPr>
          <w:rFonts w:ascii="Arial" w:hAnsi="Arial" w:cs="Arial"/>
          <w:sz w:val="24"/>
          <w:szCs w:val="24"/>
        </w:rPr>
      </w:pPr>
      <w:r w:rsidRPr="5875C6AB">
        <w:rPr>
          <w:rFonts w:ascii="Arial" w:hAnsi="Arial" w:cs="Arial"/>
          <w:sz w:val="24"/>
          <w:szCs w:val="24"/>
        </w:rPr>
        <w:t xml:space="preserve">Successful </w:t>
      </w:r>
      <w:r w:rsidR="00002DD6">
        <w:rPr>
          <w:rFonts w:ascii="Arial" w:hAnsi="Arial" w:cs="Arial"/>
          <w:sz w:val="24"/>
          <w:szCs w:val="24"/>
        </w:rPr>
        <w:t>service provider</w:t>
      </w:r>
      <w:r w:rsidRPr="5875C6AB">
        <w:rPr>
          <w:rFonts w:ascii="Arial" w:hAnsi="Arial" w:cs="Arial"/>
          <w:sz w:val="24"/>
          <w:szCs w:val="24"/>
        </w:rPr>
        <w:t xml:space="preserve"> will be required to provide a Support and Maintenance Service which includes (but not limited to):</w:t>
      </w:r>
    </w:p>
    <w:p w:rsidR="00BC537F" w:rsidRDefault="00BC537F" w:rsidP="008533DE">
      <w:pPr>
        <w:rPr>
          <w:rFonts w:ascii="Arial" w:hAnsi="Arial" w:cs="Arial"/>
          <w:sz w:val="24"/>
          <w:szCs w:val="24"/>
        </w:rPr>
      </w:pPr>
    </w:p>
    <w:tbl>
      <w:tblPr>
        <w:tblStyle w:val="TableGrid"/>
        <w:tblW w:w="0" w:type="auto"/>
        <w:tblLook w:val="04A0" w:firstRow="1" w:lastRow="0" w:firstColumn="1" w:lastColumn="0" w:noHBand="0" w:noVBand="1"/>
      </w:tblPr>
      <w:tblGrid>
        <w:gridCol w:w="1555"/>
        <w:gridCol w:w="5528"/>
        <w:gridCol w:w="1933"/>
      </w:tblGrid>
      <w:tr w:rsidR="009F53F5" w:rsidRPr="009F53F5" w:rsidTr="03184975">
        <w:tc>
          <w:tcPr>
            <w:tcW w:w="1555" w:type="dxa"/>
            <w:shd w:val="clear" w:color="auto" w:fill="8496B0" w:themeFill="text2" w:themeFillTint="99"/>
          </w:tcPr>
          <w:p w:rsidR="006D27F9" w:rsidRPr="009F53F5" w:rsidRDefault="5875C6AB" w:rsidP="5875C6AB">
            <w:pPr>
              <w:jc w:val="center"/>
              <w:rPr>
                <w:rFonts w:cs="Arial"/>
                <w:b/>
                <w:bCs/>
                <w:color w:val="F2F2F2" w:themeColor="background1" w:themeShade="F2"/>
                <w:sz w:val="24"/>
                <w:szCs w:val="24"/>
              </w:rPr>
            </w:pPr>
            <w:r w:rsidRPr="5875C6AB">
              <w:rPr>
                <w:rFonts w:cs="Arial"/>
                <w:b/>
                <w:bCs/>
                <w:color w:val="F2F2F2" w:themeColor="background1" w:themeShade="F2"/>
                <w:sz w:val="24"/>
                <w:szCs w:val="24"/>
              </w:rPr>
              <w:t>Section</w:t>
            </w:r>
          </w:p>
        </w:tc>
        <w:tc>
          <w:tcPr>
            <w:tcW w:w="5528" w:type="dxa"/>
            <w:shd w:val="clear" w:color="auto" w:fill="8496B0" w:themeFill="text2" w:themeFillTint="99"/>
          </w:tcPr>
          <w:p w:rsidR="006D27F9" w:rsidRPr="009F53F5" w:rsidRDefault="5875C6AB" w:rsidP="5875C6AB">
            <w:pPr>
              <w:jc w:val="center"/>
              <w:rPr>
                <w:rFonts w:cs="Arial"/>
                <w:b/>
                <w:bCs/>
                <w:color w:val="F2F2F2" w:themeColor="background1" w:themeShade="F2"/>
                <w:sz w:val="24"/>
                <w:szCs w:val="24"/>
              </w:rPr>
            </w:pPr>
            <w:r w:rsidRPr="5875C6AB">
              <w:rPr>
                <w:rFonts w:cs="Arial"/>
                <w:b/>
                <w:bCs/>
                <w:color w:val="F2F2F2" w:themeColor="background1" w:themeShade="F2"/>
                <w:sz w:val="24"/>
                <w:szCs w:val="24"/>
              </w:rPr>
              <w:t>Question</w:t>
            </w:r>
          </w:p>
        </w:tc>
        <w:tc>
          <w:tcPr>
            <w:tcW w:w="1933" w:type="dxa"/>
            <w:shd w:val="clear" w:color="auto" w:fill="8496B0" w:themeFill="text2" w:themeFillTint="99"/>
          </w:tcPr>
          <w:p w:rsidR="006D27F9" w:rsidRPr="009F53F5" w:rsidRDefault="5875C6AB" w:rsidP="5875C6AB">
            <w:pPr>
              <w:jc w:val="center"/>
              <w:rPr>
                <w:rFonts w:cs="Arial"/>
                <w:b/>
                <w:bCs/>
                <w:color w:val="F2F2F2" w:themeColor="background1" w:themeShade="F2"/>
                <w:sz w:val="24"/>
                <w:szCs w:val="24"/>
              </w:rPr>
            </w:pPr>
            <w:r w:rsidRPr="5875C6AB">
              <w:rPr>
                <w:rFonts w:cs="Arial"/>
                <w:b/>
                <w:bCs/>
                <w:color w:val="F2F2F2" w:themeColor="background1" w:themeShade="F2"/>
                <w:sz w:val="24"/>
                <w:szCs w:val="24"/>
              </w:rPr>
              <w:t>Weighting</w:t>
            </w:r>
          </w:p>
        </w:tc>
      </w:tr>
      <w:tr w:rsidR="00C85B8F" w:rsidTr="00EA5E61">
        <w:tc>
          <w:tcPr>
            <w:tcW w:w="9016" w:type="dxa"/>
            <w:gridSpan w:val="3"/>
            <w:shd w:val="clear" w:color="auto" w:fill="D9D9D9" w:themeFill="background1" w:themeFillShade="D9"/>
          </w:tcPr>
          <w:p w:rsidR="00C85B8F" w:rsidRDefault="5875C6AB" w:rsidP="5875C6AB">
            <w:pPr>
              <w:jc w:val="center"/>
              <w:rPr>
                <w:rFonts w:ascii="Arial" w:hAnsi="Arial" w:cs="Arial"/>
                <w:sz w:val="24"/>
                <w:szCs w:val="24"/>
              </w:rPr>
            </w:pPr>
            <w:r w:rsidRPr="5875C6AB">
              <w:rPr>
                <w:rFonts w:ascii="Arial" w:hAnsi="Arial" w:cs="Arial"/>
                <w:sz w:val="24"/>
                <w:szCs w:val="24"/>
              </w:rPr>
              <w:t>Service Desk (50%)</w:t>
            </w:r>
          </w:p>
        </w:tc>
      </w:tr>
      <w:tr w:rsidR="006D27F9" w:rsidTr="03184975">
        <w:tc>
          <w:tcPr>
            <w:tcW w:w="1555" w:type="dxa"/>
          </w:tcPr>
          <w:p w:rsidR="006D27F9" w:rsidRPr="00F81B2D" w:rsidRDefault="006D27F9" w:rsidP="00606277">
            <w:pPr>
              <w:pStyle w:val="ListParagraph"/>
              <w:numPr>
                <w:ilvl w:val="1"/>
                <w:numId w:val="1"/>
              </w:numPr>
              <w:jc w:val="both"/>
              <w:rPr>
                <w:rFonts w:ascii="Arial" w:hAnsi="Arial" w:cs="Arial"/>
                <w:sz w:val="24"/>
                <w:szCs w:val="24"/>
              </w:rPr>
            </w:pPr>
          </w:p>
        </w:tc>
        <w:tc>
          <w:tcPr>
            <w:tcW w:w="5528" w:type="dxa"/>
          </w:tcPr>
          <w:p w:rsidR="006D27F9" w:rsidRDefault="5875C6AB" w:rsidP="5875C6AB">
            <w:pPr>
              <w:spacing w:after="160" w:line="259" w:lineRule="auto"/>
              <w:rPr>
                <w:rFonts w:ascii="Arial" w:hAnsi="Arial" w:cs="Arial"/>
                <w:sz w:val="24"/>
                <w:szCs w:val="24"/>
              </w:rPr>
            </w:pPr>
            <w:r w:rsidRPr="5875C6AB">
              <w:rPr>
                <w:rFonts w:ascii="Arial" w:hAnsi="Arial" w:cs="Arial"/>
                <w:sz w:val="24"/>
                <w:szCs w:val="24"/>
              </w:rPr>
              <w:t>Please can you describe the normal operation of your service desk, detailing how a ticket would progress through the tiers until it is resolved, with references to how this relates to ITIL or a similar framework.</w:t>
            </w:r>
          </w:p>
        </w:tc>
        <w:tc>
          <w:tcPr>
            <w:tcW w:w="1933" w:type="dxa"/>
          </w:tcPr>
          <w:p w:rsidR="006D27F9" w:rsidRDefault="5875C6AB" w:rsidP="5875C6AB">
            <w:pPr>
              <w:jc w:val="center"/>
              <w:rPr>
                <w:rFonts w:ascii="Arial" w:hAnsi="Arial" w:cs="Arial"/>
                <w:sz w:val="24"/>
                <w:szCs w:val="24"/>
              </w:rPr>
            </w:pPr>
            <w:r w:rsidRPr="5875C6AB">
              <w:rPr>
                <w:rFonts w:ascii="Arial" w:hAnsi="Arial" w:cs="Arial"/>
                <w:sz w:val="24"/>
                <w:szCs w:val="24"/>
              </w:rPr>
              <w:t>20%</w:t>
            </w:r>
          </w:p>
        </w:tc>
      </w:tr>
      <w:tr w:rsidR="2DFFA557" w:rsidTr="03184975">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67F86581" w:rsidP="67F86581">
            <w:pPr>
              <w:spacing w:after="160" w:line="259" w:lineRule="auto"/>
              <w:rPr>
                <w:rFonts w:ascii="Arial" w:hAnsi="Arial" w:cs="Arial"/>
                <w:sz w:val="24"/>
                <w:szCs w:val="24"/>
              </w:rPr>
            </w:pPr>
            <w:r w:rsidRPr="67F86581">
              <w:rPr>
                <w:rFonts w:ascii="Arial" w:hAnsi="Arial" w:cs="Arial"/>
                <w:sz w:val="24"/>
                <w:szCs w:val="24"/>
              </w:rPr>
              <w:t>Please describe what level of familiarity your Service Desk staff, in each tier, have with the products including any Ivanti certification they might have.</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5%</w:t>
            </w:r>
          </w:p>
        </w:tc>
      </w:tr>
      <w:tr w:rsidR="2DFFA557" w:rsidTr="03184975">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5875C6AB" w:rsidP="2DFFA557">
            <w:pPr>
              <w:spacing w:after="160" w:line="259" w:lineRule="auto"/>
            </w:pPr>
            <w:r w:rsidRPr="5875C6AB">
              <w:rPr>
                <w:rFonts w:ascii="Arial" w:hAnsi="Arial" w:cs="Arial"/>
                <w:sz w:val="24"/>
                <w:szCs w:val="24"/>
              </w:rPr>
              <w:t>Please describe the available methods of contact that you are offering, both for initial ticket raising and for updates in both directions.</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5%</w:t>
            </w:r>
          </w:p>
        </w:tc>
      </w:tr>
      <w:tr w:rsidR="2DFFA557" w:rsidTr="03184975">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5875C6AB" w:rsidP="5875C6AB">
            <w:pPr>
              <w:rPr>
                <w:rFonts w:ascii="Arial" w:hAnsi="Arial" w:cs="Arial"/>
                <w:sz w:val="24"/>
                <w:szCs w:val="24"/>
              </w:rPr>
            </w:pPr>
            <w:r w:rsidRPr="5875C6AB">
              <w:rPr>
                <w:rFonts w:ascii="Arial" w:hAnsi="Arial" w:cs="Arial"/>
                <w:sz w:val="24"/>
                <w:szCs w:val="24"/>
              </w:rPr>
              <w:t>Please define the SLA’s &amp; Priority definitions that you work to.</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5%</w:t>
            </w:r>
          </w:p>
        </w:tc>
      </w:tr>
      <w:tr w:rsidR="2DFFA557" w:rsidTr="03184975">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67F86581" w:rsidP="67F86581">
            <w:pPr>
              <w:spacing w:after="160" w:line="259" w:lineRule="auto"/>
              <w:rPr>
                <w:rFonts w:ascii="Arial" w:hAnsi="Arial" w:cs="Arial"/>
                <w:sz w:val="24"/>
                <w:szCs w:val="24"/>
              </w:rPr>
            </w:pPr>
            <w:r w:rsidRPr="67F86581">
              <w:rPr>
                <w:rFonts w:ascii="Arial" w:hAnsi="Arial" w:cs="Arial"/>
                <w:sz w:val="24"/>
                <w:szCs w:val="24"/>
              </w:rPr>
              <w:t>How would you propose to diagnose more complex problems that cannot resolved through normal contact channels?  i</w:t>
            </w:r>
            <w:r w:rsidR="00CF56A4">
              <w:rPr>
                <w:rFonts w:ascii="Arial" w:hAnsi="Arial" w:cs="Arial"/>
                <w:sz w:val="24"/>
                <w:szCs w:val="24"/>
              </w:rPr>
              <w:t>.</w:t>
            </w:r>
            <w:r w:rsidRPr="67F86581">
              <w:rPr>
                <w:rFonts w:ascii="Arial" w:hAnsi="Arial" w:cs="Arial"/>
                <w:sz w:val="24"/>
                <w:szCs w:val="24"/>
              </w:rPr>
              <w:t>e</w:t>
            </w:r>
            <w:r w:rsidR="00CF56A4">
              <w:rPr>
                <w:rFonts w:ascii="Arial" w:hAnsi="Arial" w:cs="Arial"/>
                <w:sz w:val="24"/>
                <w:szCs w:val="24"/>
              </w:rPr>
              <w:t>.</w:t>
            </w:r>
            <w:r w:rsidRPr="67F86581">
              <w:rPr>
                <w:rFonts w:ascii="Arial" w:hAnsi="Arial" w:cs="Arial"/>
                <w:sz w:val="24"/>
                <w:szCs w:val="24"/>
              </w:rPr>
              <w:t xml:space="preserve"> request a copy of the database, shadowing a user or remoting into LBL servers</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10%</w:t>
            </w:r>
          </w:p>
        </w:tc>
      </w:tr>
      <w:tr w:rsidR="2DFFA557" w:rsidTr="03184975">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5875C6AB" w:rsidP="2DFFA557">
            <w:pPr>
              <w:spacing w:after="160" w:line="259" w:lineRule="auto"/>
            </w:pPr>
            <w:r w:rsidRPr="5875C6AB">
              <w:rPr>
                <w:rFonts w:ascii="Arial" w:hAnsi="Arial" w:cs="Arial"/>
                <w:sz w:val="24"/>
                <w:szCs w:val="24"/>
              </w:rPr>
              <w:t>Please describe what protections would be in place for any LBL data that you may have received as part of the complex diagnosis process above</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5%</w:t>
            </w:r>
          </w:p>
        </w:tc>
      </w:tr>
      <w:tr w:rsidR="00C85B8F" w:rsidTr="00EA5E61">
        <w:tc>
          <w:tcPr>
            <w:tcW w:w="9016" w:type="dxa"/>
            <w:gridSpan w:val="3"/>
            <w:shd w:val="clear" w:color="auto" w:fill="D9D9D9" w:themeFill="background1" w:themeFillShade="D9"/>
          </w:tcPr>
          <w:p w:rsidR="00C85B8F" w:rsidRDefault="5875C6AB" w:rsidP="5875C6AB">
            <w:pPr>
              <w:jc w:val="center"/>
              <w:rPr>
                <w:rFonts w:ascii="Arial" w:hAnsi="Arial" w:cs="Arial"/>
                <w:sz w:val="24"/>
                <w:szCs w:val="24"/>
              </w:rPr>
            </w:pPr>
            <w:r w:rsidRPr="5875C6AB">
              <w:rPr>
                <w:rFonts w:ascii="Arial" w:hAnsi="Arial" w:cs="Arial"/>
                <w:sz w:val="24"/>
                <w:szCs w:val="24"/>
              </w:rPr>
              <w:t>Upgrade (20%)</w:t>
            </w:r>
          </w:p>
        </w:tc>
      </w:tr>
      <w:tr w:rsidR="2DFFA557" w:rsidTr="03184975">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Pr="00EA5E61" w:rsidRDefault="67F86581" w:rsidP="00EA5E61">
            <w:pPr>
              <w:spacing w:after="160" w:line="259" w:lineRule="auto"/>
              <w:rPr>
                <w:rFonts w:ascii="Arial" w:hAnsi="Arial" w:cs="Arial"/>
                <w:sz w:val="24"/>
                <w:szCs w:val="24"/>
              </w:rPr>
            </w:pPr>
            <w:r w:rsidRPr="67F86581">
              <w:rPr>
                <w:rFonts w:ascii="Arial" w:hAnsi="Arial" w:cs="Arial"/>
                <w:sz w:val="24"/>
                <w:szCs w:val="24"/>
              </w:rPr>
              <w:t>Please describe the process you would follow once Ivanti announces a new release and/or hotfix to help LBL remain up to date with product releases.</w:t>
            </w:r>
            <w:r w:rsidR="3EEEB320" w:rsidRPr="67F86581">
              <w:rPr>
                <w:rFonts w:ascii="Arial" w:hAnsi="Arial" w:cs="Arial"/>
                <w:sz w:val="24"/>
                <w:szCs w:val="24"/>
              </w:rPr>
              <w:t xml:space="preserve"> </w:t>
            </w:r>
            <w:r w:rsidR="69D6209B" w:rsidRPr="00EA5E61">
              <w:rPr>
                <w:rFonts w:ascii="Arial" w:hAnsi="Arial" w:cs="Arial"/>
                <w:sz w:val="24"/>
                <w:szCs w:val="24"/>
              </w:rPr>
              <w:t xml:space="preserve">Please make sure to include details on how any upgrade files would be </w:t>
            </w:r>
            <w:r w:rsidR="730F22EC" w:rsidRPr="00EA5E61">
              <w:rPr>
                <w:rFonts w:ascii="Arial" w:hAnsi="Arial" w:cs="Arial"/>
                <w:sz w:val="24"/>
                <w:szCs w:val="24"/>
              </w:rPr>
              <w:t>acquired from Ivanti, tested and subsequently implemented i</w:t>
            </w:r>
            <w:r w:rsidR="03184975" w:rsidRPr="00EA5E61">
              <w:rPr>
                <w:rFonts w:ascii="Arial" w:hAnsi="Arial" w:cs="Arial"/>
                <w:sz w:val="24"/>
                <w:szCs w:val="24"/>
              </w:rPr>
              <w:t>n Lambeth.</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20%</w:t>
            </w:r>
          </w:p>
        </w:tc>
      </w:tr>
      <w:tr w:rsidR="00C85B8F" w:rsidTr="00EA5E61">
        <w:tc>
          <w:tcPr>
            <w:tcW w:w="9016" w:type="dxa"/>
            <w:gridSpan w:val="3"/>
            <w:shd w:val="clear" w:color="auto" w:fill="D9D9D9" w:themeFill="background1" w:themeFillShade="D9"/>
          </w:tcPr>
          <w:p w:rsidR="00C85B8F" w:rsidRDefault="5875C6AB" w:rsidP="5875C6AB">
            <w:pPr>
              <w:jc w:val="center"/>
              <w:rPr>
                <w:rFonts w:ascii="Arial" w:hAnsi="Arial" w:cs="Arial"/>
                <w:sz w:val="24"/>
                <w:szCs w:val="24"/>
              </w:rPr>
            </w:pPr>
            <w:r w:rsidRPr="5875C6AB">
              <w:rPr>
                <w:rFonts w:ascii="Arial" w:hAnsi="Arial" w:cs="Arial"/>
                <w:sz w:val="24"/>
                <w:szCs w:val="24"/>
              </w:rPr>
              <w:t>Account Management (20%)</w:t>
            </w:r>
          </w:p>
        </w:tc>
      </w:tr>
      <w:tr w:rsidR="2DFFA557" w:rsidTr="03184975">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5875C6AB" w:rsidP="2DFFA557">
            <w:r w:rsidRPr="5875C6AB">
              <w:rPr>
                <w:rFonts w:ascii="Arial" w:eastAsia="Arial" w:hAnsi="Arial" w:cs="Arial"/>
                <w:sz w:val="24"/>
                <w:szCs w:val="24"/>
              </w:rPr>
              <w:t>LBL requires periodic contract management meetings to discuss service development etc.  Please describe your approach to on-going account / contract management.</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6%</w:t>
            </w:r>
          </w:p>
        </w:tc>
      </w:tr>
      <w:tr w:rsidR="2DFFA557" w:rsidTr="03184975">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5875C6AB" w:rsidP="5875C6AB">
            <w:pPr>
              <w:rPr>
                <w:rFonts w:ascii="Arial" w:hAnsi="Arial" w:cs="Arial"/>
                <w:sz w:val="24"/>
                <w:szCs w:val="24"/>
              </w:rPr>
            </w:pPr>
            <w:r w:rsidRPr="5875C6AB">
              <w:rPr>
                <w:rFonts w:ascii="Arial" w:hAnsi="Arial" w:cs="Arial"/>
                <w:sz w:val="24"/>
                <w:szCs w:val="24"/>
              </w:rPr>
              <w:t>Please describe your complaint handling and resolution process</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4%</w:t>
            </w:r>
          </w:p>
        </w:tc>
      </w:tr>
      <w:tr w:rsidR="2DFFA557" w:rsidTr="03184975">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5875C6AB" w:rsidP="5875C6AB">
            <w:pPr>
              <w:rPr>
                <w:rFonts w:ascii="Arial" w:hAnsi="Arial" w:cs="Arial"/>
                <w:sz w:val="24"/>
                <w:szCs w:val="24"/>
              </w:rPr>
            </w:pPr>
            <w:r w:rsidRPr="5875C6AB">
              <w:rPr>
                <w:rFonts w:ascii="Arial" w:hAnsi="Arial" w:cs="Arial"/>
                <w:sz w:val="24"/>
                <w:szCs w:val="24"/>
              </w:rPr>
              <w:t>Please provide examples of suggested KPIs, preferably those used in contracts with other public sector bodies.</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6%</w:t>
            </w:r>
          </w:p>
        </w:tc>
      </w:tr>
      <w:tr w:rsidR="2DFFA557" w:rsidTr="03184975">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5875C6AB" w:rsidP="2DFFA557">
            <w:pPr>
              <w:spacing w:after="160" w:line="259" w:lineRule="auto"/>
            </w:pPr>
            <w:r w:rsidRPr="5875C6AB">
              <w:rPr>
                <w:rFonts w:ascii="Arial" w:hAnsi="Arial" w:cs="Arial"/>
                <w:sz w:val="24"/>
                <w:szCs w:val="24"/>
              </w:rPr>
              <w:t xml:space="preserve">Please provide </w:t>
            </w:r>
            <w:r w:rsidR="001E6902">
              <w:rPr>
                <w:rFonts w:ascii="Arial" w:hAnsi="Arial" w:cs="Arial"/>
                <w:sz w:val="24"/>
                <w:szCs w:val="24"/>
              </w:rPr>
              <w:t xml:space="preserve">at least two references from contracts that you currently have, including </w:t>
            </w:r>
            <w:r w:rsidRPr="5875C6AB">
              <w:rPr>
                <w:rFonts w:ascii="Arial" w:hAnsi="Arial" w:cs="Arial"/>
                <w:sz w:val="24"/>
                <w:szCs w:val="24"/>
              </w:rPr>
              <w:t xml:space="preserve">contact details for </w:t>
            </w:r>
            <w:r w:rsidR="001E6902">
              <w:rPr>
                <w:rFonts w:ascii="Arial" w:hAnsi="Arial" w:cs="Arial"/>
                <w:sz w:val="24"/>
                <w:szCs w:val="24"/>
              </w:rPr>
              <w:t xml:space="preserve">the </w:t>
            </w:r>
            <w:r w:rsidRPr="5875C6AB">
              <w:rPr>
                <w:rFonts w:ascii="Arial" w:hAnsi="Arial" w:cs="Arial"/>
                <w:sz w:val="24"/>
                <w:szCs w:val="24"/>
              </w:rPr>
              <w:t>reference sites, preferably public sector</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4%</w:t>
            </w:r>
          </w:p>
        </w:tc>
      </w:tr>
      <w:tr w:rsidR="00C85B8F" w:rsidTr="00EA5E61">
        <w:tc>
          <w:tcPr>
            <w:tcW w:w="9016" w:type="dxa"/>
            <w:gridSpan w:val="3"/>
            <w:shd w:val="clear" w:color="auto" w:fill="D9D9D9" w:themeFill="background1" w:themeFillShade="D9"/>
          </w:tcPr>
          <w:p w:rsidR="00C85B8F" w:rsidRDefault="5875C6AB" w:rsidP="5875C6AB">
            <w:pPr>
              <w:jc w:val="center"/>
              <w:rPr>
                <w:rFonts w:ascii="Arial" w:hAnsi="Arial" w:cs="Arial"/>
                <w:sz w:val="24"/>
                <w:szCs w:val="24"/>
              </w:rPr>
            </w:pPr>
            <w:r w:rsidRPr="5875C6AB">
              <w:rPr>
                <w:rFonts w:ascii="Arial" w:hAnsi="Arial" w:cs="Arial"/>
                <w:sz w:val="24"/>
                <w:szCs w:val="24"/>
              </w:rPr>
              <w:t>Other (10%)</w:t>
            </w:r>
          </w:p>
        </w:tc>
      </w:tr>
      <w:tr w:rsidR="006407DE" w:rsidTr="03184975">
        <w:tc>
          <w:tcPr>
            <w:tcW w:w="1555" w:type="dxa"/>
          </w:tcPr>
          <w:p w:rsidR="006407DE" w:rsidRPr="00F81B2D" w:rsidRDefault="006407DE" w:rsidP="00606277">
            <w:pPr>
              <w:pStyle w:val="ListParagraph"/>
              <w:numPr>
                <w:ilvl w:val="1"/>
                <w:numId w:val="1"/>
              </w:numPr>
              <w:jc w:val="both"/>
              <w:rPr>
                <w:rFonts w:ascii="Arial" w:hAnsi="Arial" w:cs="Arial"/>
                <w:sz w:val="24"/>
                <w:szCs w:val="24"/>
              </w:rPr>
            </w:pPr>
          </w:p>
        </w:tc>
        <w:tc>
          <w:tcPr>
            <w:tcW w:w="5528" w:type="dxa"/>
          </w:tcPr>
          <w:p w:rsidR="006407DE" w:rsidRDefault="5875C6AB" w:rsidP="5875C6AB">
            <w:pPr>
              <w:spacing w:after="160" w:line="259" w:lineRule="auto"/>
              <w:rPr>
                <w:rFonts w:ascii="Arial" w:hAnsi="Arial" w:cs="Arial"/>
                <w:sz w:val="24"/>
                <w:szCs w:val="24"/>
              </w:rPr>
            </w:pPr>
            <w:r w:rsidRPr="5875C6AB">
              <w:rPr>
                <w:rFonts w:ascii="Arial" w:hAnsi="Arial" w:cs="Arial"/>
                <w:sz w:val="24"/>
                <w:szCs w:val="24"/>
              </w:rPr>
              <w:t xml:space="preserve">Please describe how you </w:t>
            </w:r>
            <w:r w:rsidRPr="5875C6AB">
              <w:rPr>
                <w:rFonts w:ascii="Arial" w:eastAsia="Arial" w:hAnsi="Arial" w:cs="Arial"/>
                <w:sz w:val="24"/>
                <w:szCs w:val="24"/>
              </w:rPr>
              <w:t>comply with the provisions of the Data Protection Act (DPA) 1998 and the General Data Protection Regulations (GDPR) which will supersede the current DPA legislation and also the terms and conditions of  the  ‘Lambeth Third Party Code of Connection Standard’</w:t>
            </w:r>
          </w:p>
        </w:tc>
        <w:tc>
          <w:tcPr>
            <w:tcW w:w="1933" w:type="dxa"/>
          </w:tcPr>
          <w:p w:rsidR="006407DE" w:rsidRDefault="5875C6AB" w:rsidP="5875C6AB">
            <w:pPr>
              <w:jc w:val="center"/>
              <w:rPr>
                <w:rFonts w:ascii="Arial" w:hAnsi="Arial" w:cs="Arial"/>
                <w:sz w:val="24"/>
                <w:szCs w:val="24"/>
              </w:rPr>
            </w:pPr>
            <w:r w:rsidRPr="5875C6AB">
              <w:rPr>
                <w:rFonts w:ascii="Arial" w:hAnsi="Arial" w:cs="Arial"/>
                <w:sz w:val="24"/>
                <w:szCs w:val="24"/>
              </w:rPr>
              <w:t>5%</w:t>
            </w:r>
          </w:p>
        </w:tc>
      </w:tr>
      <w:tr w:rsidR="2DFFA557" w:rsidTr="03184975">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67F86581" w:rsidP="67F86581">
            <w:pPr>
              <w:rPr>
                <w:rFonts w:ascii="Arial" w:hAnsi="Arial" w:cs="Arial"/>
                <w:sz w:val="24"/>
                <w:szCs w:val="24"/>
              </w:rPr>
            </w:pPr>
            <w:r w:rsidRPr="67F86581">
              <w:rPr>
                <w:rFonts w:ascii="Arial" w:hAnsi="Arial" w:cs="Arial"/>
                <w:sz w:val="24"/>
                <w:szCs w:val="24"/>
              </w:rPr>
              <w:t>Please describe anything that you feel would add value to the contract that is not already covered – eg beta program, knowledge base, wider business hours.</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5%</w:t>
            </w:r>
          </w:p>
        </w:tc>
      </w:tr>
    </w:tbl>
    <w:p w:rsidR="52A3A177" w:rsidRDefault="52A3A177"/>
    <w:p w:rsidR="005D4E0A" w:rsidRDefault="005D4E0A" w:rsidP="008533DE">
      <w:pPr>
        <w:rPr>
          <w:rFonts w:ascii="Arial" w:hAnsi="Arial" w:cs="Arial"/>
          <w:sz w:val="24"/>
          <w:szCs w:val="24"/>
        </w:rPr>
      </w:pPr>
    </w:p>
    <w:p w:rsidR="002C72C3" w:rsidRDefault="5875C6AB" w:rsidP="5875C6AB">
      <w:pPr>
        <w:rPr>
          <w:rFonts w:ascii="Arial" w:hAnsi="Arial" w:cs="Arial"/>
          <w:b/>
          <w:bCs/>
          <w:sz w:val="24"/>
          <w:szCs w:val="24"/>
        </w:rPr>
      </w:pPr>
      <w:r w:rsidRPr="5875C6AB">
        <w:rPr>
          <w:rFonts w:ascii="Arial" w:hAnsi="Arial" w:cs="Arial"/>
          <w:b/>
          <w:bCs/>
          <w:sz w:val="24"/>
          <w:szCs w:val="24"/>
        </w:rPr>
        <w:t>Price</w:t>
      </w:r>
    </w:p>
    <w:p w:rsidR="00A87336" w:rsidRPr="00987EF2" w:rsidRDefault="00A87336" w:rsidP="00987EF2">
      <w:pPr>
        <w:rPr>
          <w:rFonts w:ascii="Arial" w:hAnsi="Arial" w:cs="Arial"/>
          <w:b/>
          <w:sz w:val="24"/>
          <w:szCs w:val="24"/>
        </w:rPr>
      </w:pPr>
    </w:p>
    <w:p w:rsidR="00987EF2" w:rsidRPr="00987EF2" w:rsidRDefault="5875C6AB" w:rsidP="5875C6AB">
      <w:pPr>
        <w:rPr>
          <w:rFonts w:ascii="Arial" w:hAnsi="Arial" w:cs="Arial"/>
          <w:sz w:val="24"/>
          <w:szCs w:val="24"/>
        </w:rPr>
      </w:pPr>
      <w:r w:rsidRPr="5875C6AB">
        <w:rPr>
          <w:rFonts w:ascii="Arial" w:hAnsi="Arial" w:cs="Arial"/>
          <w:sz w:val="24"/>
          <w:szCs w:val="24"/>
        </w:rPr>
        <w:t xml:space="preserve">As </w:t>
      </w:r>
      <w:r w:rsidRPr="5875C6AB">
        <w:rPr>
          <w:rFonts w:ascii="Arial" w:hAnsi="Arial" w:cs="Arial"/>
          <w:b/>
          <w:bCs/>
          <w:sz w:val="24"/>
          <w:szCs w:val="24"/>
        </w:rPr>
        <w:t>LBL</w:t>
      </w:r>
      <w:r w:rsidRPr="5875C6AB">
        <w:rPr>
          <w:rFonts w:ascii="Arial" w:hAnsi="Arial" w:cs="Arial"/>
          <w:sz w:val="24"/>
          <w:szCs w:val="24"/>
        </w:rPr>
        <w:t xml:space="preserve"> is a public-sector organisation we have to be able demonstrate that we are getting value for money for goods and services.    </w:t>
      </w:r>
    </w:p>
    <w:p w:rsidR="00983DA6" w:rsidRDefault="5875C6AB" w:rsidP="5875C6AB">
      <w:pPr>
        <w:rPr>
          <w:rFonts w:ascii="Arial" w:hAnsi="Arial" w:cs="Arial"/>
          <w:b/>
          <w:bCs/>
          <w:sz w:val="24"/>
          <w:szCs w:val="24"/>
        </w:rPr>
      </w:pPr>
      <w:r w:rsidRPr="5875C6AB">
        <w:rPr>
          <w:rFonts w:ascii="Arial" w:hAnsi="Arial" w:cs="Arial"/>
          <w:sz w:val="24"/>
          <w:szCs w:val="24"/>
        </w:rPr>
        <w:t>Please provide a breakdown of how the price is determined</w:t>
      </w:r>
    </w:p>
    <w:p w:rsidR="00983DA6" w:rsidRDefault="00983DA6" w:rsidP="52A3A177">
      <w:pPr>
        <w:rPr>
          <w:rFonts w:ascii="Arial" w:hAnsi="Arial" w:cs="Arial"/>
          <w:b/>
          <w:bCs/>
          <w:sz w:val="24"/>
          <w:szCs w:val="24"/>
        </w:rPr>
      </w:pPr>
    </w:p>
    <w:p w:rsidR="59ED8386" w:rsidRDefault="64B66A61">
      <w:r w:rsidRPr="00EA5E61">
        <w:rPr>
          <w:rFonts w:ascii="Arial" w:hAnsi="Arial" w:cs="Arial"/>
          <w:b/>
          <w:bCs/>
          <w:sz w:val="24"/>
          <w:szCs w:val="24"/>
        </w:rPr>
        <w:t xml:space="preserve">How will </w:t>
      </w:r>
      <w:r w:rsidR="00002DD6">
        <w:rPr>
          <w:rFonts w:ascii="Arial" w:hAnsi="Arial" w:cs="Arial"/>
          <w:b/>
          <w:bCs/>
          <w:sz w:val="24"/>
          <w:szCs w:val="24"/>
        </w:rPr>
        <w:t xml:space="preserve">we </w:t>
      </w:r>
      <w:r w:rsidRPr="00EA5E61">
        <w:rPr>
          <w:rFonts w:ascii="Arial" w:hAnsi="Arial" w:cs="Arial"/>
          <w:b/>
          <w:bCs/>
          <w:sz w:val="24"/>
          <w:szCs w:val="24"/>
        </w:rPr>
        <w:t xml:space="preserve">evaluate your </w:t>
      </w:r>
      <w:r w:rsidR="59ED8386" w:rsidRPr="00EA5E61">
        <w:rPr>
          <w:rFonts w:ascii="Arial" w:hAnsi="Arial" w:cs="Arial"/>
          <w:b/>
          <w:bCs/>
          <w:sz w:val="24"/>
          <w:szCs w:val="24"/>
        </w:rPr>
        <w:t>quote?</w:t>
      </w:r>
    </w:p>
    <w:p w:rsidR="00420E76" w:rsidRDefault="00420E76" w:rsidP="002947B4">
      <w:pPr>
        <w:rPr>
          <w:rFonts w:ascii="Arial" w:hAnsi="Arial" w:cs="Arial"/>
          <w:b/>
          <w:sz w:val="24"/>
          <w:szCs w:val="24"/>
        </w:rPr>
      </w:pPr>
    </w:p>
    <w:p w:rsidR="0026462C" w:rsidRPr="00EA5E61" w:rsidRDefault="0026462C">
      <w:pPr>
        <w:rPr>
          <w:rFonts w:ascii="Arial" w:hAnsi="Arial" w:cs="Arial"/>
          <w:b/>
          <w:bCs/>
          <w:sz w:val="24"/>
          <w:szCs w:val="24"/>
        </w:rPr>
      </w:pPr>
      <w:r w:rsidRPr="00EA5E61">
        <w:rPr>
          <w:rFonts w:ascii="Arial" w:hAnsi="Arial" w:cs="Arial"/>
          <w:b/>
          <w:bCs/>
          <w:sz w:val="24"/>
          <w:szCs w:val="24"/>
        </w:rPr>
        <w:t>Response Template</w:t>
      </w:r>
    </w:p>
    <w:p w:rsidR="00420E76" w:rsidRDefault="5875C6AB" w:rsidP="5875C6AB">
      <w:pPr>
        <w:rPr>
          <w:rFonts w:ascii="Arial" w:hAnsi="Arial" w:cs="Arial"/>
          <w:sz w:val="24"/>
          <w:szCs w:val="24"/>
        </w:rPr>
      </w:pPr>
      <w:r w:rsidRPr="5875C6AB">
        <w:rPr>
          <w:rFonts w:ascii="Arial" w:hAnsi="Arial" w:cs="Arial"/>
          <w:sz w:val="24"/>
          <w:szCs w:val="24"/>
        </w:rPr>
        <w:t>Please use the response template below to submit your responses to sections 4.1 to 4.13, a maximum of two sides of A4 is to be used each question unless the question requests additional information such as user guides or screenshots.</w:t>
      </w:r>
    </w:p>
    <w:p w:rsidR="00420E76" w:rsidRDefault="00420E76" w:rsidP="002947B4">
      <w:pPr>
        <w:rPr>
          <w:rFonts w:ascii="Arial" w:hAnsi="Arial" w:cs="Arial"/>
          <w:sz w:val="24"/>
          <w:szCs w:val="24"/>
        </w:rPr>
      </w:pPr>
    </w:p>
    <w:bookmarkStart w:id="0" w:name="_MON_1640167209"/>
    <w:bookmarkEnd w:id="0"/>
    <w:p w:rsidR="00420E76" w:rsidRDefault="00493FFF" w:rsidP="00C20275">
      <w:pPr>
        <w:jc w:val="center"/>
        <w:rPr>
          <w:rFonts w:ascii="Arial" w:hAnsi="Arial" w:cs="Arial"/>
          <w:sz w:val="24"/>
          <w:szCs w:val="24"/>
        </w:rPr>
      </w:pPr>
      <w:r>
        <w:rPr>
          <w:rFonts w:ascii="Arial" w:hAnsi="Arial" w:cs="Arial"/>
          <w:sz w:val="24"/>
          <w:szCs w:val="24"/>
        </w:rPr>
        <w:object w:dxaOrig="1533" w:dyaOrig="990" w14:anchorId="5CBE4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641027446" r:id="rId9">
            <o:FieldCodes>\s</o:FieldCodes>
          </o:OLEObject>
        </w:object>
      </w:r>
    </w:p>
    <w:p w:rsidR="009E7C29" w:rsidRDefault="009E7C29">
      <w:pPr>
        <w:rPr>
          <w:rFonts w:ascii="Arial" w:hAnsi="Arial" w:cs="Arial"/>
          <w:sz w:val="24"/>
          <w:szCs w:val="24"/>
        </w:rPr>
      </w:pPr>
      <w:r>
        <w:rPr>
          <w:rFonts w:ascii="Arial" w:hAnsi="Arial" w:cs="Arial"/>
          <w:sz w:val="24"/>
          <w:szCs w:val="24"/>
        </w:rPr>
        <w:br w:type="page"/>
      </w:r>
    </w:p>
    <w:p w:rsidR="009E7C29" w:rsidRDefault="009E7C29" w:rsidP="002947B4">
      <w:pPr>
        <w:rPr>
          <w:rFonts w:ascii="Arial" w:hAnsi="Arial" w:cs="Arial"/>
          <w:sz w:val="24"/>
          <w:szCs w:val="24"/>
        </w:rPr>
      </w:pPr>
    </w:p>
    <w:p w:rsidR="00420E76" w:rsidRDefault="5875C6AB" w:rsidP="5875C6AB">
      <w:pPr>
        <w:rPr>
          <w:rFonts w:ascii="Arial" w:hAnsi="Arial" w:cs="Arial"/>
          <w:sz w:val="24"/>
          <w:szCs w:val="24"/>
        </w:rPr>
      </w:pPr>
      <w:r w:rsidRPr="5875C6AB">
        <w:rPr>
          <w:rFonts w:ascii="Arial" w:hAnsi="Arial" w:cs="Arial"/>
          <w:sz w:val="24"/>
          <w:szCs w:val="24"/>
        </w:rPr>
        <w:t>Written responses will be assessed using the following scoring mechanism:</w:t>
      </w:r>
    </w:p>
    <w:p w:rsidR="00420E76" w:rsidRDefault="00420E76" w:rsidP="002947B4">
      <w:pPr>
        <w:rPr>
          <w:rFonts w:ascii="Arial" w:hAnsi="Arial" w:cs="Arial"/>
          <w:sz w:val="24"/>
          <w:szCs w:val="24"/>
        </w:rPr>
      </w:pPr>
    </w:p>
    <w:tbl>
      <w:tblPr>
        <w:tblStyle w:val="TableGrid"/>
        <w:tblW w:w="0" w:type="auto"/>
        <w:tblLook w:val="04A0" w:firstRow="1" w:lastRow="0" w:firstColumn="1" w:lastColumn="0" w:noHBand="0" w:noVBand="1"/>
      </w:tblPr>
      <w:tblGrid>
        <w:gridCol w:w="2122"/>
        <w:gridCol w:w="6894"/>
      </w:tblGrid>
      <w:tr w:rsidR="00420E76" w:rsidRPr="00CD7235" w:rsidTr="34D320E9">
        <w:tc>
          <w:tcPr>
            <w:tcW w:w="2122" w:type="dxa"/>
            <w:shd w:val="clear" w:color="auto" w:fill="8496B0" w:themeFill="text2" w:themeFillTint="99"/>
          </w:tcPr>
          <w:p w:rsidR="00420E76" w:rsidRPr="00CD7235" w:rsidRDefault="5875C6AB" w:rsidP="5875C6AB">
            <w:pPr>
              <w:spacing w:after="200" w:line="276" w:lineRule="auto"/>
              <w:rPr>
                <w:b/>
                <w:bCs/>
                <w:color w:val="FFFFFF" w:themeColor="background1"/>
                <w:lang w:eastAsia="zh-CN"/>
              </w:rPr>
            </w:pPr>
            <w:r w:rsidRPr="5875C6AB">
              <w:rPr>
                <w:b/>
                <w:bCs/>
                <w:color w:val="FFFFFF" w:themeColor="background1"/>
                <w:lang w:eastAsia="zh-CN"/>
              </w:rPr>
              <w:t>Score</w:t>
            </w:r>
          </w:p>
        </w:tc>
        <w:tc>
          <w:tcPr>
            <w:tcW w:w="6894" w:type="dxa"/>
            <w:shd w:val="clear" w:color="auto" w:fill="8496B0" w:themeFill="text2" w:themeFillTint="99"/>
          </w:tcPr>
          <w:p w:rsidR="00420E76" w:rsidRPr="00CD7235" w:rsidRDefault="5875C6AB" w:rsidP="5875C6AB">
            <w:pPr>
              <w:spacing w:after="200" w:line="276" w:lineRule="auto"/>
              <w:rPr>
                <w:b/>
                <w:bCs/>
                <w:color w:val="FFFFFF" w:themeColor="background1"/>
                <w:lang w:eastAsia="zh-CN"/>
              </w:rPr>
            </w:pPr>
            <w:r w:rsidRPr="5875C6AB">
              <w:rPr>
                <w:b/>
                <w:bCs/>
                <w:color w:val="FFFFFF" w:themeColor="background1"/>
                <w:lang w:eastAsia="zh-CN"/>
              </w:rPr>
              <w:t>Description</w:t>
            </w:r>
          </w:p>
        </w:tc>
      </w:tr>
      <w:tr w:rsidR="00420E76" w:rsidRPr="00CD7235" w:rsidTr="34D320E9">
        <w:tc>
          <w:tcPr>
            <w:tcW w:w="2122" w:type="dxa"/>
          </w:tcPr>
          <w:p w:rsidR="00420E76" w:rsidRPr="009F53F5" w:rsidRDefault="67F86581" w:rsidP="67F86581">
            <w:pPr>
              <w:spacing w:after="200" w:line="276" w:lineRule="auto"/>
              <w:jc w:val="center"/>
              <w:rPr>
                <w:rFonts w:ascii="Arial" w:hAnsi="Arial" w:cs="Arial"/>
                <w:b/>
                <w:bCs/>
                <w:sz w:val="24"/>
                <w:szCs w:val="24"/>
                <w:lang w:eastAsia="zh-CN"/>
              </w:rPr>
            </w:pPr>
            <w:r w:rsidRPr="67F86581">
              <w:rPr>
                <w:rFonts w:ascii="Arial" w:hAnsi="Arial" w:cs="Arial"/>
                <w:b/>
                <w:bCs/>
                <w:sz w:val="24"/>
                <w:szCs w:val="24"/>
                <w:lang w:eastAsia="zh-CN"/>
              </w:rPr>
              <w:t>4</w:t>
            </w:r>
          </w:p>
        </w:tc>
        <w:tc>
          <w:tcPr>
            <w:tcW w:w="6894" w:type="dxa"/>
          </w:tcPr>
          <w:p w:rsidR="00420E76" w:rsidRPr="009F53F5" w:rsidRDefault="5875C6AB" w:rsidP="5875C6AB">
            <w:pPr>
              <w:spacing w:after="200" w:line="276" w:lineRule="auto"/>
              <w:rPr>
                <w:rFonts w:ascii="Arial" w:hAnsi="Arial" w:cs="Arial"/>
                <w:sz w:val="24"/>
                <w:szCs w:val="24"/>
                <w:lang w:eastAsia="zh-CN"/>
              </w:rPr>
            </w:pPr>
            <w:r w:rsidRPr="5875C6AB">
              <w:rPr>
                <w:rFonts w:ascii="Arial" w:hAnsi="Arial" w:cs="Arial"/>
                <w:sz w:val="24"/>
                <w:szCs w:val="24"/>
                <w:lang w:eastAsia="zh-CN"/>
              </w:rPr>
              <w:t>Response / answer / solution is of a high standard with no reservations at all about acceptability; provides evidence that the Provider can make a significant improvement to the way the service is delivered.</w:t>
            </w:r>
          </w:p>
        </w:tc>
      </w:tr>
      <w:tr w:rsidR="00420E76" w:rsidRPr="00CD7235" w:rsidTr="34D320E9">
        <w:tc>
          <w:tcPr>
            <w:tcW w:w="2122" w:type="dxa"/>
          </w:tcPr>
          <w:p w:rsidR="00420E76" w:rsidRPr="009F53F5" w:rsidRDefault="67F86581" w:rsidP="67F86581">
            <w:pPr>
              <w:spacing w:after="200" w:line="276" w:lineRule="auto"/>
              <w:jc w:val="center"/>
              <w:rPr>
                <w:rFonts w:ascii="Arial" w:hAnsi="Arial" w:cs="Arial"/>
                <w:b/>
                <w:bCs/>
                <w:sz w:val="24"/>
                <w:szCs w:val="24"/>
                <w:lang w:eastAsia="zh-CN"/>
              </w:rPr>
            </w:pPr>
            <w:r w:rsidRPr="67F86581">
              <w:rPr>
                <w:rFonts w:ascii="Arial" w:hAnsi="Arial" w:cs="Arial"/>
                <w:b/>
                <w:bCs/>
                <w:sz w:val="24"/>
                <w:szCs w:val="24"/>
                <w:lang w:eastAsia="zh-CN"/>
              </w:rPr>
              <w:t>3</w:t>
            </w:r>
          </w:p>
        </w:tc>
        <w:tc>
          <w:tcPr>
            <w:tcW w:w="6894" w:type="dxa"/>
          </w:tcPr>
          <w:p w:rsidR="00420E76" w:rsidRPr="009F53F5" w:rsidRDefault="5875C6AB" w:rsidP="5875C6AB">
            <w:pPr>
              <w:spacing w:after="200" w:line="276" w:lineRule="auto"/>
              <w:rPr>
                <w:rFonts w:ascii="Arial" w:hAnsi="Arial" w:cs="Arial"/>
                <w:sz w:val="24"/>
                <w:szCs w:val="24"/>
                <w:lang w:eastAsia="zh-CN"/>
              </w:rPr>
            </w:pPr>
            <w:r w:rsidRPr="5875C6AB">
              <w:rPr>
                <w:rFonts w:ascii="Arial" w:hAnsi="Arial" w:cs="Arial"/>
                <w:sz w:val="24"/>
                <w:szCs w:val="24"/>
                <w:lang w:eastAsia="zh-CN"/>
              </w:rPr>
              <w:t>Good response / answer / solution to that aspect of our requirement; provides more evidence than that of an ‘acceptable’ response.</w:t>
            </w:r>
          </w:p>
        </w:tc>
      </w:tr>
      <w:tr w:rsidR="00420E76" w:rsidRPr="00CD7235" w:rsidTr="34D320E9">
        <w:tc>
          <w:tcPr>
            <w:tcW w:w="2122" w:type="dxa"/>
          </w:tcPr>
          <w:p w:rsidR="00420E76" w:rsidRPr="009F53F5" w:rsidRDefault="67F86581" w:rsidP="67F86581">
            <w:pPr>
              <w:spacing w:after="200" w:line="276" w:lineRule="auto"/>
              <w:jc w:val="center"/>
              <w:rPr>
                <w:rFonts w:ascii="Arial" w:hAnsi="Arial" w:cs="Arial"/>
                <w:b/>
                <w:bCs/>
                <w:sz w:val="24"/>
                <w:szCs w:val="24"/>
                <w:lang w:eastAsia="zh-CN"/>
              </w:rPr>
            </w:pPr>
            <w:r w:rsidRPr="67F86581">
              <w:rPr>
                <w:rFonts w:ascii="Arial" w:hAnsi="Arial" w:cs="Arial"/>
                <w:b/>
                <w:bCs/>
                <w:sz w:val="24"/>
                <w:szCs w:val="24"/>
                <w:lang w:eastAsia="zh-CN"/>
              </w:rPr>
              <w:t>2</w:t>
            </w:r>
          </w:p>
        </w:tc>
        <w:tc>
          <w:tcPr>
            <w:tcW w:w="6894" w:type="dxa"/>
          </w:tcPr>
          <w:p w:rsidR="00420E76" w:rsidRPr="009F53F5" w:rsidRDefault="5875C6AB" w:rsidP="5875C6AB">
            <w:pPr>
              <w:spacing w:after="200" w:line="276" w:lineRule="auto"/>
              <w:rPr>
                <w:rFonts w:ascii="Arial" w:hAnsi="Arial" w:cs="Arial"/>
                <w:sz w:val="24"/>
                <w:szCs w:val="24"/>
                <w:lang w:eastAsia="zh-CN"/>
              </w:rPr>
            </w:pPr>
            <w:r w:rsidRPr="5875C6AB">
              <w:rPr>
                <w:rFonts w:ascii="Arial" w:hAnsi="Arial" w:cs="Arial"/>
                <w:sz w:val="24"/>
                <w:szCs w:val="24"/>
                <w:lang w:eastAsia="zh-CN"/>
              </w:rPr>
              <w:t>Acceptable response / answer / solution; all basic requirements are met; provides evidence given of skill / knowledge sought.</w:t>
            </w:r>
          </w:p>
        </w:tc>
      </w:tr>
      <w:tr w:rsidR="00420E76" w:rsidRPr="00CD7235" w:rsidTr="34D320E9">
        <w:tc>
          <w:tcPr>
            <w:tcW w:w="2122" w:type="dxa"/>
          </w:tcPr>
          <w:p w:rsidR="00420E76" w:rsidRPr="009F53F5" w:rsidRDefault="67F86581" w:rsidP="67F86581">
            <w:pPr>
              <w:spacing w:after="200" w:line="276" w:lineRule="auto"/>
              <w:jc w:val="center"/>
              <w:rPr>
                <w:rFonts w:ascii="Arial" w:hAnsi="Arial" w:cs="Arial"/>
                <w:b/>
                <w:bCs/>
                <w:sz w:val="24"/>
                <w:szCs w:val="24"/>
                <w:lang w:eastAsia="zh-CN"/>
              </w:rPr>
            </w:pPr>
            <w:r w:rsidRPr="67F86581">
              <w:rPr>
                <w:rFonts w:ascii="Arial" w:hAnsi="Arial" w:cs="Arial"/>
                <w:b/>
                <w:bCs/>
                <w:sz w:val="24"/>
                <w:szCs w:val="24"/>
                <w:lang w:eastAsia="zh-CN"/>
              </w:rPr>
              <w:t>1</w:t>
            </w:r>
          </w:p>
        </w:tc>
        <w:tc>
          <w:tcPr>
            <w:tcW w:w="6894" w:type="dxa"/>
          </w:tcPr>
          <w:p w:rsidR="00420E76" w:rsidRPr="009F53F5" w:rsidRDefault="5875C6AB" w:rsidP="5875C6AB">
            <w:pPr>
              <w:spacing w:after="200" w:line="276" w:lineRule="auto"/>
              <w:rPr>
                <w:rFonts w:ascii="Arial" w:hAnsi="Arial" w:cs="Arial"/>
                <w:sz w:val="24"/>
                <w:szCs w:val="24"/>
                <w:lang w:eastAsia="zh-CN"/>
              </w:rPr>
            </w:pPr>
            <w:r w:rsidRPr="5875C6AB">
              <w:rPr>
                <w:rFonts w:ascii="Arial" w:hAnsi="Arial" w:cs="Arial"/>
                <w:sz w:val="24"/>
                <w:szCs w:val="24"/>
                <w:lang w:eastAsia="zh-CN"/>
              </w:rPr>
              <w:t>Less acceptable response / answer / solution; lacks convincing of skills / experience sort; lack of real understanding of requirement or evidence of ability to deliver.</w:t>
            </w:r>
          </w:p>
        </w:tc>
      </w:tr>
      <w:tr w:rsidR="00420E76" w:rsidRPr="00CD7235" w:rsidTr="34D320E9">
        <w:tc>
          <w:tcPr>
            <w:tcW w:w="2122" w:type="dxa"/>
          </w:tcPr>
          <w:p w:rsidR="00420E76" w:rsidRPr="009F53F5" w:rsidRDefault="67F86581" w:rsidP="67F86581">
            <w:pPr>
              <w:spacing w:after="200" w:line="276" w:lineRule="auto"/>
              <w:jc w:val="center"/>
              <w:rPr>
                <w:rFonts w:ascii="Arial" w:hAnsi="Arial" w:cs="Arial"/>
                <w:b/>
                <w:bCs/>
                <w:sz w:val="24"/>
                <w:szCs w:val="24"/>
                <w:lang w:eastAsia="zh-CN"/>
              </w:rPr>
            </w:pPr>
            <w:r w:rsidRPr="67F86581">
              <w:rPr>
                <w:rFonts w:ascii="Arial" w:hAnsi="Arial" w:cs="Arial"/>
                <w:b/>
                <w:bCs/>
                <w:sz w:val="24"/>
                <w:szCs w:val="24"/>
                <w:lang w:eastAsia="zh-CN"/>
              </w:rPr>
              <w:t>0</w:t>
            </w:r>
          </w:p>
        </w:tc>
        <w:tc>
          <w:tcPr>
            <w:tcW w:w="6894" w:type="dxa"/>
          </w:tcPr>
          <w:p w:rsidR="00420E76" w:rsidRPr="009F53F5" w:rsidRDefault="5875C6AB" w:rsidP="5875C6AB">
            <w:pPr>
              <w:spacing w:after="200" w:line="276" w:lineRule="auto"/>
              <w:rPr>
                <w:rFonts w:ascii="Arial" w:hAnsi="Arial" w:cs="Arial"/>
                <w:sz w:val="24"/>
                <w:szCs w:val="24"/>
                <w:lang w:eastAsia="zh-CN"/>
              </w:rPr>
            </w:pPr>
            <w:r w:rsidRPr="5875C6AB">
              <w:rPr>
                <w:rFonts w:ascii="Arial" w:hAnsi="Arial" w:cs="Arial"/>
                <w:sz w:val="24"/>
                <w:szCs w:val="24"/>
                <w:lang w:eastAsia="zh-CN"/>
              </w:rPr>
              <w:t>Non-compliant - failed to address the question / issue or a detrimental response / answer / solution; limited or poor evidence of skill / knowledge sought.</w:t>
            </w:r>
          </w:p>
        </w:tc>
      </w:tr>
    </w:tbl>
    <w:p w:rsidR="00420E76" w:rsidRDefault="00420E76" w:rsidP="002947B4">
      <w:pPr>
        <w:rPr>
          <w:rFonts w:ascii="Arial" w:hAnsi="Arial" w:cs="Arial"/>
          <w:sz w:val="24"/>
          <w:szCs w:val="24"/>
        </w:rPr>
      </w:pPr>
    </w:p>
    <w:p w:rsidR="00152827" w:rsidRDefault="00152827" w:rsidP="002947B4">
      <w:pPr>
        <w:rPr>
          <w:rFonts w:ascii="Arial" w:hAnsi="Arial" w:cs="Arial"/>
          <w:b/>
          <w:sz w:val="24"/>
          <w:szCs w:val="24"/>
        </w:rPr>
      </w:pPr>
    </w:p>
    <w:p w:rsidR="009E7C29" w:rsidRDefault="009E7C29">
      <w:pPr>
        <w:rPr>
          <w:rFonts w:ascii="Arial" w:hAnsi="Arial" w:cs="Arial"/>
          <w:b/>
          <w:sz w:val="24"/>
          <w:szCs w:val="24"/>
        </w:rPr>
      </w:pPr>
      <w:r>
        <w:rPr>
          <w:rFonts w:ascii="Arial" w:hAnsi="Arial" w:cs="Arial"/>
          <w:b/>
          <w:sz w:val="24"/>
          <w:szCs w:val="24"/>
        </w:rPr>
        <w:br w:type="page"/>
      </w:r>
    </w:p>
    <w:p w:rsidR="00152827" w:rsidRDefault="00152827" w:rsidP="002947B4">
      <w:pPr>
        <w:rPr>
          <w:rFonts w:ascii="Arial" w:hAnsi="Arial" w:cs="Arial"/>
          <w:b/>
          <w:sz w:val="24"/>
          <w:szCs w:val="24"/>
        </w:rPr>
      </w:pPr>
    </w:p>
    <w:p w:rsidR="00A87336" w:rsidRDefault="5875C6AB" w:rsidP="5875C6AB">
      <w:pPr>
        <w:rPr>
          <w:rFonts w:ascii="Arial" w:hAnsi="Arial" w:cs="Arial"/>
          <w:b/>
          <w:bCs/>
          <w:sz w:val="24"/>
          <w:szCs w:val="24"/>
        </w:rPr>
      </w:pPr>
      <w:r w:rsidRPr="5875C6AB">
        <w:rPr>
          <w:rFonts w:ascii="Arial" w:hAnsi="Arial" w:cs="Arial"/>
          <w:b/>
          <w:bCs/>
          <w:sz w:val="24"/>
          <w:szCs w:val="24"/>
        </w:rPr>
        <w:t>Price</w:t>
      </w:r>
    </w:p>
    <w:p w:rsidR="00E354E8" w:rsidRDefault="5875C6AB" w:rsidP="5875C6AB">
      <w:pPr>
        <w:rPr>
          <w:rFonts w:ascii="Arial" w:hAnsi="Arial" w:cs="Arial"/>
          <w:sz w:val="24"/>
          <w:szCs w:val="24"/>
        </w:rPr>
      </w:pPr>
      <w:r w:rsidRPr="5875C6AB">
        <w:rPr>
          <w:rFonts w:ascii="Arial" w:hAnsi="Arial" w:cs="Arial"/>
          <w:sz w:val="24"/>
          <w:szCs w:val="24"/>
        </w:rPr>
        <w:t>The following method will be used to evaluate the prices submitted.</w:t>
      </w:r>
    </w:p>
    <w:p w:rsidR="00002DD6" w:rsidRPr="00EA5E61" w:rsidRDefault="00002DD6">
      <w:pPr>
        <w:rPr>
          <w:rFonts w:ascii="Arial" w:hAnsi="Arial" w:cs="Arial"/>
          <w:sz w:val="24"/>
          <w:szCs w:val="24"/>
        </w:rPr>
      </w:pPr>
      <w:r>
        <w:rPr>
          <w:rFonts w:ascii="Arial" w:hAnsi="Arial" w:cs="Arial"/>
          <w:sz w:val="24"/>
          <w:szCs w:val="24"/>
        </w:rPr>
        <w:t>The total cost of the contract including any optional extension will be averaged over the length of the contract</w:t>
      </w:r>
      <w:r w:rsidRPr="00002DD6">
        <w:rPr>
          <w:rFonts w:ascii="Arial" w:hAnsi="Arial" w:cs="Arial"/>
          <w:sz w:val="24"/>
          <w:szCs w:val="24"/>
        </w:rPr>
        <w:t xml:space="preserve"> </w:t>
      </w:r>
      <w:r>
        <w:rPr>
          <w:rFonts w:ascii="Arial" w:hAnsi="Arial" w:cs="Arial"/>
          <w:sz w:val="24"/>
          <w:szCs w:val="24"/>
        </w:rPr>
        <w:t>including any optional extension to give the mean cost per annum. This will be referred to as the Weighted Quote.</w:t>
      </w:r>
    </w:p>
    <w:p w:rsidR="00C159A8" w:rsidRPr="00EA5E61" w:rsidRDefault="5875C6AB">
      <w:pPr>
        <w:rPr>
          <w:rFonts w:ascii="Arial" w:hAnsi="Arial" w:cs="Arial"/>
          <w:sz w:val="24"/>
          <w:szCs w:val="24"/>
        </w:rPr>
      </w:pPr>
      <w:r w:rsidRPr="5875C6AB">
        <w:rPr>
          <w:rFonts w:ascii="Arial" w:hAnsi="Arial" w:cs="Arial"/>
          <w:sz w:val="24"/>
          <w:szCs w:val="24"/>
        </w:rPr>
        <w:t xml:space="preserve">The lowest Weighted Quote will be awarded 400 points. </w:t>
      </w:r>
    </w:p>
    <w:p w:rsidR="00EA216F" w:rsidRDefault="5875C6AB" w:rsidP="5875C6AB">
      <w:pPr>
        <w:rPr>
          <w:rFonts w:ascii="Arial" w:hAnsi="Arial" w:cs="Arial"/>
          <w:sz w:val="24"/>
          <w:szCs w:val="24"/>
        </w:rPr>
      </w:pPr>
      <w:r w:rsidRPr="5875C6AB">
        <w:rPr>
          <w:rFonts w:ascii="Arial" w:hAnsi="Arial" w:cs="Arial"/>
          <w:sz w:val="24"/>
          <w:szCs w:val="24"/>
        </w:rPr>
        <w:t>The next lowest quote will be awarded points calculated using the following formula</w:t>
      </w:r>
    </w:p>
    <w:p w:rsidR="00610696" w:rsidRPr="009E7C29" w:rsidRDefault="5875C6AB" w:rsidP="5875C6AB">
      <w:pPr>
        <w:rPr>
          <w:rFonts w:ascii="Arial" w:hAnsi="Arial" w:cs="Arial"/>
          <w:b/>
          <w:bCs/>
          <w:sz w:val="24"/>
          <w:szCs w:val="24"/>
        </w:rPr>
      </w:pPr>
      <w:r w:rsidRPr="5875C6AB">
        <w:rPr>
          <w:rFonts w:ascii="Arial" w:hAnsi="Arial" w:cs="Arial"/>
          <w:b/>
          <w:bCs/>
          <w:sz w:val="24"/>
          <w:szCs w:val="24"/>
        </w:rPr>
        <w:t>Points Awarded = Maximum Points x (1 – ((Next Lowest Bid – Lowest Bid) / Lowest Bid))</w:t>
      </w:r>
    </w:p>
    <w:p w:rsidR="00E354E8" w:rsidRDefault="5875C6AB" w:rsidP="5875C6AB">
      <w:pPr>
        <w:rPr>
          <w:rFonts w:ascii="Arial" w:hAnsi="Arial" w:cs="Arial"/>
          <w:sz w:val="24"/>
          <w:szCs w:val="24"/>
        </w:rPr>
      </w:pPr>
      <w:r w:rsidRPr="5875C6AB">
        <w:rPr>
          <w:rFonts w:ascii="Arial" w:hAnsi="Arial" w:cs="Arial"/>
          <w:sz w:val="24"/>
          <w:szCs w:val="24"/>
        </w:rPr>
        <w:t>The following table gives examples and how the above formula obtains it’s values</w:t>
      </w:r>
    </w:p>
    <w:tbl>
      <w:tblPr>
        <w:tblStyle w:val="TableGrid"/>
        <w:tblW w:w="0" w:type="auto"/>
        <w:tblLook w:val="04A0" w:firstRow="1" w:lastRow="0" w:firstColumn="1" w:lastColumn="0" w:noHBand="0" w:noVBand="1"/>
      </w:tblPr>
      <w:tblGrid>
        <w:gridCol w:w="2062"/>
        <w:gridCol w:w="2318"/>
        <w:gridCol w:w="2318"/>
        <w:gridCol w:w="2318"/>
      </w:tblGrid>
      <w:tr w:rsidR="009F53F5" w:rsidRPr="009F53F5" w:rsidTr="34D320E9">
        <w:tc>
          <w:tcPr>
            <w:tcW w:w="2062" w:type="dxa"/>
            <w:shd w:val="clear" w:color="auto" w:fill="8496B0" w:themeFill="text2" w:themeFillTint="99"/>
          </w:tcPr>
          <w:p w:rsidR="002A466E" w:rsidRPr="009F53F5" w:rsidRDefault="002A466E" w:rsidP="002947B4">
            <w:pPr>
              <w:rPr>
                <w:rFonts w:cs="Arial"/>
                <w:color w:val="F2F2F2" w:themeColor="background1" w:themeShade="F2"/>
                <w:sz w:val="24"/>
                <w:szCs w:val="24"/>
              </w:rPr>
            </w:pPr>
          </w:p>
        </w:tc>
        <w:tc>
          <w:tcPr>
            <w:tcW w:w="2318" w:type="dxa"/>
            <w:shd w:val="clear" w:color="auto" w:fill="8496B0" w:themeFill="text2" w:themeFillTint="99"/>
          </w:tcPr>
          <w:p w:rsidR="002A466E" w:rsidRPr="009F53F5" w:rsidRDefault="5875C6AB" w:rsidP="5875C6AB">
            <w:pPr>
              <w:jc w:val="center"/>
              <w:rPr>
                <w:rFonts w:cs="Arial"/>
                <w:b/>
                <w:bCs/>
                <w:color w:val="F2F2F2" w:themeColor="background1" w:themeShade="F2"/>
                <w:sz w:val="24"/>
                <w:szCs w:val="24"/>
              </w:rPr>
            </w:pPr>
            <w:r w:rsidRPr="5875C6AB">
              <w:rPr>
                <w:rFonts w:cs="Arial"/>
                <w:b/>
                <w:bCs/>
                <w:color w:val="F2F2F2" w:themeColor="background1" w:themeShade="F2"/>
                <w:sz w:val="24"/>
                <w:szCs w:val="24"/>
              </w:rPr>
              <w:t>Lowest Bid</w:t>
            </w:r>
          </w:p>
        </w:tc>
        <w:tc>
          <w:tcPr>
            <w:tcW w:w="2318" w:type="dxa"/>
            <w:shd w:val="clear" w:color="auto" w:fill="8496B0" w:themeFill="text2" w:themeFillTint="99"/>
          </w:tcPr>
          <w:p w:rsidR="002A466E" w:rsidRPr="009F53F5" w:rsidRDefault="5875C6AB" w:rsidP="5875C6AB">
            <w:pPr>
              <w:jc w:val="center"/>
              <w:rPr>
                <w:rFonts w:cs="Arial"/>
                <w:b/>
                <w:bCs/>
                <w:color w:val="F2F2F2" w:themeColor="background1" w:themeShade="F2"/>
                <w:sz w:val="24"/>
                <w:szCs w:val="24"/>
              </w:rPr>
            </w:pPr>
            <w:r w:rsidRPr="5875C6AB">
              <w:rPr>
                <w:rFonts w:cs="Arial"/>
                <w:b/>
                <w:bCs/>
                <w:color w:val="F2F2F2" w:themeColor="background1" w:themeShade="F2"/>
                <w:sz w:val="24"/>
                <w:szCs w:val="24"/>
              </w:rPr>
              <w:t>Next Lowest Bid</w:t>
            </w:r>
          </w:p>
        </w:tc>
        <w:tc>
          <w:tcPr>
            <w:tcW w:w="2318" w:type="dxa"/>
            <w:shd w:val="clear" w:color="auto" w:fill="8496B0" w:themeFill="text2" w:themeFillTint="99"/>
          </w:tcPr>
          <w:p w:rsidR="002A466E" w:rsidRPr="009F53F5" w:rsidRDefault="5875C6AB" w:rsidP="5875C6AB">
            <w:pPr>
              <w:jc w:val="center"/>
              <w:rPr>
                <w:rFonts w:cs="Arial"/>
                <w:b/>
                <w:bCs/>
                <w:color w:val="F2F2F2" w:themeColor="background1" w:themeShade="F2"/>
                <w:sz w:val="24"/>
                <w:szCs w:val="24"/>
              </w:rPr>
            </w:pPr>
            <w:r w:rsidRPr="5875C6AB">
              <w:rPr>
                <w:rFonts w:cs="Arial"/>
                <w:b/>
                <w:bCs/>
                <w:color w:val="F2F2F2" w:themeColor="background1" w:themeShade="F2"/>
                <w:sz w:val="24"/>
                <w:szCs w:val="24"/>
              </w:rPr>
              <w:t>3rd Lowest Bid</w:t>
            </w:r>
          </w:p>
        </w:tc>
      </w:tr>
      <w:tr w:rsidR="002A466E" w:rsidTr="34D320E9">
        <w:tc>
          <w:tcPr>
            <w:tcW w:w="2062" w:type="dxa"/>
          </w:tcPr>
          <w:p w:rsidR="002A466E" w:rsidRDefault="5875C6AB" w:rsidP="5875C6AB">
            <w:pPr>
              <w:rPr>
                <w:rFonts w:ascii="Arial" w:hAnsi="Arial" w:cs="Arial"/>
                <w:sz w:val="24"/>
                <w:szCs w:val="24"/>
              </w:rPr>
            </w:pPr>
            <w:r w:rsidRPr="5875C6AB">
              <w:rPr>
                <w:rFonts w:ascii="Arial" w:hAnsi="Arial" w:cs="Arial"/>
                <w:sz w:val="24"/>
                <w:szCs w:val="24"/>
              </w:rPr>
              <w:t>Price ( £ )</w:t>
            </w:r>
          </w:p>
        </w:tc>
        <w:tc>
          <w:tcPr>
            <w:tcW w:w="2318" w:type="dxa"/>
          </w:tcPr>
          <w:p w:rsidR="002A466E" w:rsidRDefault="5875C6AB" w:rsidP="5875C6AB">
            <w:pPr>
              <w:jc w:val="center"/>
              <w:rPr>
                <w:rFonts w:ascii="Arial" w:hAnsi="Arial" w:cs="Arial"/>
                <w:sz w:val="24"/>
                <w:szCs w:val="24"/>
              </w:rPr>
            </w:pPr>
            <w:r w:rsidRPr="5875C6AB">
              <w:rPr>
                <w:rFonts w:ascii="Arial" w:hAnsi="Arial" w:cs="Arial"/>
                <w:sz w:val="24"/>
                <w:szCs w:val="24"/>
              </w:rPr>
              <w:t>£500</w:t>
            </w:r>
          </w:p>
        </w:tc>
        <w:tc>
          <w:tcPr>
            <w:tcW w:w="2318" w:type="dxa"/>
          </w:tcPr>
          <w:p w:rsidR="002A466E" w:rsidRDefault="5875C6AB" w:rsidP="5875C6AB">
            <w:pPr>
              <w:jc w:val="center"/>
              <w:rPr>
                <w:rFonts w:ascii="Arial" w:hAnsi="Arial" w:cs="Arial"/>
                <w:sz w:val="24"/>
                <w:szCs w:val="24"/>
              </w:rPr>
            </w:pPr>
            <w:r w:rsidRPr="5875C6AB">
              <w:rPr>
                <w:rFonts w:ascii="Arial" w:hAnsi="Arial" w:cs="Arial"/>
                <w:sz w:val="24"/>
                <w:szCs w:val="24"/>
              </w:rPr>
              <w:t>£575</w:t>
            </w:r>
          </w:p>
        </w:tc>
        <w:tc>
          <w:tcPr>
            <w:tcW w:w="2318" w:type="dxa"/>
          </w:tcPr>
          <w:p w:rsidR="002A466E" w:rsidRDefault="5875C6AB" w:rsidP="5875C6AB">
            <w:pPr>
              <w:jc w:val="center"/>
              <w:rPr>
                <w:rFonts w:ascii="Arial" w:hAnsi="Arial" w:cs="Arial"/>
                <w:sz w:val="24"/>
                <w:szCs w:val="24"/>
              </w:rPr>
            </w:pPr>
            <w:r w:rsidRPr="5875C6AB">
              <w:rPr>
                <w:rFonts w:ascii="Arial" w:hAnsi="Arial" w:cs="Arial"/>
                <w:sz w:val="24"/>
                <w:szCs w:val="24"/>
              </w:rPr>
              <w:t>£650</w:t>
            </w:r>
          </w:p>
        </w:tc>
      </w:tr>
      <w:tr w:rsidR="002A466E" w:rsidTr="34D320E9">
        <w:tc>
          <w:tcPr>
            <w:tcW w:w="2062" w:type="dxa"/>
          </w:tcPr>
          <w:p w:rsidR="002A466E" w:rsidRDefault="5875C6AB" w:rsidP="5875C6AB">
            <w:pPr>
              <w:rPr>
                <w:rFonts w:ascii="Arial" w:hAnsi="Arial" w:cs="Arial"/>
                <w:sz w:val="24"/>
                <w:szCs w:val="24"/>
              </w:rPr>
            </w:pPr>
            <w:r w:rsidRPr="5875C6AB">
              <w:rPr>
                <w:rFonts w:ascii="Arial" w:hAnsi="Arial" w:cs="Arial"/>
                <w:sz w:val="24"/>
                <w:szCs w:val="24"/>
              </w:rPr>
              <w:t>Points Awarded</w:t>
            </w:r>
          </w:p>
        </w:tc>
        <w:tc>
          <w:tcPr>
            <w:tcW w:w="2318" w:type="dxa"/>
          </w:tcPr>
          <w:p w:rsidR="002A466E" w:rsidRDefault="67F86581" w:rsidP="67F86581">
            <w:pPr>
              <w:jc w:val="center"/>
              <w:rPr>
                <w:rFonts w:ascii="Arial" w:hAnsi="Arial" w:cs="Arial"/>
                <w:sz w:val="24"/>
                <w:szCs w:val="24"/>
              </w:rPr>
            </w:pPr>
            <w:r w:rsidRPr="67F86581">
              <w:rPr>
                <w:rFonts w:ascii="Arial" w:hAnsi="Arial" w:cs="Arial"/>
                <w:sz w:val="24"/>
                <w:szCs w:val="24"/>
              </w:rPr>
              <w:t>400</w:t>
            </w:r>
          </w:p>
        </w:tc>
        <w:tc>
          <w:tcPr>
            <w:tcW w:w="2318" w:type="dxa"/>
          </w:tcPr>
          <w:p w:rsidR="002A466E" w:rsidRDefault="67F86581" w:rsidP="67F86581">
            <w:pPr>
              <w:spacing w:after="160" w:line="259" w:lineRule="auto"/>
              <w:jc w:val="center"/>
              <w:rPr>
                <w:rFonts w:ascii="Arial" w:hAnsi="Arial" w:cs="Arial"/>
                <w:sz w:val="24"/>
                <w:szCs w:val="24"/>
              </w:rPr>
            </w:pPr>
            <w:r w:rsidRPr="67F86581">
              <w:rPr>
                <w:rFonts w:ascii="Arial" w:hAnsi="Arial" w:cs="Arial"/>
                <w:sz w:val="24"/>
                <w:szCs w:val="24"/>
              </w:rPr>
              <w:t>340</w:t>
            </w:r>
          </w:p>
        </w:tc>
        <w:tc>
          <w:tcPr>
            <w:tcW w:w="2318" w:type="dxa"/>
          </w:tcPr>
          <w:p w:rsidR="002A466E" w:rsidRDefault="67F86581" w:rsidP="67F86581">
            <w:pPr>
              <w:jc w:val="center"/>
              <w:rPr>
                <w:rFonts w:ascii="Arial" w:hAnsi="Arial" w:cs="Arial"/>
                <w:sz w:val="24"/>
                <w:szCs w:val="24"/>
              </w:rPr>
            </w:pPr>
            <w:r w:rsidRPr="67F86581">
              <w:rPr>
                <w:rFonts w:ascii="Arial" w:hAnsi="Arial" w:cs="Arial"/>
                <w:sz w:val="24"/>
                <w:szCs w:val="24"/>
              </w:rPr>
              <w:t>280</w:t>
            </w:r>
          </w:p>
        </w:tc>
      </w:tr>
      <w:tr w:rsidR="000858E3" w:rsidTr="34D320E9">
        <w:tc>
          <w:tcPr>
            <w:tcW w:w="2062" w:type="dxa"/>
          </w:tcPr>
          <w:p w:rsidR="000858E3" w:rsidRDefault="000858E3" w:rsidP="002947B4">
            <w:pPr>
              <w:rPr>
                <w:rFonts w:ascii="Arial" w:hAnsi="Arial" w:cs="Arial"/>
                <w:sz w:val="24"/>
                <w:szCs w:val="24"/>
              </w:rPr>
            </w:pPr>
          </w:p>
        </w:tc>
        <w:tc>
          <w:tcPr>
            <w:tcW w:w="2318" w:type="dxa"/>
          </w:tcPr>
          <w:p w:rsidR="000858E3" w:rsidRDefault="000858E3" w:rsidP="002A466E">
            <w:pPr>
              <w:jc w:val="center"/>
              <w:rPr>
                <w:rFonts w:ascii="Arial" w:hAnsi="Arial" w:cs="Arial"/>
                <w:sz w:val="24"/>
                <w:szCs w:val="24"/>
              </w:rPr>
            </w:pPr>
          </w:p>
        </w:tc>
        <w:tc>
          <w:tcPr>
            <w:tcW w:w="2318" w:type="dxa"/>
          </w:tcPr>
          <w:p w:rsidR="000858E3" w:rsidRDefault="000858E3" w:rsidP="002A466E">
            <w:pPr>
              <w:jc w:val="center"/>
              <w:rPr>
                <w:rFonts w:ascii="Arial" w:hAnsi="Arial" w:cs="Arial"/>
                <w:sz w:val="24"/>
                <w:szCs w:val="24"/>
              </w:rPr>
            </w:pPr>
          </w:p>
        </w:tc>
        <w:tc>
          <w:tcPr>
            <w:tcW w:w="2318" w:type="dxa"/>
          </w:tcPr>
          <w:p w:rsidR="000858E3" w:rsidRDefault="000858E3" w:rsidP="002A466E">
            <w:pPr>
              <w:jc w:val="center"/>
              <w:rPr>
                <w:rFonts w:ascii="Arial" w:hAnsi="Arial" w:cs="Arial"/>
                <w:sz w:val="24"/>
                <w:szCs w:val="24"/>
              </w:rPr>
            </w:pPr>
          </w:p>
        </w:tc>
      </w:tr>
      <w:tr w:rsidR="002A466E" w:rsidTr="34D320E9">
        <w:tc>
          <w:tcPr>
            <w:tcW w:w="2062" w:type="dxa"/>
          </w:tcPr>
          <w:p w:rsidR="002A466E" w:rsidRDefault="5875C6AB" w:rsidP="5875C6AB">
            <w:pPr>
              <w:rPr>
                <w:rFonts w:ascii="Arial" w:hAnsi="Arial" w:cs="Arial"/>
                <w:sz w:val="24"/>
                <w:szCs w:val="24"/>
              </w:rPr>
            </w:pPr>
            <w:r w:rsidRPr="5875C6AB">
              <w:rPr>
                <w:rFonts w:ascii="Arial" w:hAnsi="Arial" w:cs="Arial"/>
                <w:sz w:val="24"/>
                <w:szCs w:val="24"/>
              </w:rPr>
              <w:t>Calculation</w:t>
            </w:r>
          </w:p>
        </w:tc>
        <w:tc>
          <w:tcPr>
            <w:tcW w:w="2318" w:type="dxa"/>
          </w:tcPr>
          <w:p w:rsidR="002A466E" w:rsidRDefault="5875C6AB" w:rsidP="5875C6AB">
            <w:pPr>
              <w:jc w:val="center"/>
              <w:rPr>
                <w:rFonts w:ascii="Arial" w:hAnsi="Arial" w:cs="Arial"/>
                <w:sz w:val="24"/>
                <w:szCs w:val="24"/>
              </w:rPr>
            </w:pPr>
            <w:r w:rsidRPr="5875C6AB">
              <w:rPr>
                <w:rFonts w:ascii="Arial" w:hAnsi="Arial" w:cs="Arial"/>
                <w:sz w:val="24"/>
                <w:szCs w:val="24"/>
              </w:rPr>
              <w:t>None as lowest bid = 400</w:t>
            </w:r>
          </w:p>
        </w:tc>
        <w:tc>
          <w:tcPr>
            <w:tcW w:w="2318" w:type="dxa"/>
          </w:tcPr>
          <w:p w:rsidR="002A466E" w:rsidRDefault="5875C6AB" w:rsidP="5875C6AB">
            <w:pPr>
              <w:jc w:val="center"/>
              <w:rPr>
                <w:rFonts w:ascii="Arial" w:hAnsi="Arial" w:cs="Arial"/>
                <w:sz w:val="24"/>
                <w:szCs w:val="24"/>
              </w:rPr>
            </w:pPr>
            <w:r w:rsidRPr="5875C6AB">
              <w:rPr>
                <w:rFonts w:ascii="Arial" w:hAnsi="Arial" w:cs="Arial"/>
                <w:sz w:val="24"/>
                <w:szCs w:val="24"/>
              </w:rPr>
              <w:t>575 – 500 = 75</w:t>
            </w:r>
          </w:p>
          <w:p w:rsidR="000858E3" w:rsidRDefault="5875C6AB" w:rsidP="5875C6AB">
            <w:pPr>
              <w:jc w:val="center"/>
              <w:rPr>
                <w:rFonts w:ascii="Arial" w:hAnsi="Arial" w:cs="Arial"/>
                <w:sz w:val="24"/>
                <w:szCs w:val="24"/>
              </w:rPr>
            </w:pPr>
            <w:r w:rsidRPr="5875C6AB">
              <w:rPr>
                <w:rFonts w:ascii="Arial" w:hAnsi="Arial" w:cs="Arial"/>
                <w:sz w:val="24"/>
                <w:szCs w:val="24"/>
              </w:rPr>
              <w:t>75 / 500 = 0.15</w:t>
            </w:r>
          </w:p>
          <w:p w:rsidR="000858E3" w:rsidRDefault="5875C6AB" w:rsidP="5875C6AB">
            <w:pPr>
              <w:jc w:val="center"/>
              <w:rPr>
                <w:rFonts w:ascii="Arial" w:hAnsi="Arial" w:cs="Arial"/>
                <w:sz w:val="24"/>
                <w:szCs w:val="24"/>
              </w:rPr>
            </w:pPr>
            <w:r w:rsidRPr="5875C6AB">
              <w:rPr>
                <w:rFonts w:ascii="Arial" w:hAnsi="Arial" w:cs="Arial"/>
                <w:sz w:val="24"/>
                <w:szCs w:val="24"/>
              </w:rPr>
              <w:t>1 – 0.15 = 0.85</w:t>
            </w:r>
          </w:p>
          <w:p w:rsidR="000858E3" w:rsidRDefault="5875C6AB" w:rsidP="5875C6AB">
            <w:pPr>
              <w:jc w:val="center"/>
              <w:rPr>
                <w:rFonts w:ascii="Arial" w:hAnsi="Arial" w:cs="Arial"/>
                <w:sz w:val="24"/>
                <w:szCs w:val="24"/>
              </w:rPr>
            </w:pPr>
            <w:r w:rsidRPr="5875C6AB">
              <w:rPr>
                <w:rFonts w:ascii="Arial" w:hAnsi="Arial" w:cs="Arial"/>
                <w:sz w:val="24"/>
                <w:szCs w:val="24"/>
              </w:rPr>
              <w:t>400 x 0.85 = 340</w:t>
            </w:r>
          </w:p>
        </w:tc>
        <w:tc>
          <w:tcPr>
            <w:tcW w:w="2318" w:type="dxa"/>
          </w:tcPr>
          <w:p w:rsidR="002A466E" w:rsidRDefault="5875C6AB" w:rsidP="5875C6AB">
            <w:pPr>
              <w:jc w:val="center"/>
              <w:rPr>
                <w:rFonts w:ascii="Arial" w:hAnsi="Arial" w:cs="Arial"/>
                <w:sz w:val="24"/>
                <w:szCs w:val="24"/>
              </w:rPr>
            </w:pPr>
            <w:r w:rsidRPr="5875C6AB">
              <w:rPr>
                <w:rFonts w:ascii="Arial" w:hAnsi="Arial" w:cs="Arial"/>
                <w:sz w:val="24"/>
                <w:szCs w:val="24"/>
              </w:rPr>
              <w:t>650 – 500 = 150</w:t>
            </w:r>
          </w:p>
          <w:p w:rsidR="000858E3" w:rsidRDefault="5875C6AB" w:rsidP="5875C6AB">
            <w:pPr>
              <w:jc w:val="center"/>
              <w:rPr>
                <w:rFonts w:ascii="Arial" w:hAnsi="Arial" w:cs="Arial"/>
                <w:sz w:val="24"/>
                <w:szCs w:val="24"/>
              </w:rPr>
            </w:pPr>
            <w:r w:rsidRPr="5875C6AB">
              <w:rPr>
                <w:rFonts w:ascii="Arial" w:hAnsi="Arial" w:cs="Arial"/>
                <w:sz w:val="24"/>
                <w:szCs w:val="24"/>
              </w:rPr>
              <w:t>150 / 500 = 0.3</w:t>
            </w:r>
          </w:p>
          <w:p w:rsidR="000858E3" w:rsidRDefault="5875C6AB" w:rsidP="5875C6AB">
            <w:pPr>
              <w:jc w:val="center"/>
              <w:rPr>
                <w:rFonts w:ascii="Arial" w:hAnsi="Arial" w:cs="Arial"/>
                <w:sz w:val="24"/>
                <w:szCs w:val="24"/>
              </w:rPr>
            </w:pPr>
            <w:r w:rsidRPr="5875C6AB">
              <w:rPr>
                <w:rFonts w:ascii="Arial" w:hAnsi="Arial" w:cs="Arial"/>
                <w:sz w:val="24"/>
                <w:szCs w:val="24"/>
              </w:rPr>
              <w:t>1 – 0.3 = 0.7</w:t>
            </w:r>
          </w:p>
          <w:p w:rsidR="000858E3" w:rsidRDefault="5875C6AB" w:rsidP="5875C6AB">
            <w:pPr>
              <w:jc w:val="center"/>
              <w:rPr>
                <w:rFonts w:ascii="Arial" w:hAnsi="Arial" w:cs="Arial"/>
                <w:sz w:val="24"/>
                <w:szCs w:val="24"/>
              </w:rPr>
            </w:pPr>
            <w:r w:rsidRPr="5875C6AB">
              <w:rPr>
                <w:rFonts w:ascii="Arial" w:hAnsi="Arial" w:cs="Arial"/>
                <w:sz w:val="24"/>
                <w:szCs w:val="24"/>
              </w:rPr>
              <w:t>400 x 0.7 = 280</w:t>
            </w:r>
          </w:p>
        </w:tc>
      </w:tr>
    </w:tbl>
    <w:p w:rsidR="00422FE2" w:rsidRPr="00422FE2" w:rsidRDefault="00422FE2" w:rsidP="52A3A177">
      <w:pPr>
        <w:rPr>
          <w:rFonts w:ascii="Arial" w:hAnsi="Arial" w:cs="Arial"/>
          <w:sz w:val="24"/>
          <w:szCs w:val="24"/>
        </w:rPr>
      </w:pPr>
    </w:p>
    <w:sectPr w:rsidR="00422FE2" w:rsidRPr="00422FE2" w:rsidSect="00EA5E61">
      <w:headerReference w:type="default"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626EAB" w16cid:durableId="1E144E9D"/>
  <w16cid:commentId w16cid:paraId="0AE7A56E" w16cid:durableId="1E144E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CDF" w:rsidRDefault="005F4CDF" w:rsidP="00920DBE">
      <w:pPr>
        <w:spacing w:after="0" w:line="240" w:lineRule="auto"/>
      </w:pPr>
      <w:r>
        <w:separator/>
      </w:r>
    </w:p>
  </w:endnote>
  <w:endnote w:type="continuationSeparator" w:id="0">
    <w:p w:rsidR="005F4CDF" w:rsidRDefault="005F4CDF" w:rsidP="0092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032331"/>
      <w:docPartObj>
        <w:docPartGallery w:val="Page Numbers (Bottom of Page)"/>
        <w:docPartUnique/>
      </w:docPartObj>
    </w:sdtPr>
    <w:sdtEndPr>
      <w:rPr>
        <w:noProof/>
      </w:rPr>
    </w:sdtEndPr>
    <w:sdtContent>
      <w:p w:rsidR="00152827" w:rsidRDefault="00152827">
        <w:pPr>
          <w:pStyle w:val="Footer"/>
          <w:jc w:val="center"/>
        </w:pPr>
        <w:r>
          <w:rPr>
            <w:noProof/>
            <w:lang w:eastAsia="en-GB"/>
          </w:rPr>
          <mc:AlternateContent>
            <mc:Choice Requires="wps">
              <w:drawing>
                <wp:inline distT="0" distB="0" distL="0" distR="0" wp14:anchorId="2EC0B7EC" wp14:editId="325C9A86">
                  <wp:extent cx="5467350" cy="45085"/>
                  <wp:effectExtent l="0" t="9525" r="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57AADFC"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SsTPZ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rsidR="00152827" w:rsidRDefault="00152827">
        <w:pPr>
          <w:pStyle w:val="Footer"/>
          <w:jc w:val="center"/>
        </w:pPr>
        <w:r>
          <w:fldChar w:fldCharType="begin"/>
        </w:r>
        <w:r>
          <w:instrText xml:space="preserve"> PAGE    \* MERGEFORMAT </w:instrText>
        </w:r>
        <w:r>
          <w:fldChar w:fldCharType="separate"/>
        </w:r>
        <w:r w:rsidR="006C2199">
          <w:rPr>
            <w:noProof/>
          </w:rPr>
          <w:t>1</w:t>
        </w:r>
        <w:r>
          <w:rPr>
            <w:noProof/>
          </w:rPr>
          <w:fldChar w:fldCharType="end"/>
        </w:r>
      </w:p>
    </w:sdtContent>
  </w:sdt>
  <w:p w:rsidR="00152827" w:rsidRDefault="0015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911518"/>
      <w:docPartObj>
        <w:docPartGallery w:val="Page Numbers (Bottom of Page)"/>
        <w:docPartUnique/>
      </w:docPartObj>
    </w:sdtPr>
    <w:sdtEndPr>
      <w:rPr>
        <w:color w:val="7F7F7F" w:themeColor="background1" w:themeShade="7F"/>
        <w:spacing w:val="60"/>
      </w:rPr>
    </w:sdtEndPr>
    <w:sdtContent>
      <w:p w:rsidR="00152827" w:rsidRDefault="00152827" w:rsidP="2DFFA557">
        <w:pPr>
          <w:pStyle w:val="Footer"/>
          <w:pBdr>
            <w:top w:val="single" w:sz="4" w:space="1" w:color="D9D9D9" w:themeColor="background1" w:themeShade="D9"/>
          </w:pBdr>
          <w:rPr>
            <w:b/>
            <w:bCs/>
          </w:rPr>
        </w:pPr>
        <w:r>
          <w:rPr>
            <w:b/>
            <w:bCs/>
            <w:noProof/>
          </w:rPr>
          <w:fldChar w:fldCharType="begin"/>
        </w:r>
        <w:r>
          <w:instrText xml:space="preserve"> PAGE   \* MERGEFORMAT </w:instrText>
        </w:r>
        <w:r>
          <w:fldChar w:fldCharType="separate"/>
        </w:r>
        <w:r w:rsidRPr="00152827">
          <w:rPr>
            <w:b/>
            <w:bCs/>
            <w:noProof/>
          </w:rPr>
          <w:t>1</w:t>
        </w:r>
        <w:r>
          <w:rPr>
            <w:b/>
            <w:bCs/>
            <w:noProof/>
          </w:rPr>
          <w:fldChar w:fldCharType="end"/>
        </w:r>
        <w:r>
          <w:rPr>
            <w:b/>
            <w:bCs/>
          </w:rPr>
          <w:t xml:space="preserve"> | </w:t>
        </w:r>
        <w:r>
          <w:rPr>
            <w:color w:val="7F7F7F" w:themeColor="background1" w:themeShade="7F"/>
            <w:spacing w:val="60"/>
          </w:rPr>
          <w:t>Page</w:t>
        </w:r>
      </w:p>
    </w:sdtContent>
  </w:sdt>
  <w:p w:rsidR="00152827" w:rsidRDefault="00152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CDF" w:rsidRDefault="005F4CDF" w:rsidP="00920DBE">
      <w:pPr>
        <w:spacing w:after="0" w:line="240" w:lineRule="auto"/>
      </w:pPr>
      <w:r>
        <w:separator/>
      </w:r>
    </w:p>
  </w:footnote>
  <w:footnote w:type="continuationSeparator" w:id="0">
    <w:p w:rsidR="005F4CDF" w:rsidRDefault="005F4CDF" w:rsidP="00920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827" w:rsidRPr="00152827" w:rsidRDefault="00152827" w:rsidP="00152827">
    <w:pPr>
      <w:pStyle w:val="Header"/>
    </w:pPr>
    <w:r>
      <w:rPr>
        <w:noProof/>
        <w:lang w:eastAsia="en-GB"/>
      </w:rPr>
      <w:drawing>
        <wp:inline distT="0" distB="0" distL="0" distR="0" wp14:anchorId="7ECFBD11" wp14:editId="02952533">
          <wp:extent cx="5731510" cy="48196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T 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48196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DBE" w:rsidRDefault="00152827">
    <w:pPr>
      <w:pStyle w:val="Header"/>
    </w:pPr>
    <w:r>
      <w:rPr>
        <w:noProof/>
        <w:lang w:eastAsia="en-GB"/>
      </w:rPr>
      <w:drawing>
        <wp:inline distT="0" distB="0" distL="0" distR="0" wp14:anchorId="25A0E398" wp14:editId="2847FAB0">
          <wp:extent cx="5731510" cy="4819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T 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481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5601"/>
    <w:multiLevelType w:val="hybridMultilevel"/>
    <w:tmpl w:val="5E4E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00874"/>
    <w:multiLevelType w:val="hybridMultilevel"/>
    <w:tmpl w:val="DFF0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421B5"/>
    <w:multiLevelType w:val="hybridMultilevel"/>
    <w:tmpl w:val="985A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F17A2"/>
    <w:multiLevelType w:val="multilevel"/>
    <w:tmpl w:val="7B8661BE"/>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A000733"/>
    <w:multiLevelType w:val="hybridMultilevel"/>
    <w:tmpl w:val="DF34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3NDQCQhMzC2NjUyUdpeDU4uLM/DyQAiODWgCyi+qqLQAAAA=="/>
  </w:docVars>
  <w:rsids>
    <w:rsidRoot w:val="003C64E7"/>
    <w:rsid w:val="00001E2C"/>
    <w:rsid w:val="00002190"/>
    <w:rsid w:val="00002DD6"/>
    <w:rsid w:val="000100E7"/>
    <w:rsid w:val="000271D4"/>
    <w:rsid w:val="000858E3"/>
    <w:rsid w:val="000975B8"/>
    <w:rsid w:val="000A0843"/>
    <w:rsid w:val="000B2503"/>
    <w:rsid w:val="000B5CDF"/>
    <w:rsid w:val="000C1A01"/>
    <w:rsid w:val="000C6B09"/>
    <w:rsid w:val="000E123A"/>
    <w:rsid w:val="00100AAE"/>
    <w:rsid w:val="00152827"/>
    <w:rsid w:val="00156A79"/>
    <w:rsid w:val="00164BBE"/>
    <w:rsid w:val="00166C63"/>
    <w:rsid w:val="00186266"/>
    <w:rsid w:val="0019310F"/>
    <w:rsid w:val="001C3944"/>
    <w:rsid w:val="001E6902"/>
    <w:rsid w:val="00230ECC"/>
    <w:rsid w:val="0026462C"/>
    <w:rsid w:val="00272BF8"/>
    <w:rsid w:val="00274FFD"/>
    <w:rsid w:val="00287155"/>
    <w:rsid w:val="002947B4"/>
    <w:rsid w:val="002A466E"/>
    <w:rsid w:val="002B612B"/>
    <w:rsid w:val="002C2D7C"/>
    <w:rsid w:val="002C4F74"/>
    <w:rsid w:val="002C72C3"/>
    <w:rsid w:val="0033138E"/>
    <w:rsid w:val="00334AF0"/>
    <w:rsid w:val="00337FB7"/>
    <w:rsid w:val="003457DF"/>
    <w:rsid w:val="003857F8"/>
    <w:rsid w:val="003C08C4"/>
    <w:rsid w:val="003C64E7"/>
    <w:rsid w:val="003E18E1"/>
    <w:rsid w:val="003E5752"/>
    <w:rsid w:val="003F50E1"/>
    <w:rsid w:val="003F64D1"/>
    <w:rsid w:val="00420E76"/>
    <w:rsid w:val="00421668"/>
    <w:rsid w:val="00422FE2"/>
    <w:rsid w:val="00460666"/>
    <w:rsid w:val="0046141D"/>
    <w:rsid w:val="004830CD"/>
    <w:rsid w:val="004866A0"/>
    <w:rsid w:val="00493FFF"/>
    <w:rsid w:val="004B79D6"/>
    <w:rsid w:val="004C57F8"/>
    <w:rsid w:val="004F2C27"/>
    <w:rsid w:val="00511408"/>
    <w:rsid w:val="005122E1"/>
    <w:rsid w:val="005131D1"/>
    <w:rsid w:val="00517F1B"/>
    <w:rsid w:val="005437D6"/>
    <w:rsid w:val="005529DE"/>
    <w:rsid w:val="005612DB"/>
    <w:rsid w:val="00575CD2"/>
    <w:rsid w:val="005857E3"/>
    <w:rsid w:val="00585BDD"/>
    <w:rsid w:val="005A6B2C"/>
    <w:rsid w:val="005D4E0A"/>
    <w:rsid w:val="005D782A"/>
    <w:rsid w:val="005D7F44"/>
    <w:rsid w:val="005F4CDF"/>
    <w:rsid w:val="005F7E76"/>
    <w:rsid w:val="00606277"/>
    <w:rsid w:val="00610696"/>
    <w:rsid w:val="0063312B"/>
    <w:rsid w:val="006407DE"/>
    <w:rsid w:val="006469B5"/>
    <w:rsid w:val="00662B17"/>
    <w:rsid w:val="006658B3"/>
    <w:rsid w:val="006917FE"/>
    <w:rsid w:val="00696FB0"/>
    <w:rsid w:val="006A7F32"/>
    <w:rsid w:val="006C2199"/>
    <w:rsid w:val="006D27F9"/>
    <w:rsid w:val="006F027E"/>
    <w:rsid w:val="006F4534"/>
    <w:rsid w:val="00734663"/>
    <w:rsid w:val="00792C9D"/>
    <w:rsid w:val="007A0D63"/>
    <w:rsid w:val="007B0B6F"/>
    <w:rsid w:val="007D40B6"/>
    <w:rsid w:val="007E7211"/>
    <w:rsid w:val="007F537A"/>
    <w:rsid w:val="00814DF4"/>
    <w:rsid w:val="0082124C"/>
    <w:rsid w:val="00827512"/>
    <w:rsid w:val="008533DE"/>
    <w:rsid w:val="008C0D64"/>
    <w:rsid w:val="008D190E"/>
    <w:rsid w:val="008E2511"/>
    <w:rsid w:val="008E41EA"/>
    <w:rsid w:val="008F018C"/>
    <w:rsid w:val="008F3754"/>
    <w:rsid w:val="008F6A77"/>
    <w:rsid w:val="00920DBE"/>
    <w:rsid w:val="00933D48"/>
    <w:rsid w:val="00967547"/>
    <w:rsid w:val="00971F72"/>
    <w:rsid w:val="009760D0"/>
    <w:rsid w:val="00983DA6"/>
    <w:rsid w:val="00987EF2"/>
    <w:rsid w:val="00995E6A"/>
    <w:rsid w:val="009A1C61"/>
    <w:rsid w:val="009B2C92"/>
    <w:rsid w:val="009B4245"/>
    <w:rsid w:val="009D6102"/>
    <w:rsid w:val="009E7C29"/>
    <w:rsid w:val="009F0538"/>
    <w:rsid w:val="009F53F5"/>
    <w:rsid w:val="00A03E91"/>
    <w:rsid w:val="00A16EA7"/>
    <w:rsid w:val="00A23D92"/>
    <w:rsid w:val="00A50590"/>
    <w:rsid w:val="00A53C33"/>
    <w:rsid w:val="00A6608C"/>
    <w:rsid w:val="00A732B7"/>
    <w:rsid w:val="00A86476"/>
    <w:rsid w:val="00A87336"/>
    <w:rsid w:val="00B056E0"/>
    <w:rsid w:val="00B11993"/>
    <w:rsid w:val="00B210C8"/>
    <w:rsid w:val="00B3230A"/>
    <w:rsid w:val="00B518BB"/>
    <w:rsid w:val="00B543C2"/>
    <w:rsid w:val="00B5576F"/>
    <w:rsid w:val="00B60D72"/>
    <w:rsid w:val="00B651A3"/>
    <w:rsid w:val="00B71054"/>
    <w:rsid w:val="00B8443E"/>
    <w:rsid w:val="00B86F41"/>
    <w:rsid w:val="00BC537F"/>
    <w:rsid w:val="00BD4A9C"/>
    <w:rsid w:val="00BD53AB"/>
    <w:rsid w:val="00BE01C5"/>
    <w:rsid w:val="00BF177D"/>
    <w:rsid w:val="00BF3E8D"/>
    <w:rsid w:val="00C05848"/>
    <w:rsid w:val="00C1263B"/>
    <w:rsid w:val="00C159A8"/>
    <w:rsid w:val="00C20275"/>
    <w:rsid w:val="00C727D2"/>
    <w:rsid w:val="00C85B8F"/>
    <w:rsid w:val="00C93AC9"/>
    <w:rsid w:val="00C94E65"/>
    <w:rsid w:val="00CA739D"/>
    <w:rsid w:val="00CB45BE"/>
    <w:rsid w:val="00CC3F39"/>
    <w:rsid w:val="00CC576F"/>
    <w:rsid w:val="00CD03A1"/>
    <w:rsid w:val="00CE32AF"/>
    <w:rsid w:val="00CE4056"/>
    <w:rsid w:val="00CF56A4"/>
    <w:rsid w:val="00CF5863"/>
    <w:rsid w:val="00D14312"/>
    <w:rsid w:val="00D1554B"/>
    <w:rsid w:val="00D17531"/>
    <w:rsid w:val="00D217B0"/>
    <w:rsid w:val="00D84982"/>
    <w:rsid w:val="00D92C1B"/>
    <w:rsid w:val="00DB0843"/>
    <w:rsid w:val="00DB1329"/>
    <w:rsid w:val="00DB1405"/>
    <w:rsid w:val="00DC1717"/>
    <w:rsid w:val="00DD082C"/>
    <w:rsid w:val="00DD3ACD"/>
    <w:rsid w:val="00DD4D3F"/>
    <w:rsid w:val="00DF3476"/>
    <w:rsid w:val="00E01418"/>
    <w:rsid w:val="00E042DE"/>
    <w:rsid w:val="00E111D0"/>
    <w:rsid w:val="00E354E8"/>
    <w:rsid w:val="00E631C2"/>
    <w:rsid w:val="00EA216F"/>
    <w:rsid w:val="00EA5E61"/>
    <w:rsid w:val="00EC0CC3"/>
    <w:rsid w:val="00EF0D8B"/>
    <w:rsid w:val="00EF3B64"/>
    <w:rsid w:val="00EF5B2E"/>
    <w:rsid w:val="00EF6875"/>
    <w:rsid w:val="00F162ED"/>
    <w:rsid w:val="00F3041E"/>
    <w:rsid w:val="00F816C3"/>
    <w:rsid w:val="00F81B2D"/>
    <w:rsid w:val="00F90E43"/>
    <w:rsid w:val="00F9152F"/>
    <w:rsid w:val="00F94A3B"/>
    <w:rsid w:val="00FA1362"/>
    <w:rsid w:val="00FA3D85"/>
    <w:rsid w:val="00FA5606"/>
    <w:rsid w:val="00FB48B6"/>
    <w:rsid w:val="00FC5E80"/>
    <w:rsid w:val="00FE2ACE"/>
    <w:rsid w:val="00FF58C5"/>
    <w:rsid w:val="03184975"/>
    <w:rsid w:val="03D4E6AC"/>
    <w:rsid w:val="2DFFA557"/>
    <w:rsid w:val="31BC555B"/>
    <w:rsid w:val="34D320E9"/>
    <w:rsid w:val="3EEEB320"/>
    <w:rsid w:val="48D4937C"/>
    <w:rsid w:val="52A3A177"/>
    <w:rsid w:val="5875C6AB"/>
    <w:rsid w:val="59ED8386"/>
    <w:rsid w:val="64B66A61"/>
    <w:rsid w:val="67F86581"/>
    <w:rsid w:val="68234450"/>
    <w:rsid w:val="69D6209B"/>
    <w:rsid w:val="730F2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15E84"/>
  <w15:chartTrackingRefBased/>
  <w15:docId w15:val="{83C134EB-9D85-4628-B8BB-E49BF68C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64E7"/>
    <w:pPr>
      <w:keepNext/>
      <w:keepLines/>
      <w:spacing w:before="240" w:after="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4E7"/>
    <w:rPr>
      <w:rFonts w:ascii="Arial" w:eastAsiaTheme="majorEastAsia" w:hAnsi="Arial" w:cstheme="majorBidi"/>
      <w:b/>
      <w:sz w:val="24"/>
      <w:szCs w:val="32"/>
    </w:rPr>
  </w:style>
  <w:style w:type="paragraph" w:styleId="ListParagraph">
    <w:name w:val="List Paragraph"/>
    <w:basedOn w:val="Normal"/>
    <w:uiPriority w:val="34"/>
    <w:qFormat/>
    <w:rsid w:val="00F162ED"/>
    <w:pPr>
      <w:ind w:left="720"/>
      <w:contextualSpacing/>
    </w:pPr>
  </w:style>
  <w:style w:type="table" w:styleId="TableGrid">
    <w:name w:val="Table Grid"/>
    <w:basedOn w:val="TableNormal"/>
    <w:uiPriority w:val="59"/>
    <w:rsid w:val="00421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476"/>
    <w:rPr>
      <w:sz w:val="16"/>
      <w:szCs w:val="16"/>
    </w:rPr>
  </w:style>
  <w:style w:type="paragraph" w:styleId="CommentText">
    <w:name w:val="annotation text"/>
    <w:basedOn w:val="Normal"/>
    <w:link w:val="CommentTextChar"/>
    <w:uiPriority w:val="99"/>
    <w:semiHidden/>
    <w:unhideWhenUsed/>
    <w:rsid w:val="00A86476"/>
    <w:pPr>
      <w:spacing w:line="240" w:lineRule="auto"/>
    </w:pPr>
    <w:rPr>
      <w:sz w:val="20"/>
      <w:szCs w:val="20"/>
    </w:rPr>
  </w:style>
  <w:style w:type="character" w:customStyle="1" w:styleId="CommentTextChar">
    <w:name w:val="Comment Text Char"/>
    <w:basedOn w:val="DefaultParagraphFont"/>
    <w:link w:val="CommentText"/>
    <w:uiPriority w:val="99"/>
    <w:semiHidden/>
    <w:rsid w:val="00A86476"/>
    <w:rPr>
      <w:sz w:val="20"/>
      <w:szCs w:val="20"/>
    </w:rPr>
  </w:style>
  <w:style w:type="paragraph" w:styleId="CommentSubject">
    <w:name w:val="annotation subject"/>
    <w:basedOn w:val="CommentText"/>
    <w:next w:val="CommentText"/>
    <w:link w:val="CommentSubjectChar"/>
    <w:uiPriority w:val="99"/>
    <w:semiHidden/>
    <w:unhideWhenUsed/>
    <w:rsid w:val="00A86476"/>
    <w:rPr>
      <w:b/>
      <w:bCs/>
    </w:rPr>
  </w:style>
  <w:style w:type="character" w:customStyle="1" w:styleId="CommentSubjectChar">
    <w:name w:val="Comment Subject Char"/>
    <w:basedOn w:val="CommentTextChar"/>
    <w:link w:val="CommentSubject"/>
    <w:uiPriority w:val="99"/>
    <w:semiHidden/>
    <w:rsid w:val="00A86476"/>
    <w:rPr>
      <w:b/>
      <w:bCs/>
      <w:sz w:val="20"/>
      <w:szCs w:val="20"/>
    </w:rPr>
  </w:style>
  <w:style w:type="paragraph" w:styleId="BalloonText">
    <w:name w:val="Balloon Text"/>
    <w:basedOn w:val="Normal"/>
    <w:link w:val="BalloonTextChar"/>
    <w:uiPriority w:val="99"/>
    <w:semiHidden/>
    <w:unhideWhenUsed/>
    <w:rsid w:val="00A86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476"/>
    <w:rPr>
      <w:rFonts w:ascii="Segoe UI" w:hAnsi="Segoe UI" w:cs="Segoe UI"/>
      <w:sz w:val="18"/>
      <w:szCs w:val="18"/>
    </w:rPr>
  </w:style>
  <w:style w:type="paragraph" w:styleId="Header">
    <w:name w:val="header"/>
    <w:basedOn w:val="Normal"/>
    <w:link w:val="HeaderChar"/>
    <w:uiPriority w:val="99"/>
    <w:unhideWhenUsed/>
    <w:rsid w:val="00920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DBE"/>
  </w:style>
  <w:style w:type="paragraph" w:styleId="Footer">
    <w:name w:val="footer"/>
    <w:basedOn w:val="Normal"/>
    <w:link w:val="FooterChar"/>
    <w:uiPriority w:val="99"/>
    <w:unhideWhenUsed/>
    <w:rsid w:val="00920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C75FE1"/>
    <w:rsid w:val="00C75FE1"/>
    <w:rsid w:val="00F3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770B4-01D3-4D92-8D76-C8791F04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Butler,Andrew</dc:creator>
  <cp:keywords/>
  <dc:description/>
  <cp:lastModifiedBy>Andrew McAllister</cp:lastModifiedBy>
  <cp:revision>17</cp:revision>
  <dcterms:created xsi:type="dcterms:W3CDTF">2018-01-31T12:01:00Z</dcterms:created>
  <dcterms:modified xsi:type="dcterms:W3CDTF">2020-01-20T10:54:00Z</dcterms:modified>
</cp:coreProperties>
</file>