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0736" w14:textId="77777777" w:rsidR="001A236D" w:rsidRPr="00486E0D" w:rsidRDefault="001A236D" w:rsidP="001A236D">
      <w:pPr>
        <w:pStyle w:val="Header"/>
        <w:tabs>
          <w:tab w:val="clear" w:pos="4320"/>
          <w:tab w:val="clear" w:pos="8640"/>
        </w:tabs>
        <w:ind w:right="-1156"/>
        <w:jc w:val="right"/>
        <w:rPr>
          <w:rFonts w:ascii="Arial" w:eastAsia="Times New Roman" w:hAnsi="Arial"/>
        </w:rPr>
      </w:pPr>
    </w:p>
    <w:p w14:paraId="201D91BD" w14:textId="77777777" w:rsidR="001A236D" w:rsidRDefault="001A236D" w:rsidP="001A236D">
      <w:pPr>
        <w:pStyle w:val="Header"/>
        <w:tabs>
          <w:tab w:val="clear" w:pos="4320"/>
          <w:tab w:val="clear" w:pos="8640"/>
        </w:tabs>
        <w:ind w:right="-1156"/>
        <w:jc w:val="right"/>
        <w:rPr>
          <w:rFonts w:ascii="Arial" w:eastAsia="Times New Roman" w:hAnsi="Arial"/>
        </w:rPr>
      </w:pPr>
    </w:p>
    <w:p w14:paraId="296CC173" w14:textId="77777777" w:rsidR="001A236D" w:rsidRDefault="001A236D" w:rsidP="001A236D">
      <w:pPr>
        <w:jc w:val="right"/>
      </w:pPr>
    </w:p>
    <w:p w14:paraId="2960251C" w14:textId="77777777" w:rsidR="001A236D" w:rsidRPr="00B823DD" w:rsidRDefault="001A236D" w:rsidP="001A236D"/>
    <w:p w14:paraId="687C5FC9" w14:textId="77777777" w:rsidR="001A236D" w:rsidRPr="00B823DD" w:rsidRDefault="003049E0" w:rsidP="001A236D">
      <w:r>
        <w:rPr>
          <w:noProof/>
          <w:sz w:val="20"/>
          <w:lang w:eastAsia="en-GB"/>
        </w:rPr>
        <mc:AlternateContent>
          <mc:Choice Requires="wps">
            <w:drawing>
              <wp:anchor distT="0" distB="0" distL="114300" distR="114300" simplePos="0" relativeHeight="251656704" behindDoc="0" locked="0" layoutInCell="1" allowOverlap="1" wp14:anchorId="12EA3BF3" wp14:editId="3F0AA28F">
                <wp:simplePos x="0" y="0"/>
                <wp:positionH relativeFrom="margin">
                  <wp:align>center</wp:align>
                </wp:positionH>
                <wp:positionV relativeFrom="paragraph">
                  <wp:posOffset>50686</wp:posOffset>
                </wp:positionV>
                <wp:extent cx="5486400" cy="8001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85166" w14:textId="77777777" w:rsidR="00F15D1E" w:rsidRPr="00556954" w:rsidRDefault="00F15D1E" w:rsidP="001A236D">
                            <w:pPr>
                              <w:pStyle w:val="BodyText"/>
                              <w:jc w:val="center"/>
                              <w:rPr>
                                <w:color w:val="000000"/>
                                <w:sz w:val="72"/>
                                <w:szCs w:val="72"/>
                              </w:rPr>
                            </w:pPr>
                            <w:r w:rsidRPr="00556954">
                              <w:rPr>
                                <w:color w:val="000000"/>
                                <w:sz w:val="72"/>
                                <w:szCs w:val="72"/>
                              </w:rPr>
                              <w:t>Specification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12EA3BF3" id="_x0000_t202" coordsize="21600,21600" o:spt="202" path="m,l,21600r21600,l21600,xe">
                <v:stroke joinstyle="miter"/>
                <v:path gradientshapeok="t" o:connecttype="rect"/>
              </v:shapetype>
              <v:shape id="Text Box 11" o:spid="_x0000_s1026" type="#_x0000_t202" style="position:absolute;margin-left:0;margin-top:4pt;width:6in;height:63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" filled="f" stroked="f">
                <v:textbox inset=",0,,0">
                  <w:txbxContent>
                    <w:p w14:paraId="65B85166" w14:textId="77777777" w:rsidR="00F15D1E" w:rsidRPr="00556954" w:rsidRDefault="00F15D1E" w:rsidP="001A236D">
                      <w:pPr>
                        <w:pStyle w:val="BodyText"/>
                        <w:jc w:val="center"/>
                        <w:rPr>
                          <w:color w:val="000000"/>
                          <w:sz w:val="72"/>
                          <w:szCs w:val="72"/>
                        </w:rPr>
                      </w:pPr>
                      <w:r w:rsidRPr="00556954">
                        <w:rPr>
                          <w:color w:val="000000"/>
                          <w:sz w:val="72"/>
                          <w:szCs w:val="72"/>
                        </w:rPr>
                        <w:t>Specification</w:t>
                      </w:r>
                    </w:p>
                  </w:txbxContent>
                </v:textbox>
                <w10:wrap anchorx="margin"/>
              </v:shape>
            </w:pict>
          </mc:Fallback>
        </mc:AlternateContent>
      </w:r>
    </w:p>
    <w:p w14:paraId="0673A034" w14:textId="77777777" w:rsidR="001A236D" w:rsidRPr="00B823DD" w:rsidRDefault="001A236D" w:rsidP="001A236D"/>
    <w:p w14:paraId="1CD599E0" w14:textId="77777777" w:rsidR="001A236D" w:rsidRPr="00B823DD" w:rsidRDefault="001A236D" w:rsidP="001A236D"/>
    <w:p w14:paraId="497CD594" w14:textId="77777777" w:rsidR="001A236D" w:rsidRPr="00B823DD" w:rsidRDefault="001A236D" w:rsidP="001A236D"/>
    <w:p w14:paraId="551A793D" w14:textId="77777777" w:rsidR="001A236D" w:rsidRPr="00B823DD" w:rsidRDefault="001A236D" w:rsidP="001A236D"/>
    <w:p w14:paraId="73A9F744" w14:textId="77777777" w:rsidR="001A236D" w:rsidRPr="00B823DD" w:rsidRDefault="001A236D" w:rsidP="001A236D"/>
    <w:p w14:paraId="7958EBB7" w14:textId="77777777" w:rsidR="001A236D" w:rsidRDefault="001A236D" w:rsidP="001A236D">
      <w:pPr>
        <w:jc w:val="center"/>
        <w:rPr>
          <w:rFonts w:ascii="Arial Black" w:hAnsi="Arial Black" w:cs="Arial"/>
          <w:sz w:val="40"/>
          <w:szCs w:val="40"/>
        </w:rPr>
      </w:pPr>
    </w:p>
    <w:p w14:paraId="6357B607" w14:textId="73D02F43" w:rsidR="001A236D" w:rsidRDefault="00C60DDA" w:rsidP="001A236D">
      <w:pPr>
        <w:jc w:val="center"/>
        <w:rPr>
          <w:rFonts w:ascii="Arial Black" w:hAnsi="Arial Black" w:cs="Arial"/>
          <w:sz w:val="40"/>
          <w:szCs w:val="40"/>
        </w:rPr>
      </w:pPr>
      <w:r>
        <w:rPr>
          <w:rFonts w:ascii="Arial Black" w:hAnsi="Arial Black" w:cs="Arial"/>
          <w:sz w:val="40"/>
          <w:szCs w:val="40"/>
        </w:rPr>
        <w:t>Provision of Insurance Brokerage</w:t>
      </w:r>
      <w:r w:rsidR="001245E7">
        <w:rPr>
          <w:rFonts w:ascii="Arial Black" w:hAnsi="Arial Black" w:cs="Arial"/>
          <w:sz w:val="40"/>
          <w:szCs w:val="40"/>
        </w:rPr>
        <w:t xml:space="preserve"> </w:t>
      </w:r>
    </w:p>
    <w:p w14:paraId="0C3CE19F" w14:textId="0596090C" w:rsidR="001A236D" w:rsidRPr="00B823DD" w:rsidRDefault="001A236D" w:rsidP="001A236D"/>
    <w:p w14:paraId="16A83734" w14:textId="77777777" w:rsidR="001A236D" w:rsidRPr="00B823DD" w:rsidRDefault="001A236D" w:rsidP="001A236D"/>
    <w:p w14:paraId="4E5A8056" w14:textId="77777777" w:rsidR="001A236D" w:rsidRPr="00B823DD" w:rsidRDefault="001A236D" w:rsidP="001A236D"/>
    <w:p w14:paraId="00FA30CC" w14:textId="77777777" w:rsidR="001A236D" w:rsidRPr="00B823DD" w:rsidRDefault="001A236D" w:rsidP="001A236D"/>
    <w:p w14:paraId="192EB583" w14:textId="77777777" w:rsidR="001A236D" w:rsidRPr="00B823DD" w:rsidRDefault="001A236D" w:rsidP="001A236D"/>
    <w:p w14:paraId="2FF62D4C" w14:textId="77777777" w:rsidR="001A236D" w:rsidRPr="00B823DD" w:rsidRDefault="001A236D" w:rsidP="001A236D"/>
    <w:p w14:paraId="12347F43" w14:textId="77777777" w:rsidR="001A236D" w:rsidRPr="00B823DD" w:rsidRDefault="001A236D" w:rsidP="001A236D"/>
    <w:p w14:paraId="0302E37B" w14:textId="77777777" w:rsidR="001A236D" w:rsidRDefault="001A236D" w:rsidP="001A236D"/>
    <w:p w14:paraId="20DD8F02" w14:textId="77777777" w:rsidR="001A236D" w:rsidRDefault="001A236D" w:rsidP="001A236D"/>
    <w:p w14:paraId="6EC40D17" w14:textId="77777777" w:rsidR="001A236D" w:rsidRDefault="001A236D" w:rsidP="001A236D"/>
    <w:p w14:paraId="72371DE1" w14:textId="77777777" w:rsidR="001A236D" w:rsidRDefault="001A236D" w:rsidP="001A236D"/>
    <w:p w14:paraId="47824656" w14:textId="77777777" w:rsidR="001A236D" w:rsidRPr="00B823DD" w:rsidRDefault="001A236D" w:rsidP="001A236D"/>
    <w:p w14:paraId="6BD125FC" w14:textId="77777777" w:rsidR="001A236D" w:rsidRDefault="001A236D" w:rsidP="001A236D">
      <w:pPr>
        <w:tabs>
          <w:tab w:val="left" w:pos="1380"/>
        </w:tabs>
        <w:jc w:val="both"/>
      </w:pPr>
    </w:p>
    <w:p w14:paraId="51AB1F18" w14:textId="484536CB" w:rsidR="001A236D" w:rsidRDefault="001A236D" w:rsidP="001A236D">
      <w:pPr>
        <w:rPr>
          <w:rFonts w:cs="Arial"/>
          <w:bCs/>
          <w:sz w:val="36"/>
          <w:szCs w:val="36"/>
        </w:rPr>
      </w:pPr>
      <w:r>
        <w:rPr>
          <w:rFonts w:cs="Arial"/>
          <w:b/>
          <w:sz w:val="36"/>
          <w:szCs w:val="36"/>
        </w:rPr>
        <w:t>Contract Reference:</w:t>
      </w:r>
      <w:r w:rsidR="00970909">
        <w:rPr>
          <w:rFonts w:cs="Arial"/>
          <w:b/>
          <w:sz w:val="36"/>
          <w:szCs w:val="36"/>
        </w:rPr>
        <w:t xml:space="preserve"> </w:t>
      </w:r>
      <w:r w:rsidR="00C60DDA">
        <w:rPr>
          <w:rFonts w:cs="Arial"/>
          <w:bCs/>
          <w:sz w:val="36"/>
          <w:szCs w:val="36"/>
        </w:rPr>
        <w:t>PS/</w:t>
      </w:r>
      <w:r w:rsidR="007C4A77">
        <w:rPr>
          <w:rFonts w:cs="Arial"/>
          <w:bCs/>
          <w:sz w:val="36"/>
          <w:szCs w:val="36"/>
        </w:rPr>
        <w:t>24</w:t>
      </w:r>
      <w:r w:rsidR="00C60DDA">
        <w:rPr>
          <w:rFonts w:cs="Arial"/>
          <w:bCs/>
          <w:sz w:val="36"/>
          <w:szCs w:val="36"/>
        </w:rPr>
        <w:t>/</w:t>
      </w:r>
      <w:r w:rsidR="007C4A77">
        <w:rPr>
          <w:rFonts w:cs="Arial"/>
          <w:bCs/>
          <w:sz w:val="36"/>
          <w:szCs w:val="36"/>
        </w:rPr>
        <w:t>13</w:t>
      </w:r>
    </w:p>
    <w:p w14:paraId="4D5B7319" w14:textId="27130A1D" w:rsidR="00EC1385" w:rsidRPr="007C4A77" w:rsidRDefault="00EC1385" w:rsidP="001A236D">
      <w:pPr>
        <w:rPr>
          <w:rFonts w:cs="Arial"/>
          <w:bCs/>
          <w:sz w:val="36"/>
          <w:szCs w:val="36"/>
        </w:rPr>
      </w:pPr>
      <w:r w:rsidRPr="00EC1385">
        <w:rPr>
          <w:rFonts w:cs="Arial"/>
          <w:b/>
          <w:sz w:val="36"/>
          <w:szCs w:val="36"/>
        </w:rPr>
        <w:t xml:space="preserve">Framework Title &amp; Reference: </w:t>
      </w:r>
      <w:bookmarkStart w:id="0" w:name="_Hlk157754695"/>
      <w:r w:rsidR="007C4A77" w:rsidRPr="007C4A77">
        <w:rPr>
          <w:rFonts w:cs="Arial"/>
          <w:bCs/>
          <w:sz w:val="36"/>
          <w:szCs w:val="36"/>
        </w:rPr>
        <w:t>Insurance Related Services 4 (Lot 1)</w:t>
      </w:r>
      <w:r w:rsidR="007C4A77">
        <w:rPr>
          <w:rFonts w:cs="Arial"/>
          <w:bCs/>
          <w:sz w:val="36"/>
          <w:szCs w:val="36"/>
        </w:rPr>
        <w:t xml:space="preserve"> – RM6323</w:t>
      </w:r>
      <w:bookmarkEnd w:id="0"/>
    </w:p>
    <w:p w14:paraId="2CD4C0F3" w14:textId="77777777" w:rsidR="001A236D" w:rsidRPr="00B823DD" w:rsidRDefault="001A236D" w:rsidP="001A236D">
      <w:pPr>
        <w:rPr>
          <w:rFonts w:cs="Arial"/>
          <w:b/>
          <w:sz w:val="28"/>
          <w:szCs w:val="28"/>
        </w:rPr>
      </w:pPr>
    </w:p>
    <w:p w14:paraId="78FAECF6" w14:textId="51C5A405" w:rsidR="00FF5C01" w:rsidRDefault="00FF5C01">
      <w:pPr>
        <w:rPr>
          <w:rFonts w:cs="Arial"/>
          <w:b/>
          <w:sz w:val="28"/>
          <w:szCs w:val="28"/>
        </w:rPr>
      </w:pPr>
    </w:p>
    <w:p w14:paraId="4D618C88" w14:textId="24AADDB3" w:rsidR="001A236D" w:rsidRPr="00556954" w:rsidRDefault="001A236D" w:rsidP="001A236D">
      <w:pPr>
        <w:rPr>
          <w:rFonts w:cs="Arial"/>
          <w:b/>
          <w:szCs w:val="24"/>
        </w:rPr>
      </w:pPr>
      <w:r w:rsidRPr="00556954">
        <w:rPr>
          <w:rFonts w:cs="Arial"/>
          <w:b/>
          <w:szCs w:val="24"/>
        </w:rPr>
        <w:t>Date:</w:t>
      </w:r>
      <w:r w:rsidR="00E14466">
        <w:rPr>
          <w:rFonts w:cs="Arial"/>
          <w:b/>
          <w:szCs w:val="24"/>
        </w:rPr>
        <w:t xml:space="preserve"> </w:t>
      </w:r>
      <w:r w:rsidR="00B13490">
        <w:rPr>
          <w:rFonts w:cs="Arial"/>
          <w:b/>
          <w:szCs w:val="24"/>
        </w:rPr>
        <w:t>15</w:t>
      </w:r>
      <w:r w:rsidR="007C4A77">
        <w:rPr>
          <w:rFonts w:cs="Arial"/>
          <w:b/>
          <w:szCs w:val="24"/>
        </w:rPr>
        <w:t>/02/2024</w:t>
      </w:r>
    </w:p>
    <w:p w14:paraId="32591E4A" w14:textId="2DB81F99" w:rsidR="00E14466" w:rsidRDefault="001A236D" w:rsidP="001A236D">
      <w:pPr>
        <w:rPr>
          <w:rFonts w:cs="Arial"/>
          <w:b/>
          <w:szCs w:val="24"/>
        </w:rPr>
      </w:pPr>
      <w:r w:rsidRPr="00556954">
        <w:rPr>
          <w:rFonts w:cs="Arial"/>
          <w:b/>
          <w:szCs w:val="24"/>
        </w:rPr>
        <w:t>Version:</w:t>
      </w:r>
      <w:r w:rsidR="00E14466">
        <w:rPr>
          <w:rFonts w:cs="Arial"/>
          <w:b/>
          <w:szCs w:val="24"/>
        </w:rPr>
        <w:t xml:space="preserve"> </w:t>
      </w:r>
      <w:r w:rsidR="00C60DDA">
        <w:rPr>
          <w:rFonts w:cs="Arial"/>
          <w:b/>
          <w:szCs w:val="24"/>
        </w:rPr>
        <w:t>V0.</w:t>
      </w:r>
      <w:r w:rsidR="00B13490">
        <w:rPr>
          <w:rFonts w:cs="Arial"/>
          <w:b/>
          <w:szCs w:val="24"/>
        </w:rPr>
        <w:t>3</w:t>
      </w:r>
    </w:p>
    <w:p w14:paraId="1B7EC523" w14:textId="77777777" w:rsidR="00E14466" w:rsidRDefault="00E14466">
      <w:pPr>
        <w:rPr>
          <w:rFonts w:cs="Arial"/>
          <w:b/>
          <w:szCs w:val="24"/>
        </w:rPr>
      </w:pPr>
      <w:r>
        <w:rPr>
          <w:rFonts w:cs="Arial"/>
          <w:b/>
          <w:szCs w:val="24"/>
        </w:rPr>
        <w:br w:type="page"/>
      </w:r>
    </w:p>
    <w:bookmarkStart w:id="1" w:name="_Toc177969165"/>
    <w:bookmarkStart w:id="2" w:name="_Toc180380664"/>
    <w:p w14:paraId="6CED986C" w14:textId="3240C698" w:rsidR="005625CE" w:rsidRDefault="00F77980">
      <w:pPr>
        <w:pStyle w:val="TOC2"/>
        <w:tabs>
          <w:tab w:val="left" w:pos="480"/>
        </w:tabs>
        <w:rPr>
          <w:rFonts w:asciiTheme="minorHAnsi" w:eastAsiaTheme="minorEastAsia" w:hAnsiTheme="minorHAnsi" w:cstheme="minorBidi"/>
          <w:b w:val="0"/>
          <w:bCs w:val="0"/>
          <w:noProof/>
          <w:kern w:val="2"/>
          <w:sz w:val="22"/>
          <w:szCs w:val="22"/>
          <w:lang w:eastAsia="en-GB"/>
          <w14:ligatures w14:val="standardContextual"/>
        </w:rPr>
      </w:pPr>
      <w:r>
        <w:rPr>
          <w:rFonts w:cs="Arial"/>
          <w:szCs w:val="24"/>
        </w:rPr>
        <w:lastRenderedPageBreak/>
        <w:fldChar w:fldCharType="begin"/>
      </w:r>
      <w:r>
        <w:rPr>
          <w:rFonts w:cs="Arial"/>
          <w:szCs w:val="24"/>
        </w:rPr>
        <w:instrText xml:space="preserve"> TOC \o "1-3" \h \z \u </w:instrText>
      </w:r>
      <w:r>
        <w:rPr>
          <w:rFonts w:cs="Arial"/>
          <w:szCs w:val="24"/>
        </w:rPr>
        <w:fldChar w:fldCharType="separate"/>
      </w:r>
      <w:hyperlink w:anchor="_Toc158968192" w:history="1">
        <w:r w:rsidR="005625CE" w:rsidRPr="001B6EB2">
          <w:rPr>
            <w:rStyle w:val="Hyperlink"/>
            <w:noProof/>
          </w:rPr>
          <w:t>1.</w:t>
        </w:r>
        <w:r w:rsidR="005625CE">
          <w:rPr>
            <w:rFonts w:asciiTheme="minorHAnsi" w:eastAsiaTheme="minorEastAsia" w:hAnsiTheme="minorHAnsi" w:cstheme="minorBidi"/>
            <w:b w:val="0"/>
            <w:bCs w:val="0"/>
            <w:noProof/>
            <w:kern w:val="2"/>
            <w:sz w:val="22"/>
            <w:szCs w:val="22"/>
            <w:lang w:eastAsia="en-GB"/>
            <w14:ligatures w14:val="standardContextual"/>
          </w:rPr>
          <w:tab/>
        </w:r>
        <w:r w:rsidR="005625CE" w:rsidRPr="001B6EB2">
          <w:rPr>
            <w:rStyle w:val="Hyperlink"/>
            <w:noProof/>
          </w:rPr>
          <w:t>Introduction</w:t>
        </w:r>
        <w:r w:rsidR="005625CE">
          <w:rPr>
            <w:noProof/>
            <w:webHidden/>
          </w:rPr>
          <w:tab/>
        </w:r>
        <w:r w:rsidR="005625CE">
          <w:rPr>
            <w:noProof/>
            <w:webHidden/>
          </w:rPr>
          <w:fldChar w:fldCharType="begin"/>
        </w:r>
        <w:r w:rsidR="005625CE">
          <w:rPr>
            <w:noProof/>
            <w:webHidden/>
          </w:rPr>
          <w:instrText xml:space="preserve"> PAGEREF _Toc158968192 \h </w:instrText>
        </w:r>
        <w:r w:rsidR="005625CE">
          <w:rPr>
            <w:noProof/>
            <w:webHidden/>
          </w:rPr>
        </w:r>
        <w:r w:rsidR="005625CE">
          <w:rPr>
            <w:noProof/>
            <w:webHidden/>
          </w:rPr>
          <w:fldChar w:fldCharType="separate"/>
        </w:r>
        <w:r w:rsidR="005625CE">
          <w:rPr>
            <w:noProof/>
            <w:webHidden/>
          </w:rPr>
          <w:t>4</w:t>
        </w:r>
        <w:r w:rsidR="005625CE">
          <w:rPr>
            <w:noProof/>
            <w:webHidden/>
          </w:rPr>
          <w:fldChar w:fldCharType="end"/>
        </w:r>
      </w:hyperlink>
    </w:p>
    <w:p w14:paraId="71FD6483" w14:textId="59BD79DA" w:rsidR="005625CE" w:rsidRDefault="00174A1E">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968193" w:history="1">
        <w:r w:rsidR="005625CE" w:rsidRPr="001B6EB2">
          <w:rPr>
            <w:rStyle w:val="Hyperlink"/>
            <w:noProof/>
          </w:rPr>
          <w:t>2.</w:t>
        </w:r>
        <w:r w:rsidR="005625CE" w:rsidRPr="001B6EB2">
          <w:rPr>
            <w:rStyle w:val="Hyperlink"/>
            <w:rFonts w:cs="Arial"/>
            <w:noProof/>
          </w:rPr>
          <w:t xml:space="preserve"> </w:t>
        </w:r>
        <w:r w:rsidR="005625CE" w:rsidRPr="001B6EB2">
          <w:rPr>
            <w:rStyle w:val="Hyperlink"/>
            <w:noProof/>
          </w:rPr>
          <w:t>Background to the Requirement</w:t>
        </w:r>
        <w:r w:rsidR="005625CE">
          <w:rPr>
            <w:noProof/>
            <w:webHidden/>
          </w:rPr>
          <w:tab/>
        </w:r>
        <w:r w:rsidR="005625CE">
          <w:rPr>
            <w:noProof/>
            <w:webHidden/>
          </w:rPr>
          <w:fldChar w:fldCharType="begin"/>
        </w:r>
        <w:r w:rsidR="005625CE">
          <w:rPr>
            <w:noProof/>
            <w:webHidden/>
          </w:rPr>
          <w:instrText xml:space="preserve"> PAGEREF _Toc158968193 \h </w:instrText>
        </w:r>
        <w:r w:rsidR="005625CE">
          <w:rPr>
            <w:noProof/>
            <w:webHidden/>
          </w:rPr>
        </w:r>
        <w:r w:rsidR="005625CE">
          <w:rPr>
            <w:noProof/>
            <w:webHidden/>
          </w:rPr>
          <w:fldChar w:fldCharType="separate"/>
        </w:r>
        <w:r w:rsidR="005625CE">
          <w:rPr>
            <w:noProof/>
            <w:webHidden/>
          </w:rPr>
          <w:t>4</w:t>
        </w:r>
        <w:r w:rsidR="005625CE">
          <w:rPr>
            <w:noProof/>
            <w:webHidden/>
          </w:rPr>
          <w:fldChar w:fldCharType="end"/>
        </w:r>
      </w:hyperlink>
    </w:p>
    <w:p w14:paraId="2105EA68" w14:textId="0B2AD0DF" w:rsidR="005625CE" w:rsidRDefault="00174A1E">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968194" w:history="1">
        <w:r w:rsidR="005625CE" w:rsidRPr="001B6EB2">
          <w:rPr>
            <w:rStyle w:val="Hyperlink"/>
            <w:noProof/>
          </w:rPr>
          <w:t>3.</w:t>
        </w:r>
        <w:r w:rsidR="005625CE" w:rsidRPr="001B6EB2">
          <w:rPr>
            <w:rStyle w:val="Hyperlink"/>
            <w:rFonts w:cs="Arial"/>
            <w:noProof/>
          </w:rPr>
          <w:t xml:space="preserve"> </w:t>
        </w:r>
        <w:r w:rsidR="005625CE" w:rsidRPr="001B6EB2">
          <w:rPr>
            <w:rStyle w:val="Hyperlink"/>
            <w:noProof/>
          </w:rPr>
          <w:t>Procurement Timetable</w:t>
        </w:r>
        <w:r w:rsidR="005625CE">
          <w:rPr>
            <w:noProof/>
            <w:webHidden/>
          </w:rPr>
          <w:tab/>
        </w:r>
        <w:r w:rsidR="005625CE">
          <w:rPr>
            <w:noProof/>
            <w:webHidden/>
          </w:rPr>
          <w:fldChar w:fldCharType="begin"/>
        </w:r>
        <w:r w:rsidR="005625CE">
          <w:rPr>
            <w:noProof/>
            <w:webHidden/>
          </w:rPr>
          <w:instrText xml:space="preserve"> PAGEREF _Toc158968194 \h </w:instrText>
        </w:r>
        <w:r w:rsidR="005625CE">
          <w:rPr>
            <w:noProof/>
            <w:webHidden/>
          </w:rPr>
        </w:r>
        <w:r w:rsidR="005625CE">
          <w:rPr>
            <w:noProof/>
            <w:webHidden/>
          </w:rPr>
          <w:fldChar w:fldCharType="separate"/>
        </w:r>
        <w:r w:rsidR="005625CE">
          <w:rPr>
            <w:noProof/>
            <w:webHidden/>
          </w:rPr>
          <w:t>5</w:t>
        </w:r>
        <w:r w:rsidR="005625CE">
          <w:rPr>
            <w:noProof/>
            <w:webHidden/>
          </w:rPr>
          <w:fldChar w:fldCharType="end"/>
        </w:r>
      </w:hyperlink>
    </w:p>
    <w:p w14:paraId="7AFE5226" w14:textId="4ED9F695" w:rsidR="005625CE" w:rsidRDefault="00174A1E">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968195" w:history="1">
        <w:r w:rsidR="005625CE" w:rsidRPr="001B6EB2">
          <w:rPr>
            <w:rStyle w:val="Hyperlink"/>
            <w:noProof/>
          </w:rPr>
          <w:t>4a. Scope – Motor Vehicle Insurance Requirement</w:t>
        </w:r>
        <w:r w:rsidR="005625CE">
          <w:rPr>
            <w:noProof/>
            <w:webHidden/>
          </w:rPr>
          <w:tab/>
        </w:r>
        <w:r w:rsidR="005625CE">
          <w:rPr>
            <w:noProof/>
            <w:webHidden/>
          </w:rPr>
          <w:fldChar w:fldCharType="begin"/>
        </w:r>
        <w:r w:rsidR="005625CE">
          <w:rPr>
            <w:noProof/>
            <w:webHidden/>
          </w:rPr>
          <w:instrText xml:space="preserve"> PAGEREF _Toc158968195 \h </w:instrText>
        </w:r>
        <w:r w:rsidR="005625CE">
          <w:rPr>
            <w:noProof/>
            <w:webHidden/>
          </w:rPr>
        </w:r>
        <w:r w:rsidR="005625CE">
          <w:rPr>
            <w:noProof/>
            <w:webHidden/>
          </w:rPr>
          <w:fldChar w:fldCharType="separate"/>
        </w:r>
        <w:r w:rsidR="005625CE">
          <w:rPr>
            <w:noProof/>
            <w:webHidden/>
          </w:rPr>
          <w:t>5</w:t>
        </w:r>
        <w:r w:rsidR="005625CE">
          <w:rPr>
            <w:noProof/>
            <w:webHidden/>
          </w:rPr>
          <w:fldChar w:fldCharType="end"/>
        </w:r>
      </w:hyperlink>
    </w:p>
    <w:p w14:paraId="09A268C1" w14:textId="06C0105E" w:rsidR="005625CE" w:rsidRDefault="00174A1E">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968196" w:history="1">
        <w:r w:rsidR="005625CE" w:rsidRPr="001B6EB2">
          <w:rPr>
            <w:rStyle w:val="Hyperlink"/>
            <w:noProof/>
          </w:rPr>
          <w:t>4b. Scope – TUPE HR Insurance Requirement</w:t>
        </w:r>
        <w:r w:rsidR="005625CE">
          <w:rPr>
            <w:noProof/>
            <w:webHidden/>
          </w:rPr>
          <w:tab/>
        </w:r>
        <w:r w:rsidR="005625CE">
          <w:rPr>
            <w:noProof/>
            <w:webHidden/>
          </w:rPr>
          <w:fldChar w:fldCharType="begin"/>
        </w:r>
        <w:r w:rsidR="005625CE">
          <w:rPr>
            <w:noProof/>
            <w:webHidden/>
          </w:rPr>
          <w:instrText xml:space="preserve"> PAGEREF _Toc158968196 \h </w:instrText>
        </w:r>
        <w:r w:rsidR="005625CE">
          <w:rPr>
            <w:noProof/>
            <w:webHidden/>
          </w:rPr>
        </w:r>
        <w:r w:rsidR="005625CE">
          <w:rPr>
            <w:noProof/>
            <w:webHidden/>
          </w:rPr>
          <w:fldChar w:fldCharType="separate"/>
        </w:r>
        <w:r w:rsidR="005625CE">
          <w:rPr>
            <w:noProof/>
            <w:webHidden/>
          </w:rPr>
          <w:t>6</w:t>
        </w:r>
        <w:r w:rsidR="005625CE">
          <w:rPr>
            <w:noProof/>
            <w:webHidden/>
          </w:rPr>
          <w:fldChar w:fldCharType="end"/>
        </w:r>
      </w:hyperlink>
    </w:p>
    <w:p w14:paraId="36996BC9" w14:textId="744F0349" w:rsidR="005625CE" w:rsidRDefault="00174A1E">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968197" w:history="1">
        <w:r w:rsidR="005625CE" w:rsidRPr="001B6EB2">
          <w:rPr>
            <w:rStyle w:val="Hyperlink"/>
            <w:noProof/>
          </w:rPr>
          <w:t>5. Implementation and Deliverables</w:t>
        </w:r>
        <w:r w:rsidR="005625CE">
          <w:rPr>
            <w:noProof/>
            <w:webHidden/>
          </w:rPr>
          <w:tab/>
        </w:r>
        <w:r w:rsidR="005625CE">
          <w:rPr>
            <w:noProof/>
            <w:webHidden/>
          </w:rPr>
          <w:fldChar w:fldCharType="begin"/>
        </w:r>
        <w:r w:rsidR="005625CE">
          <w:rPr>
            <w:noProof/>
            <w:webHidden/>
          </w:rPr>
          <w:instrText xml:space="preserve"> PAGEREF _Toc158968197 \h </w:instrText>
        </w:r>
        <w:r w:rsidR="005625CE">
          <w:rPr>
            <w:noProof/>
            <w:webHidden/>
          </w:rPr>
        </w:r>
        <w:r w:rsidR="005625CE">
          <w:rPr>
            <w:noProof/>
            <w:webHidden/>
          </w:rPr>
          <w:fldChar w:fldCharType="separate"/>
        </w:r>
        <w:r w:rsidR="005625CE">
          <w:rPr>
            <w:noProof/>
            <w:webHidden/>
          </w:rPr>
          <w:t>6</w:t>
        </w:r>
        <w:r w:rsidR="005625CE">
          <w:rPr>
            <w:noProof/>
            <w:webHidden/>
          </w:rPr>
          <w:fldChar w:fldCharType="end"/>
        </w:r>
      </w:hyperlink>
    </w:p>
    <w:p w14:paraId="36C8D649" w14:textId="371465C1" w:rsidR="005625CE" w:rsidRDefault="00174A1E">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968198" w:history="1">
        <w:r w:rsidR="005625CE" w:rsidRPr="001B6EB2">
          <w:rPr>
            <w:rStyle w:val="Hyperlink"/>
            <w:noProof/>
          </w:rPr>
          <w:t>6. Specifying Motor Insurance Services</w:t>
        </w:r>
        <w:r w:rsidR="005625CE">
          <w:rPr>
            <w:noProof/>
            <w:webHidden/>
          </w:rPr>
          <w:tab/>
        </w:r>
        <w:r w:rsidR="005625CE">
          <w:rPr>
            <w:noProof/>
            <w:webHidden/>
          </w:rPr>
          <w:fldChar w:fldCharType="begin"/>
        </w:r>
        <w:r w:rsidR="005625CE">
          <w:rPr>
            <w:noProof/>
            <w:webHidden/>
          </w:rPr>
          <w:instrText xml:space="preserve"> PAGEREF _Toc158968198 \h </w:instrText>
        </w:r>
        <w:r w:rsidR="005625CE">
          <w:rPr>
            <w:noProof/>
            <w:webHidden/>
          </w:rPr>
        </w:r>
        <w:r w:rsidR="005625CE">
          <w:rPr>
            <w:noProof/>
            <w:webHidden/>
          </w:rPr>
          <w:fldChar w:fldCharType="separate"/>
        </w:r>
        <w:r w:rsidR="005625CE">
          <w:rPr>
            <w:noProof/>
            <w:webHidden/>
          </w:rPr>
          <w:t>6</w:t>
        </w:r>
        <w:r w:rsidR="005625CE">
          <w:rPr>
            <w:noProof/>
            <w:webHidden/>
          </w:rPr>
          <w:fldChar w:fldCharType="end"/>
        </w:r>
      </w:hyperlink>
    </w:p>
    <w:p w14:paraId="51D1874F" w14:textId="6E911429" w:rsidR="005625CE" w:rsidRDefault="00174A1E">
      <w:pPr>
        <w:pStyle w:val="TOC3"/>
        <w:tabs>
          <w:tab w:val="left" w:pos="1200"/>
          <w:tab w:val="right" w:leader="dot" w:pos="9350"/>
        </w:tabs>
        <w:rPr>
          <w:rFonts w:asciiTheme="minorHAnsi" w:eastAsiaTheme="minorEastAsia" w:hAnsiTheme="minorHAnsi" w:cstheme="minorBidi"/>
          <w:noProof/>
          <w:kern w:val="2"/>
          <w:sz w:val="22"/>
          <w:szCs w:val="22"/>
          <w:lang w:eastAsia="en-GB"/>
          <w14:ligatures w14:val="standardContextual"/>
        </w:rPr>
      </w:pPr>
      <w:hyperlink w:anchor="_Toc158968199" w:history="1">
        <w:r w:rsidR="005625CE" w:rsidRPr="001B6EB2">
          <w:rPr>
            <w:rStyle w:val="Hyperlink"/>
            <w:noProof/>
          </w:rPr>
          <w:t>6.1.1</w:t>
        </w:r>
        <w:r w:rsidR="005625CE">
          <w:rPr>
            <w:rFonts w:asciiTheme="minorHAnsi" w:eastAsiaTheme="minorEastAsia" w:hAnsiTheme="minorHAnsi" w:cstheme="minorBidi"/>
            <w:noProof/>
            <w:kern w:val="2"/>
            <w:sz w:val="22"/>
            <w:szCs w:val="22"/>
            <w:lang w:eastAsia="en-GB"/>
            <w14:ligatures w14:val="standardContextual"/>
          </w:rPr>
          <w:tab/>
        </w:r>
        <w:r w:rsidR="005625CE" w:rsidRPr="001B6EB2">
          <w:rPr>
            <w:rStyle w:val="Hyperlink"/>
            <w:noProof/>
          </w:rPr>
          <w:t>Hire Vehicles</w:t>
        </w:r>
        <w:r w:rsidR="005625CE">
          <w:rPr>
            <w:noProof/>
            <w:webHidden/>
          </w:rPr>
          <w:tab/>
        </w:r>
        <w:r w:rsidR="005625CE">
          <w:rPr>
            <w:noProof/>
            <w:webHidden/>
          </w:rPr>
          <w:fldChar w:fldCharType="begin"/>
        </w:r>
        <w:r w:rsidR="005625CE">
          <w:rPr>
            <w:noProof/>
            <w:webHidden/>
          </w:rPr>
          <w:instrText xml:space="preserve"> PAGEREF _Toc158968199 \h </w:instrText>
        </w:r>
        <w:r w:rsidR="005625CE">
          <w:rPr>
            <w:noProof/>
            <w:webHidden/>
          </w:rPr>
        </w:r>
        <w:r w:rsidR="005625CE">
          <w:rPr>
            <w:noProof/>
            <w:webHidden/>
          </w:rPr>
          <w:fldChar w:fldCharType="separate"/>
        </w:r>
        <w:r w:rsidR="005625CE">
          <w:rPr>
            <w:noProof/>
            <w:webHidden/>
          </w:rPr>
          <w:t>7</w:t>
        </w:r>
        <w:r w:rsidR="005625CE">
          <w:rPr>
            <w:noProof/>
            <w:webHidden/>
          </w:rPr>
          <w:fldChar w:fldCharType="end"/>
        </w:r>
      </w:hyperlink>
    </w:p>
    <w:p w14:paraId="6E40C4E7" w14:textId="4B9CADCB" w:rsidR="005625CE" w:rsidRDefault="00174A1E">
      <w:pPr>
        <w:pStyle w:val="TOC3"/>
        <w:tabs>
          <w:tab w:val="left" w:pos="1200"/>
          <w:tab w:val="right" w:leader="dot" w:pos="9350"/>
        </w:tabs>
        <w:rPr>
          <w:rFonts w:asciiTheme="minorHAnsi" w:eastAsiaTheme="minorEastAsia" w:hAnsiTheme="minorHAnsi" w:cstheme="minorBidi"/>
          <w:noProof/>
          <w:kern w:val="2"/>
          <w:sz w:val="22"/>
          <w:szCs w:val="22"/>
          <w:lang w:eastAsia="en-GB"/>
          <w14:ligatures w14:val="standardContextual"/>
        </w:rPr>
      </w:pPr>
      <w:hyperlink w:anchor="_Toc158968200" w:history="1">
        <w:r w:rsidR="005625CE" w:rsidRPr="001B6EB2">
          <w:rPr>
            <w:rStyle w:val="Hyperlink"/>
            <w:noProof/>
          </w:rPr>
          <w:t>6.1.2</w:t>
        </w:r>
        <w:r w:rsidR="005625CE">
          <w:rPr>
            <w:rFonts w:asciiTheme="minorHAnsi" w:eastAsiaTheme="minorEastAsia" w:hAnsiTheme="minorHAnsi" w:cstheme="minorBidi"/>
            <w:noProof/>
            <w:kern w:val="2"/>
            <w:sz w:val="22"/>
            <w:szCs w:val="22"/>
            <w:lang w:eastAsia="en-GB"/>
            <w14:ligatures w14:val="standardContextual"/>
          </w:rPr>
          <w:tab/>
        </w:r>
        <w:r w:rsidR="005625CE" w:rsidRPr="001B6EB2">
          <w:rPr>
            <w:rStyle w:val="Hyperlink"/>
            <w:noProof/>
          </w:rPr>
          <w:t>DVLA Motor Vehicle Fleet Total Usage</w:t>
        </w:r>
        <w:r w:rsidR="005625CE">
          <w:rPr>
            <w:noProof/>
            <w:webHidden/>
          </w:rPr>
          <w:tab/>
        </w:r>
        <w:r w:rsidR="005625CE">
          <w:rPr>
            <w:noProof/>
            <w:webHidden/>
          </w:rPr>
          <w:fldChar w:fldCharType="begin"/>
        </w:r>
        <w:r w:rsidR="005625CE">
          <w:rPr>
            <w:noProof/>
            <w:webHidden/>
          </w:rPr>
          <w:instrText xml:space="preserve"> PAGEREF _Toc158968200 \h </w:instrText>
        </w:r>
        <w:r w:rsidR="005625CE">
          <w:rPr>
            <w:noProof/>
            <w:webHidden/>
          </w:rPr>
        </w:r>
        <w:r w:rsidR="005625CE">
          <w:rPr>
            <w:noProof/>
            <w:webHidden/>
          </w:rPr>
          <w:fldChar w:fldCharType="separate"/>
        </w:r>
        <w:r w:rsidR="005625CE">
          <w:rPr>
            <w:noProof/>
            <w:webHidden/>
          </w:rPr>
          <w:t>7</w:t>
        </w:r>
        <w:r w:rsidR="005625CE">
          <w:rPr>
            <w:noProof/>
            <w:webHidden/>
          </w:rPr>
          <w:fldChar w:fldCharType="end"/>
        </w:r>
      </w:hyperlink>
    </w:p>
    <w:p w14:paraId="45CEBEA4" w14:textId="5A8FB75E" w:rsidR="005625CE" w:rsidRDefault="00174A1E">
      <w:pPr>
        <w:pStyle w:val="TOC3"/>
        <w:tabs>
          <w:tab w:val="left" w:pos="960"/>
          <w:tab w:val="right" w:leader="dot" w:pos="9350"/>
        </w:tabs>
        <w:rPr>
          <w:rFonts w:asciiTheme="minorHAnsi" w:eastAsiaTheme="minorEastAsia" w:hAnsiTheme="minorHAnsi" w:cstheme="minorBidi"/>
          <w:noProof/>
          <w:kern w:val="2"/>
          <w:sz w:val="22"/>
          <w:szCs w:val="22"/>
          <w:lang w:eastAsia="en-GB"/>
          <w14:ligatures w14:val="standardContextual"/>
        </w:rPr>
      </w:pPr>
      <w:hyperlink w:anchor="_Toc158968201" w:history="1">
        <w:r w:rsidR="005625CE" w:rsidRPr="001B6EB2">
          <w:rPr>
            <w:rStyle w:val="Hyperlink"/>
            <w:noProof/>
          </w:rPr>
          <w:t>6.2</w:t>
        </w:r>
        <w:r w:rsidR="005625CE">
          <w:rPr>
            <w:rFonts w:asciiTheme="minorHAnsi" w:eastAsiaTheme="minorEastAsia" w:hAnsiTheme="minorHAnsi" w:cstheme="minorBidi"/>
            <w:noProof/>
            <w:kern w:val="2"/>
            <w:sz w:val="22"/>
            <w:szCs w:val="22"/>
            <w:lang w:eastAsia="en-GB"/>
            <w14:ligatures w14:val="standardContextual"/>
          </w:rPr>
          <w:tab/>
        </w:r>
        <w:r w:rsidR="005625CE" w:rsidRPr="001B6EB2">
          <w:rPr>
            <w:rStyle w:val="Hyperlink"/>
            <w:noProof/>
          </w:rPr>
          <w:t>Vehicle Insurance Requirements (Successful Supplier following Brokerage)</w:t>
        </w:r>
        <w:r w:rsidR="005625CE">
          <w:rPr>
            <w:noProof/>
            <w:webHidden/>
          </w:rPr>
          <w:tab/>
        </w:r>
        <w:r w:rsidR="005625CE">
          <w:rPr>
            <w:noProof/>
            <w:webHidden/>
          </w:rPr>
          <w:fldChar w:fldCharType="begin"/>
        </w:r>
        <w:r w:rsidR="005625CE">
          <w:rPr>
            <w:noProof/>
            <w:webHidden/>
          </w:rPr>
          <w:instrText xml:space="preserve"> PAGEREF _Toc158968201 \h </w:instrText>
        </w:r>
        <w:r w:rsidR="005625CE">
          <w:rPr>
            <w:noProof/>
            <w:webHidden/>
          </w:rPr>
        </w:r>
        <w:r w:rsidR="005625CE">
          <w:rPr>
            <w:noProof/>
            <w:webHidden/>
          </w:rPr>
          <w:fldChar w:fldCharType="separate"/>
        </w:r>
        <w:r w:rsidR="005625CE">
          <w:rPr>
            <w:noProof/>
            <w:webHidden/>
          </w:rPr>
          <w:t>8</w:t>
        </w:r>
        <w:r w:rsidR="005625CE">
          <w:rPr>
            <w:noProof/>
            <w:webHidden/>
          </w:rPr>
          <w:fldChar w:fldCharType="end"/>
        </w:r>
      </w:hyperlink>
    </w:p>
    <w:p w14:paraId="277462A3" w14:textId="3CC4BD5D" w:rsidR="005625CE" w:rsidRDefault="00174A1E">
      <w:pPr>
        <w:pStyle w:val="TOC3"/>
        <w:tabs>
          <w:tab w:val="left" w:pos="960"/>
          <w:tab w:val="right" w:leader="dot" w:pos="9350"/>
        </w:tabs>
        <w:rPr>
          <w:rFonts w:asciiTheme="minorHAnsi" w:eastAsiaTheme="minorEastAsia" w:hAnsiTheme="minorHAnsi" w:cstheme="minorBidi"/>
          <w:noProof/>
          <w:kern w:val="2"/>
          <w:sz w:val="22"/>
          <w:szCs w:val="22"/>
          <w:lang w:eastAsia="en-GB"/>
          <w14:ligatures w14:val="standardContextual"/>
        </w:rPr>
      </w:pPr>
      <w:hyperlink w:anchor="_Toc158968202" w:history="1">
        <w:r w:rsidR="005625CE" w:rsidRPr="001B6EB2">
          <w:rPr>
            <w:rStyle w:val="Hyperlink"/>
            <w:noProof/>
          </w:rPr>
          <w:t>6.3</w:t>
        </w:r>
        <w:r w:rsidR="005625CE">
          <w:rPr>
            <w:rFonts w:asciiTheme="minorHAnsi" w:eastAsiaTheme="minorEastAsia" w:hAnsiTheme="minorHAnsi" w:cstheme="minorBidi"/>
            <w:noProof/>
            <w:kern w:val="2"/>
            <w:sz w:val="22"/>
            <w:szCs w:val="22"/>
            <w:lang w:eastAsia="en-GB"/>
            <w14:ligatures w14:val="standardContextual"/>
          </w:rPr>
          <w:tab/>
        </w:r>
        <w:r w:rsidR="005625CE" w:rsidRPr="001B6EB2">
          <w:rPr>
            <w:rStyle w:val="Hyperlink"/>
            <w:noProof/>
          </w:rPr>
          <w:t>Motor Vehicle Excess</w:t>
        </w:r>
        <w:r w:rsidR="005625CE">
          <w:rPr>
            <w:noProof/>
            <w:webHidden/>
          </w:rPr>
          <w:tab/>
        </w:r>
        <w:r w:rsidR="005625CE">
          <w:rPr>
            <w:noProof/>
            <w:webHidden/>
          </w:rPr>
          <w:fldChar w:fldCharType="begin"/>
        </w:r>
        <w:r w:rsidR="005625CE">
          <w:rPr>
            <w:noProof/>
            <w:webHidden/>
          </w:rPr>
          <w:instrText xml:space="preserve"> PAGEREF _Toc158968202 \h </w:instrText>
        </w:r>
        <w:r w:rsidR="005625CE">
          <w:rPr>
            <w:noProof/>
            <w:webHidden/>
          </w:rPr>
        </w:r>
        <w:r w:rsidR="005625CE">
          <w:rPr>
            <w:noProof/>
            <w:webHidden/>
          </w:rPr>
          <w:fldChar w:fldCharType="separate"/>
        </w:r>
        <w:r w:rsidR="005625CE">
          <w:rPr>
            <w:noProof/>
            <w:webHidden/>
          </w:rPr>
          <w:t>9</w:t>
        </w:r>
        <w:r w:rsidR="005625CE">
          <w:rPr>
            <w:noProof/>
            <w:webHidden/>
          </w:rPr>
          <w:fldChar w:fldCharType="end"/>
        </w:r>
      </w:hyperlink>
    </w:p>
    <w:p w14:paraId="36F8BE83" w14:textId="511BC4FA" w:rsidR="005625CE" w:rsidRDefault="00174A1E">
      <w:pPr>
        <w:pStyle w:val="TOC3"/>
        <w:tabs>
          <w:tab w:val="left" w:pos="960"/>
          <w:tab w:val="right" w:leader="dot" w:pos="9350"/>
        </w:tabs>
        <w:rPr>
          <w:rFonts w:asciiTheme="minorHAnsi" w:eastAsiaTheme="minorEastAsia" w:hAnsiTheme="minorHAnsi" w:cstheme="minorBidi"/>
          <w:noProof/>
          <w:kern w:val="2"/>
          <w:sz w:val="22"/>
          <w:szCs w:val="22"/>
          <w:lang w:eastAsia="en-GB"/>
          <w14:ligatures w14:val="standardContextual"/>
        </w:rPr>
      </w:pPr>
      <w:hyperlink w:anchor="_Toc158968203" w:history="1">
        <w:r w:rsidR="005625CE" w:rsidRPr="001B6EB2">
          <w:rPr>
            <w:rStyle w:val="Hyperlink"/>
            <w:noProof/>
          </w:rPr>
          <w:t>6.4</w:t>
        </w:r>
        <w:r w:rsidR="005625CE">
          <w:rPr>
            <w:rFonts w:asciiTheme="minorHAnsi" w:eastAsiaTheme="minorEastAsia" w:hAnsiTheme="minorHAnsi" w:cstheme="minorBidi"/>
            <w:noProof/>
            <w:kern w:val="2"/>
            <w:sz w:val="22"/>
            <w:szCs w:val="22"/>
            <w:lang w:eastAsia="en-GB"/>
            <w14:ligatures w14:val="standardContextual"/>
          </w:rPr>
          <w:tab/>
        </w:r>
        <w:r w:rsidR="005625CE" w:rsidRPr="001B6EB2">
          <w:rPr>
            <w:rStyle w:val="Hyperlink"/>
            <w:noProof/>
          </w:rPr>
          <w:t>EU Motor Insurance Directive</w:t>
        </w:r>
        <w:r w:rsidR="005625CE">
          <w:rPr>
            <w:noProof/>
            <w:webHidden/>
          </w:rPr>
          <w:tab/>
        </w:r>
        <w:r w:rsidR="005625CE">
          <w:rPr>
            <w:noProof/>
            <w:webHidden/>
          </w:rPr>
          <w:fldChar w:fldCharType="begin"/>
        </w:r>
        <w:r w:rsidR="005625CE">
          <w:rPr>
            <w:noProof/>
            <w:webHidden/>
          </w:rPr>
          <w:instrText xml:space="preserve"> PAGEREF _Toc158968203 \h </w:instrText>
        </w:r>
        <w:r w:rsidR="005625CE">
          <w:rPr>
            <w:noProof/>
            <w:webHidden/>
          </w:rPr>
        </w:r>
        <w:r w:rsidR="005625CE">
          <w:rPr>
            <w:noProof/>
            <w:webHidden/>
          </w:rPr>
          <w:fldChar w:fldCharType="separate"/>
        </w:r>
        <w:r w:rsidR="005625CE">
          <w:rPr>
            <w:noProof/>
            <w:webHidden/>
          </w:rPr>
          <w:t>9</w:t>
        </w:r>
        <w:r w:rsidR="005625CE">
          <w:rPr>
            <w:noProof/>
            <w:webHidden/>
          </w:rPr>
          <w:fldChar w:fldCharType="end"/>
        </w:r>
      </w:hyperlink>
    </w:p>
    <w:p w14:paraId="7FB18360" w14:textId="7A3E67F0" w:rsidR="005625CE" w:rsidRDefault="00174A1E">
      <w:pPr>
        <w:pStyle w:val="TOC3"/>
        <w:tabs>
          <w:tab w:val="left" w:pos="960"/>
          <w:tab w:val="right" w:leader="dot" w:pos="9350"/>
        </w:tabs>
        <w:rPr>
          <w:rFonts w:asciiTheme="minorHAnsi" w:eastAsiaTheme="minorEastAsia" w:hAnsiTheme="minorHAnsi" w:cstheme="minorBidi"/>
          <w:noProof/>
          <w:kern w:val="2"/>
          <w:sz w:val="22"/>
          <w:szCs w:val="22"/>
          <w:lang w:eastAsia="en-GB"/>
          <w14:ligatures w14:val="standardContextual"/>
        </w:rPr>
      </w:pPr>
      <w:hyperlink w:anchor="_Toc158968204" w:history="1">
        <w:r w:rsidR="005625CE" w:rsidRPr="001B6EB2">
          <w:rPr>
            <w:rStyle w:val="Hyperlink"/>
            <w:noProof/>
          </w:rPr>
          <w:t>6.5</w:t>
        </w:r>
        <w:r w:rsidR="005625CE">
          <w:rPr>
            <w:rFonts w:asciiTheme="minorHAnsi" w:eastAsiaTheme="minorEastAsia" w:hAnsiTheme="minorHAnsi" w:cstheme="minorBidi"/>
            <w:noProof/>
            <w:kern w:val="2"/>
            <w:sz w:val="22"/>
            <w:szCs w:val="22"/>
            <w:lang w:eastAsia="en-GB"/>
            <w14:ligatures w14:val="standardContextual"/>
          </w:rPr>
          <w:tab/>
        </w:r>
        <w:r w:rsidR="005625CE" w:rsidRPr="001B6EB2">
          <w:rPr>
            <w:rStyle w:val="Hyperlink"/>
            <w:noProof/>
          </w:rPr>
          <w:t>Accident History</w:t>
        </w:r>
        <w:r w:rsidR="005625CE">
          <w:rPr>
            <w:noProof/>
            <w:webHidden/>
          </w:rPr>
          <w:tab/>
        </w:r>
        <w:r w:rsidR="005625CE">
          <w:rPr>
            <w:noProof/>
            <w:webHidden/>
          </w:rPr>
          <w:fldChar w:fldCharType="begin"/>
        </w:r>
        <w:r w:rsidR="005625CE">
          <w:rPr>
            <w:noProof/>
            <w:webHidden/>
          </w:rPr>
          <w:instrText xml:space="preserve"> PAGEREF _Toc158968204 \h </w:instrText>
        </w:r>
        <w:r w:rsidR="005625CE">
          <w:rPr>
            <w:noProof/>
            <w:webHidden/>
          </w:rPr>
        </w:r>
        <w:r w:rsidR="005625CE">
          <w:rPr>
            <w:noProof/>
            <w:webHidden/>
          </w:rPr>
          <w:fldChar w:fldCharType="separate"/>
        </w:r>
        <w:r w:rsidR="005625CE">
          <w:rPr>
            <w:noProof/>
            <w:webHidden/>
          </w:rPr>
          <w:t>9</w:t>
        </w:r>
        <w:r w:rsidR="005625CE">
          <w:rPr>
            <w:noProof/>
            <w:webHidden/>
          </w:rPr>
          <w:fldChar w:fldCharType="end"/>
        </w:r>
      </w:hyperlink>
    </w:p>
    <w:p w14:paraId="5809E745" w14:textId="52972737" w:rsidR="005625CE" w:rsidRDefault="00174A1E">
      <w:pPr>
        <w:pStyle w:val="TOC3"/>
        <w:tabs>
          <w:tab w:val="left" w:pos="960"/>
          <w:tab w:val="right" w:leader="dot" w:pos="9350"/>
        </w:tabs>
        <w:rPr>
          <w:rFonts w:asciiTheme="minorHAnsi" w:eastAsiaTheme="minorEastAsia" w:hAnsiTheme="minorHAnsi" w:cstheme="minorBidi"/>
          <w:noProof/>
          <w:kern w:val="2"/>
          <w:sz w:val="22"/>
          <w:szCs w:val="22"/>
          <w:lang w:eastAsia="en-GB"/>
          <w14:ligatures w14:val="standardContextual"/>
        </w:rPr>
      </w:pPr>
      <w:hyperlink w:anchor="_Toc158968205" w:history="1">
        <w:r w:rsidR="005625CE" w:rsidRPr="001B6EB2">
          <w:rPr>
            <w:rStyle w:val="Hyperlink"/>
            <w:noProof/>
          </w:rPr>
          <w:t>6.6</w:t>
        </w:r>
        <w:r w:rsidR="005625CE">
          <w:rPr>
            <w:rFonts w:asciiTheme="minorHAnsi" w:eastAsiaTheme="minorEastAsia" w:hAnsiTheme="minorHAnsi" w:cstheme="minorBidi"/>
            <w:noProof/>
            <w:kern w:val="2"/>
            <w:sz w:val="22"/>
            <w:szCs w:val="22"/>
            <w:lang w:eastAsia="en-GB"/>
            <w14:ligatures w14:val="standardContextual"/>
          </w:rPr>
          <w:tab/>
        </w:r>
        <w:r w:rsidR="005625CE" w:rsidRPr="001B6EB2">
          <w:rPr>
            <w:rStyle w:val="Hyperlink"/>
            <w:noProof/>
          </w:rPr>
          <w:t>Handling of Claims</w:t>
        </w:r>
        <w:r w:rsidR="005625CE">
          <w:rPr>
            <w:noProof/>
            <w:webHidden/>
          </w:rPr>
          <w:tab/>
        </w:r>
        <w:r w:rsidR="005625CE">
          <w:rPr>
            <w:noProof/>
            <w:webHidden/>
          </w:rPr>
          <w:fldChar w:fldCharType="begin"/>
        </w:r>
        <w:r w:rsidR="005625CE">
          <w:rPr>
            <w:noProof/>
            <w:webHidden/>
          </w:rPr>
          <w:instrText xml:space="preserve"> PAGEREF _Toc158968205 \h </w:instrText>
        </w:r>
        <w:r w:rsidR="005625CE">
          <w:rPr>
            <w:noProof/>
            <w:webHidden/>
          </w:rPr>
        </w:r>
        <w:r w:rsidR="005625CE">
          <w:rPr>
            <w:noProof/>
            <w:webHidden/>
          </w:rPr>
          <w:fldChar w:fldCharType="separate"/>
        </w:r>
        <w:r w:rsidR="005625CE">
          <w:rPr>
            <w:noProof/>
            <w:webHidden/>
          </w:rPr>
          <w:t>9</w:t>
        </w:r>
        <w:r w:rsidR="005625CE">
          <w:rPr>
            <w:noProof/>
            <w:webHidden/>
          </w:rPr>
          <w:fldChar w:fldCharType="end"/>
        </w:r>
      </w:hyperlink>
    </w:p>
    <w:p w14:paraId="0EFA2367" w14:textId="4A2355DB" w:rsidR="005625CE" w:rsidRDefault="00174A1E">
      <w:pPr>
        <w:pStyle w:val="TOC3"/>
        <w:tabs>
          <w:tab w:val="left" w:pos="960"/>
          <w:tab w:val="right" w:leader="dot" w:pos="9350"/>
        </w:tabs>
        <w:rPr>
          <w:rFonts w:asciiTheme="minorHAnsi" w:eastAsiaTheme="minorEastAsia" w:hAnsiTheme="minorHAnsi" w:cstheme="minorBidi"/>
          <w:noProof/>
          <w:kern w:val="2"/>
          <w:sz w:val="22"/>
          <w:szCs w:val="22"/>
          <w:lang w:eastAsia="en-GB"/>
          <w14:ligatures w14:val="standardContextual"/>
        </w:rPr>
      </w:pPr>
      <w:hyperlink w:anchor="_Toc158968206" w:history="1">
        <w:r w:rsidR="005625CE" w:rsidRPr="001B6EB2">
          <w:rPr>
            <w:rStyle w:val="Hyperlink"/>
            <w:noProof/>
          </w:rPr>
          <w:t xml:space="preserve">6.7 </w:t>
        </w:r>
        <w:r w:rsidR="005625CE">
          <w:rPr>
            <w:rFonts w:asciiTheme="minorHAnsi" w:eastAsiaTheme="minorEastAsia" w:hAnsiTheme="minorHAnsi" w:cstheme="minorBidi"/>
            <w:noProof/>
            <w:kern w:val="2"/>
            <w:sz w:val="22"/>
            <w:szCs w:val="22"/>
            <w:lang w:eastAsia="en-GB"/>
            <w14:ligatures w14:val="standardContextual"/>
          </w:rPr>
          <w:tab/>
        </w:r>
        <w:r w:rsidR="005625CE" w:rsidRPr="001B6EB2">
          <w:rPr>
            <w:rStyle w:val="Hyperlink"/>
            <w:noProof/>
          </w:rPr>
          <w:t>Driver Ages</w:t>
        </w:r>
        <w:r w:rsidR="005625CE">
          <w:rPr>
            <w:noProof/>
            <w:webHidden/>
          </w:rPr>
          <w:tab/>
        </w:r>
        <w:r w:rsidR="005625CE">
          <w:rPr>
            <w:noProof/>
            <w:webHidden/>
          </w:rPr>
          <w:fldChar w:fldCharType="begin"/>
        </w:r>
        <w:r w:rsidR="005625CE">
          <w:rPr>
            <w:noProof/>
            <w:webHidden/>
          </w:rPr>
          <w:instrText xml:space="preserve"> PAGEREF _Toc158968206 \h </w:instrText>
        </w:r>
        <w:r w:rsidR="005625CE">
          <w:rPr>
            <w:noProof/>
            <w:webHidden/>
          </w:rPr>
        </w:r>
        <w:r w:rsidR="005625CE">
          <w:rPr>
            <w:noProof/>
            <w:webHidden/>
          </w:rPr>
          <w:fldChar w:fldCharType="separate"/>
        </w:r>
        <w:r w:rsidR="005625CE">
          <w:rPr>
            <w:noProof/>
            <w:webHidden/>
          </w:rPr>
          <w:t>10</w:t>
        </w:r>
        <w:r w:rsidR="005625CE">
          <w:rPr>
            <w:noProof/>
            <w:webHidden/>
          </w:rPr>
          <w:fldChar w:fldCharType="end"/>
        </w:r>
      </w:hyperlink>
    </w:p>
    <w:p w14:paraId="2D2CD806" w14:textId="0C439A65" w:rsidR="005625CE" w:rsidRDefault="00174A1E">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968207" w:history="1">
        <w:r w:rsidR="005625CE" w:rsidRPr="001B6EB2">
          <w:rPr>
            <w:rStyle w:val="Hyperlink"/>
            <w:noProof/>
          </w:rPr>
          <w:t>7. TUPE HR Requirements</w:t>
        </w:r>
        <w:r w:rsidR="005625CE">
          <w:rPr>
            <w:noProof/>
            <w:webHidden/>
          </w:rPr>
          <w:tab/>
        </w:r>
        <w:r w:rsidR="005625CE">
          <w:rPr>
            <w:noProof/>
            <w:webHidden/>
          </w:rPr>
          <w:fldChar w:fldCharType="begin"/>
        </w:r>
        <w:r w:rsidR="005625CE">
          <w:rPr>
            <w:noProof/>
            <w:webHidden/>
          </w:rPr>
          <w:instrText xml:space="preserve"> PAGEREF _Toc158968207 \h </w:instrText>
        </w:r>
        <w:r w:rsidR="005625CE">
          <w:rPr>
            <w:noProof/>
            <w:webHidden/>
          </w:rPr>
        </w:r>
        <w:r w:rsidR="005625CE">
          <w:rPr>
            <w:noProof/>
            <w:webHidden/>
          </w:rPr>
          <w:fldChar w:fldCharType="separate"/>
        </w:r>
        <w:r w:rsidR="005625CE">
          <w:rPr>
            <w:noProof/>
            <w:webHidden/>
          </w:rPr>
          <w:t>10</w:t>
        </w:r>
        <w:r w:rsidR="005625CE">
          <w:rPr>
            <w:noProof/>
            <w:webHidden/>
          </w:rPr>
          <w:fldChar w:fldCharType="end"/>
        </w:r>
      </w:hyperlink>
    </w:p>
    <w:p w14:paraId="2C681B19" w14:textId="4A6B59B3" w:rsidR="005625CE" w:rsidRDefault="00174A1E">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968208" w:history="1">
        <w:r w:rsidR="005625CE" w:rsidRPr="001B6EB2">
          <w:rPr>
            <w:rStyle w:val="Hyperlink"/>
            <w:noProof/>
          </w:rPr>
          <w:t>7. Quality Assurance Requirements</w:t>
        </w:r>
        <w:r w:rsidR="005625CE">
          <w:rPr>
            <w:noProof/>
            <w:webHidden/>
          </w:rPr>
          <w:tab/>
        </w:r>
        <w:r w:rsidR="005625CE">
          <w:rPr>
            <w:noProof/>
            <w:webHidden/>
          </w:rPr>
          <w:fldChar w:fldCharType="begin"/>
        </w:r>
        <w:r w:rsidR="005625CE">
          <w:rPr>
            <w:noProof/>
            <w:webHidden/>
          </w:rPr>
          <w:instrText xml:space="preserve"> PAGEREF _Toc158968208 \h </w:instrText>
        </w:r>
        <w:r w:rsidR="005625CE">
          <w:rPr>
            <w:noProof/>
            <w:webHidden/>
          </w:rPr>
        </w:r>
        <w:r w:rsidR="005625CE">
          <w:rPr>
            <w:noProof/>
            <w:webHidden/>
          </w:rPr>
          <w:fldChar w:fldCharType="separate"/>
        </w:r>
        <w:r w:rsidR="005625CE">
          <w:rPr>
            <w:noProof/>
            <w:webHidden/>
          </w:rPr>
          <w:t>12</w:t>
        </w:r>
        <w:r w:rsidR="005625CE">
          <w:rPr>
            <w:noProof/>
            <w:webHidden/>
          </w:rPr>
          <w:fldChar w:fldCharType="end"/>
        </w:r>
      </w:hyperlink>
    </w:p>
    <w:p w14:paraId="30E45B69" w14:textId="33BE4172" w:rsidR="005625CE" w:rsidRDefault="00174A1E">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968209" w:history="1">
        <w:r w:rsidR="005625CE" w:rsidRPr="001B6EB2">
          <w:rPr>
            <w:rStyle w:val="Hyperlink"/>
            <w:noProof/>
          </w:rPr>
          <w:t>8. Other Requirements</w:t>
        </w:r>
        <w:r w:rsidR="005625CE">
          <w:rPr>
            <w:noProof/>
            <w:webHidden/>
          </w:rPr>
          <w:tab/>
        </w:r>
        <w:r w:rsidR="005625CE">
          <w:rPr>
            <w:noProof/>
            <w:webHidden/>
          </w:rPr>
          <w:fldChar w:fldCharType="begin"/>
        </w:r>
        <w:r w:rsidR="005625CE">
          <w:rPr>
            <w:noProof/>
            <w:webHidden/>
          </w:rPr>
          <w:instrText xml:space="preserve"> PAGEREF _Toc158968209 \h </w:instrText>
        </w:r>
        <w:r w:rsidR="005625CE">
          <w:rPr>
            <w:noProof/>
            <w:webHidden/>
          </w:rPr>
        </w:r>
        <w:r w:rsidR="005625CE">
          <w:rPr>
            <w:noProof/>
            <w:webHidden/>
          </w:rPr>
          <w:fldChar w:fldCharType="separate"/>
        </w:r>
        <w:r w:rsidR="005625CE">
          <w:rPr>
            <w:noProof/>
            <w:webHidden/>
          </w:rPr>
          <w:t>12</w:t>
        </w:r>
        <w:r w:rsidR="005625CE">
          <w:rPr>
            <w:noProof/>
            <w:webHidden/>
          </w:rPr>
          <w:fldChar w:fldCharType="end"/>
        </w:r>
      </w:hyperlink>
    </w:p>
    <w:p w14:paraId="43939001" w14:textId="294313F9" w:rsidR="005625CE" w:rsidRDefault="00174A1E">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968210" w:history="1">
        <w:r w:rsidR="005625CE" w:rsidRPr="001B6EB2">
          <w:rPr>
            <w:rStyle w:val="Hyperlink"/>
            <w:noProof/>
          </w:rPr>
          <w:t>9. Management and Contract Administration</w:t>
        </w:r>
        <w:r w:rsidR="005625CE">
          <w:rPr>
            <w:noProof/>
            <w:webHidden/>
          </w:rPr>
          <w:tab/>
        </w:r>
        <w:r w:rsidR="005625CE">
          <w:rPr>
            <w:noProof/>
            <w:webHidden/>
          </w:rPr>
          <w:fldChar w:fldCharType="begin"/>
        </w:r>
        <w:r w:rsidR="005625CE">
          <w:rPr>
            <w:noProof/>
            <w:webHidden/>
          </w:rPr>
          <w:instrText xml:space="preserve"> PAGEREF _Toc158968210 \h </w:instrText>
        </w:r>
        <w:r w:rsidR="005625CE">
          <w:rPr>
            <w:noProof/>
            <w:webHidden/>
          </w:rPr>
        </w:r>
        <w:r w:rsidR="005625CE">
          <w:rPr>
            <w:noProof/>
            <w:webHidden/>
          </w:rPr>
          <w:fldChar w:fldCharType="separate"/>
        </w:r>
        <w:r w:rsidR="005625CE">
          <w:rPr>
            <w:noProof/>
            <w:webHidden/>
          </w:rPr>
          <w:t>19</w:t>
        </w:r>
        <w:r w:rsidR="005625CE">
          <w:rPr>
            <w:noProof/>
            <w:webHidden/>
          </w:rPr>
          <w:fldChar w:fldCharType="end"/>
        </w:r>
      </w:hyperlink>
    </w:p>
    <w:p w14:paraId="0F084D6F" w14:textId="7D6FA1B0" w:rsidR="005625CE" w:rsidRDefault="00174A1E">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968211" w:history="1">
        <w:r w:rsidR="005625CE" w:rsidRPr="001B6EB2">
          <w:rPr>
            <w:rStyle w:val="Hyperlink"/>
            <w:noProof/>
          </w:rPr>
          <w:t>10. Training / Skills / Knowledge Transfer</w:t>
        </w:r>
        <w:r w:rsidR="005625CE">
          <w:rPr>
            <w:noProof/>
            <w:webHidden/>
          </w:rPr>
          <w:tab/>
        </w:r>
        <w:r w:rsidR="005625CE">
          <w:rPr>
            <w:noProof/>
            <w:webHidden/>
          </w:rPr>
          <w:fldChar w:fldCharType="begin"/>
        </w:r>
        <w:r w:rsidR="005625CE">
          <w:rPr>
            <w:noProof/>
            <w:webHidden/>
          </w:rPr>
          <w:instrText xml:space="preserve"> PAGEREF _Toc158968211 \h </w:instrText>
        </w:r>
        <w:r w:rsidR="005625CE">
          <w:rPr>
            <w:noProof/>
            <w:webHidden/>
          </w:rPr>
        </w:r>
        <w:r w:rsidR="005625CE">
          <w:rPr>
            <w:noProof/>
            <w:webHidden/>
          </w:rPr>
          <w:fldChar w:fldCharType="separate"/>
        </w:r>
        <w:r w:rsidR="005625CE">
          <w:rPr>
            <w:noProof/>
            <w:webHidden/>
          </w:rPr>
          <w:t>19</w:t>
        </w:r>
        <w:r w:rsidR="005625CE">
          <w:rPr>
            <w:noProof/>
            <w:webHidden/>
          </w:rPr>
          <w:fldChar w:fldCharType="end"/>
        </w:r>
      </w:hyperlink>
    </w:p>
    <w:p w14:paraId="4C8F5159" w14:textId="31864A0A" w:rsidR="005625CE" w:rsidRDefault="00174A1E">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968212" w:history="1">
        <w:r w:rsidR="005625CE" w:rsidRPr="001B6EB2">
          <w:rPr>
            <w:rStyle w:val="Hyperlink"/>
            <w:noProof/>
          </w:rPr>
          <w:t>Not Applicable</w:t>
        </w:r>
        <w:r w:rsidR="005625CE">
          <w:rPr>
            <w:noProof/>
            <w:webHidden/>
          </w:rPr>
          <w:tab/>
        </w:r>
        <w:r w:rsidR="005625CE">
          <w:rPr>
            <w:noProof/>
            <w:webHidden/>
          </w:rPr>
          <w:fldChar w:fldCharType="begin"/>
        </w:r>
        <w:r w:rsidR="005625CE">
          <w:rPr>
            <w:noProof/>
            <w:webHidden/>
          </w:rPr>
          <w:instrText xml:space="preserve"> PAGEREF _Toc158968212 \h </w:instrText>
        </w:r>
        <w:r w:rsidR="005625CE">
          <w:rPr>
            <w:noProof/>
            <w:webHidden/>
          </w:rPr>
        </w:r>
        <w:r w:rsidR="005625CE">
          <w:rPr>
            <w:noProof/>
            <w:webHidden/>
          </w:rPr>
          <w:fldChar w:fldCharType="separate"/>
        </w:r>
        <w:r w:rsidR="005625CE">
          <w:rPr>
            <w:noProof/>
            <w:webHidden/>
          </w:rPr>
          <w:t>19</w:t>
        </w:r>
        <w:r w:rsidR="005625CE">
          <w:rPr>
            <w:noProof/>
            <w:webHidden/>
          </w:rPr>
          <w:fldChar w:fldCharType="end"/>
        </w:r>
      </w:hyperlink>
    </w:p>
    <w:p w14:paraId="31309BC0" w14:textId="4D8EFA4F" w:rsidR="005625CE" w:rsidRDefault="00174A1E">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968213" w:history="1">
        <w:r w:rsidR="005625CE" w:rsidRPr="001B6EB2">
          <w:rPr>
            <w:rStyle w:val="Hyperlink"/>
            <w:noProof/>
          </w:rPr>
          <w:t>11. Documentation</w:t>
        </w:r>
        <w:r w:rsidR="005625CE">
          <w:rPr>
            <w:noProof/>
            <w:webHidden/>
          </w:rPr>
          <w:tab/>
        </w:r>
        <w:r w:rsidR="005625CE">
          <w:rPr>
            <w:noProof/>
            <w:webHidden/>
          </w:rPr>
          <w:fldChar w:fldCharType="begin"/>
        </w:r>
        <w:r w:rsidR="005625CE">
          <w:rPr>
            <w:noProof/>
            <w:webHidden/>
          </w:rPr>
          <w:instrText xml:space="preserve"> PAGEREF _Toc158968213 \h </w:instrText>
        </w:r>
        <w:r w:rsidR="005625CE">
          <w:rPr>
            <w:noProof/>
            <w:webHidden/>
          </w:rPr>
        </w:r>
        <w:r w:rsidR="005625CE">
          <w:rPr>
            <w:noProof/>
            <w:webHidden/>
          </w:rPr>
          <w:fldChar w:fldCharType="separate"/>
        </w:r>
        <w:r w:rsidR="005625CE">
          <w:rPr>
            <w:noProof/>
            <w:webHidden/>
          </w:rPr>
          <w:t>20</w:t>
        </w:r>
        <w:r w:rsidR="005625CE">
          <w:rPr>
            <w:noProof/>
            <w:webHidden/>
          </w:rPr>
          <w:fldChar w:fldCharType="end"/>
        </w:r>
      </w:hyperlink>
    </w:p>
    <w:p w14:paraId="30D3D51D" w14:textId="0C1A6061" w:rsidR="005625CE" w:rsidRDefault="00174A1E">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968214" w:history="1">
        <w:r w:rsidR="005625CE" w:rsidRPr="001B6EB2">
          <w:rPr>
            <w:rStyle w:val="Hyperlink"/>
            <w:noProof/>
          </w:rPr>
          <w:t>Not Applicable</w:t>
        </w:r>
        <w:r w:rsidR="005625CE">
          <w:rPr>
            <w:noProof/>
            <w:webHidden/>
          </w:rPr>
          <w:tab/>
        </w:r>
        <w:r w:rsidR="005625CE">
          <w:rPr>
            <w:noProof/>
            <w:webHidden/>
          </w:rPr>
          <w:fldChar w:fldCharType="begin"/>
        </w:r>
        <w:r w:rsidR="005625CE">
          <w:rPr>
            <w:noProof/>
            <w:webHidden/>
          </w:rPr>
          <w:instrText xml:space="preserve"> PAGEREF _Toc158968214 \h </w:instrText>
        </w:r>
        <w:r w:rsidR="005625CE">
          <w:rPr>
            <w:noProof/>
            <w:webHidden/>
          </w:rPr>
        </w:r>
        <w:r w:rsidR="005625CE">
          <w:rPr>
            <w:noProof/>
            <w:webHidden/>
          </w:rPr>
          <w:fldChar w:fldCharType="separate"/>
        </w:r>
        <w:r w:rsidR="005625CE">
          <w:rPr>
            <w:noProof/>
            <w:webHidden/>
          </w:rPr>
          <w:t>20</w:t>
        </w:r>
        <w:r w:rsidR="005625CE">
          <w:rPr>
            <w:noProof/>
            <w:webHidden/>
          </w:rPr>
          <w:fldChar w:fldCharType="end"/>
        </w:r>
      </w:hyperlink>
    </w:p>
    <w:p w14:paraId="49A3947F" w14:textId="77744476" w:rsidR="005625CE" w:rsidRDefault="00174A1E">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968215" w:history="1">
        <w:r w:rsidR="005625CE" w:rsidRPr="001B6EB2">
          <w:rPr>
            <w:rStyle w:val="Hyperlink"/>
            <w:noProof/>
          </w:rPr>
          <w:t>12. Arrangement for End of Contract</w:t>
        </w:r>
        <w:r w:rsidR="005625CE">
          <w:rPr>
            <w:noProof/>
            <w:webHidden/>
          </w:rPr>
          <w:tab/>
        </w:r>
        <w:r w:rsidR="005625CE">
          <w:rPr>
            <w:noProof/>
            <w:webHidden/>
          </w:rPr>
          <w:fldChar w:fldCharType="begin"/>
        </w:r>
        <w:r w:rsidR="005625CE">
          <w:rPr>
            <w:noProof/>
            <w:webHidden/>
          </w:rPr>
          <w:instrText xml:space="preserve"> PAGEREF _Toc158968215 \h </w:instrText>
        </w:r>
        <w:r w:rsidR="005625CE">
          <w:rPr>
            <w:noProof/>
            <w:webHidden/>
          </w:rPr>
        </w:r>
        <w:r w:rsidR="005625CE">
          <w:rPr>
            <w:noProof/>
            <w:webHidden/>
          </w:rPr>
          <w:fldChar w:fldCharType="separate"/>
        </w:r>
        <w:r w:rsidR="005625CE">
          <w:rPr>
            <w:noProof/>
            <w:webHidden/>
          </w:rPr>
          <w:t>20</w:t>
        </w:r>
        <w:r w:rsidR="005625CE">
          <w:rPr>
            <w:noProof/>
            <w:webHidden/>
          </w:rPr>
          <w:fldChar w:fldCharType="end"/>
        </w:r>
      </w:hyperlink>
    </w:p>
    <w:p w14:paraId="2384B99C" w14:textId="738F2F32" w:rsidR="005625CE" w:rsidRDefault="00174A1E">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968216" w:history="1">
        <w:r w:rsidR="005625CE" w:rsidRPr="001B6EB2">
          <w:rPr>
            <w:rStyle w:val="Hyperlink"/>
            <w:noProof/>
          </w:rPr>
          <w:t>13. Response Evaluation</w:t>
        </w:r>
        <w:r w:rsidR="005625CE">
          <w:rPr>
            <w:noProof/>
            <w:webHidden/>
          </w:rPr>
          <w:tab/>
        </w:r>
        <w:r w:rsidR="005625CE">
          <w:rPr>
            <w:noProof/>
            <w:webHidden/>
          </w:rPr>
          <w:fldChar w:fldCharType="begin"/>
        </w:r>
        <w:r w:rsidR="005625CE">
          <w:rPr>
            <w:noProof/>
            <w:webHidden/>
          </w:rPr>
          <w:instrText xml:space="preserve"> PAGEREF _Toc158968216 \h </w:instrText>
        </w:r>
        <w:r w:rsidR="005625CE">
          <w:rPr>
            <w:noProof/>
            <w:webHidden/>
          </w:rPr>
        </w:r>
        <w:r w:rsidR="005625CE">
          <w:rPr>
            <w:noProof/>
            <w:webHidden/>
          </w:rPr>
          <w:fldChar w:fldCharType="separate"/>
        </w:r>
        <w:r w:rsidR="005625CE">
          <w:rPr>
            <w:noProof/>
            <w:webHidden/>
          </w:rPr>
          <w:t>20</w:t>
        </w:r>
        <w:r w:rsidR="005625CE">
          <w:rPr>
            <w:noProof/>
            <w:webHidden/>
          </w:rPr>
          <w:fldChar w:fldCharType="end"/>
        </w:r>
      </w:hyperlink>
    </w:p>
    <w:p w14:paraId="35D1579C" w14:textId="0486FC86" w:rsidR="005625CE" w:rsidRDefault="00174A1E">
      <w:pPr>
        <w:pStyle w:val="TOC3"/>
        <w:tabs>
          <w:tab w:val="right" w:leader="dot" w:pos="9350"/>
        </w:tabs>
        <w:rPr>
          <w:rFonts w:asciiTheme="minorHAnsi" w:eastAsiaTheme="minorEastAsia" w:hAnsiTheme="minorHAnsi" w:cstheme="minorBidi"/>
          <w:noProof/>
          <w:kern w:val="2"/>
          <w:sz w:val="22"/>
          <w:szCs w:val="22"/>
          <w:lang w:eastAsia="en-GB"/>
          <w14:ligatures w14:val="standardContextual"/>
        </w:rPr>
      </w:pPr>
      <w:hyperlink w:anchor="_Toc158968217" w:history="1">
        <w:r w:rsidR="005625CE" w:rsidRPr="001B6EB2">
          <w:rPr>
            <w:rStyle w:val="Hyperlink"/>
            <w:bCs/>
            <w:noProof/>
          </w:rPr>
          <w:t>Due to this requirement being a direct award and below publishing threshold, this will not be formally evaluated. (Treated as an LVP)</w:t>
        </w:r>
        <w:r w:rsidR="005625CE">
          <w:rPr>
            <w:noProof/>
            <w:webHidden/>
          </w:rPr>
          <w:tab/>
        </w:r>
        <w:r w:rsidR="005625CE">
          <w:rPr>
            <w:noProof/>
            <w:webHidden/>
          </w:rPr>
          <w:fldChar w:fldCharType="begin"/>
        </w:r>
        <w:r w:rsidR="005625CE">
          <w:rPr>
            <w:noProof/>
            <w:webHidden/>
          </w:rPr>
          <w:instrText xml:space="preserve"> PAGEREF _Toc158968217 \h </w:instrText>
        </w:r>
        <w:r w:rsidR="005625CE">
          <w:rPr>
            <w:noProof/>
            <w:webHidden/>
          </w:rPr>
        </w:r>
        <w:r w:rsidR="005625CE">
          <w:rPr>
            <w:noProof/>
            <w:webHidden/>
          </w:rPr>
          <w:fldChar w:fldCharType="separate"/>
        </w:r>
        <w:r w:rsidR="005625CE">
          <w:rPr>
            <w:noProof/>
            <w:webHidden/>
          </w:rPr>
          <w:t>20</w:t>
        </w:r>
        <w:r w:rsidR="005625CE">
          <w:rPr>
            <w:noProof/>
            <w:webHidden/>
          </w:rPr>
          <w:fldChar w:fldCharType="end"/>
        </w:r>
      </w:hyperlink>
    </w:p>
    <w:p w14:paraId="3B1ACF84" w14:textId="51326E18" w:rsidR="005625CE" w:rsidRDefault="00174A1E">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968218" w:history="1">
        <w:r w:rsidR="005625CE" w:rsidRPr="001B6EB2">
          <w:rPr>
            <w:rStyle w:val="Hyperlink"/>
            <w:noProof/>
          </w:rPr>
          <w:t>Annexes</w:t>
        </w:r>
        <w:r w:rsidR="005625CE">
          <w:rPr>
            <w:noProof/>
            <w:webHidden/>
          </w:rPr>
          <w:tab/>
        </w:r>
        <w:r w:rsidR="005625CE">
          <w:rPr>
            <w:noProof/>
            <w:webHidden/>
          </w:rPr>
          <w:fldChar w:fldCharType="begin"/>
        </w:r>
        <w:r w:rsidR="005625CE">
          <w:rPr>
            <w:noProof/>
            <w:webHidden/>
          </w:rPr>
          <w:instrText xml:space="preserve"> PAGEREF _Toc158968218 \h </w:instrText>
        </w:r>
        <w:r w:rsidR="005625CE">
          <w:rPr>
            <w:noProof/>
            <w:webHidden/>
          </w:rPr>
        </w:r>
        <w:r w:rsidR="005625CE">
          <w:rPr>
            <w:noProof/>
            <w:webHidden/>
          </w:rPr>
          <w:fldChar w:fldCharType="separate"/>
        </w:r>
        <w:r w:rsidR="005625CE">
          <w:rPr>
            <w:noProof/>
            <w:webHidden/>
          </w:rPr>
          <w:t>20</w:t>
        </w:r>
        <w:r w:rsidR="005625CE">
          <w:rPr>
            <w:noProof/>
            <w:webHidden/>
          </w:rPr>
          <w:fldChar w:fldCharType="end"/>
        </w:r>
      </w:hyperlink>
    </w:p>
    <w:p w14:paraId="0E97DE9C" w14:textId="72CE7829" w:rsidR="005625CE" w:rsidRDefault="00174A1E">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968219" w:history="1">
        <w:r w:rsidR="005625CE" w:rsidRPr="001B6EB2">
          <w:rPr>
            <w:rStyle w:val="Hyperlink"/>
            <w:noProof/>
          </w:rPr>
          <w:t>Annex 1 – Framework Terms</w:t>
        </w:r>
        <w:r w:rsidR="005625CE">
          <w:rPr>
            <w:noProof/>
            <w:webHidden/>
          </w:rPr>
          <w:tab/>
        </w:r>
        <w:r w:rsidR="005625CE">
          <w:rPr>
            <w:noProof/>
            <w:webHidden/>
          </w:rPr>
          <w:fldChar w:fldCharType="begin"/>
        </w:r>
        <w:r w:rsidR="005625CE">
          <w:rPr>
            <w:noProof/>
            <w:webHidden/>
          </w:rPr>
          <w:instrText xml:space="preserve"> PAGEREF _Toc158968219 \h </w:instrText>
        </w:r>
        <w:r w:rsidR="005625CE">
          <w:rPr>
            <w:noProof/>
            <w:webHidden/>
          </w:rPr>
        </w:r>
        <w:r w:rsidR="005625CE">
          <w:rPr>
            <w:noProof/>
            <w:webHidden/>
          </w:rPr>
          <w:fldChar w:fldCharType="separate"/>
        </w:r>
        <w:r w:rsidR="005625CE">
          <w:rPr>
            <w:noProof/>
            <w:webHidden/>
          </w:rPr>
          <w:t>20</w:t>
        </w:r>
        <w:r w:rsidR="005625CE">
          <w:rPr>
            <w:noProof/>
            <w:webHidden/>
          </w:rPr>
          <w:fldChar w:fldCharType="end"/>
        </w:r>
      </w:hyperlink>
    </w:p>
    <w:p w14:paraId="7343D079" w14:textId="07CD1945" w:rsidR="005625CE" w:rsidRDefault="00174A1E">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968220" w:history="1">
        <w:r w:rsidR="005625CE" w:rsidRPr="001B6EB2">
          <w:rPr>
            <w:rStyle w:val="Hyperlink"/>
            <w:noProof/>
          </w:rPr>
          <w:t>Annex 2 – Statement of Assurance</w:t>
        </w:r>
        <w:r w:rsidR="005625CE">
          <w:rPr>
            <w:noProof/>
            <w:webHidden/>
          </w:rPr>
          <w:tab/>
        </w:r>
        <w:r w:rsidR="005625CE">
          <w:rPr>
            <w:noProof/>
            <w:webHidden/>
          </w:rPr>
          <w:fldChar w:fldCharType="begin"/>
        </w:r>
        <w:r w:rsidR="005625CE">
          <w:rPr>
            <w:noProof/>
            <w:webHidden/>
          </w:rPr>
          <w:instrText xml:space="preserve"> PAGEREF _Toc158968220 \h </w:instrText>
        </w:r>
        <w:r w:rsidR="005625CE">
          <w:rPr>
            <w:noProof/>
            <w:webHidden/>
          </w:rPr>
        </w:r>
        <w:r w:rsidR="005625CE">
          <w:rPr>
            <w:noProof/>
            <w:webHidden/>
          </w:rPr>
          <w:fldChar w:fldCharType="separate"/>
        </w:r>
        <w:r w:rsidR="005625CE">
          <w:rPr>
            <w:noProof/>
            <w:webHidden/>
          </w:rPr>
          <w:t>20</w:t>
        </w:r>
        <w:r w:rsidR="005625CE">
          <w:rPr>
            <w:noProof/>
            <w:webHidden/>
          </w:rPr>
          <w:fldChar w:fldCharType="end"/>
        </w:r>
      </w:hyperlink>
    </w:p>
    <w:p w14:paraId="0BA1AEF1" w14:textId="28767CDD" w:rsidR="005625CE" w:rsidRDefault="00174A1E">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968221" w:history="1">
        <w:r w:rsidR="005625CE" w:rsidRPr="001B6EB2">
          <w:rPr>
            <w:rStyle w:val="Hyperlink"/>
            <w:rFonts w:eastAsia="Calibri"/>
            <w:noProof/>
          </w:rPr>
          <w:t>Annex 3a – Health and Safety Policy (for information)</w:t>
        </w:r>
        <w:r w:rsidR="005625CE">
          <w:rPr>
            <w:noProof/>
            <w:webHidden/>
          </w:rPr>
          <w:tab/>
        </w:r>
        <w:r w:rsidR="005625CE">
          <w:rPr>
            <w:noProof/>
            <w:webHidden/>
          </w:rPr>
          <w:fldChar w:fldCharType="begin"/>
        </w:r>
        <w:r w:rsidR="005625CE">
          <w:rPr>
            <w:noProof/>
            <w:webHidden/>
          </w:rPr>
          <w:instrText xml:space="preserve"> PAGEREF _Toc158968221 \h </w:instrText>
        </w:r>
        <w:r w:rsidR="005625CE">
          <w:rPr>
            <w:noProof/>
            <w:webHidden/>
          </w:rPr>
        </w:r>
        <w:r w:rsidR="005625CE">
          <w:rPr>
            <w:noProof/>
            <w:webHidden/>
          </w:rPr>
          <w:fldChar w:fldCharType="separate"/>
        </w:r>
        <w:r w:rsidR="005625CE">
          <w:rPr>
            <w:noProof/>
            <w:webHidden/>
          </w:rPr>
          <w:t>20</w:t>
        </w:r>
        <w:r w:rsidR="005625CE">
          <w:rPr>
            <w:noProof/>
            <w:webHidden/>
          </w:rPr>
          <w:fldChar w:fldCharType="end"/>
        </w:r>
      </w:hyperlink>
    </w:p>
    <w:p w14:paraId="54C10620" w14:textId="1BC39D3F" w:rsidR="005625CE" w:rsidRDefault="00174A1E">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968222" w:history="1">
        <w:r w:rsidR="005625CE" w:rsidRPr="001B6EB2">
          <w:rPr>
            <w:rStyle w:val="Hyperlink"/>
            <w:rFonts w:eastAsia="Calibri"/>
            <w:noProof/>
          </w:rPr>
          <w:t xml:space="preserve">Annex 3b – Health and Safety Policy </w:t>
        </w:r>
        <w:r w:rsidR="005625CE" w:rsidRPr="001B6EB2">
          <w:rPr>
            <w:rStyle w:val="Hyperlink"/>
            <w:noProof/>
          </w:rPr>
          <w:t>(for completion and return)</w:t>
        </w:r>
        <w:r w:rsidR="005625CE">
          <w:rPr>
            <w:noProof/>
            <w:webHidden/>
          </w:rPr>
          <w:tab/>
        </w:r>
        <w:r w:rsidR="005625CE">
          <w:rPr>
            <w:noProof/>
            <w:webHidden/>
          </w:rPr>
          <w:fldChar w:fldCharType="begin"/>
        </w:r>
        <w:r w:rsidR="005625CE">
          <w:rPr>
            <w:noProof/>
            <w:webHidden/>
          </w:rPr>
          <w:instrText xml:space="preserve"> PAGEREF _Toc158968222 \h </w:instrText>
        </w:r>
        <w:r w:rsidR="005625CE">
          <w:rPr>
            <w:noProof/>
            <w:webHidden/>
          </w:rPr>
        </w:r>
        <w:r w:rsidR="005625CE">
          <w:rPr>
            <w:noProof/>
            <w:webHidden/>
          </w:rPr>
          <w:fldChar w:fldCharType="separate"/>
        </w:r>
        <w:r w:rsidR="005625CE">
          <w:rPr>
            <w:noProof/>
            <w:webHidden/>
          </w:rPr>
          <w:t>20</w:t>
        </w:r>
        <w:r w:rsidR="005625CE">
          <w:rPr>
            <w:noProof/>
            <w:webHidden/>
          </w:rPr>
          <w:fldChar w:fldCharType="end"/>
        </w:r>
      </w:hyperlink>
    </w:p>
    <w:p w14:paraId="0C14EAC5" w14:textId="6CE64718" w:rsidR="005625CE" w:rsidRDefault="00174A1E">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968223" w:history="1">
        <w:r w:rsidR="005625CE" w:rsidRPr="001B6EB2">
          <w:rPr>
            <w:rStyle w:val="Hyperlink"/>
            <w:rFonts w:eastAsia="Calibri"/>
            <w:noProof/>
          </w:rPr>
          <w:t>Annex 4 – Procurement Fraud Statement (for information)</w:t>
        </w:r>
        <w:r w:rsidR="005625CE">
          <w:rPr>
            <w:noProof/>
            <w:webHidden/>
          </w:rPr>
          <w:tab/>
        </w:r>
        <w:r w:rsidR="005625CE">
          <w:rPr>
            <w:noProof/>
            <w:webHidden/>
          </w:rPr>
          <w:fldChar w:fldCharType="begin"/>
        </w:r>
        <w:r w:rsidR="005625CE">
          <w:rPr>
            <w:noProof/>
            <w:webHidden/>
          </w:rPr>
          <w:instrText xml:space="preserve"> PAGEREF _Toc158968223 \h </w:instrText>
        </w:r>
        <w:r w:rsidR="005625CE">
          <w:rPr>
            <w:noProof/>
            <w:webHidden/>
          </w:rPr>
        </w:r>
        <w:r w:rsidR="005625CE">
          <w:rPr>
            <w:noProof/>
            <w:webHidden/>
          </w:rPr>
          <w:fldChar w:fldCharType="separate"/>
        </w:r>
        <w:r w:rsidR="005625CE">
          <w:rPr>
            <w:noProof/>
            <w:webHidden/>
          </w:rPr>
          <w:t>21</w:t>
        </w:r>
        <w:r w:rsidR="005625CE">
          <w:rPr>
            <w:noProof/>
            <w:webHidden/>
          </w:rPr>
          <w:fldChar w:fldCharType="end"/>
        </w:r>
      </w:hyperlink>
    </w:p>
    <w:p w14:paraId="197F45AF" w14:textId="220E4001" w:rsidR="005625CE" w:rsidRDefault="00174A1E">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968224" w:history="1">
        <w:r w:rsidR="005625CE" w:rsidRPr="001B6EB2">
          <w:rPr>
            <w:rStyle w:val="Hyperlink"/>
            <w:noProof/>
          </w:rPr>
          <w:t>Annex 5 – Pricing Schedule (for completion and return)</w:t>
        </w:r>
        <w:r w:rsidR="005625CE">
          <w:rPr>
            <w:noProof/>
            <w:webHidden/>
          </w:rPr>
          <w:tab/>
        </w:r>
        <w:r w:rsidR="005625CE">
          <w:rPr>
            <w:noProof/>
            <w:webHidden/>
          </w:rPr>
          <w:fldChar w:fldCharType="begin"/>
        </w:r>
        <w:r w:rsidR="005625CE">
          <w:rPr>
            <w:noProof/>
            <w:webHidden/>
          </w:rPr>
          <w:instrText xml:space="preserve"> PAGEREF _Toc158968224 \h </w:instrText>
        </w:r>
        <w:r w:rsidR="005625CE">
          <w:rPr>
            <w:noProof/>
            <w:webHidden/>
          </w:rPr>
        </w:r>
        <w:r w:rsidR="005625CE">
          <w:rPr>
            <w:noProof/>
            <w:webHidden/>
          </w:rPr>
          <w:fldChar w:fldCharType="separate"/>
        </w:r>
        <w:r w:rsidR="005625CE">
          <w:rPr>
            <w:noProof/>
            <w:webHidden/>
          </w:rPr>
          <w:t>21</w:t>
        </w:r>
        <w:r w:rsidR="005625CE">
          <w:rPr>
            <w:noProof/>
            <w:webHidden/>
          </w:rPr>
          <w:fldChar w:fldCharType="end"/>
        </w:r>
      </w:hyperlink>
    </w:p>
    <w:p w14:paraId="42A1144E" w14:textId="3A59BB82" w:rsidR="005625CE" w:rsidRDefault="00174A1E">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968225" w:history="1">
        <w:r w:rsidR="005625CE" w:rsidRPr="001B6EB2">
          <w:rPr>
            <w:rStyle w:val="Hyperlink"/>
            <w:noProof/>
          </w:rPr>
          <w:t>Annex 6 - Diversity and Inclusion Policy</w:t>
        </w:r>
        <w:r w:rsidR="005625CE">
          <w:rPr>
            <w:noProof/>
            <w:webHidden/>
          </w:rPr>
          <w:tab/>
        </w:r>
        <w:r w:rsidR="005625CE">
          <w:rPr>
            <w:noProof/>
            <w:webHidden/>
          </w:rPr>
          <w:fldChar w:fldCharType="begin"/>
        </w:r>
        <w:r w:rsidR="005625CE">
          <w:rPr>
            <w:noProof/>
            <w:webHidden/>
          </w:rPr>
          <w:instrText xml:space="preserve"> PAGEREF _Toc158968225 \h </w:instrText>
        </w:r>
        <w:r w:rsidR="005625CE">
          <w:rPr>
            <w:noProof/>
            <w:webHidden/>
          </w:rPr>
        </w:r>
        <w:r w:rsidR="005625CE">
          <w:rPr>
            <w:noProof/>
            <w:webHidden/>
          </w:rPr>
          <w:fldChar w:fldCharType="separate"/>
        </w:r>
        <w:r w:rsidR="005625CE">
          <w:rPr>
            <w:noProof/>
            <w:webHidden/>
          </w:rPr>
          <w:t>21</w:t>
        </w:r>
        <w:r w:rsidR="005625CE">
          <w:rPr>
            <w:noProof/>
            <w:webHidden/>
          </w:rPr>
          <w:fldChar w:fldCharType="end"/>
        </w:r>
      </w:hyperlink>
    </w:p>
    <w:p w14:paraId="3894C3FC" w14:textId="3501E73A" w:rsidR="005625CE" w:rsidRDefault="00174A1E">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968226" w:history="1">
        <w:r w:rsidR="005625CE" w:rsidRPr="001B6EB2">
          <w:rPr>
            <w:rStyle w:val="Hyperlink"/>
            <w:rFonts w:eastAsia="Calibri"/>
            <w:noProof/>
          </w:rPr>
          <w:t>Annex 7 – Invoicing Procedures (for information)</w:t>
        </w:r>
        <w:r w:rsidR="005625CE">
          <w:rPr>
            <w:noProof/>
            <w:webHidden/>
          </w:rPr>
          <w:tab/>
        </w:r>
        <w:r w:rsidR="005625CE">
          <w:rPr>
            <w:noProof/>
            <w:webHidden/>
          </w:rPr>
          <w:fldChar w:fldCharType="begin"/>
        </w:r>
        <w:r w:rsidR="005625CE">
          <w:rPr>
            <w:noProof/>
            <w:webHidden/>
          </w:rPr>
          <w:instrText xml:space="preserve"> PAGEREF _Toc158968226 \h </w:instrText>
        </w:r>
        <w:r w:rsidR="005625CE">
          <w:rPr>
            <w:noProof/>
            <w:webHidden/>
          </w:rPr>
        </w:r>
        <w:r w:rsidR="005625CE">
          <w:rPr>
            <w:noProof/>
            <w:webHidden/>
          </w:rPr>
          <w:fldChar w:fldCharType="separate"/>
        </w:r>
        <w:r w:rsidR="005625CE">
          <w:rPr>
            <w:noProof/>
            <w:webHidden/>
          </w:rPr>
          <w:t>21</w:t>
        </w:r>
        <w:r w:rsidR="005625CE">
          <w:rPr>
            <w:noProof/>
            <w:webHidden/>
          </w:rPr>
          <w:fldChar w:fldCharType="end"/>
        </w:r>
      </w:hyperlink>
    </w:p>
    <w:p w14:paraId="3E2F779C" w14:textId="28C92CD7" w:rsidR="005625CE" w:rsidRDefault="00174A1E">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968227" w:history="1">
        <w:r w:rsidR="005625CE" w:rsidRPr="001B6EB2">
          <w:rPr>
            <w:rStyle w:val="Hyperlink"/>
            <w:rFonts w:eastAsia="Calibri"/>
            <w:noProof/>
          </w:rPr>
          <w:t>Annex 8 – Armed Forces (for information)</w:t>
        </w:r>
        <w:r w:rsidR="005625CE">
          <w:rPr>
            <w:noProof/>
            <w:webHidden/>
          </w:rPr>
          <w:tab/>
        </w:r>
        <w:r w:rsidR="005625CE">
          <w:rPr>
            <w:noProof/>
            <w:webHidden/>
          </w:rPr>
          <w:fldChar w:fldCharType="begin"/>
        </w:r>
        <w:r w:rsidR="005625CE">
          <w:rPr>
            <w:noProof/>
            <w:webHidden/>
          </w:rPr>
          <w:instrText xml:space="preserve"> PAGEREF _Toc158968227 \h </w:instrText>
        </w:r>
        <w:r w:rsidR="005625CE">
          <w:rPr>
            <w:noProof/>
            <w:webHidden/>
          </w:rPr>
        </w:r>
        <w:r w:rsidR="005625CE">
          <w:rPr>
            <w:noProof/>
            <w:webHidden/>
          </w:rPr>
          <w:fldChar w:fldCharType="separate"/>
        </w:r>
        <w:r w:rsidR="005625CE">
          <w:rPr>
            <w:noProof/>
            <w:webHidden/>
          </w:rPr>
          <w:t>21</w:t>
        </w:r>
        <w:r w:rsidR="005625CE">
          <w:rPr>
            <w:noProof/>
            <w:webHidden/>
          </w:rPr>
          <w:fldChar w:fldCharType="end"/>
        </w:r>
      </w:hyperlink>
    </w:p>
    <w:p w14:paraId="3E0C6613" w14:textId="5DC5FC2D" w:rsidR="005625CE" w:rsidRDefault="00174A1E">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968228" w:history="1">
        <w:r w:rsidR="005625CE" w:rsidRPr="001B6EB2">
          <w:rPr>
            <w:rStyle w:val="Hyperlink"/>
            <w:noProof/>
          </w:rPr>
          <w:t>Annex 9 – DVLA Environmental Policy (for information)</w:t>
        </w:r>
        <w:r w:rsidR="005625CE">
          <w:rPr>
            <w:noProof/>
            <w:webHidden/>
          </w:rPr>
          <w:tab/>
        </w:r>
        <w:r w:rsidR="005625CE">
          <w:rPr>
            <w:noProof/>
            <w:webHidden/>
          </w:rPr>
          <w:fldChar w:fldCharType="begin"/>
        </w:r>
        <w:r w:rsidR="005625CE">
          <w:rPr>
            <w:noProof/>
            <w:webHidden/>
          </w:rPr>
          <w:instrText xml:space="preserve"> PAGEREF _Toc158968228 \h </w:instrText>
        </w:r>
        <w:r w:rsidR="005625CE">
          <w:rPr>
            <w:noProof/>
            <w:webHidden/>
          </w:rPr>
        </w:r>
        <w:r w:rsidR="005625CE">
          <w:rPr>
            <w:noProof/>
            <w:webHidden/>
          </w:rPr>
          <w:fldChar w:fldCharType="separate"/>
        </w:r>
        <w:r w:rsidR="005625CE">
          <w:rPr>
            <w:noProof/>
            <w:webHidden/>
          </w:rPr>
          <w:t>21</w:t>
        </w:r>
        <w:r w:rsidR="005625CE">
          <w:rPr>
            <w:noProof/>
            <w:webHidden/>
          </w:rPr>
          <w:fldChar w:fldCharType="end"/>
        </w:r>
      </w:hyperlink>
    </w:p>
    <w:p w14:paraId="7CB4CEE6" w14:textId="01D59E62" w:rsidR="005625CE" w:rsidRDefault="00174A1E">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968229" w:history="1">
        <w:r w:rsidR="005625CE" w:rsidRPr="001B6EB2">
          <w:rPr>
            <w:rStyle w:val="Hyperlink"/>
            <w:rFonts w:eastAsia="Calibri"/>
            <w:noProof/>
          </w:rPr>
          <w:t>Annex 10 – TUPE Staff Numbers</w:t>
        </w:r>
        <w:r w:rsidR="005625CE">
          <w:rPr>
            <w:noProof/>
            <w:webHidden/>
          </w:rPr>
          <w:tab/>
        </w:r>
        <w:r w:rsidR="005625CE">
          <w:rPr>
            <w:noProof/>
            <w:webHidden/>
          </w:rPr>
          <w:fldChar w:fldCharType="begin"/>
        </w:r>
        <w:r w:rsidR="005625CE">
          <w:rPr>
            <w:noProof/>
            <w:webHidden/>
          </w:rPr>
          <w:instrText xml:space="preserve"> PAGEREF _Toc158968229 \h </w:instrText>
        </w:r>
        <w:r w:rsidR="005625CE">
          <w:rPr>
            <w:noProof/>
            <w:webHidden/>
          </w:rPr>
        </w:r>
        <w:r w:rsidR="005625CE">
          <w:rPr>
            <w:noProof/>
            <w:webHidden/>
          </w:rPr>
          <w:fldChar w:fldCharType="separate"/>
        </w:r>
        <w:r w:rsidR="005625CE">
          <w:rPr>
            <w:noProof/>
            <w:webHidden/>
          </w:rPr>
          <w:t>21</w:t>
        </w:r>
        <w:r w:rsidR="005625CE">
          <w:rPr>
            <w:noProof/>
            <w:webHidden/>
          </w:rPr>
          <w:fldChar w:fldCharType="end"/>
        </w:r>
      </w:hyperlink>
    </w:p>
    <w:p w14:paraId="3F725241" w14:textId="3F177A99" w:rsidR="005625CE" w:rsidRDefault="00174A1E">
      <w:pPr>
        <w:pStyle w:val="TOC2"/>
        <w:rPr>
          <w:rFonts w:asciiTheme="minorHAnsi" w:eastAsiaTheme="minorEastAsia" w:hAnsiTheme="minorHAnsi" w:cstheme="minorBidi"/>
          <w:b w:val="0"/>
          <w:bCs w:val="0"/>
          <w:noProof/>
          <w:kern w:val="2"/>
          <w:sz w:val="22"/>
          <w:szCs w:val="22"/>
          <w:lang w:eastAsia="en-GB"/>
          <w14:ligatures w14:val="standardContextual"/>
        </w:rPr>
      </w:pPr>
      <w:hyperlink w:anchor="_Toc158968230" w:history="1">
        <w:r w:rsidR="005625CE" w:rsidRPr="001B6EB2">
          <w:rPr>
            <w:rStyle w:val="Hyperlink"/>
            <w:noProof/>
          </w:rPr>
          <w:t>Annex 11 – Vehicle Claims History</w:t>
        </w:r>
        <w:r w:rsidR="005625CE">
          <w:rPr>
            <w:noProof/>
            <w:webHidden/>
          </w:rPr>
          <w:tab/>
        </w:r>
        <w:r w:rsidR="005625CE">
          <w:rPr>
            <w:noProof/>
            <w:webHidden/>
          </w:rPr>
          <w:fldChar w:fldCharType="begin"/>
        </w:r>
        <w:r w:rsidR="005625CE">
          <w:rPr>
            <w:noProof/>
            <w:webHidden/>
          </w:rPr>
          <w:instrText xml:space="preserve"> PAGEREF _Toc158968230 \h </w:instrText>
        </w:r>
        <w:r w:rsidR="005625CE">
          <w:rPr>
            <w:noProof/>
            <w:webHidden/>
          </w:rPr>
        </w:r>
        <w:r w:rsidR="005625CE">
          <w:rPr>
            <w:noProof/>
            <w:webHidden/>
          </w:rPr>
          <w:fldChar w:fldCharType="separate"/>
        </w:r>
        <w:r w:rsidR="005625CE">
          <w:rPr>
            <w:noProof/>
            <w:webHidden/>
          </w:rPr>
          <w:t>22</w:t>
        </w:r>
        <w:r w:rsidR="005625CE">
          <w:rPr>
            <w:noProof/>
            <w:webHidden/>
          </w:rPr>
          <w:fldChar w:fldCharType="end"/>
        </w:r>
      </w:hyperlink>
    </w:p>
    <w:p w14:paraId="602D5C99" w14:textId="1FCA5577" w:rsidR="00F77980" w:rsidRDefault="00F77980" w:rsidP="00F77980">
      <w:r>
        <w:rPr>
          <w:rFonts w:cs="Arial"/>
          <w:bCs/>
          <w:szCs w:val="24"/>
        </w:rPr>
        <w:fldChar w:fldCharType="end"/>
      </w:r>
    </w:p>
    <w:p w14:paraId="594FA2C1" w14:textId="57ABE45A" w:rsidR="00E14466" w:rsidRDefault="00E14466" w:rsidP="00F77980"/>
    <w:p w14:paraId="31315B7E" w14:textId="785B75BE" w:rsidR="00E14466" w:rsidRPr="00C23EA4" w:rsidRDefault="00E14466">
      <w:pPr>
        <w:rPr>
          <w:rFonts w:cs="Arial"/>
        </w:rPr>
      </w:pPr>
      <w:r w:rsidRPr="00C23EA4">
        <w:rPr>
          <w:rFonts w:cs="Arial"/>
        </w:rPr>
        <w:br w:type="page"/>
      </w:r>
    </w:p>
    <w:p w14:paraId="1F5CE638" w14:textId="2462076F" w:rsidR="001A236D" w:rsidRDefault="001A236D" w:rsidP="00BA3280">
      <w:pPr>
        <w:pStyle w:val="Heading2"/>
        <w:numPr>
          <w:ilvl w:val="0"/>
          <w:numId w:val="31"/>
        </w:numPr>
        <w:tabs>
          <w:tab w:val="clear" w:pos="0"/>
          <w:tab w:val="left" w:pos="-180"/>
        </w:tabs>
      </w:pPr>
      <w:bookmarkStart w:id="3" w:name="_Toc158968192"/>
      <w:r w:rsidRPr="00237E4B">
        <w:lastRenderedPageBreak/>
        <w:t>Introduction</w:t>
      </w:r>
      <w:bookmarkEnd w:id="1"/>
      <w:bookmarkEnd w:id="2"/>
      <w:bookmarkEnd w:id="3"/>
    </w:p>
    <w:p w14:paraId="5A07AA5B" w14:textId="77777777" w:rsidR="00BA3280" w:rsidRPr="00BA3280" w:rsidRDefault="00BA3280" w:rsidP="00BA3280">
      <w:pPr>
        <w:ind w:left="360"/>
        <w:jc w:val="both"/>
        <w:rPr>
          <w:rFonts w:cs="Arial"/>
          <w:szCs w:val="16"/>
        </w:rPr>
      </w:pPr>
      <w:r w:rsidRPr="00BA3280">
        <w:rPr>
          <w:rFonts w:cs="Arial"/>
          <w:szCs w:val="16"/>
        </w:rPr>
        <w:t>The Driver and Vehicle Licensing Agency (DVLA) is an Executive Agency of the Department for Transport (DfT).</w:t>
      </w:r>
    </w:p>
    <w:p w14:paraId="731F46FD" w14:textId="77777777" w:rsidR="00BA3280" w:rsidRPr="00BA3280" w:rsidRDefault="00BA3280" w:rsidP="00BA3280">
      <w:pPr>
        <w:ind w:left="792"/>
        <w:jc w:val="both"/>
        <w:rPr>
          <w:rFonts w:cs="Arial"/>
          <w:szCs w:val="16"/>
        </w:rPr>
      </w:pPr>
    </w:p>
    <w:p w14:paraId="11F34143" w14:textId="77777777" w:rsidR="00BA3280" w:rsidRPr="00BA3280" w:rsidRDefault="00BA3280" w:rsidP="00BA3280">
      <w:pPr>
        <w:ind w:left="360"/>
        <w:jc w:val="both"/>
        <w:rPr>
          <w:rFonts w:cs="Arial"/>
          <w:szCs w:val="16"/>
        </w:rPr>
      </w:pPr>
      <w:r w:rsidRPr="00BA3280">
        <w:rPr>
          <w:rFonts w:cs="Arial"/>
          <w:szCs w:val="16"/>
        </w:rPr>
        <w:t>DVLA holds over 45 million driver records and over 39 million vehicle records and is responsible for collecting around £6 billion a year in Vehicle Excise Duty (VED).</w:t>
      </w:r>
    </w:p>
    <w:p w14:paraId="3C1B69CD" w14:textId="77777777" w:rsidR="00BA3280" w:rsidRPr="00BA3280" w:rsidRDefault="00BA3280" w:rsidP="00BA3280">
      <w:pPr>
        <w:pStyle w:val="ListParagraph"/>
        <w:jc w:val="both"/>
        <w:rPr>
          <w:rFonts w:ascii="Arial" w:hAnsi="Arial" w:cs="Arial"/>
          <w:szCs w:val="16"/>
        </w:rPr>
      </w:pPr>
    </w:p>
    <w:p w14:paraId="02B6BBBD" w14:textId="77777777" w:rsidR="00BA3280" w:rsidRPr="00BA3280" w:rsidRDefault="00BA3280" w:rsidP="00BA3280">
      <w:pPr>
        <w:ind w:left="360"/>
        <w:jc w:val="both"/>
        <w:rPr>
          <w:rFonts w:cs="Arial"/>
          <w:szCs w:val="16"/>
        </w:rPr>
      </w:pPr>
      <w:r w:rsidRPr="00BA3280">
        <w:rPr>
          <w:rFonts w:cs="Arial"/>
          <w:szCs w:val="16"/>
        </w:rPr>
        <w:t>In addition to DVLA’s core business of maintaining accurate and up to date records of drivers and vehicles, we are responsible for:</w:t>
      </w:r>
    </w:p>
    <w:p w14:paraId="374CE21B" w14:textId="77777777" w:rsidR="00BA3280" w:rsidRPr="00BA3280" w:rsidRDefault="00BA3280" w:rsidP="00BA3280">
      <w:pPr>
        <w:pStyle w:val="ListParagraph"/>
        <w:jc w:val="both"/>
        <w:rPr>
          <w:rFonts w:ascii="Arial" w:hAnsi="Arial" w:cs="Arial"/>
          <w:szCs w:val="16"/>
        </w:rPr>
      </w:pPr>
    </w:p>
    <w:p w14:paraId="1B8AF23E" w14:textId="77777777" w:rsidR="00BA3280" w:rsidRPr="00BA3280" w:rsidRDefault="00BA3280" w:rsidP="00BA3280">
      <w:pPr>
        <w:numPr>
          <w:ilvl w:val="0"/>
          <w:numId w:val="32"/>
        </w:numPr>
        <w:jc w:val="both"/>
        <w:rPr>
          <w:rFonts w:cs="Arial"/>
        </w:rPr>
      </w:pPr>
      <w:r w:rsidRPr="00BA3280">
        <w:rPr>
          <w:rFonts w:cs="Arial"/>
        </w:rPr>
        <w:t>recording driver endorsements, disqualifications and medical conditions</w:t>
      </w:r>
    </w:p>
    <w:p w14:paraId="3C7BE321" w14:textId="77777777" w:rsidR="00BA3280" w:rsidRPr="00BA3280" w:rsidRDefault="00BA3280" w:rsidP="00BA3280">
      <w:pPr>
        <w:numPr>
          <w:ilvl w:val="0"/>
          <w:numId w:val="32"/>
        </w:numPr>
        <w:jc w:val="both"/>
        <w:rPr>
          <w:rFonts w:cs="Arial"/>
        </w:rPr>
      </w:pPr>
      <w:r w:rsidRPr="00BA3280">
        <w:rPr>
          <w:rFonts w:cs="Arial"/>
        </w:rPr>
        <w:t>issuing photocard driving licences</w:t>
      </w:r>
    </w:p>
    <w:p w14:paraId="77C54213" w14:textId="77777777" w:rsidR="00BA3280" w:rsidRPr="00BA3280" w:rsidRDefault="00BA3280" w:rsidP="00BA3280">
      <w:pPr>
        <w:numPr>
          <w:ilvl w:val="0"/>
          <w:numId w:val="32"/>
        </w:numPr>
        <w:jc w:val="both"/>
        <w:rPr>
          <w:rFonts w:cs="Arial"/>
        </w:rPr>
      </w:pPr>
      <w:r w:rsidRPr="00BA3280">
        <w:rPr>
          <w:rFonts w:cs="Arial"/>
        </w:rPr>
        <w:t>issuing vehicle registration certificates to vehicle keepers</w:t>
      </w:r>
    </w:p>
    <w:p w14:paraId="6584D1FB" w14:textId="77777777" w:rsidR="00BA3280" w:rsidRPr="00BA3280" w:rsidRDefault="00BA3280" w:rsidP="00BA3280">
      <w:pPr>
        <w:numPr>
          <w:ilvl w:val="0"/>
          <w:numId w:val="32"/>
        </w:numPr>
        <w:jc w:val="both"/>
        <w:rPr>
          <w:rFonts w:cs="Arial"/>
        </w:rPr>
      </w:pPr>
      <w:r w:rsidRPr="00BA3280">
        <w:rPr>
          <w:rFonts w:cs="Arial"/>
        </w:rPr>
        <w:t>taking enforcement action against vehicle tax evaders</w:t>
      </w:r>
    </w:p>
    <w:p w14:paraId="3378666C" w14:textId="77777777" w:rsidR="00BA3280" w:rsidRPr="00BA3280" w:rsidRDefault="00BA3280" w:rsidP="00BA3280">
      <w:pPr>
        <w:numPr>
          <w:ilvl w:val="0"/>
          <w:numId w:val="32"/>
        </w:numPr>
        <w:jc w:val="both"/>
        <w:rPr>
          <w:rFonts w:cs="Arial"/>
        </w:rPr>
      </w:pPr>
      <w:r w:rsidRPr="00BA3280">
        <w:rPr>
          <w:rFonts w:cs="Arial"/>
        </w:rPr>
        <w:t>registering and issuing tachograph cards</w:t>
      </w:r>
    </w:p>
    <w:p w14:paraId="2CFE07B7" w14:textId="77777777" w:rsidR="00BA3280" w:rsidRPr="00BA3280" w:rsidRDefault="00BA3280" w:rsidP="00BA3280">
      <w:pPr>
        <w:numPr>
          <w:ilvl w:val="0"/>
          <w:numId w:val="32"/>
        </w:numPr>
        <w:jc w:val="both"/>
        <w:rPr>
          <w:rFonts w:cs="Arial"/>
        </w:rPr>
      </w:pPr>
      <w:r w:rsidRPr="00BA3280">
        <w:rPr>
          <w:rFonts w:cs="Arial"/>
        </w:rPr>
        <w:t>selling DVLA personalised registrations</w:t>
      </w:r>
    </w:p>
    <w:p w14:paraId="287AC016" w14:textId="77777777" w:rsidR="00BA3280" w:rsidRPr="00BA3280" w:rsidRDefault="00BA3280" w:rsidP="00BA3280">
      <w:pPr>
        <w:numPr>
          <w:ilvl w:val="0"/>
          <w:numId w:val="32"/>
        </w:numPr>
        <w:jc w:val="both"/>
        <w:rPr>
          <w:rFonts w:cs="Arial"/>
        </w:rPr>
      </w:pPr>
      <w:r w:rsidRPr="00BA3280">
        <w:rPr>
          <w:rFonts w:cs="Arial"/>
        </w:rPr>
        <w:t>helping the police and intelligence authorities deal with vehicle related crime</w:t>
      </w:r>
    </w:p>
    <w:p w14:paraId="0827E636" w14:textId="77777777" w:rsidR="00BA3280" w:rsidRPr="00BA3280" w:rsidRDefault="00BA3280" w:rsidP="00BA3280">
      <w:pPr>
        <w:numPr>
          <w:ilvl w:val="0"/>
          <w:numId w:val="32"/>
        </w:numPr>
        <w:jc w:val="both"/>
        <w:rPr>
          <w:rFonts w:cs="Arial"/>
        </w:rPr>
      </w:pPr>
      <w:r w:rsidRPr="00BA3280">
        <w:rPr>
          <w:rFonts w:cs="Arial"/>
        </w:rPr>
        <w:t>selling anonymised data to those who have the right to use the service</w:t>
      </w:r>
    </w:p>
    <w:p w14:paraId="5FC402BE" w14:textId="77777777" w:rsidR="00BA3280" w:rsidRPr="00BA3280" w:rsidRDefault="00BA3280" w:rsidP="00BA3280">
      <w:pPr>
        <w:pStyle w:val="Heading3"/>
        <w:ind w:left="720"/>
      </w:pPr>
    </w:p>
    <w:p w14:paraId="5A55FD37" w14:textId="58DD11C0" w:rsidR="00031DF7" w:rsidRDefault="00031DF7" w:rsidP="00BA3280">
      <w:pPr>
        <w:rPr>
          <w:rFonts w:cs="Arial"/>
        </w:rPr>
      </w:pPr>
      <w:r w:rsidRPr="009A66BA">
        <w:rPr>
          <w:rFonts w:cs="Arial"/>
        </w:rPr>
        <w:t xml:space="preserve">In </w:t>
      </w:r>
      <w:r w:rsidRPr="00732BE5">
        <w:rPr>
          <w:rFonts w:cs="Arial"/>
        </w:rPr>
        <w:t>accordance wi</w:t>
      </w:r>
      <w:r>
        <w:rPr>
          <w:rFonts w:cs="Arial"/>
        </w:rPr>
        <w:t>th the terms and conditions</w:t>
      </w:r>
      <w:r w:rsidRPr="00732BE5">
        <w:rPr>
          <w:rFonts w:cs="Arial"/>
        </w:rPr>
        <w:t xml:space="preserve"> </w:t>
      </w:r>
      <w:r w:rsidRPr="00A84986">
        <w:rPr>
          <w:rFonts w:cs="Arial"/>
          <w:i/>
        </w:rPr>
        <w:t xml:space="preserve">of </w:t>
      </w:r>
      <w:r w:rsidR="007C4A77" w:rsidRPr="007C4A77">
        <w:rPr>
          <w:rFonts w:cs="Arial"/>
          <w:b/>
          <w:iCs/>
        </w:rPr>
        <w:t>Insurance Related Services 4 – RM6323</w:t>
      </w:r>
      <w:r w:rsidR="00BA3280" w:rsidRPr="00BA3280">
        <w:rPr>
          <w:rFonts w:cs="Arial"/>
          <w:szCs w:val="24"/>
        </w:rPr>
        <w:t xml:space="preserve"> CCS framework agreement </w:t>
      </w:r>
      <w:r w:rsidR="00BA3280" w:rsidRPr="00BA3280">
        <w:rPr>
          <w:rFonts w:cs="Arial"/>
          <w:i/>
          <w:szCs w:val="24"/>
        </w:rPr>
        <w:t>(Lot 1: Insurance Brokerage and Associated Services),</w:t>
      </w:r>
      <w:r w:rsidR="00BA3280" w:rsidRPr="00BA3280">
        <w:rPr>
          <w:rFonts w:cs="Arial"/>
          <w:szCs w:val="24"/>
        </w:rPr>
        <w:t xml:space="preserve"> </w:t>
      </w:r>
      <w:r w:rsidRPr="00732BE5">
        <w:rPr>
          <w:rFonts w:cs="Arial"/>
        </w:rPr>
        <w:t>the</w:t>
      </w:r>
      <w:r>
        <w:rPr>
          <w:rFonts w:cs="Arial"/>
        </w:rPr>
        <w:t xml:space="preserve"> Driver and Vehicle Licensing Agency</w:t>
      </w:r>
      <w:r w:rsidRPr="00732BE5">
        <w:rPr>
          <w:rFonts w:cs="Arial"/>
        </w:rPr>
        <w:t xml:space="preserve"> </w:t>
      </w:r>
      <w:r>
        <w:rPr>
          <w:rFonts w:cs="Arial"/>
        </w:rPr>
        <w:t>(</w:t>
      </w:r>
      <w:r w:rsidRPr="00F339F1">
        <w:rPr>
          <w:rFonts w:cs="Arial"/>
          <w:b/>
          <w:bCs/>
        </w:rPr>
        <w:t>DVLA</w:t>
      </w:r>
      <w:r>
        <w:rPr>
          <w:rFonts w:cs="Arial"/>
        </w:rPr>
        <w:t>)</w:t>
      </w:r>
      <w:r w:rsidRPr="00732BE5">
        <w:rPr>
          <w:rFonts w:cs="Arial"/>
        </w:rPr>
        <w:t xml:space="preserve"> invites proposals for </w:t>
      </w:r>
      <w:r>
        <w:rPr>
          <w:rFonts w:cs="Arial"/>
        </w:rPr>
        <w:t>the following</w:t>
      </w:r>
      <w:r w:rsidR="00BA3280">
        <w:rPr>
          <w:rFonts w:cs="Arial"/>
        </w:rPr>
        <w:t>:</w:t>
      </w:r>
    </w:p>
    <w:p w14:paraId="137C9D62" w14:textId="2EAE6749" w:rsidR="00BA3280" w:rsidRDefault="00BA3280" w:rsidP="00BA3280">
      <w:pPr>
        <w:rPr>
          <w:rFonts w:cs="Arial"/>
        </w:rPr>
      </w:pPr>
    </w:p>
    <w:p w14:paraId="356CEB17" w14:textId="5FAAE384" w:rsidR="00BA3280" w:rsidRPr="00291A5A" w:rsidRDefault="00BA3280" w:rsidP="00291A5A">
      <w:pPr>
        <w:pStyle w:val="ListParagraph"/>
        <w:numPr>
          <w:ilvl w:val="0"/>
          <w:numId w:val="38"/>
        </w:numPr>
        <w:rPr>
          <w:rFonts w:ascii="Arial" w:hAnsi="Arial" w:cs="Arial"/>
          <w:sz w:val="24"/>
          <w:szCs w:val="24"/>
        </w:rPr>
      </w:pPr>
      <w:r w:rsidRPr="00291A5A">
        <w:rPr>
          <w:rFonts w:ascii="Arial" w:hAnsi="Arial" w:cs="Arial"/>
          <w:sz w:val="24"/>
          <w:szCs w:val="24"/>
        </w:rPr>
        <w:t xml:space="preserve">Insurance </w:t>
      </w:r>
      <w:r w:rsidR="00291A5A">
        <w:rPr>
          <w:rFonts w:ascii="Arial" w:hAnsi="Arial" w:cs="Arial"/>
          <w:sz w:val="24"/>
          <w:szCs w:val="24"/>
        </w:rPr>
        <w:t>br</w:t>
      </w:r>
      <w:r w:rsidRPr="00291A5A">
        <w:rPr>
          <w:rFonts w:ascii="Arial" w:hAnsi="Arial" w:cs="Arial"/>
          <w:sz w:val="24"/>
          <w:szCs w:val="24"/>
        </w:rPr>
        <w:t xml:space="preserve">oker </w:t>
      </w:r>
      <w:r w:rsidR="00291A5A">
        <w:rPr>
          <w:rFonts w:ascii="Arial" w:hAnsi="Arial" w:cs="Arial"/>
          <w:sz w:val="24"/>
          <w:szCs w:val="24"/>
        </w:rPr>
        <w:t>s</w:t>
      </w:r>
      <w:r w:rsidRPr="00291A5A">
        <w:rPr>
          <w:rFonts w:ascii="Arial" w:hAnsi="Arial" w:cs="Arial"/>
          <w:sz w:val="24"/>
          <w:szCs w:val="24"/>
        </w:rPr>
        <w:t>ervices which facilitates the procurement of fully comprehensive Motor Vehicle Insurance to cover all vehicles owned, leased or hired by the Driver and Vehicle Licensing Agency [DVLA].</w:t>
      </w:r>
    </w:p>
    <w:p w14:paraId="1054BCC1" w14:textId="77777777" w:rsidR="005B15F2" w:rsidRPr="00291A5A" w:rsidRDefault="005B15F2" w:rsidP="00BA3280">
      <w:pPr>
        <w:rPr>
          <w:rFonts w:cs="Arial"/>
          <w:szCs w:val="24"/>
        </w:rPr>
      </w:pPr>
    </w:p>
    <w:p w14:paraId="161A16ED" w14:textId="5277F83C" w:rsidR="00291A5A" w:rsidRPr="00291A5A" w:rsidRDefault="00291A5A" w:rsidP="00291A5A">
      <w:pPr>
        <w:pStyle w:val="ListParagraph"/>
        <w:numPr>
          <w:ilvl w:val="0"/>
          <w:numId w:val="38"/>
        </w:numPr>
        <w:rPr>
          <w:rFonts w:ascii="Arial" w:hAnsi="Arial" w:cs="Arial"/>
          <w:sz w:val="24"/>
          <w:szCs w:val="24"/>
        </w:rPr>
      </w:pPr>
      <w:r w:rsidRPr="00291A5A">
        <w:rPr>
          <w:rFonts w:ascii="Arial" w:hAnsi="Arial" w:cs="Arial"/>
          <w:sz w:val="24"/>
          <w:szCs w:val="24"/>
        </w:rPr>
        <w:t>The brokerage service will also cover the following people rated insurances</w:t>
      </w:r>
      <w:r>
        <w:rPr>
          <w:rFonts w:ascii="Arial" w:hAnsi="Arial" w:cs="Arial"/>
          <w:sz w:val="24"/>
          <w:szCs w:val="24"/>
        </w:rPr>
        <w:t xml:space="preserve"> for DVLA’s TUPE community</w:t>
      </w:r>
      <w:r w:rsidRPr="00291A5A">
        <w:rPr>
          <w:rFonts w:ascii="Arial" w:hAnsi="Arial" w:cs="Arial"/>
          <w:sz w:val="24"/>
          <w:szCs w:val="24"/>
        </w:rPr>
        <w:t>:</w:t>
      </w:r>
    </w:p>
    <w:p w14:paraId="74A23E9C" w14:textId="77777777" w:rsidR="00291A5A" w:rsidRPr="00291A5A" w:rsidRDefault="00291A5A" w:rsidP="00291A5A">
      <w:pPr>
        <w:rPr>
          <w:rFonts w:cs="Arial"/>
          <w:sz w:val="28"/>
          <w:szCs w:val="22"/>
        </w:rPr>
      </w:pPr>
    </w:p>
    <w:p w14:paraId="1C0158F6" w14:textId="77777777" w:rsidR="00291A5A" w:rsidRPr="00291A5A" w:rsidRDefault="00291A5A" w:rsidP="00291A5A">
      <w:pPr>
        <w:pStyle w:val="ListParagraph"/>
        <w:numPr>
          <w:ilvl w:val="1"/>
          <w:numId w:val="38"/>
        </w:numPr>
        <w:rPr>
          <w:rFonts w:ascii="Arial" w:hAnsi="Arial" w:cs="Arial"/>
          <w:b/>
          <w:sz w:val="24"/>
          <w:szCs w:val="24"/>
        </w:rPr>
      </w:pPr>
      <w:bookmarkStart w:id="4" w:name="_Toc14341439"/>
      <w:bookmarkStart w:id="5" w:name="_Toc14343056"/>
      <w:r w:rsidRPr="00291A5A">
        <w:rPr>
          <w:rFonts w:ascii="Arial" w:hAnsi="Arial" w:cs="Arial"/>
          <w:sz w:val="24"/>
          <w:szCs w:val="24"/>
        </w:rPr>
        <w:t>Life Cover</w:t>
      </w:r>
      <w:bookmarkEnd w:id="4"/>
      <w:bookmarkEnd w:id="5"/>
    </w:p>
    <w:p w14:paraId="7ABEA6D0" w14:textId="77777777" w:rsidR="00291A5A" w:rsidRPr="00291A5A" w:rsidRDefault="00291A5A" w:rsidP="00291A5A">
      <w:pPr>
        <w:pStyle w:val="ListParagraph"/>
        <w:numPr>
          <w:ilvl w:val="1"/>
          <w:numId w:val="38"/>
        </w:numPr>
        <w:rPr>
          <w:rFonts w:ascii="Arial" w:hAnsi="Arial" w:cs="Arial"/>
          <w:b/>
          <w:sz w:val="24"/>
          <w:szCs w:val="24"/>
        </w:rPr>
      </w:pPr>
      <w:bookmarkStart w:id="6" w:name="_Toc14341440"/>
      <w:bookmarkStart w:id="7" w:name="_Toc14343057"/>
      <w:r w:rsidRPr="00291A5A">
        <w:rPr>
          <w:rFonts w:ascii="Arial" w:hAnsi="Arial" w:cs="Arial"/>
          <w:sz w:val="24"/>
          <w:szCs w:val="24"/>
        </w:rPr>
        <w:t>Medical Cover</w:t>
      </w:r>
      <w:bookmarkEnd w:id="6"/>
      <w:bookmarkEnd w:id="7"/>
    </w:p>
    <w:p w14:paraId="7F126468" w14:textId="77777777" w:rsidR="00291A5A" w:rsidRPr="00291A5A" w:rsidRDefault="00291A5A" w:rsidP="00291A5A">
      <w:pPr>
        <w:pStyle w:val="ListParagraph"/>
        <w:numPr>
          <w:ilvl w:val="1"/>
          <w:numId w:val="38"/>
        </w:numPr>
        <w:rPr>
          <w:rFonts w:ascii="Arial" w:hAnsi="Arial" w:cs="Arial"/>
          <w:b/>
          <w:sz w:val="24"/>
          <w:szCs w:val="24"/>
        </w:rPr>
      </w:pPr>
      <w:bookmarkStart w:id="8" w:name="_Toc14341441"/>
      <w:bookmarkStart w:id="9" w:name="_Toc14343058"/>
      <w:r w:rsidRPr="00291A5A">
        <w:rPr>
          <w:rFonts w:ascii="Arial" w:hAnsi="Arial" w:cs="Arial"/>
          <w:sz w:val="24"/>
          <w:szCs w:val="24"/>
        </w:rPr>
        <w:t>Accident Cover</w:t>
      </w:r>
      <w:bookmarkEnd w:id="8"/>
      <w:bookmarkEnd w:id="9"/>
      <w:r w:rsidRPr="00291A5A">
        <w:rPr>
          <w:rFonts w:ascii="Arial" w:hAnsi="Arial" w:cs="Arial"/>
          <w:sz w:val="24"/>
          <w:szCs w:val="24"/>
        </w:rPr>
        <w:t xml:space="preserve"> – Thomas Carroll to be utilised as an intermediary.</w:t>
      </w:r>
    </w:p>
    <w:p w14:paraId="2C6E91AE" w14:textId="77777777" w:rsidR="001A236D" w:rsidRDefault="001A236D" w:rsidP="00237E4B">
      <w:pPr>
        <w:tabs>
          <w:tab w:val="left" w:pos="-180"/>
        </w:tabs>
        <w:ind w:hanging="180"/>
        <w:rPr>
          <w:rFonts w:cs="Arial"/>
        </w:rPr>
      </w:pPr>
    </w:p>
    <w:p w14:paraId="59AAF719" w14:textId="77777777" w:rsidR="001A236D" w:rsidRDefault="00237E4B" w:rsidP="00237E4B">
      <w:pPr>
        <w:pStyle w:val="Heading2"/>
        <w:tabs>
          <w:tab w:val="clear" w:pos="0"/>
          <w:tab w:val="left" w:pos="-180"/>
        </w:tabs>
        <w:ind w:hanging="180"/>
      </w:pPr>
      <w:bookmarkStart w:id="10" w:name="_Toc158968193"/>
      <w:r w:rsidRPr="00237E4B">
        <w:t>2.</w:t>
      </w:r>
      <w:r>
        <w:rPr>
          <w:rFonts w:cs="Arial"/>
          <w:sz w:val="24"/>
        </w:rPr>
        <w:t xml:space="preserve"> </w:t>
      </w:r>
      <w:r w:rsidR="001A236D">
        <w:t>Background to the Requirement</w:t>
      </w:r>
      <w:bookmarkEnd w:id="10"/>
    </w:p>
    <w:p w14:paraId="0ED67199" w14:textId="5A3396F5" w:rsidR="005E3488" w:rsidRDefault="00735532" w:rsidP="009E5471">
      <w:pPr>
        <w:rPr>
          <w:rFonts w:eastAsia="STZhongsong" w:cs="Arial"/>
          <w:lang w:eastAsia="zh-CN"/>
        </w:rPr>
      </w:pPr>
      <w:r w:rsidRPr="003E77E5">
        <w:rPr>
          <w:rFonts w:eastAsia="STZhongsong" w:cs="Arial"/>
          <w:lang w:eastAsia="zh-CN"/>
        </w:rPr>
        <w:t xml:space="preserve">The </w:t>
      </w:r>
      <w:r w:rsidR="00E43C50">
        <w:rPr>
          <w:rFonts w:eastAsia="STZhongsong" w:cs="Arial"/>
          <w:lang w:eastAsia="zh-CN"/>
        </w:rPr>
        <w:t>DVLA</w:t>
      </w:r>
      <w:r>
        <w:rPr>
          <w:rFonts w:eastAsia="STZhongsong" w:cs="Arial"/>
          <w:lang w:eastAsia="zh-CN"/>
        </w:rPr>
        <w:t xml:space="preserve"> </w:t>
      </w:r>
      <w:r w:rsidR="005E3488" w:rsidRPr="003D5E49">
        <w:rPr>
          <w:rFonts w:eastAsia="STZhongsong" w:cs="Arial"/>
          <w:lang w:eastAsia="zh-CN"/>
        </w:rPr>
        <w:t xml:space="preserve">is an Executive Agency of </w:t>
      </w:r>
      <w:r w:rsidR="004E4785">
        <w:rPr>
          <w:rFonts w:eastAsia="STZhongsong" w:cs="Arial"/>
          <w:lang w:eastAsia="zh-CN"/>
        </w:rPr>
        <w:t xml:space="preserve">the </w:t>
      </w:r>
      <w:r w:rsidR="00B00D3E">
        <w:rPr>
          <w:rFonts w:eastAsia="STZhongsong" w:cs="Arial"/>
          <w:lang w:eastAsia="zh-CN"/>
        </w:rPr>
        <w:t>Department for Transport (</w:t>
      </w:r>
      <w:r w:rsidR="005E3488">
        <w:rPr>
          <w:rFonts w:eastAsia="STZhongsong" w:cs="Arial"/>
          <w:lang w:eastAsia="zh-CN"/>
        </w:rPr>
        <w:t>DfT</w:t>
      </w:r>
      <w:r w:rsidR="00B00D3E">
        <w:rPr>
          <w:rFonts w:eastAsia="STZhongsong" w:cs="Arial"/>
          <w:lang w:eastAsia="zh-CN"/>
        </w:rPr>
        <w:t>)</w:t>
      </w:r>
      <w:r w:rsidR="005E3488" w:rsidRPr="003D5E49">
        <w:rPr>
          <w:rFonts w:eastAsia="STZhongsong" w:cs="Arial"/>
          <w:lang w:eastAsia="zh-CN"/>
        </w:rPr>
        <w:t>, based in Swansea</w:t>
      </w:r>
      <w:r w:rsidR="005A4D9F">
        <w:rPr>
          <w:rFonts w:eastAsia="STZhongsong" w:cs="Arial"/>
          <w:lang w:eastAsia="zh-CN"/>
        </w:rPr>
        <w:t>.</w:t>
      </w:r>
      <w:r w:rsidR="005E3488" w:rsidRPr="003D5E49">
        <w:rPr>
          <w:rFonts w:eastAsia="STZhongsong" w:cs="Arial"/>
          <w:lang w:eastAsia="zh-CN"/>
        </w:rPr>
        <w:t xml:space="preserve"> The </w:t>
      </w:r>
      <w:r w:rsidR="008E02D6">
        <w:rPr>
          <w:rFonts w:eastAsia="STZhongsong" w:cs="Arial"/>
          <w:lang w:eastAsia="zh-CN"/>
        </w:rPr>
        <w:t>DVLA’s</w:t>
      </w:r>
      <w:r w:rsidR="005E3488" w:rsidRPr="003D5E49">
        <w:rPr>
          <w:rFonts w:eastAsia="STZhongsong" w:cs="Arial"/>
          <w:lang w:eastAsia="zh-CN"/>
        </w:rPr>
        <w:t xml:space="preserve"> primary aims are to facilitate road safety and general law enforcement by maintaining accurate registers of drivers and vehicle keepers and to collect Vehicle Excise Duty</w:t>
      </w:r>
      <w:r w:rsidR="005E3488">
        <w:rPr>
          <w:rFonts w:eastAsia="STZhongsong" w:cs="Arial"/>
          <w:lang w:eastAsia="zh-CN"/>
        </w:rPr>
        <w:t xml:space="preserve"> (VED)</w:t>
      </w:r>
      <w:r w:rsidR="005E3488" w:rsidRPr="003D5E49">
        <w:rPr>
          <w:rFonts w:eastAsia="STZhongsong" w:cs="Arial"/>
          <w:lang w:eastAsia="zh-CN"/>
        </w:rPr>
        <w:t xml:space="preserve">. </w:t>
      </w:r>
    </w:p>
    <w:p w14:paraId="083308DA" w14:textId="28E7507D" w:rsidR="00A2192C" w:rsidRDefault="00A2192C" w:rsidP="005E3488">
      <w:pPr>
        <w:ind w:left="-142"/>
        <w:rPr>
          <w:rFonts w:eastAsia="STZhongsong" w:cs="Arial"/>
          <w:lang w:eastAsia="zh-CN"/>
        </w:rPr>
      </w:pPr>
    </w:p>
    <w:p w14:paraId="36F43599" w14:textId="77777777" w:rsidR="00A2192C" w:rsidRPr="00A2192C" w:rsidRDefault="00A2192C" w:rsidP="00A2192C">
      <w:pPr>
        <w:rPr>
          <w:rFonts w:cs="Arial"/>
          <w:szCs w:val="24"/>
        </w:rPr>
      </w:pPr>
      <w:r w:rsidRPr="00A2192C">
        <w:rPr>
          <w:rFonts w:cs="Arial"/>
          <w:szCs w:val="24"/>
        </w:rPr>
        <w:t>DVLA currently has a fully comprehensive policy which covers all vehicle activity and is due to expire on March 31</w:t>
      </w:r>
      <w:r w:rsidRPr="00A2192C">
        <w:rPr>
          <w:rFonts w:cs="Arial"/>
          <w:szCs w:val="24"/>
          <w:vertAlign w:val="superscript"/>
        </w:rPr>
        <w:t>st</w:t>
      </w:r>
      <w:r w:rsidRPr="00A2192C">
        <w:rPr>
          <w:rFonts w:cs="Arial"/>
          <w:szCs w:val="24"/>
        </w:rPr>
        <w:t xml:space="preserve"> 2024.  </w:t>
      </w:r>
    </w:p>
    <w:p w14:paraId="51B90785" w14:textId="77777777" w:rsidR="00A2192C" w:rsidRPr="00A2192C" w:rsidRDefault="00A2192C" w:rsidP="00A2192C">
      <w:pPr>
        <w:rPr>
          <w:rFonts w:cs="Arial"/>
          <w:szCs w:val="24"/>
        </w:rPr>
      </w:pPr>
    </w:p>
    <w:p w14:paraId="42626A75" w14:textId="7CF59A67" w:rsidR="00A2192C" w:rsidRPr="00A2192C" w:rsidRDefault="00A2192C" w:rsidP="00A2192C">
      <w:pPr>
        <w:rPr>
          <w:rFonts w:cs="Arial"/>
          <w:i/>
          <w:szCs w:val="24"/>
        </w:rPr>
      </w:pPr>
      <w:r w:rsidRPr="00A2192C">
        <w:rPr>
          <w:rFonts w:cs="Arial"/>
          <w:szCs w:val="24"/>
        </w:rPr>
        <w:t xml:space="preserve">DVLA plans to run a competition between the potential suppliers within the </w:t>
      </w:r>
      <w:r w:rsidR="007C4A77" w:rsidRPr="007C4A77">
        <w:rPr>
          <w:rFonts w:cs="Arial"/>
          <w:b/>
          <w:szCs w:val="24"/>
        </w:rPr>
        <w:t>Insurance Related Services 4 – RM6323</w:t>
      </w:r>
      <w:r w:rsidRPr="00A2192C">
        <w:rPr>
          <w:rFonts w:cs="Arial"/>
          <w:szCs w:val="24"/>
        </w:rPr>
        <w:t xml:space="preserve"> CCS framework agreement </w:t>
      </w:r>
      <w:r w:rsidRPr="00A2192C">
        <w:rPr>
          <w:rFonts w:cs="Arial"/>
          <w:i/>
          <w:szCs w:val="24"/>
        </w:rPr>
        <w:t>(Lot 1: Insurance Brokerage and Associated Services).</w:t>
      </w:r>
    </w:p>
    <w:p w14:paraId="549AEEFB" w14:textId="77777777" w:rsidR="00A2192C" w:rsidRPr="00A2192C" w:rsidRDefault="00A2192C" w:rsidP="00A2192C">
      <w:pPr>
        <w:rPr>
          <w:rFonts w:cs="Arial"/>
          <w:i/>
          <w:szCs w:val="24"/>
        </w:rPr>
      </w:pPr>
    </w:p>
    <w:p w14:paraId="56CF0346" w14:textId="77777777" w:rsidR="00A2192C" w:rsidRDefault="00A2192C" w:rsidP="00A2192C">
      <w:pPr>
        <w:rPr>
          <w:rFonts w:cs="Arial"/>
          <w:szCs w:val="24"/>
        </w:rPr>
      </w:pPr>
      <w:r w:rsidRPr="00A2192C">
        <w:rPr>
          <w:rFonts w:cs="Arial"/>
          <w:szCs w:val="24"/>
        </w:rPr>
        <w:t xml:space="preserve">DVLA goal in this procurement exercise is to appoint a broker which will run a competition via the suppliers within the </w:t>
      </w:r>
      <w:r w:rsidRPr="00A2192C">
        <w:rPr>
          <w:rFonts w:cs="Arial"/>
          <w:b/>
          <w:szCs w:val="24"/>
        </w:rPr>
        <w:t>RM6138 Insurance Services DPS</w:t>
      </w:r>
      <w:r w:rsidRPr="00A2192C">
        <w:rPr>
          <w:rFonts w:cs="Arial"/>
          <w:szCs w:val="24"/>
        </w:rPr>
        <w:t xml:space="preserve"> framework.  </w:t>
      </w:r>
    </w:p>
    <w:p w14:paraId="0EBB9CC7" w14:textId="77777777" w:rsidR="00697C21" w:rsidRDefault="00697C21" w:rsidP="00A2192C">
      <w:pPr>
        <w:rPr>
          <w:rFonts w:cs="Arial"/>
          <w:szCs w:val="24"/>
        </w:rPr>
      </w:pPr>
    </w:p>
    <w:p w14:paraId="4207B667" w14:textId="6BACBF79" w:rsidR="00697C21" w:rsidRPr="009E5471" w:rsidRDefault="00697C21" w:rsidP="00A2192C">
      <w:pPr>
        <w:rPr>
          <w:rFonts w:cs="Arial"/>
          <w:b/>
          <w:bCs/>
          <w:szCs w:val="24"/>
        </w:rPr>
      </w:pPr>
      <w:r w:rsidRPr="009E5471">
        <w:rPr>
          <w:rStyle w:val="Strong"/>
          <w:b w:val="0"/>
          <w:bCs w:val="0"/>
        </w:rPr>
        <w:t>The Agency has a requirement for Life, Medical and Accident cover for a number of employees who were transferred under TUPE (Transfer of Undertakings (Protection of Employment) Regulations 1981) agreement following the in-sourcing of IT services in 2016. The provision is required to satisfy DVLA’s legal obligation to staff who have transferred to the Agency under TUPE regulations.</w:t>
      </w:r>
    </w:p>
    <w:p w14:paraId="5EBD8A71" w14:textId="77777777" w:rsidR="00A2192C" w:rsidRPr="00A2192C" w:rsidRDefault="00A2192C" w:rsidP="00A2192C">
      <w:pPr>
        <w:rPr>
          <w:rFonts w:cs="Arial"/>
          <w:szCs w:val="24"/>
        </w:rPr>
      </w:pPr>
    </w:p>
    <w:p w14:paraId="2874EE1D" w14:textId="77777777" w:rsidR="00A2192C" w:rsidRPr="00A2192C" w:rsidRDefault="00A2192C" w:rsidP="00A2192C">
      <w:pPr>
        <w:rPr>
          <w:rFonts w:cs="Arial"/>
          <w:szCs w:val="24"/>
        </w:rPr>
      </w:pPr>
      <w:r w:rsidRPr="00A2192C">
        <w:rPr>
          <w:rFonts w:cs="Arial"/>
          <w:szCs w:val="24"/>
        </w:rPr>
        <w:t>The broker will as a minimum summarise responses and advise the agency how to best utilise this framework to obtain the most suitable policy.  DVLA welcomes innovative solutions and element of the quality criteria for this exercise will reflect this.</w:t>
      </w:r>
    </w:p>
    <w:p w14:paraId="28DF98F1" w14:textId="77777777" w:rsidR="00A2192C" w:rsidRPr="00A2192C" w:rsidRDefault="00A2192C" w:rsidP="00A2192C">
      <w:pPr>
        <w:rPr>
          <w:rFonts w:cs="Arial"/>
          <w:szCs w:val="24"/>
        </w:rPr>
      </w:pPr>
    </w:p>
    <w:p w14:paraId="24FB1731" w14:textId="2DC672D5" w:rsidR="00A2192C" w:rsidRPr="00A2192C" w:rsidRDefault="00A2192C" w:rsidP="00A2192C">
      <w:pPr>
        <w:rPr>
          <w:rFonts w:cs="Arial"/>
          <w:szCs w:val="24"/>
        </w:rPr>
      </w:pPr>
      <w:r w:rsidRPr="00A2192C">
        <w:rPr>
          <w:rFonts w:cs="Arial"/>
          <w:szCs w:val="24"/>
        </w:rPr>
        <w:t>DVLA seeks a contract with a</w:t>
      </w:r>
      <w:r w:rsidR="005B15F2">
        <w:rPr>
          <w:rFonts w:cs="Arial"/>
          <w:szCs w:val="24"/>
        </w:rPr>
        <w:t xml:space="preserve"> broker</w:t>
      </w:r>
      <w:r w:rsidRPr="00A2192C">
        <w:rPr>
          <w:rFonts w:cs="Arial"/>
          <w:szCs w:val="24"/>
        </w:rPr>
        <w:t xml:space="preserve"> that is for 3 years with the option for them to extend for 2 separate 1-year periods (3+1+1).</w:t>
      </w:r>
    </w:p>
    <w:p w14:paraId="4D079537" w14:textId="77777777" w:rsidR="00A2192C" w:rsidRDefault="00A2192C" w:rsidP="005E3488">
      <w:pPr>
        <w:ind w:left="-142"/>
        <w:rPr>
          <w:rFonts w:eastAsia="STZhongsong" w:cs="Arial"/>
          <w:lang w:eastAsia="zh-CN"/>
        </w:rPr>
      </w:pPr>
    </w:p>
    <w:p w14:paraId="53D0A331" w14:textId="51432586" w:rsidR="005E3488" w:rsidRPr="005B15F2" w:rsidRDefault="00A2192C" w:rsidP="005B15F2">
      <w:pPr>
        <w:rPr>
          <w:rFonts w:cs="Arial"/>
          <w:szCs w:val="24"/>
        </w:rPr>
      </w:pPr>
      <w:r w:rsidRPr="00A2192C">
        <w:rPr>
          <w:rFonts w:cs="Arial"/>
          <w:szCs w:val="24"/>
        </w:rPr>
        <w:t>The requirements and how DVLA will assess the most economically advantageous tender for the brokerage element are specified within this document.</w:t>
      </w:r>
    </w:p>
    <w:p w14:paraId="061179E1" w14:textId="7735EC01" w:rsidR="001A236D" w:rsidRPr="00341475" w:rsidRDefault="001A236D" w:rsidP="00237E4B">
      <w:pPr>
        <w:tabs>
          <w:tab w:val="left" w:pos="-180"/>
        </w:tabs>
        <w:ind w:hanging="180"/>
        <w:rPr>
          <w:rFonts w:cs="Arial"/>
          <w:color w:val="FF0000"/>
        </w:rPr>
      </w:pPr>
    </w:p>
    <w:p w14:paraId="677D4F81" w14:textId="77777777" w:rsidR="009424D8" w:rsidRDefault="009424D8" w:rsidP="00850192">
      <w:pPr>
        <w:tabs>
          <w:tab w:val="left" w:pos="-180"/>
        </w:tabs>
        <w:ind w:hanging="181"/>
        <w:rPr>
          <w:rFonts w:cs="Arial"/>
        </w:rPr>
      </w:pPr>
    </w:p>
    <w:p w14:paraId="4D5FEC7E" w14:textId="01F7D8E3" w:rsidR="001A236D" w:rsidRDefault="00237E4B" w:rsidP="00850192">
      <w:pPr>
        <w:pStyle w:val="Heading2"/>
        <w:tabs>
          <w:tab w:val="clear" w:pos="0"/>
          <w:tab w:val="left" w:pos="-180"/>
        </w:tabs>
        <w:spacing w:before="0"/>
        <w:ind w:hanging="181"/>
      </w:pPr>
      <w:bookmarkStart w:id="11" w:name="_Toc253400957"/>
      <w:bookmarkStart w:id="12" w:name="_Toc158968194"/>
      <w:r w:rsidRPr="00ED4B17">
        <w:t>3.</w:t>
      </w:r>
      <w:r w:rsidRPr="00ED4B17">
        <w:rPr>
          <w:rFonts w:cs="Arial"/>
          <w:b w:val="0"/>
          <w:sz w:val="24"/>
        </w:rPr>
        <w:t xml:space="preserve"> </w:t>
      </w:r>
      <w:r w:rsidR="001A236D" w:rsidRPr="00ED4B17">
        <w:t>Procurement Timetable</w:t>
      </w:r>
      <w:bookmarkEnd w:id="11"/>
      <w:bookmarkEnd w:id="12"/>
    </w:p>
    <w:p w14:paraId="379025B1" w14:textId="77777777" w:rsidR="00407612" w:rsidRDefault="00407612" w:rsidP="00407612">
      <w:pPr>
        <w:tabs>
          <w:tab w:val="left" w:pos="-180"/>
        </w:tabs>
        <w:ind w:hanging="180"/>
        <w:rPr>
          <w:rFonts w:cs="Arial"/>
          <w:szCs w:val="24"/>
        </w:rPr>
      </w:pPr>
      <w:r w:rsidRPr="006268CB">
        <w:rPr>
          <w:rFonts w:cs="Arial"/>
          <w:szCs w:val="24"/>
        </w:rPr>
        <w:t>The key dates for this procurement (</w:t>
      </w:r>
      <w:r w:rsidRPr="006268CB">
        <w:rPr>
          <w:rStyle w:val="DefTerm"/>
          <w:rFonts w:cs="Arial"/>
          <w:szCs w:val="24"/>
        </w:rPr>
        <w:t>Timetable</w:t>
      </w:r>
      <w:r w:rsidRPr="006268CB">
        <w:rPr>
          <w:rFonts w:cs="Arial"/>
          <w:szCs w:val="24"/>
        </w:rPr>
        <w:t>) are currently anticipated to be as follows:</w:t>
      </w:r>
      <w:r w:rsidRPr="00533D73">
        <w:rPr>
          <w:rFonts w:cs="Arial"/>
          <w:szCs w:val="24"/>
        </w:rPr>
        <w:t xml:space="preserve"> </w:t>
      </w:r>
    </w:p>
    <w:p w14:paraId="3002D63C" w14:textId="77777777" w:rsidR="00407612" w:rsidRDefault="00407612" w:rsidP="00407612">
      <w:pPr>
        <w:tabs>
          <w:tab w:val="left" w:pos="-180"/>
        </w:tabs>
        <w:ind w:hanging="180"/>
        <w:rPr>
          <w:rFonts w:cs="Arial"/>
          <w:color w:val="FF0000"/>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670"/>
        <w:gridCol w:w="4670"/>
      </w:tblGrid>
      <w:tr w:rsidR="00407612" w:rsidRPr="006A11F4" w14:paraId="6A90BF2A" w14:textId="77777777" w:rsidTr="00F15D1E">
        <w:tc>
          <w:tcPr>
            <w:tcW w:w="2500" w:type="pct"/>
            <w:tcBorders>
              <w:top w:val="single" w:sz="8" w:space="0" w:color="000000"/>
              <w:left w:val="single" w:sz="8" w:space="0" w:color="000000"/>
              <w:bottom w:val="single" w:sz="8" w:space="0" w:color="000000"/>
              <w:right w:val="single" w:sz="8" w:space="0" w:color="000000"/>
            </w:tcBorders>
          </w:tcPr>
          <w:p w14:paraId="77E19AF4" w14:textId="77777777" w:rsidR="00407612" w:rsidRPr="00083320" w:rsidRDefault="00407612" w:rsidP="00F15D1E">
            <w:pPr>
              <w:pStyle w:val="Paragraph"/>
              <w:spacing w:after="240" w:line="240" w:lineRule="auto"/>
              <w:jc w:val="left"/>
              <w:rPr>
                <w:rFonts w:ascii="Arial" w:hAnsi="Arial"/>
                <w:b/>
                <w:sz w:val="24"/>
                <w:szCs w:val="24"/>
                <w:highlight w:val="darkGray"/>
              </w:rPr>
            </w:pPr>
            <w:r w:rsidRPr="006268CB">
              <w:rPr>
                <w:rFonts w:ascii="Arial" w:hAnsi="Arial"/>
                <w:b/>
                <w:sz w:val="24"/>
                <w:szCs w:val="24"/>
              </w:rPr>
              <w:t>Event</w:t>
            </w:r>
          </w:p>
        </w:tc>
        <w:tc>
          <w:tcPr>
            <w:tcW w:w="2500" w:type="pct"/>
            <w:tcBorders>
              <w:top w:val="single" w:sz="8" w:space="0" w:color="000000"/>
              <w:left w:val="single" w:sz="8" w:space="0" w:color="000000"/>
              <w:bottom w:val="single" w:sz="8" w:space="0" w:color="000000"/>
              <w:right w:val="single" w:sz="8" w:space="0" w:color="000000"/>
            </w:tcBorders>
          </w:tcPr>
          <w:p w14:paraId="250276B5" w14:textId="77777777" w:rsidR="00407612" w:rsidRPr="00083320" w:rsidRDefault="00407612" w:rsidP="00F15D1E">
            <w:pPr>
              <w:pStyle w:val="Paragraph"/>
              <w:spacing w:after="240" w:line="240" w:lineRule="auto"/>
              <w:jc w:val="left"/>
              <w:rPr>
                <w:rFonts w:ascii="Arial" w:hAnsi="Arial"/>
                <w:b/>
                <w:sz w:val="24"/>
                <w:szCs w:val="24"/>
                <w:highlight w:val="darkGray"/>
              </w:rPr>
            </w:pPr>
            <w:r w:rsidRPr="006268CB">
              <w:rPr>
                <w:rFonts w:ascii="Arial" w:hAnsi="Arial"/>
                <w:b/>
                <w:sz w:val="24"/>
                <w:szCs w:val="24"/>
              </w:rPr>
              <w:t>Date</w:t>
            </w:r>
          </w:p>
        </w:tc>
      </w:tr>
      <w:tr w:rsidR="00407612" w:rsidRPr="006A11F4" w14:paraId="28AEE3BD" w14:textId="77777777" w:rsidTr="00F15D1E">
        <w:tc>
          <w:tcPr>
            <w:tcW w:w="2500" w:type="pct"/>
            <w:tcBorders>
              <w:top w:val="single" w:sz="8" w:space="0" w:color="000000"/>
              <w:left w:val="single" w:sz="8" w:space="0" w:color="000000"/>
              <w:bottom w:val="single" w:sz="8" w:space="0" w:color="000000"/>
              <w:right w:val="single" w:sz="8" w:space="0" w:color="000000"/>
            </w:tcBorders>
          </w:tcPr>
          <w:p w14:paraId="7580377F" w14:textId="23E431F0" w:rsidR="00407612" w:rsidRPr="00533D73" w:rsidRDefault="00407612" w:rsidP="00F15D1E">
            <w:pPr>
              <w:pStyle w:val="Paragraph"/>
              <w:spacing w:after="240" w:line="240" w:lineRule="auto"/>
              <w:jc w:val="left"/>
              <w:rPr>
                <w:rFonts w:ascii="Arial" w:hAnsi="Arial"/>
                <w:sz w:val="24"/>
                <w:szCs w:val="24"/>
              </w:rPr>
            </w:pPr>
            <w:r w:rsidRPr="00533D73">
              <w:rPr>
                <w:rFonts w:ascii="Arial" w:hAnsi="Arial"/>
                <w:sz w:val="24"/>
                <w:szCs w:val="24"/>
              </w:rPr>
              <w:t>Issue of the IT</w:t>
            </w:r>
            <w:r>
              <w:rPr>
                <w:rFonts w:ascii="Arial" w:hAnsi="Arial"/>
                <w:sz w:val="24"/>
                <w:szCs w:val="24"/>
              </w:rPr>
              <w:t>Q</w:t>
            </w:r>
            <w:r w:rsidRPr="00533D73">
              <w:rPr>
                <w:rFonts w:ascii="Arial" w:hAnsi="Arial"/>
                <w:sz w:val="24"/>
                <w:szCs w:val="24"/>
              </w:rPr>
              <w:t xml:space="preserve"> to </w:t>
            </w:r>
            <w:r w:rsidR="005B15F2">
              <w:rPr>
                <w:rFonts w:ascii="Arial" w:hAnsi="Arial"/>
                <w:sz w:val="24"/>
                <w:szCs w:val="24"/>
              </w:rPr>
              <w:t>selected supplier</w:t>
            </w:r>
          </w:p>
        </w:tc>
        <w:tc>
          <w:tcPr>
            <w:tcW w:w="2500" w:type="pct"/>
            <w:tcBorders>
              <w:top w:val="single" w:sz="8" w:space="0" w:color="000000"/>
              <w:left w:val="single" w:sz="8" w:space="0" w:color="000000"/>
              <w:bottom w:val="single" w:sz="8" w:space="0" w:color="000000"/>
              <w:right w:val="single" w:sz="8" w:space="0" w:color="000000"/>
            </w:tcBorders>
          </w:tcPr>
          <w:p w14:paraId="52DDF939" w14:textId="29A5AC27" w:rsidR="00407612" w:rsidRPr="00533D73" w:rsidRDefault="00090578" w:rsidP="00F15D1E">
            <w:pPr>
              <w:pStyle w:val="Paragraph"/>
              <w:spacing w:after="240" w:line="240" w:lineRule="auto"/>
              <w:jc w:val="left"/>
              <w:rPr>
                <w:rFonts w:ascii="Arial" w:hAnsi="Arial"/>
                <w:sz w:val="24"/>
                <w:szCs w:val="24"/>
              </w:rPr>
            </w:pPr>
            <w:r>
              <w:rPr>
                <w:rFonts w:ascii="Arial" w:hAnsi="Arial"/>
                <w:sz w:val="24"/>
                <w:szCs w:val="24"/>
              </w:rPr>
              <w:t>19</w:t>
            </w:r>
            <w:r w:rsidRPr="00090578">
              <w:rPr>
                <w:rFonts w:ascii="Arial" w:hAnsi="Arial"/>
                <w:sz w:val="24"/>
                <w:szCs w:val="24"/>
                <w:vertAlign w:val="superscript"/>
              </w:rPr>
              <w:t>th</w:t>
            </w:r>
            <w:r>
              <w:rPr>
                <w:rFonts w:ascii="Arial" w:hAnsi="Arial"/>
                <w:sz w:val="24"/>
                <w:szCs w:val="24"/>
              </w:rPr>
              <w:t xml:space="preserve"> February 2024</w:t>
            </w:r>
          </w:p>
        </w:tc>
      </w:tr>
      <w:tr w:rsidR="00407612" w:rsidRPr="006A11F4" w14:paraId="5A7B76E9" w14:textId="77777777" w:rsidTr="00F15D1E">
        <w:tc>
          <w:tcPr>
            <w:tcW w:w="2500" w:type="pct"/>
            <w:tcBorders>
              <w:top w:val="single" w:sz="8" w:space="0" w:color="000000"/>
              <w:left w:val="single" w:sz="8" w:space="0" w:color="000000"/>
              <w:bottom w:val="single" w:sz="8" w:space="0" w:color="000000"/>
              <w:right w:val="single" w:sz="8" w:space="0" w:color="000000"/>
            </w:tcBorders>
          </w:tcPr>
          <w:p w14:paraId="58638FF1" w14:textId="1643465F" w:rsidR="00407612" w:rsidRPr="00533D73" w:rsidRDefault="00407612" w:rsidP="00F15D1E">
            <w:pPr>
              <w:pStyle w:val="Paragraph"/>
              <w:spacing w:after="240" w:line="240" w:lineRule="auto"/>
              <w:jc w:val="left"/>
              <w:rPr>
                <w:rFonts w:ascii="Arial" w:hAnsi="Arial"/>
                <w:sz w:val="24"/>
                <w:szCs w:val="24"/>
              </w:rPr>
            </w:pPr>
            <w:r w:rsidRPr="00533D73">
              <w:rPr>
                <w:rFonts w:ascii="Arial" w:hAnsi="Arial"/>
                <w:sz w:val="24"/>
                <w:szCs w:val="24"/>
              </w:rPr>
              <w:t xml:space="preserve">Deadline for receipt of </w:t>
            </w:r>
            <w:r w:rsidR="005B15F2">
              <w:rPr>
                <w:rFonts w:ascii="Arial" w:hAnsi="Arial"/>
                <w:sz w:val="24"/>
                <w:szCs w:val="24"/>
              </w:rPr>
              <w:t>quotation</w:t>
            </w:r>
          </w:p>
        </w:tc>
        <w:tc>
          <w:tcPr>
            <w:tcW w:w="2500" w:type="pct"/>
            <w:tcBorders>
              <w:top w:val="single" w:sz="8" w:space="0" w:color="000000"/>
              <w:left w:val="single" w:sz="8" w:space="0" w:color="000000"/>
              <w:bottom w:val="single" w:sz="8" w:space="0" w:color="000000"/>
              <w:right w:val="single" w:sz="8" w:space="0" w:color="000000"/>
            </w:tcBorders>
          </w:tcPr>
          <w:p w14:paraId="7E95F8EC" w14:textId="22DE28EB" w:rsidR="00407612" w:rsidRPr="00533D73" w:rsidRDefault="00090578" w:rsidP="00F15D1E">
            <w:pPr>
              <w:pStyle w:val="Paragraph"/>
              <w:spacing w:after="240" w:line="240" w:lineRule="auto"/>
              <w:jc w:val="left"/>
              <w:rPr>
                <w:rFonts w:ascii="Arial" w:hAnsi="Arial"/>
                <w:sz w:val="24"/>
                <w:szCs w:val="24"/>
              </w:rPr>
            </w:pPr>
            <w:r>
              <w:rPr>
                <w:rFonts w:ascii="Arial" w:hAnsi="Arial"/>
                <w:sz w:val="24"/>
                <w:szCs w:val="24"/>
              </w:rPr>
              <w:t>23</w:t>
            </w:r>
            <w:r w:rsidRPr="00090578">
              <w:rPr>
                <w:rFonts w:ascii="Arial" w:hAnsi="Arial"/>
                <w:sz w:val="24"/>
                <w:szCs w:val="24"/>
                <w:vertAlign w:val="superscript"/>
              </w:rPr>
              <w:t>rd</w:t>
            </w:r>
            <w:r>
              <w:rPr>
                <w:rFonts w:ascii="Arial" w:hAnsi="Arial"/>
                <w:sz w:val="24"/>
                <w:szCs w:val="24"/>
              </w:rPr>
              <w:t xml:space="preserve"> February 2024</w:t>
            </w:r>
          </w:p>
        </w:tc>
      </w:tr>
      <w:tr w:rsidR="00407612" w:rsidRPr="006A11F4" w14:paraId="2E6A1BED" w14:textId="77777777" w:rsidTr="00F15D1E">
        <w:tc>
          <w:tcPr>
            <w:tcW w:w="2500" w:type="pct"/>
            <w:tcBorders>
              <w:top w:val="single" w:sz="8" w:space="0" w:color="000000"/>
              <w:left w:val="single" w:sz="8" w:space="0" w:color="000000"/>
              <w:bottom w:val="single" w:sz="8" w:space="0" w:color="000000"/>
              <w:right w:val="single" w:sz="8" w:space="0" w:color="000000"/>
            </w:tcBorders>
          </w:tcPr>
          <w:p w14:paraId="4D8DA82D" w14:textId="05A29982" w:rsidR="00407612" w:rsidRPr="00533D73" w:rsidRDefault="006268CB" w:rsidP="00F15D1E">
            <w:pPr>
              <w:pStyle w:val="Paragraph"/>
              <w:spacing w:after="240" w:line="240" w:lineRule="auto"/>
              <w:jc w:val="left"/>
              <w:rPr>
                <w:rFonts w:ascii="Arial" w:hAnsi="Arial"/>
                <w:sz w:val="24"/>
                <w:szCs w:val="24"/>
              </w:rPr>
            </w:pPr>
            <w:r>
              <w:rPr>
                <w:rFonts w:ascii="Arial" w:hAnsi="Arial"/>
                <w:sz w:val="24"/>
                <w:szCs w:val="24"/>
              </w:rPr>
              <w:t>C</w:t>
            </w:r>
            <w:r w:rsidR="005B15F2">
              <w:rPr>
                <w:rFonts w:ascii="Arial" w:hAnsi="Arial"/>
                <w:sz w:val="24"/>
                <w:szCs w:val="24"/>
              </w:rPr>
              <w:t>ontract award</w:t>
            </w:r>
            <w:r>
              <w:rPr>
                <w:rFonts w:ascii="Arial" w:hAnsi="Arial"/>
                <w:sz w:val="24"/>
                <w:szCs w:val="24"/>
              </w:rPr>
              <w:t>/Acceptance of quote</w:t>
            </w:r>
            <w:r w:rsidR="00407612" w:rsidRPr="00533D73">
              <w:rPr>
                <w:rFonts w:ascii="Arial" w:hAnsi="Arial"/>
                <w:sz w:val="24"/>
                <w:szCs w:val="24"/>
              </w:rPr>
              <w:t xml:space="preserve"> </w:t>
            </w:r>
          </w:p>
        </w:tc>
        <w:tc>
          <w:tcPr>
            <w:tcW w:w="2500" w:type="pct"/>
            <w:tcBorders>
              <w:top w:val="single" w:sz="8" w:space="0" w:color="000000"/>
              <w:left w:val="single" w:sz="8" w:space="0" w:color="000000"/>
              <w:bottom w:val="single" w:sz="8" w:space="0" w:color="000000"/>
              <w:right w:val="single" w:sz="8" w:space="0" w:color="000000"/>
            </w:tcBorders>
          </w:tcPr>
          <w:p w14:paraId="4E79B6E4" w14:textId="5FC06E44" w:rsidR="00407612" w:rsidRPr="00533D73" w:rsidRDefault="00090578" w:rsidP="00F15D1E">
            <w:pPr>
              <w:pStyle w:val="Paragraph"/>
              <w:spacing w:after="240" w:line="240" w:lineRule="auto"/>
              <w:jc w:val="left"/>
              <w:rPr>
                <w:rFonts w:ascii="Arial" w:hAnsi="Arial"/>
                <w:sz w:val="24"/>
                <w:szCs w:val="24"/>
              </w:rPr>
            </w:pPr>
            <w:r>
              <w:rPr>
                <w:rFonts w:ascii="Arial" w:hAnsi="Arial"/>
                <w:sz w:val="24"/>
                <w:szCs w:val="24"/>
              </w:rPr>
              <w:t>27</w:t>
            </w:r>
            <w:r w:rsidRPr="00090578">
              <w:rPr>
                <w:rFonts w:ascii="Arial" w:hAnsi="Arial"/>
                <w:sz w:val="24"/>
                <w:szCs w:val="24"/>
                <w:vertAlign w:val="superscript"/>
              </w:rPr>
              <w:t>th</w:t>
            </w:r>
            <w:r>
              <w:rPr>
                <w:rFonts w:ascii="Arial" w:hAnsi="Arial"/>
                <w:sz w:val="24"/>
                <w:szCs w:val="24"/>
              </w:rPr>
              <w:t xml:space="preserve"> February 2024</w:t>
            </w:r>
          </w:p>
        </w:tc>
      </w:tr>
      <w:tr w:rsidR="00407612" w:rsidRPr="006A11F4" w14:paraId="17724EB2" w14:textId="77777777" w:rsidTr="00F15D1E">
        <w:tc>
          <w:tcPr>
            <w:tcW w:w="2500" w:type="pct"/>
            <w:tcBorders>
              <w:top w:val="single" w:sz="8" w:space="0" w:color="000000"/>
              <w:left w:val="single" w:sz="8" w:space="0" w:color="000000"/>
              <w:bottom w:val="single" w:sz="8" w:space="0" w:color="000000"/>
              <w:right w:val="single" w:sz="8" w:space="0" w:color="000000"/>
            </w:tcBorders>
          </w:tcPr>
          <w:p w14:paraId="37BE176F" w14:textId="52B2AFC0" w:rsidR="00407612" w:rsidRPr="00533D73" w:rsidRDefault="005B15F2" w:rsidP="00F15D1E">
            <w:pPr>
              <w:pStyle w:val="Paragraph"/>
              <w:spacing w:after="240" w:line="240" w:lineRule="auto"/>
              <w:jc w:val="left"/>
              <w:rPr>
                <w:rFonts w:ascii="Arial" w:hAnsi="Arial"/>
                <w:sz w:val="24"/>
                <w:szCs w:val="24"/>
              </w:rPr>
            </w:pPr>
            <w:r>
              <w:rPr>
                <w:rFonts w:ascii="Arial" w:hAnsi="Arial"/>
                <w:sz w:val="24"/>
                <w:szCs w:val="24"/>
              </w:rPr>
              <w:t>Contract starts</w:t>
            </w:r>
            <w:r w:rsidR="00407612" w:rsidRPr="00533D73">
              <w:rPr>
                <w:rFonts w:ascii="Arial" w:hAnsi="Arial"/>
                <w:sz w:val="24"/>
                <w:szCs w:val="24"/>
              </w:rPr>
              <w:t xml:space="preserve"> </w:t>
            </w:r>
          </w:p>
        </w:tc>
        <w:tc>
          <w:tcPr>
            <w:tcW w:w="2500" w:type="pct"/>
            <w:tcBorders>
              <w:top w:val="single" w:sz="8" w:space="0" w:color="000000"/>
              <w:left w:val="single" w:sz="8" w:space="0" w:color="000000"/>
              <w:bottom w:val="single" w:sz="8" w:space="0" w:color="000000"/>
              <w:right w:val="single" w:sz="8" w:space="0" w:color="000000"/>
            </w:tcBorders>
          </w:tcPr>
          <w:p w14:paraId="1295C9FB" w14:textId="093E8D91" w:rsidR="00407612" w:rsidRPr="00533D73" w:rsidRDefault="00090578" w:rsidP="00F15D1E">
            <w:pPr>
              <w:pStyle w:val="Paragraph"/>
              <w:spacing w:after="240" w:line="240" w:lineRule="auto"/>
              <w:jc w:val="left"/>
              <w:rPr>
                <w:rFonts w:ascii="Arial" w:hAnsi="Arial"/>
                <w:sz w:val="24"/>
                <w:szCs w:val="24"/>
              </w:rPr>
            </w:pPr>
            <w:r>
              <w:rPr>
                <w:rFonts w:ascii="Arial" w:hAnsi="Arial"/>
                <w:sz w:val="24"/>
                <w:szCs w:val="24"/>
              </w:rPr>
              <w:t>28</w:t>
            </w:r>
            <w:r w:rsidRPr="00090578">
              <w:rPr>
                <w:rFonts w:ascii="Arial" w:hAnsi="Arial"/>
                <w:sz w:val="24"/>
                <w:szCs w:val="24"/>
                <w:vertAlign w:val="superscript"/>
              </w:rPr>
              <w:t>th</w:t>
            </w:r>
            <w:r>
              <w:rPr>
                <w:rFonts w:ascii="Arial" w:hAnsi="Arial"/>
                <w:sz w:val="24"/>
                <w:szCs w:val="24"/>
              </w:rPr>
              <w:t xml:space="preserve"> February 2024</w:t>
            </w:r>
          </w:p>
        </w:tc>
      </w:tr>
    </w:tbl>
    <w:p w14:paraId="7DB08C6B" w14:textId="77777777" w:rsidR="00407612" w:rsidRPr="006268CB" w:rsidRDefault="00407612" w:rsidP="00407612">
      <w:pPr>
        <w:tabs>
          <w:tab w:val="left" w:pos="-180"/>
        </w:tabs>
        <w:spacing w:before="120"/>
        <w:ind w:hanging="181"/>
        <w:rPr>
          <w:rFonts w:cs="Arial"/>
          <w:szCs w:val="24"/>
        </w:rPr>
      </w:pPr>
      <w:r w:rsidRPr="006268CB">
        <w:rPr>
          <w:rFonts w:cs="Arial"/>
          <w:szCs w:val="24"/>
        </w:rPr>
        <w:t xml:space="preserve">DVLA reserves the right to amend the Timetable. Any changes to the Timetable shall be </w:t>
      </w:r>
    </w:p>
    <w:p w14:paraId="7907DB8F" w14:textId="63F13B7E" w:rsidR="00407612" w:rsidRPr="00533D73" w:rsidRDefault="00407612" w:rsidP="00407612">
      <w:pPr>
        <w:tabs>
          <w:tab w:val="left" w:pos="-180"/>
        </w:tabs>
        <w:ind w:hanging="180"/>
        <w:rPr>
          <w:rFonts w:cs="Arial"/>
          <w:szCs w:val="24"/>
        </w:rPr>
      </w:pPr>
      <w:r w:rsidRPr="006268CB">
        <w:rPr>
          <w:rFonts w:cs="Arial"/>
          <w:szCs w:val="24"/>
        </w:rPr>
        <w:t xml:space="preserve">notified to all </w:t>
      </w:r>
      <w:r w:rsidR="00313FCF" w:rsidRPr="006268CB">
        <w:rPr>
          <w:rFonts w:cs="Arial"/>
          <w:szCs w:val="24"/>
        </w:rPr>
        <w:t>suppliers</w:t>
      </w:r>
      <w:r w:rsidRPr="006268CB">
        <w:rPr>
          <w:rFonts w:cs="Arial"/>
          <w:szCs w:val="24"/>
        </w:rPr>
        <w:t xml:space="preserve"> as soon as practicable.</w:t>
      </w:r>
    </w:p>
    <w:p w14:paraId="23785013" w14:textId="77777777" w:rsidR="00533D73" w:rsidRDefault="00533D73" w:rsidP="00237E4B">
      <w:pPr>
        <w:tabs>
          <w:tab w:val="left" w:pos="-180"/>
        </w:tabs>
        <w:ind w:hanging="180"/>
        <w:rPr>
          <w:rFonts w:cs="Arial"/>
          <w:highlight w:val="yellow"/>
        </w:rPr>
      </w:pPr>
    </w:p>
    <w:p w14:paraId="60443977" w14:textId="77777777" w:rsidR="006268CB" w:rsidRDefault="006268CB" w:rsidP="00237E4B">
      <w:pPr>
        <w:tabs>
          <w:tab w:val="left" w:pos="-180"/>
        </w:tabs>
        <w:ind w:hanging="180"/>
        <w:rPr>
          <w:rFonts w:cs="Arial"/>
          <w:highlight w:val="yellow"/>
        </w:rPr>
      </w:pPr>
    </w:p>
    <w:p w14:paraId="6B87F127" w14:textId="393EFA57" w:rsidR="006268CB" w:rsidRPr="006268CB" w:rsidRDefault="00237E4B" w:rsidP="006268CB">
      <w:pPr>
        <w:pStyle w:val="Heading2"/>
        <w:tabs>
          <w:tab w:val="clear" w:pos="0"/>
          <w:tab w:val="left" w:pos="-180"/>
        </w:tabs>
        <w:spacing w:before="0"/>
        <w:ind w:hanging="181"/>
      </w:pPr>
      <w:bookmarkStart w:id="13" w:name="_Toc177969166"/>
      <w:bookmarkStart w:id="14" w:name="_Toc180380665"/>
      <w:bookmarkStart w:id="15" w:name="_Toc158968195"/>
      <w:bookmarkStart w:id="16" w:name="_Hlk157755952"/>
      <w:r>
        <w:t>4</w:t>
      </w:r>
      <w:r w:rsidR="006268CB">
        <w:t>a</w:t>
      </w:r>
      <w:r>
        <w:t xml:space="preserve">. </w:t>
      </w:r>
      <w:r w:rsidR="001A236D">
        <w:t>Scope</w:t>
      </w:r>
      <w:bookmarkStart w:id="17" w:name="_Toc177969167"/>
      <w:bookmarkStart w:id="18" w:name="_Toc180380666"/>
      <w:bookmarkEnd w:id="13"/>
      <w:bookmarkEnd w:id="14"/>
      <w:r w:rsidR="006268CB">
        <w:t xml:space="preserve"> – </w:t>
      </w:r>
      <w:bookmarkStart w:id="19" w:name="_Hlk157756182"/>
      <w:r w:rsidR="006268CB">
        <w:t>Motor Vehicle Insurance Requirement</w:t>
      </w:r>
      <w:bookmarkEnd w:id="19"/>
      <w:bookmarkEnd w:id="15"/>
    </w:p>
    <w:bookmarkEnd w:id="16"/>
    <w:p w14:paraId="414C2BE9" w14:textId="77777777" w:rsidR="00652BB5" w:rsidRPr="00652BB5" w:rsidRDefault="00652BB5" w:rsidP="00652BB5">
      <w:pPr>
        <w:rPr>
          <w:rFonts w:cs="Arial"/>
          <w:szCs w:val="24"/>
        </w:rPr>
      </w:pPr>
      <w:r w:rsidRPr="00652BB5">
        <w:rPr>
          <w:rFonts w:cs="Arial"/>
          <w:szCs w:val="24"/>
        </w:rPr>
        <w:t>The Agency currently has the following different categories of vehicles which are used for a variety of purposes:</w:t>
      </w:r>
    </w:p>
    <w:p w14:paraId="223D527A" w14:textId="77777777" w:rsidR="00652BB5" w:rsidRPr="00652BB5" w:rsidRDefault="00652BB5" w:rsidP="00652BB5">
      <w:pPr>
        <w:tabs>
          <w:tab w:val="left" w:pos="6620"/>
        </w:tabs>
        <w:rPr>
          <w:rFonts w:cs="Arial"/>
          <w:szCs w:val="24"/>
        </w:rPr>
      </w:pPr>
      <w:r w:rsidRPr="00652BB5">
        <w:rPr>
          <w:rFonts w:cs="Arial"/>
          <w:szCs w:val="24"/>
        </w:rPr>
        <w:tab/>
      </w:r>
    </w:p>
    <w:p w14:paraId="2591DB14" w14:textId="77777777" w:rsidR="00652BB5" w:rsidRPr="00652BB5" w:rsidRDefault="00652BB5" w:rsidP="00652BB5">
      <w:pPr>
        <w:numPr>
          <w:ilvl w:val="0"/>
          <w:numId w:val="33"/>
        </w:numPr>
        <w:rPr>
          <w:rFonts w:cs="Arial"/>
          <w:szCs w:val="24"/>
        </w:rPr>
      </w:pPr>
      <w:r w:rsidRPr="00652BB5">
        <w:rPr>
          <w:rFonts w:cs="Arial"/>
          <w:szCs w:val="24"/>
        </w:rPr>
        <w:t>Leased Pool Cars for Business Travel</w:t>
      </w:r>
    </w:p>
    <w:p w14:paraId="678E500D" w14:textId="77777777" w:rsidR="00652BB5" w:rsidRPr="00652BB5" w:rsidRDefault="00652BB5" w:rsidP="00652BB5">
      <w:pPr>
        <w:numPr>
          <w:ilvl w:val="0"/>
          <w:numId w:val="33"/>
        </w:numPr>
        <w:rPr>
          <w:rFonts w:cs="Arial"/>
          <w:szCs w:val="24"/>
        </w:rPr>
      </w:pPr>
      <w:r w:rsidRPr="00652BB5">
        <w:rPr>
          <w:rFonts w:cs="Arial"/>
          <w:szCs w:val="24"/>
        </w:rPr>
        <w:t>ANPR Fleet for DVLA Enforcement Activities</w:t>
      </w:r>
    </w:p>
    <w:p w14:paraId="59A1EEFE" w14:textId="77777777" w:rsidR="00652BB5" w:rsidRPr="00652BB5" w:rsidRDefault="00652BB5" w:rsidP="00652BB5">
      <w:pPr>
        <w:numPr>
          <w:ilvl w:val="0"/>
          <w:numId w:val="33"/>
        </w:numPr>
        <w:rPr>
          <w:rFonts w:cs="Arial"/>
          <w:szCs w:val="24"/>
        </w:rPr>
      </w:pPr>
      <w:r w:rsidRPr="00652BB5">
        <w:rPr>
          <w:rFonts w:cs="Arial"/>
          <w:szCs w:val="24"/>
        </w:rPr>
        <w:t>Daily Hire Vehicles for Business Travel</w:t>
      </w:r>
    </w:p>
    <w:p w14:paraId="345A722C" w14:textId="77777777" w:rsidR="00652BB5" w:rsidRPr="00652BB5" w:rsidRDefault="00652BB5" w:rsidP="00652BB5">
      <w:pPr>
        <w:numPr>
          <w:ilvl w:val="0"/>
          <w:numId w:val="33"/>
        </w:numPr>
        <w:rPr>
          <w:rFonts w:cs="Arial"/>
          <w:szCs w:val="24"/>
        </w:rPr>
      </w:pPr>
      <w:r w:rsidRPr="00652BB5">
        <w:rPr>
          <w:rFonts w:cs="Arial"/>
          <w:szCs w:val="24"/>
        </w:rPr>
        <w:t>Long Term Hire Vehicles</w:t>
      </w:r>
    </w:p>
    <w:p w14:paraId="0CDACB0B" w14:textId="77777777" w:rsidR="00652BB5" w:rsidRPr="00652BB5" w:rsidRDefault="00652BB5" w:rsidP="00652BB5">
      <w:pPr>
        <w:rPr>
          <w:rFonts w:cs="Arial"/>
          <w:szCs w:val="24"/>
        </w:rPr>
      </w:pPr>
    </w:p>
    <w:p w14:paraId="40AC1C4B" w14:textId="77777777" w:rsidR="00652BB5" w:rsidRPr="00652BB5" w:rsidRDefault="00652BB5" w:rsidP="00652BB5">
      <w:pPr>
        <w:rPr>
          <w:rFonts w:cs="Arial"/>
          <w:szCs w:val="24"/>
        </w:rPr>
      </w:pPr>
      <w:r w:rsidRPr="00652BB5">
        <w:rPr>
          <w:rFonts w:cs="Arial"/>
          <w:szCs w:val="24"/>
        </w:rPr>
        <w:lastRenderedPageBreak/>
        <w:t>The number of vehicles and associated mileages indicated later within this specification is expected to vary through the life of the contract.</w:t>
      </w:r>
    </w:p>
    <w:p w14:paraId="25C64509" w14:textId="77777777" w:rsidR="00652BB5" w:rsidRPr="00652BB5" w:rsidRDefault="00652BB5" w:rsidP="00652BB5">
      <w:pPr>
        <w:rPr>
          <w:rFonts w:cs="Arial"/>
          <w:szCs w:val="24"/>
        </w:rPr>
      </w:pPr>
    </w:p>
    <w:p w14:paraId="4253314D" w14:textId="6622AAD5" w:rsidR="00652BB5" w:rsidRDefault="00652BB5" w:rsidP="00652BB5">
      <w:pPr>
        <w:rPr>
          <w:rFonts w:cs="Arial"/>
          <w:szCs w:val="24"/>
        </w:rPr>
      </w:pPr>
      <w:r w:rsidRPr="00652BB5">
        <w:rPr>
          <w:rFonts w:cs="Arial"/>
          <w:szCs w:val="24"/>
        </w:rPr>
        <w:t>The DVLA expects quotations to be obtained with the thresholds laid out within Section 6 of this document.</w:t>
      </w:r>
      <w:r w:rsidR="00CD7817">
        <w:rPr>
          <w:rFonts w:cs="Arial"/>
          <w:szCs w:val="24"/>
        </w:rPr>
        <w:t xml:space="preserve"> </w:t>
      </w:r>
    </w:p>
    <w:p w14:paraId="16D40C32" w14:textId="77777777" w:rsidR="00767F1F" w:rsidRPr="00652BB5" w:rsidRDefault="00767F1F" w:rsidP="00652BB5">
      <w:pPr>
        <w:rPr>
          <w:rFonts w:cs="Arial"/>
          <w:szCs w:val="24"/>
        </w:rPr>
      </w:pPr>
    </w:p>
    <w:p w14:paraId="419F2B69" w14:textId="63F1405C" w:rsidR="006268CB" w:rsidRPr="006268CB" w:rsidRDefault="006268CB" w:rsidP="006268CB">
      <w:pPr>
        <w:pStyle w:val="Heading2"/>
        <w:tabs>
          <w:tab w:val="clear" w:pos="0"/>
          <w:tab w:val="left" w:pos="-180"/>
        </w:tabs>
        <w:spacing w:before="0"/>
        <w:ind w:hanging="181"/>
      </w:pPr>
      <w:bookmarkStart w:id="20" w:name="_Toc158968196"/>
      <w:r>
        <w:t>4b. Scope – TUPE HR Insurance Requirement</w:t>
      </w:r>
      <w:bookmarkEnd w:id="20"/>
    </w:p>
    <w:p w14:paraId="042FB679" w14:textId="6C2DE989" w:rsidR="00291A5A" w:rsidRDefault="00291A5A" w:rsidP="00291A5A">
      <w:bookmarkStart w:id="21" w:name="_Toc14341339"/>
      <w:bookmarkStart w:id="22" w:name="_Toc14341447"/>
      <w:bookmarkStart w:id="23" w:name="_Toc14343064"/>
      <w:r w:rsidRPr="00AA764A">
        <w:t xml:space="preserve">The </w:t>
      </w:r>
      <w:r w:rsidRPr="00291A5A">
        <w:rPr>
          <w:bCs/>
        </w:rPr>
        <w:t xml:space="preserve">Agency </w:t>
      </w:r>
      <w:r w:rsidRPr="00AA764A">
        <w:t>has a requirement for the provision of:</w:t>
      </w:r>
      <w:bookmarkEnd w:id="21"/>
      <w:bookmarkEnd w:id="22"/>
      <w:bookmarkEnd w:id="23"/>
      <w:r w:rsidRPr="00AA764A">
        <w:t xml:space="preserve"> </w:t>
      </w:r>
    </w:p>
    <w:p w14:paraId="4A046F5C" w14:textId="77777777" w:rsidR="00767F1F" w:rsidRDefault="00767F1F" w:rsidP="00291A5A"/>
    <w:p w14:paraId="2B35F850" w14:textId="60C57FE7" w:rsidR="00767F1F" w:rsidRPr="00767F1F" w:rsidRDefault="00767F1F" w:rsidP="00767F1F">
      <w:pPr>
        <w:numPr>
          <w:ilvl w:val="0"/>
          <w:numId w:val="39"/>
        </w:numPr>
        <w:spacing w:line="276" w:lineRule="auto"/>
      </w:pPr>
      <w:r>
        <w:t>L</w:t>
      </w:r>
      <w:r w:rsidRPr="00767F1F">
        <w:t xml:space="preserve">ife; </w:t>
      </w:r>
    </w:p>
    <w:p w14:paraId="5083EE74" w14:textId="77777777" w:rsidR="00767F1F" w:rsidRPr="00767F1F" w:rsidRDefault="00767F1F" w:rsidP="00767F1F">
      <w:pPr>
        <w:numPr>
          <w:ilvl w:val="0"/>
          <w:numId w:val="39"/>
        </w:numPr>
        <w:spacing w:line="276" w:lineRule="auto"/>
      </w:pPr>
      <w:r w:rsidRPr="00767F1F">
        <w:t xml:space="preserve">Medical; and </w:t>
      </w:r>
    </w:p>
    <w:p w14:paraId="705FA65D" w14:textId="77777777" w:rsidR="00767F1F" w:rsidRDefault="00767F1F" w:rsidP="00767F1F">
      <w:pPr>
        <w:numPr>
          <w:ilvl w:val="0"/>
          <w:numId w:val="39"/>
        </w:numPr>
        <w:spacing w:line="276" w:lineRule="auto"/>
      </w:pPr>
      <w:r w:rsidRPr="00767F1F">
        <w:t xml:space="preserve">Accident cover </w:t>
      </w:r>
    </w:p>
    <w:p w14:paraId="11BA8A16" w14:textId="77777777" w:rsidR="00767F1F" w:rsidRPr="00767F1F" w:rsidRDefault="00767F1F" w:rsidP="00767F1F">
      <w:pPr>
        <w:ind w:left="720"/>
      </w:pPr>
    </w:p>
    <w:p w14:paraId="207E2FE7" w14:textId="3FC9A14F" w:rsidR="00767F1F" w:rsidRPr="00767F1F" w:rsidRDefault="00767F1F" w:rsidP="00767F1F">
      <w:r w:rsidRPr="00B13490">
        <w:t xml:space="preserve">Current numbers are outlined in </w:t>
      </w:r>
      <w:r w:rsidR="009E5471" w:rsidRPr="00B13490">
        <w:t>Annex 1</w:t>
      </w:r>
      <w:r w:rsidR="00090578" w:rsidRPr="00B13490">
        <w:t>0</w:t>
      </w:r>
      <w:r w:rsidR="009E5471" w:rsidRPr="00B13490">
        <w:t xml:space="preserve"> below</w:t>
      </w:r>
      <w:r w:rsidRPr="00767F1F">
        <w:t>. These numbers are subject to change over the term of the contract to enable staff to opt in or out of the cover they are entitled to.</w:t>
      </w:r>
    </w:p>
    <w:p w14:paraId="24007CF9" w14:textId="754CF09F" w:rsidR="00767F1F" w:rsidRDefault="00767F1F" w:rsidP="00767F1F">
      <w:r w:rsidRPr="00767F1F">
        <w:t>Service Providers must meet the minimum requirements for each type of cover as outlined</w:t>
      </w:r>
      <w:r w:rsidR="006B6EC4">
        <w:t xml:space="preserve"> </w:t>
      </w:r>
      <w:r w:rsidR="006B6EC4" w:rsidRPr="009E5471">
        <w:t xml:space="preserve">in </w:t>
      </w:r>
      <w:r w:rsidR="009E5471">
        <w:t>S</w:t>
      </w:r>
      <w:r w:rsidR="006B6EC4" w:rsidRPr="009E5471">
        <w:t>ection 7</w:t>
      </w:r>
      <w:r w:rsidRPr="00767F1F">
        <w:t xml:space="preserve"> below</w:t>
      </w:r>
      <w:r w:rsidR="006B6EC4">
        <w:t>.</w:t>
      </w:r>
    </w:p>
    <w:p w14:paraId="3C3921E6" w14:textId="77777777" w:rsidR="00291A5A" w:rsidRDefault="00291A5A" w:rsidP="00B228E1">
      <w:pPr>
        <w:tabs>
          <w:tab w:val="left" w:pos="-180"/>
        </w:tabs>
        <w:rPr>
          <w:rFonts w:cs="Arial"/>
        </w:rPr>
      </w:pPr>
    </w:p>
    <w:p w14:paraId="43FD78CF" w14:textId="77777777" w:rsidR="00291A5A" w:rsidRPr="004437C5" w:rsidRDefault="00291A5A" w:rsidP="00850192">
      <w:pPr>
        <w:tabs>
          <w:tab w:val="left" w:pos="-180"/>
        </w:tabs>
        <w:ind w:left="-181"/>
        <w:rPr>
          <w:rFonts w:cs="Arial"/>
        </w:rPr>
      </w:pPr>
    </w:p>
    <w:p w14:paraId="71117A48" w14:textId="77777777" w:rsidR="001A236D" w:rsidRDefault="00237E4B" w:rsidP="00237E4B">
      <w:pPr>
        <w:pStyle w:val="Heading2"/>
        <w:tabs>
          <w:tab w:val="clear" w:pos="0"/>
          <w:tab w:val="left" w:pos="-180"/>
          <w:tab w:val="num" w:pos="747"/>
          <w:tab w:val="num" w:pos="1080"/>
        </w:tabs>
        <w:ind w:left="-180"/>
      </w:pPr>
      <w:bookmarkStart w:id="24" w:name="_Toc253400959"/>
      <w:bookmarkStart w:id="25" w:name="_Toc158968197"/>
      <w:r>
        <w:t xml:space="preserve">5. </w:t>
      </w:r>
      <w:r w:rsidR="001A236D" w:rsidRPr="000E1435">
        <w:t>Implementation</w:t>
      </w:r>
      <w:r w:rsidR="001A236D">
        <w:t xml:space="preserve"> and Deliverables</w:t>
      </w:r>
      <w:bookmarkEnd w:id="24"/>
      <w:bookmarkEnd w:id="25"/>
    </w:p>
    <w:p w14:paraId="02213051" w14:textId="7173F1CD" w:rsidR="006B6EC4" w:rsidRDefault="00D90F8A" w:rsidP="006B6EC4">
      <w:pPr>
        <w:tabs>
          <w:tab w:val="left" w:pos="-180"/>
        </w:tabs>
        <w:ind w:left="-180"/>
        <w:rPr>
          <w:bCs/>
        </w:rPr>
      </w:pPr>
      <w:r w:rsidRPr="00D90F8A">
        <w:rPr>
          <w:bCs/>
        </w:rPr>
        <w:t>The broker to liaise with the DVLA to draft a specification and tender pack and agree tender process</w:t>
      </w:r>
      <w:r w:rsidR="006268CB">
        <w:rPr>
          <w:bCs/>
        </w:rPr>
        <w:t xml:space="preserve"> for both 4a </w:t>
      </w:r>
      <w:r w:rsidR="006268CB" w:rsidRPr="006268CB">
        <w:rPr>
          <w:bCs/>
        </w:rPr>
        <w:t>Motor Vehicle Insurance Requirement</w:t>
      </w:r>
      <w:r w:rsidR="006268CB">
        <w:rPr>
          <w:bCs/>
        </w:rPr>
        <w:t xml:space="preserve"> &amp; 4b TUPE HR Insurance Requirement</w:t>
      </w:r>
      <w:r w:rsidRPr="00D90F8A">
        <w:rPr>
          <w:bCs/>
        </w:rPr>
        <w:t>.</w:t>
      </w:r>
      <w:bookmarkStart w:id="26" w:name="_Toc14341401"/>
      <w:bookmarkStart w:id="27" w:name="_Toc14341510"/>
      <w:bookmarkStart w:id="28" w:name="_Toc14343127"/>
    </w:p>
    <w:p w14:paraId="08103545" w14:textId="70D84BD7" w:rsidR="009E5471" w:rsidRDefault="009E5471" w:rsidP="006B6EC4">
      <w:pPr>
        <w:tabs>
          <w:tab w:val="left" w:pos="-180"/>
        </w:tabs>
        <w:ind w:left="-180"/>
        <w:rPr>
          <w:bCs/>
        </w:rPr>
      </w:pPr>
    </w:p>
    <w:p w14:paraId="34E264A7" w14:textId="2AA4C444" w:rsidR="009E5471" w:rsidRDefault="009E5471" w:rsidP="006B6EC4">
      <w:pPr>
        <w:tabs>
          <w:tab w:val="left" w:pos="-180"/>
        </w:tabs>
        <w:ind w:left="-180"/>
        <w:rPr>
          <w:bCs/>
        </w:rPr>
      </w:pPr>
      <w:r>
        <w:rPr>
          <w:bCs/>
        </w:rPr>
        <w:t>Existing policy for Motor Insurance will expire on 31</w:t>
      </w:r>
      <w:r w:rsidRPr="009E5471">
        <w:rPr>
          <w:bCs/>
          <w:vertAlign w:val="superscript"/>
        </w:rPr>
        <w:t>st</w:t>
      </w:r>
      <w:r>
        <w:rPr>
          <w:bCs/>
        </w:rPr>
        <w:t xml:space="preserve"> March 2024, and DVLA and the commencement of the new policy must occur on 1</w:t>
      </w:r>
      <w:r w:rsidRPr="009E5471">
        <w:rPr>
          <w:bCs/>
          <w:vertAlign w:val="superscript"/>
        </w:rPr>
        <w:t>st</w:t>
      </w:r>
      <w:r>
        <w:rPr>
          <w:bCs/>
        </w:rPr>
        <w:t xml:space="preserve"> April 2024.</w:t>
      </w:r>
    </w:p>
    <w:p w14:paraId="1FE518AE" w14:textId="77777777" w:rsidR="006B6EC4" w:rsidRDefault="006B6EC4" w:rsidP="006B6EC4">
      <w:pPr>
        <w:tabs>
          <w:tab w:val="left" w:pos="-180"/>
        </w:tabs>
        <w:ind w:left="-180"/>
        <w:rPr>
          <w:bCs/>
        </w:rPr>
      </w:pPr>
    </w:p>
    <w:p w14:paraId="4420965F" w14:textId="54AF756B" w:rsidR="006B6EC4" w:rsidRPr="009E5471" w:rsidRDefault="006B6EC4" w:rsidP="006B6EC4">
      <w:pPr>
        <w:tabs>
          <w:tab w:val="left" w:pos="-180"/>
        </w:tabs>
        <w:ind w:left="-180"/>
        <w:rPr>
          <w:bCs/>
          <w:sz w:val="28"/>
          <w:szCs w:val="22"/>
        </w:rPr>
      </w:pPr>
      <w:r w:rsidRPr="009E5471">
        <w:rPr>
          <w:rFonts w:cs="Arial"/>
          <w:szCs w:val="24"/>
        </w:rPr>
        <w:t>Existing policy for TUPE HR insurance requirement will expire on the 11 September 2024 and the commencement of the new policy must occur on 12 September 2024.</w:t>
      </w:r>
      <w:bookmarkEnd w:id="26"/>
      <w:bookmarkEnd w:id="27"/>
      <w:bookmarkEnd w:id="28"/>
    </w:p>
    <w:p w14:paraId="2B4404DA" w14:textId="77777777" w:rsidR="00D90F8A" w:rsidRPr="00D90F8A" w:rsidRDefault="00D90F8A" w:rsidP="00D90F8A">
      <w:pPr>
        <w:tabs>
          <w:tab w:val="left" w:pos="-180"/>
        </w:tabs>
        <w:ind w:left="-180"/>
        <w:rPr>
          <w:bCs/>
        </w:rPr>
      </w:pPr>
    </w:p>
    <w:p w14:paraId="6B7AD956" w14:textId="73DF8FB4" w:rsidR="00D90F8A" w:rsidRPr="00D90F8A" w:rsidRDefault="00D90F8A" w:rsidP="00D90F8A">
      <w:pPr>
        <w:tabs>
          <w:tab w:val="left" w:pos="-180"/>
        </w:tabs>
        <w:ind w:left="-180"/>
        <w:rPr>
          <w:bCs/>
        </w:rPr>
      </w:pPr>
      <w:r w:rsidRPr="00D90F8A">
        <w:rPr>
          <w:bCs/>
        </w:rPr>
        <w:t xml:space="preserve">The broker to provide a report fully summarising the outcome of the competition run amongst the suppliers on </w:t>
      </w:r>
      <w:r w:rsidRPr="00D90F8A">
        <w:rPr>
          <w:b/>
          <w:bCs/>
        </w:rPr>
        <w:t xml:space="preserve">RM6138 – Insurance Services DPS </w:t>
      </w:r>
      <w:r w:rsidRPr="00D90F8A">
        <w:rPr>
          <w:bCs/>
        </w:rPr>
        <w:t>Framework</w:t>
      </w:r>
      <w:r w:rsidR="006268CB">
        <w:rPr>
          <w:bCs/>
        </w:rPr>
        <w:t>.</w:t>
      </w:r>
    </w:p>
    <w:p w14:paraId="62F0B6A5" w14:textId="77777777" w:rsidR="00D90F8A" w:rsidRPr="00D90F8A" w:rsidRDefault="00D90F8A" w:rsidP="00D90F8A">
      <w:pPr>
        <w:tabs>
          <w:tab w:val="left" w:pos="-180"/>
        </w:tabs>
        <w:ind w:left="-180"/>
        <w:rPr>
          <w:bCs/>
        </w:rPr>
      </w:pPr>
    </w:p>
    <w:p w14:paraId="479BC244" w14:textId="52BBB9D2" w:rsidR="00D90F8A" w:rsidRPr="00D90F8A" w:rsidRDefault="00D90F8A" w:rsidP="00D90F8A">
      <w:pPr>
        <w:tabs>
          <w:tab w:val="left" w:pos="-180"/>
        </w:tabs>
        <w:ind w:left="-180"/>
        <w:rPr>
          <w:bCs/>
        </w:rPr>
      </w:pPr>
      <w:r w:rsidRPr="00D90F8A">
        <w:rPr>
          <w:bCs/>
        </w:rPr>
        <w:t>The broker to advise DVLA as required in how to achieve most appropriate policy following the completed tendering exercise</w:t>
      </w:r>
      <w:r w:rsidR="006268CB">
        <w:rPr>
          <w:bCs/>
        </w:rPr>
        <w:t>s</w:t>
      </w:r>
      <w:r w:rsidRPr="00D90F8A">
        <w:rPr>
          <w:bCs/>
        </w:rPr>
        <w:t>.</w:t>
      </w:r>
    </w:p>
    <w:p w14:paraId="3D787AE0" w14:textId="77777777" w:rsidR="00D90F8A" w:rsidRPr="00D90F8A" w:rsidRDefault="00D90F8A" w:rsidP="00D90F8A">
      <w:pPr>
        <w:tabs>
          <w:tab w:val="left" w:pos="-180"/>
        </w:tabs>
        <w:ind w:left="-180"/>
        <w:rPr>
          <w:bCs/>
        </w:rPr>
      </w:pPr>
    </w:p>
    <w:p w14:paraId="520ECADA" w14:textId="353743E9" w:rsidR="00D90F8A" w:rsidRPr="00D90F8A" w:rsidRDefault="00D90F8A" w:rsidP="00D90F8A">
      <w:pPr>
        <w:tabs>
          <w:tab w:val="left" w:pos="-180"/>
        </w:tabs>
        <w:ind w:left="-180"/>
        <w:rPr>
          <w:bCs/>
        </w:rPr>
      </w:pPr>
      <w:r w:rsidRPr="00D90F8A">
        <w:rPr>
          <w:bCs/>
        </w:rPr>
        <w:t xml:space="preserve">DVLA to make the final decision on award based on </w:t>
      </w:r>
      <w:r w:rsidR="009E5471">
        <w:rPr>
          <w:bCs/>
        </w:rPr>
        <w:t xml:space="preserve">a </w:t>
      </w:r>
      <w:r w:rsidRPr="00D90F8A">
        <w:rPr>
          <w:bCs/>
        </w:rPr>
        <w:t>report provided by the broker.</w:t>
      </w:r>
    </w:p>
    <w:p w14:paraId="468D01D5" w14:textId="4AE4E1F0" w:rsidR="001A236D" w:rsidRPr="00341475" w:rsidRDefault="001A236D" w:rsidP="00696D73">
      <w:pPr>
        <w:tabs>
          <w:tab w:val="left" w:pos="-180"/>
        </w:tabs>
        <w:ind w:left="-180"/>
        <w:rPr>
          <w:bCs/>
          <w:color w:val="FF0000"/>
        </w:rPr>
      </w:pPr>
    </w:p>
    <w:p w14:paraId="2A8C34F4" w14:textId="77777777" w:rsidR="007A2EAA" w:rsidRDefault="007A2EAA" w:rsidP="00696D73">
      <w:pPr>
        <w:tabs>
          <w:tab w:val="left" w:pos="-180"/>
        </w:tabs>
        <w:ind w:left="-180"/>
        <w:rPr>
          <w:bCs/>
        </w:rPr>
      </w:pPr>
    </w:p>
    <w:p w14:paraId="5FD82FAF" w14:textId="14968FBB" w:rsidR="001A236D" w:rsidRDefault="00237E4B" w:rsidP="00237E4B">
      <w:pPr>
        <w:pStyle w:val="Heading2"/>
        <w:tabs>
          <w:tab w:val="clear" w:pos="0"/>
          <w:tab w:val="left" w:pos="-180"/>
          <w:tab w:val="num" w:pos="747"/>
        </w:tabs>
        <w:ind w:left="-180"/>
      </w:pPr>
      <w:bookmarkStart w:id="29" w:name="_Toc177969168"/>
      <w:bookmarkStart w:id="30" w:name="_Toc180380667"/>
      <w:bookmarkStart w:id="31" w:name="_Toc158968198"/>
      <w:bookmarkEnd w:id="17"/>
      <w:bookmarkEnd w:id="18"/>
      <w:r w:rsidRPr="00237E4B">
        <w:t>6.</w:t>
      </w:r>
      <w:r>
        <w:t xml:space="preserve"> </w:t>
      </w:r>
      <w:r w:rsidR="001A236D" w:rsidRPr="000E1435">
        <w:t xml:space="preserve">Specifying </w:t>
      </w:r>
      <w:bookmarkEnd w:id="29"/>
      <w:bookmarkEnd w:id="30"/>
      <w:r w:rsidR="00291A5A">
        <w:t>Motor Insurance Services</w:t>
      </w:r>
      <w:bookmarkEnd w:id="31"/>
    </w:p>
    <w:p w14:paraId="234DD374" w14:textId="77777777" w:rsidR="003F7E1C" w:rsidRDefault="003F7E1C" w:rsidP="00237E4B">
      <w:pPr>
        <w:tabs>
          <w:tab w:val="left" w:pos="-180"/>
        </w:tabs>
        <w:ind w:hanging="180"/>
        <w:rPr>
          <w:rFonts w:cs="Arial"/>
        </w:rPr>
      </w:pPr>
    </w:p>
    <w:p w14:paraId="3C75465F" w14:textId="59719F90" w:rsidR="001D1B02" w:rsidRPr="005651A6" w:rsidRDefault="001D1B02" w:rsidP="001D1B02">
      <w:pPr>
        <w:tabs>
          <w:tab w:val="left" w:pos="-180"/>
        </w:tabs>
        <w:spacing w:after="120"/>
        <w:ind w:left="-181"/>
        <w:rPr>
          <w:rFonts w:cs="Arial"/>
          <w:b/>
          <w:highlight w:val="yellow"/>
        </w:rPr>
      </w:pPr>
      <w:r w:rsidRPr="00D61615">
        <w:rPr>
          <w:rFonts w:cs="Arial"/>
          <w:b/>
        </w:rPr>
        <w:t>6.</w:t>
      </w:r>
      <w:r>
        <w:rPr>
          <w:rFonts w:cs="Arial"/>
          <w:b/>
        </w:rPr>
        <w:t>1</w:t>
      </w:r>
      <w:r w:rsidRPr="00D61615">
        <w:rPr>
          <w:rFonts w:cs="Arial"/>
          <w:b/>
        </w:rPr>
        <w:t xml:space="preserve"> </w:t>
      </w:r>
      <w:r>
        <w:rPr>
          <w:rFonts w:cs="Arial"/>
          <w:b/>
        </w:rPr>
        <w:t xml:space="preserve">Service Level Agreement (SLA) and </w:t>
      </w:r>
      <w:r w:rsidRPr="00D61615">
        <w:rPr>
          <w:rFonts w:cs="Arial"/>
          <w:b/>
        </w:rPr>
        <w:t>Key Performance Indicators (KPIs)</w:t>
      </w:r>
    </w:p>
    <w:p w14:paraId="7A197B82" w14:textId="5A0A053C" w:rsidR="001D1B02" w:rsidRPr="00EB631C" w:rsidRDefault="001D1B02" w:rsidP="001D1B02">
      <w:pPr>
        <w:tabs>
          <w:tab w:val="left" w:pos="-180"/>
        </w:tabs>
        <w:spacing w:after="120"/>
        <w:ind w:left="-181"/>
        <w:rPr>
          <w:rFonts w:cs="Arial"/>
          <w:bCs/>
        </w:rPr>
      </w:pPr>
      <w:r w:rsidRPr="00EB631C">
        <w:rPr>
          <w:rFonts w:cs="Arial"/>
          <w:bCs/>
        </w:rPr>
        <w:t>The details of the SLA and KPIs applicable to this requirement are outlined</w:t>
      </w:r>
      <w:r w:rsidR="00EB631C" w:rsidRPr="00EB631C">
        <w:rPr>
          <w:rFonts w:cs="Arial"/>
          <w:bCs/>
        </w:rPr>
        <w:t xml:space="preserve"> in Call-off Schedule 14 – Service Levels</w:t>
      </w:r>
      <w:r w:rsidR="00EB631C">
        <w:rPr>
          <w:rFonts w:cs="Arial"/>
          <w:bCs/>
        </w:rPr>
        <w:t>.</w:t>
      </w:r>
    </w:p>
    <w:p w14:paraId="24FDF65C" w14:textId="3DE0E77C" w:rsidR="00BB20E2" w:rsidRDefault="00BB20E2" w:rsidP="00D90FF4">
      <w:pPr>
        <w:ind w:left="720" w:hanging="720"/>
      </w:pPr>
    </w:p>
    <w:p w14:paraId="781D657F" w14:textId="3F4624C3" w:rsidR="00BB20E2" w:rsidRPr="00BB20E2" w:rsidRDefault="001C445A" w:rsidP="00F50579">
      <w:pPr>
        <w:pStyle w:val="Heading3"/>
      </w:pPr>
      <w:bookmarkStart w:id="32" w:name="_Toc158968199"/>
      <w:r>
        <w:lastRenderedPageBreak/>
        <w:t>6.1.1</w:t>
      </w:r>
      <w:r>
        <w:tab/>
      </w:r>
      <w:r w:rsidR="00BB20E2" w:rsidRPr="00BB20E2">
        <w:t>Hire Vehicles</w:t>
      </w:r>
      <w:bookmarkEnd w:id="32"/>
    </w:p>
    <w:p w14:paraId="4307902B" w14:textId="18F9AC3D" w:rsidR="00BB20E2" w:rsidRDefault="00BB20E2" w:rsidP="00D90FF4">
      <w:pPr>
        <w:ind w:left="720" w:hanging="720"/>
      </w:pPr>
    </w:p>
    <w:p w14:paraId="41382043" w14:textId="77777777" w:rsidR="00F50579" w:rsidRDefault="00BB20E2" w:rsidP="00D90FF4">
      <w:pPr>
        <w:ind w:left="720" w:hanging="720"/>
      </w:pPr>
      <w:r>
        <w:t>During the period 1 January 2023 to 31 December 2023, the Agency used hire vehicles</w:t>
      </w:r>
    </w:p>
    <w:p w14:paraId="698EA241" w14:textId="77777777" w:rsidR="00F50579" w:rsidRDefault="00BB20E2" w:rsidP="00D90FF4">
      <w:pPr>
        <w:ind w:left="720" w:hanging="720"/>
      </w:pPr>
      <w:r>
        <w:t>on 383 occasions.  For the same period there were 896 hire days.  The average hire</w:t>
      </w:r>
    </w:p>
    <w:p w14:paraId="4EDC1499" w14:textId="77777777" w:rsidR="00F50579" w:rsidRDefault="00BB20E2" w:rsidP="00D90FF4">
      <w:pPr>
        <w:ind w:left="720" w:hanging="720"/>
      </w:pPr>
      <w:r>
        <w:t>period is 423 days. Insurance will be required for approximately 1000 to 2000 hire days</w:t>
      </w:r>
    </w:p>
    <w:p w14:paraId="58A6C5DB" w14:textId="30DAA441" w:rsidR="00BB20E2" w:rsidRDefault="00BB20E2" w:rsidP="00D90FF4">
      <w:pPr>
        <w:ind w:left="720" w:hanging="720"/>
      </w:pPr>
      <w:r>
        <w:t>per annum.</w:t>
      </w:r>
    </w:p>
    <w:p w14:paraId="0827084B" w14:textId="5C75E3E2" w:rsidR="00BB20E2" w:rsidRDefault="00BB20E2" w:rsidP="00D90FF4">
      <w:pPr>
        <w:ind w:left="720" w:hanging="720"/>
      </w:pPr>
    </w:p>
    <w:p w14:paraId="6CAE6B37" w14:textId="77777777" w:rsidR="00BB20E2" w:rsidRPr="00BB20E2" w:rsidRDefault="00BB20E2" w:rsidP="00BB20E2">
      <w:r w:rsidRPr="00BB20E2">
        <w:t>Hire vehicles are predominantly used to transport staff to official meetings at other offices. Journey may be from Home to Office or Office to Office, depending upon the vehicle hire delivery option chosen. Most journeys are catered for by the hire of motor cars, occasionally, depending upon the number of people travelling together or the nature of equipment or documents to be transported, vans, mini-buses or people carriers will be hired. All use of hire vehicles will be on a ‘business use only’ basis.</w:t>
      </w:r>
    </w:p>
    <w:p w14:paraId="7A541038" w14:textId="77777777" w:rsidR="00BB20E2" w:rsidRPr="00BB20E2" w:rsidRDefault="00BB20E2" w:rsidP="00BB20E2"/>
    <w:p w14:paraId="05FF1C46" w14:textId="74E987EE" w:rsidR="00BB20E2" w:rsidRDefault="00BB20E2" w:rsidP="00BB20E2">
      <w:r w:rsidRPr="00BB20E2">
        <w:t>The majority of cars hired fall within the 1000cc to 1800cc categories with the occasional hire of 3500cc vehicles, people carriers and vans.</w:t>
      </w:r>
    </w:p>
    <w:p w14:paraId="3E10A27B" w14:textId="1F362D9D" w:rsidR="00BB20E2" w:rsidRDefault="00BB20E2" w:rsidP="00BB20E2"/>
    <w:p w14:paraId="7C80AD35" w14:textId="7C1F2EFF" w:rsidR="00BB20E2" w:rsidRDefault="001C445A" w:rsidP="00F50579">
      <w:pPr>
        <w:pStyle w:val="Heading3"/>
      </w:pPr>
      <w:bookmarkStart w:id="33" w:name="_Toc158968200"/>
      <w:r>
        <w:t>6.1.2</w:t>
      </w:r>
      <w:r>
        <w:tab/>
      </w:r>
      <w:r w:rsidR="00BB20E2" w:rsidRPr="00D56461">
        <w:t>DVLA Motor Vehicle Fleet Total Usage</w:t>
      </w:r>
      <w:bookmarkEnd w:id="33"/>
    </w:p>
    <w:p w14:paraId="1D240BDF" w14:textId="0AE82BE1" w:rsidR="00D56461" w:rsidRDefault="00D56461" w:rsidP="00BB20E2">
      <w:pPr>
        <w:rPr>
          <w:b/>
          <w:bCs/>
        </w:rPr>
      </w:pPr>
    </w:p>
    <w:p w14:paraId="07029DFA" w14:textId="77777777" w:rsidR="00D56461" w:rsidRPr="00D56461" w:rsidRDefault="00D56461" w:rsidP="00D56461">
      <w:r w:rsidRPr="00D56461">
        <w:t xml:space="preserve">The Agency’s fleet currently consists of 34 vehicles in total. A list of the vehicles currently making up the motor fleet can be found at Annex 2 DVLA Current Fleet details.  This fleet may change before the commencement of the contract.  The attached list does not include vehicles ordered but not yet delivered. </w:t>
      </w:r>
    </w:p>
    <w:p w14:paraId="07E7FD41" w14:textId="7DADD98E" w:rsidR="00D56461" w:rsidRDefault="00D56461" w:rsidP="00BB20E2">
      <w:pPr>
        <w:rPr>
          <w:b/>
          <w:bCs/>
        </w:rPr>
      </w:pPr>
    </w:p>
    <w:p w14:paraId="799871D1" w14:textId="6045684E" w:rsidR="00D56461" w:rsidRDefault="00D56461" w:rsidP="00D56461">
      <w:r w:rsidRPr="00D56461">
        <w:t xml:space="preserve">The Agency’s fleet currently consists of 34 vehicles in total. A list of the vehicles currently making up the motor fleet can be found at Annex 2 DVLA Current Fleet details.  This fleet may change before the commencement of the contract.  The attached list does not include vehicles ordered but not yet delivered. </w:t>
      </w:r>
    </w:p>
    <w:p w14:paraId="03AC3AEE" w14:textId="77777777" w:rsidR="00D56461" w:rsidRPr="00D56461" w:rsidRDefault="00D56461" w:rsidP="00D56461">
      <w:r w:rsidRPr="00D56461">
        <w:t>The fleet includes the following vehicle types:</w:t>
      </w:r>
      <w:r w:rsidRPr="00D56461">
        <w:tab/>
      </w:r>
    </w:p>
    <w:p w14:paraId="015D65FA" w14:textId="77777777" w:rsidR="00D56461" w:rsidRPr="00D56461" w:rsidRDefault="00D56461" w:rsidP="00D56461"/>
    <w:p w14:paraId="61BF51A6" w14:textId="27DFCC86" w:rsidR="00D56461" w:rsidRDefault="00D56461" w:rsidP="00D56461">
      <w:pPr>
        <w:pStyle w:val="ListParagraph"/>
        <w:numPr>
          <w:ilvl w:val="0"/>
          <w:numId w:val="34"/>
        </w:numPr>
        <w:rPr>
          <w:rFonts w:ascii="Arial" w:hAnsi="Arial" w:cs="Arial"/>
          <w:sz w:val="24"/>
          <w:szCs w:val="24"/>
        </w:rPr>
      </w:pPr>
      <w:r w:rsidRPr="00D56461">
        <w:rPr>
          <w:rFonts w:ascii="Arial" w:hAnsi="Arial" w:cs="Arial"/>
          <w:sz w:val="24"/>
          <w:szCs w:val="24"/>
        </w:rPr>
        <w:t>17</w:t>
      </w:r>
      <w:r w:rsidRPr="00D56461">
        <w:rPr>
          <w:rFonts w:ascii="Arial" w:hAnsi="Arial" w:cs="Arial"/>
          <w:sz w:val="24"/>
          <w:szCs w:val="24"/>
        </w:rPr>
        <w:tab/>
        <w:t>Automated Number Plate Reader (ANPR) Vehicles</w:t>
      </w:r>
    </w:p>
    <w:p w14:paraId="4FB5FBD5" w14:textId="7CC5B56D" w:rsidR="00D56461" w:rsidRDefault="00E347D0" w:rsidP="00D56461">
      <w:pPr>
        <w:pStyle w:val="ListParagraph"/>
        <w:numPr>
          <w:ilvl w:val="0"/>
          <w:numId w:val="34"/>
        </w:numPr>
        <w:rPr>
          <w:rFonts w:ascii="Arial" w:hAnsi="Arial" w:cs="Arial"/>
          <w:sz w:val="24"/>
          <w:szCs w:val="24"/>
        </w:rPr>
      </w:pPr>
      <w:r>
        <w:rPr>
          <w:rFonts w:ascii="Arial" w:hAnsi="Arial" w:cs="Arial"/>
          <w:sz w:val="24"/>
          <w:szCs w:val="24"/>
        </w:rPr>
        <w:t>8         Pool/Leased Cars</w:t>
      </w:r>
    </w:p>
    <w:p w14:paraId="47CE0D0F" w14:textId="3E686F85" w:rsidR="00E347D0" w:rsidRDefault="00E347D0" w:rsidP="00D56461">
      <w:pPr>
        <w:pStyle w:val="ListParagraph"/>
        <w:numPr>
          <w:ilvl w:val="0"/>
          <w:numId w:val="34"/>
        </w:numPr>
        <w:rPr>
          <w:rFonts w:ascii="Arial" w:hAnsi="Arial" w:cs="Arial"/>
          <w:sz w:val="24"/>
          <w:szCs w:val="24"/>
        </w:rPr>
      </w:pPr>
      <w:r>
        <w:rPr>
          <w:rFonts w:ascii="Arial" w:hAnsi="Arial" w:cs="Arial"/>
          <w:sz w:val="24"/>
          <w:szCs w:val="24"/>
        </w:rPr>
        <w:t>2         Transport Vans</w:t>
      </w:r>
    </w:p>
    <w:p w14:paraId="478B1563" w14:textId="76BFA4A9" w:rsidR="00E347D0" w:rsidRDefault="00E347D0" w:rsidP="00D56461">
      <w:pPr>
        <w:pStyle w:val="ListParagraph"/>
        <w:numPr>
          <w:ilvl w:val="0"/>
          <w:numId w:val="34"/>
        </w:numPr>
        <w:rPr>
          <w:rFonts w:ascii="Arial" w:hAnsi="Arial" w:cs="Arial"/>
          <w:sz w:val="24"/>
          <w:szCs w:val="24"/>
        </w:rPr>
      </w:pPr>
      <w:r>
        <w:rPr>
          <w:rFonts w:ascii="Arial" w:hAnsi="Arial" w:cs="Arial"/>
          <w:sz w:val="24"/>
          <w:szCs w:val="24"/>
        </w:rPr>
        <w:t>2         Stores Vans</w:t>
      </w:r>
    </w:p>
    <w:p w14:paraId="311CCE7F" w14:textId="2EF12E55" w:rsidR="00E347D0" w:rsidRDefault="00E347D0" w:rsidP="00D56461">
      <w:pPr>
        <w:pStyle w:val="ListParagraph"/>
        <w:numPr>
          <w:ilvl w:val="0"/>
          <w:numId w:val="34"/>
        </w:numPr>
        <w:rPr>
          <w:rFonts w:ascii="Arial" w:hAnsi="Arial" w:cs="Arial"/>
          <w:sz w:val="24"/>
          <w:szCs w:val="24"/>
        </w:rPr>
      </w:pPr>
      <w:r>
        <w:rPr>
          <w:rFonts w:ascii="Arial" w:hAnsi="Arial" w:cs="Arial"/>
          <w:sz w:val="24"/>
          <w:szCs w:val="24"/>
        </w:rPr>
        <w:t>2</w:t>
      </w:r>
      <w:r>
        <w:rPr>
          <w:rFonts w:ascii="Arial" w:hAnsi="Arial" w:cs="Arial"/>
          <w:sz w:val="24"/>
          <w:szCs w:val="24"/>
        </w:rPr>
        <w:tab/>
        <w:t>IT Vans</w:t>
      </w:r>
    </w:p>
    <w:p w14:paraId="758B41A0" w14:textId="4C968030" w:rsidR="00E347D0" w:rsidRDefault="00E347D0" w:rsidP="00D56461">
      <w:pPr>
        <w:pStyle w:val="ListParagraph"/>
        <w:numPr>
          <w:ilvl w:val="0"/>
          <w:numId w:val="34"/>
        </w:numPr>
        <w:rPr>
          <w:rFonts w:ascii="Arial" w:hAnsi="Arial" w:cs="Arial"/>
          <w:sz w:val="24"/>
          <w:szCs w:val="24"/>
        </w:rPr>
      </w:pPr>
      <w:r>
        <w:rPr>
          <w:rFonts w:ascii="Arial" w:hAnsi="Arial" w:cs="Arial"/>
          <w:sz w:val="24"/>
          <w:szCs w:val="24"/>
        </w:rPr>
        <w:t>2         16 Seater Minibuses</w:t>
      </w:r>
    </w:p>
    <w:p w14:paraId="44C09CFF" w14:textId="5759E679" w:rsidR="00E347D0" w:rsidRDefault="00E347D0" w:rsidP="00D56461">
      <w:pPr>
        <w:pStyle w:val="ListParagraph"/>
        <w:numPr>
          <w:ilvl w:val="0"/>
          <w:numId w:val="34"/>
        </w:numPr>
        <w:rPr>
          <w:rFonts w:ascii="Arial" w:hAnsi="Arial" w:cs="Arial"/>
          <w:sz w:val="24"/>
          <w:szCs w:val="24"/>
        </w:rPr>
      </w:pPr>
      <w:r>
        <w:rPr>
          <w:rFonts w:ascii="Arial" w:hAnsi="Arial" w:cs="Arial"/>
          <w:sz w:val="24"/>
          <w:szCs w:val="24"/>
        </w:rPr>
        <w:t>1</w:t>
      </w:r>
      <w:r>
        <w:rPr>
          <w:rFonts w:ascii="Arial" w:hAnsi="Arial" w:cs="Arial"/>
          <w:sz w:val="24"/>
          <w:szCs w:val="24"/>
        </w:rPr>
        <w:tab/>
        <w:t>9 Seater Staff Car</w:t>
      </w:r>
    </w:p>
    <w:p w14:paraId="2EEB8B72" w14:textId="5B8DC090" w:rsidR="00E347D0" w:rsidRDefault="00E347D0" w:rsidP="00E347D0">
      <w:pPr>
        <w:rPr>
          <w:rFonts w:cs="Arial"/>
          <w:szCs w:val="24"/>
        </w:rPr>
      </w:pPr>
    </w:p>
    <w:p w14:paraId="68214B85" w14:textId="6F979E87" w:rsidR="00E347D0" w:rsidRDefault="00365FD5" w:rsidP="00E347D0">
      <w:pPr>
        <w:rPr>
          <w:rFonts w:cs="Arial"/>
          <w:szCs w:val="24"/>
        </w:rPr>
      </w:pPr>
      <w:r>
        <w:rPr>
          <w:rFonts w:cs="Arial"/>
          <w:szCs w:val="24"/>
        </w:rPr>
        <w:t>Our fleet usage for all our vehicles including our ANPR fleet was 6,129 journeys and the combined total mileage travelled is 433,779.3.</w:t>
      </w:r>
    </w:p>
    <w:p w14:paraId="30417DB8" w14:textId="54699D31" w:rsidR="00365FD5" w:rsidRDefault="00365FD5" w:rsidP="00E347D0">
      <w:pPr>
        <w:rPr>
          <w:rFonts w:cs="Arial"/>
          <w:szCs w:val="24"/>
        </w:rPr>
      </w:pPr>
      <w:r>
        <w:rPr>
          <w:rFonts w:cs="Arial"/>
          <w:szCs w:val="24"/>
        </w:rPr>
        <w:t>Forecasts for the year suggest that the fleet usage for next year will be approximately 5,000 to 7,00 days per annum.</w:t>
      </w:r>
    </w:p>
    <w:p w14:paraId="72C0486D" w14:textId="04F8EB18" w:rsidR="00365FD5" w:rsidRDefault="00365FD5" w:rsidP="00E347D0">
      <w:pPr>
        <w:rPr>
          <w:rFonts w:cs="Arial"/>
          <w:szCs w:val="24"/>
        </w:rPr>
      </w:pPr>
    </w:p>
    <w:p w14:paraId="5BFE1CEE" w14:textId="77777777" w:rsidR="0025484F" w:rsidRPr="0025484F" w:rsidRDefault="0025484F" w:rsidP="0025484F">
      <w:pPr>
        <w:rPr>
          <w:b/>
          <w:bCs/>
        </w:rPr>
      </w:pPr>
      <w:r w:rsidRPr="0025484F">
        <w:rPr>
          <w:b/>
          <w:bCs/>
        </w:rPr>
        <w:t>Automated Number Plate Reader (ANPR) Vehicles</w:t>
      </w:r>
    </w:p>
    <w:p w14:paraId="3EA8CB0D" w14:textId="00C3FF38" w:rsidR="0025484F" w:rsidRDefault="0025484F" w:rsidP="0025484F">
      <w:r w:rsidRPr="0025484F">
        <w:t>There are seventeen (17) cars in constant use around the UK and Northern Ireland.  They are kept in secure parking areas, when not in use.</w:t>
      </w:r>
    </w:p>
    <w:p w14:paraId="7A22ABAE" w14:textId="1F213617" w:rsidR="0025484F" w:rsidRDefault="0025484F" w:rsidP="0025484F"/>
    <w:p w14:paraId="74961BC1" w14:textId="618170CF" w:rsidR="0025484F" w:rsidRDefault="0025484F" w:rsidP="0025484F">
      <w:bookmarkStart w:id="34" w:name="_Hlk157075596"/>
      <w:r w:rsidRPr="0025484F">
        <w:lastRenderedPageBreak/>
        <w:t>The two (2) Northern Ireland cars are expected to cover 30,000 miles per year; the remaining eleven (15) cars each expect to cover</w:t>
      </w:r>
      <w:r w:rsidR="001C445A">
        <w:t xml:space="preserve"> </w:t>
      </w:r>
      <w:r w:rsidRPr="0025484F">
        <w:t>25,000 miles per year.  Each ANPR vehicle contains equipment to the value of £30,000 + VAT, but only the vehicle and personal belongings would be covered under this policy.  The equipment will be covered under a separate policy.</w:t>
      </w:r>
    </w:p>
    <w:p w14:paraId="3E8366A8" w14:textId="722925AB" w:rsidR="00883000" w:rsidRDefault="00883000" w:rsidP="0025484F"/>
    <w:p w14:paraId="047AC416" w14:textId="77777777" w:rsidR="00883000" w:rsidRPr="00883000" w:rsidRDefault="00883000" w:rsidP="00883000">
      <w:pPr>
        <w:rPr>
          <w:b/>
        </w:rPr>
      </w:pPr>
      <w:r w:rsidRPr="00883000">
        <w:rPr>
          <w:b/>
        </w:rPr>
        <w:t>Pool/Leased Cars</w:t>
      </w:r>
    </w:p>
    <w:p w14:paraId="2F96FD52" w14:textId="6515769D" w:rsidR="00883000" w:rsidRDefault="00883000" w:rsidP="00883000">
      <w:r w:rsidRPr="00883000">
        <w:t xml:space="preserve">The Agency has 8 vehicles on long term lease by the Agency which are used to transport staff and equipment around the UK from DVLA’s Swansea offices.  </w:t>
      </w:r>
    </w:p>
    <w:p w14:paraId="4BA8937A" w14:textId="09F00675" w:rsidR="00883000" w:rsidRDefault="00883000" w:rsidP="00883000"/>
    <w:p w14:paraId="339862A2" w14:textId="1C3E9120" w:rsidR="00883000" w:rsidRPr="00883000" w:rsidRDefault="00883000" w:rsidP="00883000">
      <w:pPr>
        <w:rPr>
          <w:b/>
        </w:rPr>
      </w:pPr>
      <w:r w:rsidRPr="00883000">
        <w:rPr>
          <w:b/>
        </w:rPr>
        <w:t xml:space="preserve">Transport Team </w:t>
      </w:r>
      <w:r>
        <w:rPr>
          <w:b/>
        </w:rPr>
        <w:t>V</w:t>
      </w:r>
      <w:r w:rsidRPr="00883000">
        <w:rPr>
          <w:b/>
        </w:rPr>
        <w:t>ans</w:t>
      </w:r>
    </w:p>
    <w:p w14:paraId="780CAFE6" w14:textId="1410D704" w:rsidR="00883000" w:rsidRPr="00883000" w:rsidRDefault="001C445A" w:rsidP="00883000">
      <w:r>
        <w:t>The Agency has</w:t>
      </w:r>
      <w:r w:rsidR="00883000" w:rsidRPr="00883000">
        <w:t xml:space="preserve"> 2 vehicles on long term lease and are used to transport mail and parcels between DVLA offices in Swansea.</w:t>
      </w:r>
    </w:p>
    <w:p w14:paraId="19C4FC99" w14:textId="77777777" w:rsidR="00883000" w:rsidRPr="00883000" w:rsidRDefault="00883000" w:rsidP="00883000"/>
    <w:p w14:paraId="351B3EBE" w14:textId="77777777" w:rsidR="00883000" w:rsidRPr="00883000" w:rsidRDefault="00883000" w:rsidP="00883000">
      <w:pPr>
        <w:rPr>
          <w:b/>
          <w:bCs/>
        </w:rPr>
      </w:pPr>
      <w:r w:rsidRPr="00883000">
        <w:rPr>
          <w:b/>
          <w:bCs/>
        </w:rPr>
        <w:t>Transport Team Minibus</w:t>
      </w:r>
    </w:p>
    <w:p w14:paraId="7142CB99" w14:textId="6007882A" w:rsidR="00883000" w:rsidRPr="00883000" w:rsidRDefault="001C445A" w:rsidP="00883000">
      <w:r>
        <w:t>The Agency has</w:t>
      </w:r>
      <w:r w:rsidR="00883000" w:rsidRPr="00883000">
        <w:t xml:space="preserve"> 2 x 16 seater minibuses on long term hire, used to transport DVLA staff to our DVLA offices in Swansea and our Park &amp; Ride facility.</w:t>
      </w:r>
    </w:p>
    <w:p w14:paraId="2A899ED9" w14:textId="77777777" w:rsidR="00883000" w:rsidRPr="00883000" w:rsidRDefault="00883000" w:rsidP="00883000"/>
    <w:p w14:paraId="7C9FC4D1" w14:textId="77777777" w:rsidR="00883000" w:rsidRPr="00883000" w:rsidRDefault="00883000" w:rsidP="00883000">
      <w:pPr>
        <w:rPr>
          <w:b/>
          <w:bCs/>
        </w:rPr>
      </w:pPr>
      <w:r w:rsidRPr="00883000">
        <w:rPr>
          <w:b/>
          <w:bCs/>
        </w:rPr>
        <w:t>Transport Team Staff Car</w:t>
      </w:r>
    </w:p>
    <w:p w14:paraId="184E8BE6" w14:textId="77777777" w:rsidR="00883000" w:rsidRPr="00883000" w:rsidRDefault="00883000" w:rsidP="00883000">
      <w:r w:rsidRPr="00883000">
        <w:t>The transport team have 1 x 9 seater transporter on long term hire. This is used to transport DVLA staff to our DVLA offices in Swansea and occasional airport runs.</w:t>
      </w:r>
    </w:p>
    <w:p w14:paraId="1859C7B4" w14:textId="77777777" w:rsidR="00883000" w:rsidRPr="00883000" w:rsidRDefault="00883000" w:rsidP="00883000"/>
    <w:p w14:paraId="474F135D" w14:textId="77777777" w:rsidR="00883000" w:rsidRPr="00883000" w:rsidRDefault="00883000" w:rsidP="00883000">
      <w:pPr>
        <w:rPr>
          <w:b/>
        </w:rPr>
      </w:pPr>
      <w:r w:rsidRPr="00883000">
        <w:rPr>
          <w:b/>
        </w:rPr>
        <w:t>Stores van</w:t>
      </w:r>
    </w:p>
    <w:p w14:paraId="3FA6C1DC" w14:textId="77777777" w:rsidR="00883000" w:rsidRPr="00883000" w:rsidRDefault="00883000" w:rsidP="00883000">
      <w:r w:rsidRPr="00883000">
        <w:t>Stores have 2 vans used to transport stationery and goods between DVLA’s Swansea offices.</w:t>
      </w:r>
    </w:p>
    <w:p w14:paraId="7B67DE0C" w14:textId="77777777" w:rsidR="00883000" w:rsidRPr="00883000" w:rsidRDefault="00883000" w:rsidP="00883000"/>
    <w:p w14:paraId="5ABE7D5A" w14:textId="77777777" w:rsidR="00883000" w:rsidRPr="00883000" w:rsidRDefault="00883000" w:rsidP="00883000">
      <w:pPr>
        <w:rPr>
          <w:b/>
        </w:rPr>
      </w:pPr>
      <w:r w:rsidRPr="00883000">
        <w:rPr>
          <w:b/>
        </w:rPr>
        <w:t>IT vans</w:t>
      </w:r>
    </w:p>
    <w:p w14:paraId="58DBBD6F" w14:textId="77777777" w:rsidR="00883000" w:rsidRPr="00883000" w:rsidRDefault="00883000" w:rsidP="00883000">
      <w:r w:rsidRPr="00883000">
        <w:t>DVLA currently lease 2  vans to transfer IT equipment and data between our Swansea offices. These vehicles are used to transport equipment and data, but only the vehicles and personal belongings would be covered under this policy.</w:t>
      </w:r>
    </w:p>
    <w:p w14:paraId="00FF4011" w14:textId="77777777" w:rsidR="00883000" w:rsidRPr="00883000" w:rsidRDefault="00883000" w:rsidP="00883000"/>
    <w:p w14:paraId="5B497F80" w14:textId="766BE310" w:rsidR="00883000" w:rsidRDefault="00883000" w:rsidP="00883000">
      <w:r w:rsidRPr="00883000">
        <w:t>DVLA will require the option to add or remove vehicles to this policy. The tenderer should provide information as to how vehicles are added, modified or removed from the policy.</w:t>
      </w:r>
      <w:r w:rsidR="00AC320E">
        <w:t xml:space="preserve"> </w:t>
      </w:r>
    </w:p>
    <w:p w14:paraId="532B75F7" w14:textId="77777777" w:rsidR="00D9276F" w:rsidRDefault="00D9276F" w:rsidP="00D9276F">
      <w:pPr>
        <w:keepNext/>
        <w:tabs>
          <w:tab w:val="left" w:pos="0"/>
        </w:tabs>
        <w:overflowPunct w:val="0"/>
        <w:autoSpaceDE w:val="0"/>
        <w:autoSpaceDN w:val="0"/>
        <w:adjustRightInd w:val="0"/>
        <w:spacing w:before="120" w:after="120"/>
        <w:textAlignment w:val="baseline"/>
        <w:outlineLvl w:val="2"/>
      </w:pPr>
    </w:p>
    <w:p w14:paraId="17087BE9" w14:textId="5349D283" w:rsidR="00D9276F" w:rsidRPr="00D9276F" w:rsidRDefault="001C445A" w:rsidP="00F50579">
      <w:pPr>
        <w:pStyle w:val="Heading3"/>
      </w:pPr>
      <w:bookmarkStart w:id="35" w:name="_Toc158968201"/>
      <w:r>
        <w:t>6.2</w:t>
      </w:r>
      <w:r>
        <w:tab/>
      </w:r>
      <w:r w:rsidR="00D9276F" w:rsidRPr="00D9276F">
        <w:t>Vehicle Insurance Requirements (Successful Supplier following Brokerage)</w:t>
      </w:r>
      <w:bookmarkEnd w:id="35"/>
    </w:p>
    <w:p w14:paraId="3B864F98" w14:textId="77777777" w:rsidR="00D9276F" w:rsidRPr="00D9276F" w:rsidRDefault="00D9276F" w:rsidP="00D9276F"/>
    <w:p w14:paraId="2AA84BAB" w14:textId="77777777" w:rsidR="00D9276F" w:rsidRPr="00D9276F" w:rsidRDefault="00D9276F" w:rsidP="00D9276F">
      <w:r w:rsidRPr="00D9276F">
        <w:t>The Agency requires fully comprehensive insurance cover for the following:</w:t>
      </w:r>
    </w:p>
    <w:p w14:paraId="156BA39C" w14:textId="77777777" w:rsidR="00D9276F" w:rsidRPr="00D9276F" w:rsidRDefault="00D9276F" w:rsidP="00D9276F"/>
    <w:p w14:paraId="5D704BE5" w14:textId="77777777" w:rsidR="00D9276F" w:rsidRPr="00D9276F" w:rsidRDefault="00D9276F" w:rsidP="00D9276F">
      <w:r w:rsidRPr="00D9276F">
        <w:t>•</w:t>
      </w:r>
      <w:r w:rsidRPr="00D9276F">
        <w:tab/>
        <w:t>Collision damage and theft protection</w:t>
      </w:r>
    </w:p>
    <w:p w14:paraId="381C812F" w14:textId="77777777" w:rsidR="00D9276F" w:rsidRPr="00D9276F" w:rsidRDefault="00D9276F" w:rsidP="00D9276F">
      <w:pPr>
        <w:ind w:left="720" w:hanging="720"/>
      </w:pPr>
      <w:r w:rsidRPr="00D9276F">
        <w:t>•</w:t>
      </w:r>
      <w:r w:rsidRPr="00D9276F">
        <w:tab/>
        <w:t>Personal &amp; Agency property carried in a vehicle (up to a maximum of £1,000 per occurrence)</w:t>
      </w:r>
    </w:p>
    <w:p w14:paraId="3894BE9E" w14:textId="77777777" w:rsidR="00D9276F" w:rsidRPr="00D9276F" w:rsidRDefault="00D9276F" w:rsidP="00D9276F">
      <w:pPr>
        <w:ind w:left="720" w:hanging="720"/>
      </w:pPr>
      <w:r w:rsidRPr="00D9276F">
        <w:t>•</w:t>
      </w:r>
      <w:r w:rsidRPr="00D9276F">
        <w:tab/>
        <w:t>Personal accident cover in the event of death, loss of limb(s)/eye(s) or total disability of £50,000/£100,000 per person for third parties, the driver and any passengers</w:t>
      </w:r>
    </w:p>
    <w:p w14:paraId="3D61855F" w14:textId="77777777" w:rsidR="00D9276F" w:rsidRPr="00D9276F" w:rsidRDefault="00D9276F" w:rsidP="00D9276F">
      <w:r w:rsidRPr="00D9276F">
        <w:t>•</w:t>
      </w:r>
      <w:r w:rsidRPr="00D9276F">
        <w:tab/>
        <w:t>Vehicle recovery</w:t>
      </w:r>
    </w:p>
    <w:p w14:paraId="73AF39F1" w14:textId="4B34F79F" w:rsidR="00EB631C" w:rsidRPr="00D9276F" w:rsidRDefault="00D9276F" w:rsidP="00EB631C">
      <w:r w:rsidRPr="00D9276F">
        <w:t>•</w:t>
      </w:r>
      <w:r w:rsidRPr="00D9276F">
        <w:tab/>
        <w:t>Onward Travel</w:t>
      </w:r>
    </w:p>
    <w:p w14:paraId="58529B97" w14:textId="082E6669" w:rsidR="00EB631C" w:rsidRDefault="00D9276F" w:rsidP="00D9276F">
      <w:r w:rsidRPr="00D9276F">
        <w:t>•</w:t>
      </w:r>
      <w:r w:rsidRPr="00D9276F">
        <w:tab/>
        <w:t>Full legal costs</w:t>
      </w:r>
    </w:p>
    <w:p w14:paraId="7AB07B8D" w14:textId="77777777" w:rsidR="00EB631C" w:rsidRPr="00D9276F" w:rsidRDefault="00EB631C" w:rsidP="00D9276F"/>
    <w:p w14:paraId="3BE3755E" w14:textId="77777777" w:rsidR="001C445A" w:rsidRDefault="001C445A" w:rsidP="00D9276F">
      <w:pPr>
        <w:keepNext/>
        <w:tabs>
          <w:tab w:val="left" w:pos="0"/>
          <w:tab w:val="left" w:pos="580"/>
        </w:tabs>
        <w:overflowPunct w:val="0"/>
        <w:autoSpaceDE w:val="0"/>
        <w:autoSpaceDN w:val="0"/>
        <w:adjustRightInd w:val="0"/>
        <w:spacing w:before="120" w:after="120"/>
        <w:textAlignment w:val="baseline"/>
        <w:outlineLvl w:val="2"/>
        <w:rPr>
          <w:b/>
        </w:rPr>
      </w:pPr>
      <w:bookmarkStart w:id="36" w:name="_Toc61963149"/>
    </w:p>
    <w:p w14:paraId="116E4AFE" w14:textId="639618D6" w:rsidR="00D9276F" w:rsidRPr="00D9276F" w:rsidRDefault="001C445A" w:rsidP="00F50579">
      <w:pPr>
        <w:pStyle w:val="Heading3"/>
      </w:pPr>
      <w:bookmarkStart w:id="37" w:name="_Toc158968202"/>
      <w:r>
        <w:t>6.3</w:t>
      </w:r>
      <w:r>
        <w:tab/>
      </w:r>
      <w:r w:rsidR="00F50579">
        <w:t xml:space="preserve">Motor Vehicle </w:t>
      </w:r>
      <w:r w:rsidR="00D9276F" w:rsidRPr="00D9276F">
        <w:t>Excess</w:t>
      </w:r>
      <w:bookmarkEnd w:id="36"/>
      <w:bookmarkEnd w:id="37"/>
    </w:p>
    <w:p w14:paraId="4F3FA60C" w14:textId="77777777" w:rsidR="00D9276F" w:rsidRPr="00D9276F" w:rsidRDefault="00D9276F" w:rsidP="00D9276F"/>
    <w:p w14:paraId="57D207E7" w14:textId="77777777" w:rsidR="00D9276F" w:rsidRPr="00D9276F" w:rsidRDefault="00D9276F" w:rsidP="00D9276F">
      <w:r w:rsidRPr="00D9276F">
        <w:t>The Agency requires a maximum excess of £100 and £50 for windscreen damage.</w:t>
      </w:r>
    </w:p>
    <w:p w14:paraId="2F861830" w14:textId="77777777" w:rsidR="00D9276F" w:rsidRPr="00D9276F" w:rsidRDefault="00D9276F" w:rsidP="00D9276F"/>
    <w:p w14:paraId="465AB929" w14:textId="77777777" w:rsidR="00D9276F" w:rsidRPr="00D9276F" w:rsidRDefault="00D9276F" w:rsidP="00D9276F">
      <w:r w:rsidRPr="00D9276F">
        <w:t>The Agency wishes to obtain quotes based on the following excess limits:</w:t>
      </w:r>
    </w:p>
    <w:p w14:paraId="217E3DED" w14:textId="77777777" w:rsidR="00D9276F" w:rsidRPr="00D9276F" w:rsidRDefault="00D9276F" w:rsidP="00D9276F"/>
    <w:p w14:paraId="031A7362" w14:textId="77777777" w:rsidR="00D9276F" w:rsidRPr="00D9276F" w:rsidRDefault="00D9276F" w:rsidP="00D9276F">
      <w:r w:rsidRPr="00D9276F">
        <w:t>•</w:t>
      </w:r>
      <w:r w:rsidRPr="00D9276F">
        <w:tab/>
        <w:t>Maximum excess of £100 and £50 windscreen damage</w:t>
      </w:r>
    </w:p>
    <w:p w14:paraId="28C9389D" w14:textId="77777777" w:rsidR="00D9276F" w:rsidRPr="00D9276F" w:rsidRDefault="00D9276F" w:rsidP="00D9276F"/>
    <w:p w14:paraId="20436C26" w14:textId="77777777" w:rsidR="00D9276F" w:rsidRDefault="00D9276F" w:rsidP="00D9276F">
      <w:r w:rsidRPr="00D9276F">
        <w:t xml:space="preserve">The information within 6.2 &amp; 6.3 is based on DVLA’s current understanding, but we are happy to discuss this criteria and whether </w:t>
      </w:r>
      <w:proofErr w:type="spellStart"/>
      <w:r w:rsidRPr="00D9276F">
        <w:t>its</w:t>
      </w:r>
      <w:proofErr w:type="spellEnd"/>
      <w:r w:rsidRPr="00D9276F">
        <w:t xml:space="preserve"> appropriate following award to the broker.</w:t>
      </w:r>
      <w:bookmarkStart w:id="38" w:name="_Toc61963150"/>
    </w:p>
    <w:p w14:paraId="5DA93F38" w14:textId="77777777" w:rsidR="00D9276F" w:rsidRDefault="00D9276F" w:rsidP="00D9276F"/>
    <w:p w14:paraId="6CBDED9F" w14:textId="09964707" w:rsidR="00D9276F" w:rsidRPr="00F50579" w:rsidRDefault="00F461CD" w:rsidP="00F50579">
      <w:pPr>
        <w:pStyle w:val="Heading3"/>
      </w:pPr>
      <w:bookmarkStart w:id="39" w:name="_Toc158968203"/>
      <w:r w:rsidRPr="00F50579">
        <w:t>6.4</w:t>
      </w:r>
      <w:r w:rsidRPr="00F50579">
        <w:tab/>
      </w:r>
      <w:r w:rsidR="00D9276F" w:rsidRPr="00F50579">
        <w:t>EU Motor Insurance Directive</w:t>
      </w:r>
      <w:bookmarkEnd w:id="38"/>
      <w:bookmarkEnd w:id="39"/>
      <w:r w:rsidR="00D9276F" w:rsidRPr="00F50579">
        <w:tab/>
      </w:r>
    </w:p>
    <w:p w14:paraId="4D51E70B" w14:textId="77777777" w:rsidR="00D9276F" w:rsidRPr="00D9276F" w:rsidRDefault="00D9276F" w:rsidP="00D9276F"/>
    <w:p w14:paraId="5A197B9E" w14:textId="77777777" w:rsidR="00D9276F" w:rsidRPr="00D9276F" w:rsidRDefault="00D9276F" w:rsidP="00D9276F">
      <w:r w:rsidRPr="00D9276F">
        <w:t>Under the EU Motor Insurance Directive any additions or changes to the Agency Fleet will be notified to our insurers within 5 working days.  All vehicles purchased or leased by the Agency will be reflected in a twice yearly declaration of the total daily usage of fleet and hire cars available on request for the underwriters records.</w:t>
      </w:r>
    </w:p>
    <w:p w14:paraId="618528D8" w14:textId="77777777" w:rsidR="00E1247E" w:rsidRPr="00883000" w:rsidRDefault="00E1247E" w:rsidP="00883000"/>
    <w:p w14:paraId="4B149597" w14:textId="77777777" w:rsidR="00D9276F" w:rsidRPr="00D9276F" w:rsidRDefault="00D9276F" w:rsidP="00D9276F"/>
    <w:p w14:paraId="6FBB8D61" w14:textId="77777777" w:rsidR="00D9276F" w:rsidRPr="00D9276F" w:rsidRDefault="00D9276F" w:rsidP="00F50579">
      <w:pPr>
        <w:pStyle w:val="Heading3"/>
      </w:pPr>
      <w:bookmarkStart w:id="40" w:name="_Toc61963151"/>
      <w:bookmarkStart w:id="41" w:name="_Toc158968204"/>
      <w:r w:rsidRPr="00D9276F">
        <w:t>6.5</w:t>
      </w:r>
      <w:r w:rsidRPr="00D9276F">
        <w:tab/>
        <w:t>Accident History</w:t>
      </w:r>
      <w:bookmarkEnd w:id="40"/>
      <w:bookmarkEnd w:id="41"/>
    </w:p>
    <w:p w14:paraId="092BC60A" w14:textId="77777777" w:rsidR="00D9276F" w:rsidRPr="00D9276F" w:rsidRDefault="00D9276F" w:rsidP="00D9276F"/>
    <w:p w14:paraId="6F593496" w14:textId="308A1419" w:rsidR="00D9276F" w:rsidRPr="00D9276F" w:rsidRDefault="00D9276F" w:rsidP="00D9276F">
      <w:r w:rsidRPr="00B13490">
        <w:t xml:space="preserve">Please </w:t>
      </w:r>
      <w:r w:rsidRPr="00B13490">
        <w:rPr>
          <w:color w:val="000000" w:themeColor="text1"/>
        </w:rPr>
        <w:t xml:space="preserve">see Annex </w:t>
      </w:r>
      <w:r w:rsidR="00EB631C" w:rsidRPr="00B13490">
        <w:rPr>
          <w:color w:val="000000" w:themeColor="text1"/>
        </w:rPr>
        <w:t>11</w:t>
      </w:r>
      <w:r w:rsidRPr="00B13490">
        <w:rPr>
          <w:color w:val="000000" w:themeColor="text1"/>
        </w:rPr>
        <w:t xml:space="preserve"> DVLA Accident History </w:t>
      </w:r>
      <w:r w:rsidRPr="00B13490">
        <w:t>(including</w:t>
      </w:r>
      <w:r w:rsidRPr="00D9276F">
        <w:t xml:space="preserve"> the cost per annum) for a copy of last 5 years confirmed claims history.  The selected supplier will be required to supply updated management information regarding any claims on a quarterly basis.</w:t>
      </w:r>
    </w:p>
    <w:p w14:paraId="4C435F38" w14:textId="77777777" w:rsidR="00D9276F" w:rsidRPr="00D9276F" w:rsidRDefault="00D9276F" w:rsidP="00D9276F"/>
    <w:p w14:paraId="4FA8C394" w14:textId="77777777" w:rsidR="00D9276F" w:rsidRPr="00D9276F" w:rsidRDefault="00D9276F" w:rsidP="00D9276F">
      <w:r w:rsidRPr="00D9276F">
        <w:t xml:space="preserve"> </w:t>
      </w:r>
    </w:p>
    <w:p w14:paraId="1863F59C" w14:textId="77777777" w:rsidR="00D9276F" w:rsidRPr="00D9276F" w:rsidRDefault="00D9276F" w:rsidP="00F50579">
      <w:pPr>
        <w:pStyle w:val="Heading3"/>
      </w:pPr>
      <w:bookmarkStart w:id="42" w:name="_Toc61963152"/>
      <w:bookmarkStart w:id="43" w:name="_Toc158968205"/>
      <w:r w:rsidRPr="00D9276F">
        <w:t>6.6</w:t>
      </w:r>
      <w:r w:rsidRPr="00D9276F">
        <w:tab/>
        <w:t>Handling of Claims</w:t>
      </w:r>
      <w:bookmarkEnd w:id="42"/>
      <w:bookmarkEnd w:id="43"/>
    </w:p>
    <w:p w14:paraId="4DD22A47" w14:textId="77777777" w:rsidR="00D9276F" w:rsidRPr="00D9276F" w:rsidRDefault="00D9276F" w:rsidP="00D9276F"/>
    <w:p w14:paraId="12ACC002" w14:textId="77777777" w:rsidR="00D9276F" w:rsidRPr="00D9276F" w:rsidRDefault="00D9276F" w:rsidP="00D9276F">
      <w:r w:rsidRPr="00D9276F">
        <w:t>A named contact point within the Agency’s Estates Management Group will deal with all claims. This person will also liaise between the Agency and the appointed broker for the purposes of managing this contract.</w:t>
      </w:r>
    </w:p>
    <w:p w14:paraId="084EDAE1" w14:textId="77777777" w:rsidR="00D9276F" w:rsidRPr="00D9276F" w:rsidRDefault="00D9276F" w:rsidP="00D9276F"/>
    <w:p w14:paraId="542FAE86" w14:textId="77777777" w:rsidR="00D9276F" w:rsidRPr="00D9276F" w:rsidRDefault="00D9276F" w:rsidP="00D9276F">
      <w:r w:rsidRPr="00D9276F">
        <w:t>•</w:t>
      </w:r>
      <w:r w:rsidRPr="00D9276F">
        <w:tab/>
        <w:t>Hire and Lease Vehicles</w:t>
      </w:r>
    </w:p>
    <w:p w14:paraId="44471AC7" w14:textId="77777777" w:rsidR="00D9276F" w:rsidRPr="00D9276F" w:rsidRDefault="00D9276F" w:rsidP="00D9276F"/>
    <w:p w14:paraId="76DB24CC" w14:textId="77777777" w:rsidR="00D9276F" w:rsidRPr="00D9276F" w:rsidRDefault="00D9276F" w:rsidP="00D9276F">
      <w:r w:rsidRPr="00D9276F">
        <w:t>Following initial notification and details input on the Motor Industry Database (MID), DVLA expects the insurer to liaise directly with the hire/lease company to settle any claim.</w:t>
      </w:r>
    </w:p>
    <w:p w14:paraId="501FA483" w14:textId="77777777" w:rsidR="00D9276F" w:rsidRPr="00D9276F" w:rsidRDefault="00D9276F" w:rsidP="00D9276F"/>
    <w:p w14:paraId="68F71FE9" w14:textId="77777777" w:rsidR="00D9276F" w:rsidRPr="00D9276F" w:rsidRDefault="00D9276F" w:rsidP="00D9276F">
      <w:r w:rsidRPr="00D9276F">
        <w:t>•</w:t>
      </w:r>
      <w:r w:rsidRPr="00D9276F">
        <w:tab/>
        <w:t>Management information</w:t>
      </w:r>
    </w:p>
    <w:p w14:paraId="6B90242E" w14:textId="77777777" w:rsidR="00D9276F" w:rsidRPr="00D9276F" w:rsidRDefault="00D9276F" w:rsidP="00D9276F"/>
    <w:p w14:paraId="13C8E031" w14:textId="77777777" w:rsidR="00D9276F" w:rsidRPr="00D9276F" w:rsidRDefault="00D9276F" w:rsidP="00D9276F">
      <w:r w:rsidRPr="00D9276F">
        <w:t>The Agency expects to receive:</w:t>
      </w:r>
    </w:p>
    <w:p w14:paraId="1C4D656F" w14:textId="77777777" w:rsidR="00D9276F" w:rsidRPr="00D9276F" w:rsidRDefault="00D9276F" w:rsidP="00D9276F"/>
    <w:p w14:paraId="60391E8D" w14:textId="77777777" w:rsidR="00D9276F" w:rsidRPr="00D9276F" w:rsidRDefault="00D9276F" w:rsidP="00D9276F">
      <w:r w:rsidRPr="00D9276F">
        <w:t>•</w:t>
      </w:r>
      <w:r w:rsidRPr="00D9276F">
        <w:tab/>
        <w:t>Quarterly reconciliation reports and</w:t>
      </w:r>
    </w:p>
    <w:p w14:paraId="0A55EF27" w14:textId="77777777" w:rsidR="00D9276F" w:rsidRPr="00D9276F" w:rsidRDefault="00D9276F" w:rsidP="00D9276F">
      <w:r w:rsidRPr="00D9276F">
        <w:t>•</w:t>
      </w:r>
      <w:r w:rsidRPr="00D9276F">
        <w:tab/>
        <w:t>Notification within 10 working days of any claim being settled.</w:t>
      </w:r>
    </w:p>
    <w:p w14:paraId="1DC45C2C" w14:textId="549EC8B0" w:rsidR="00D9276F" w:rsidRPr="00D9276F" w:rsidRDefault="00D9276F" w:rsidP="00D9276F"/>
    <w:p w14:paraId="1110D5E2" w14:textId="1A63739F" w:rsidR="00D9276F" w:rsidRDefault="00EB631C" w:rsidP="00EB631C">
      <w:pPr>
        <w:pStyle w:val="Heading3"/>
        <w:rPr>
          <w:rStyle w:val="DefTerm"/>
          <w:b/>
          <w:color w:val="auto"/>
        </w:rPr>
      </w:pPr>
      <w:bookmarkStart w:id="44" w:name="_Toc158968206"/>
      <w:r w:rsidRPr="00EB631C">
        <w:rPr>
          <w:rStyle w:val="DefTerm"/>
          <w:b/>
          <w:color w:val="auto"/>
        </w:rPr>
        <w:lastRenderedPageBreak/>
        <w:t xml:space="preserve">6.7 </w:t>
      </w:r>
      <w:r>
        <w:rPr>
          <w:rStyle w:val="DefTerm"/>
          <w:b/>
          <w:color w:val="auto"/>
        </w:rPr>
        <w:tab/>
      </w:r>
      <w:r w:rsidRPr="00EB631C">
        <w:rPr>
          <w:rStyle w:val="DefTerm"/>
          <w:b/>
          <w:color w:val="auto"/>
        </w:rPr>
        <w:t>Driver Ages</w:t>
      </w:r>
      <w:bookmarkEnd w:id="44"/>
    </w:p>
    <w:p w14:paraId="338FB31E" w14:textId="5B4E3C4E" w:rsidR="00EB631C" w:rsidRDefault="00EB631C" w:rsidP="00EB631C">
      <w:r>
        <w:t>There should be no age restriction for any of the vehicles insured under this policy.</w:t>
      </w:r>
    </w:p>
    <w:p w14:paraId="1F283962" w14:textId="77777777" w:rsidR="00EB631C" w:rsidRPr="00EB631C" w:rsidRDefault="00EB631C" w:rsidP="00EB631C"/>
    <w:p w14:paraId="7BC1478F" w14:textId="77777777" w:rsidR="00EB631C" w:rsidRDefault="00EB631C" w:rsidP="00D9276F">
      <w:pPr>
        <w:rPr>
          <w:i/>
        </w:rPr>
      </w:pPr>
    </w:p>
    <w:p w14:paraId="4DEA0708" w14:textId="51DBE3DC" w:rsidR="00D9276F" w:rsidRPr="00D9276F" w:rsidRDefault="00D9276F" w:rsidP="00D9276F">
      <w:pPr>
        <w:rPr>
          <w:i/>
        </w:rPr>
      </w:pPr>
      <w:r w:rsidRPr="00D9276F">
        <w:rPr>
          <w:i/>
        </w:rPr>
        <w:t>The information within Section 6 is based on DVLA’s current understanding, but we are</w:t>
      </w:r>
      <w:r w:rsidRPr="00D9276F">
        <w:t xml:space="preserve"> </w:t>
      </w:r>
      <w:r w:rsidRPr="00D9276F">
        <w:rPr>
          <w:i/>
        </w:rPr>
        <w:t>happy to discuss this criteria and whether it’s appropriate following award to the broker</w:t>
      </w:r>
    </w:p>
    <w:bookmarkEnd w:id="34"/>
    <w:p w14:paraId="0161C2D8" w14:textId="77777777" w:rsidR="00D90FF4" w:rsidRPr="00E21834" w:rsidRDefault="00D90FF4" w:rsidP="001D1B02">
      <w:pPr>
        <w:tabs>
          <w:tab w:val="left" w:pos="-180"/>
        </w:tabs>
        <w:spacing w:after="120"/>
        <w:ind w:left="-181"/>
        <w:rPr>
          <w:rFonts w:cs="Arial"/>
          <w:bCs/>
        </w:rPr>
      </w:pPr>
    </w:p>
    <w:p w14:paraId="3EA411A1" w14:textId="77777777" w:rsidR="001D1B02" w:rsidRDefault="001D1B02" w:rsidP="001D1B02">
      <w:pPr>
        <w:tabs>
          <w:tab w:val="left" w:pos="-180"/>
        </w:tabs>
        <w:spacing w:after="120"/>
        <w:ind w:left="-181"/>
        <w:rPr>
          <w:rFonts w:cs="Arial"/>
          <w:b/>
        </w:rPr>
      </w:pPr>
    </w:p>
    <w:p w14:paraId="13595F1F" w14:textId="34371206" w:rsidR="00CA344D" w:rsidRDefault="00901BF0" w:rsidP="00901BF0">
      <w:pPr>
        <w:pStyle w:val="Heading2"/>
        <w:rPr>
          <w:rFonts w:eastAsia="Calibri" w:cs="Arial"/>
          <w:iCs/>
          <w:szCs w:val="24"/>
          <w:lang w:eastAsia="en-GB"/>
        </w:rPr>
      </w:pPr>
      <w:bookmarkStart w:id="45" w:name="_Toc158968207"/>
      <w:bookmarkStart w:id="46" w:name="_Hlk87971088"/>
      <w:r>
        <w:t>7. TUPE HR Requirements</w:t>
      </w:r>
      <w:bookmarkEnd w:id="45"/>
    </w:p>
    <w:p w14:paraId="0FF47D6C" w14:textId="77777777" w:rsidR="00CA344D" w:rsidRDefault="00CA344D" w:rsidP="00BD4691">
      <w:pPr>
        <w:tabs>
          <w:tab w:val="left" w:pos="-180"/>
        </w:tabs>
        <w:ind w:left="-180"/>
        <w:rPr>
          <w:rFonts w:eastAsia="Calibri" w:cs="Arial"/>
          <w:iCs/>
          <w:szCs w:val="24"/>
          <w:lang w:eastAsia="en-GB"/>
        </w:rPr>
      </w:pPr>
    </w:p>
    <w:p w14:paraId="6C2E7F68" w14:textId="77777777" w:rsidR="006D6A1A" w:rsidRPr="00767F1F" w:rsidRDefault="006D6A1A" w:rsidP="006D6A1A">
      <w:pPr>
        <w:rPr>
          <w:b/>
        </w:rPr>
      </w:pPr>
      <w:bookmarkStart w:id="47" w:name="_Toc14341345"/>
      <w:bookmarkStart w:id="48" w:name="_Toc14341453"/>
      <w:bookmarkStart w:id="49" w:name="_Toc14343070"/>
      <w:r w:rsidRPr="00767F1F">
        <w:rPr>
          <w:b/>
        </w:rPr>
        <w:t>Life cover</w:t>
      </w:r>
      <w:bookmarkEnd w:id="47"/>
      <w:bookmarkEnd w:id="48"/>
      <w:bookmarkEnd w:id="49"/>
      <w:r w:rsidRPr="00767F1F">
        <w:rPr>
          <w:b/>
        </w:rPr>
        <w:t xml:space="preserve">  </w:t>
      </w:r>
    </w:p>
    <w:p w14:paraId="4EDAB802" w14:textId="77777777" w:rsidR="006D6A1A" w:rsidRDefault="006D6A1A" w:rsidP="006D6A1A">
      <w:r w:rsidRPr="00767F1F">
        <w:t xml:space="preserve">Life assurance provided, against the risk of contracting fatal illnesses or accidents, or death whilst in employed by DVLA. </w:t>
      </w:r>
    </w:p>
    <w:p w14:paraId="37D20F0D" w14:textId="77777777" w:rsidR="006D6A1A" w:rsidRPr="00767F1F" w:rsidRDefault="006D6A1A" w:rsidP="006D6A1A">
      <w:r w:rsidRPr="00767F1F">
        <w:t xml:space="preserve"> </w:t>
      </w:r>
    </w:p>
    <w:p w14:paraId="109835E6" w14:textId="77777777" w:rsidR="006D6A1A" w:rsidRPr="00767F1F" w:rsidRDefault="006D6A1A" w:rsidP="006D6A1A">
      <w:pPr>
        <w:rPr>
          <w:u w:val="single"/>
        </w:rPr>
      </w:pPr>
      <w:bookmarkStart w:id="50" w:name="_Toc14341347"/>
      <w:bookmarkStart w:id="51" w:name="_Toc14341455"/>
      <w:bookmarkStart w:id="52" w:name="_Toc14343072"/>
      <w:r w:rsidRPr="00767F1F">
        <w:rPr>
          <w:u w:val="single"/>
        </w:rPr>
        <w:t>Structure:</w:t>
      </w:r>
      <w:bookmarkEnd w:id="50"/>
      <w:bookmarkEnd w:id="51"/>
      <w:bookmarkEnd w:id="52"/>
    </w:p>
    <w:p w14:paraId="3A5879AB" w14:textId="77777777" w:rsidR="006D6A1A" w:rsidRPr="00767F1F" w:rsidRDefault="006D6A1A" w:rsidP="006D6A1A">
      <w:pPr>
        <w:numPr>
          <w:ilvl w:val="0"/>
          <w:numId w:val="40"/>
        </w:numPr>
        <w:spacing w:line="276" w:lineRule="auto"/>
      </w:pPr>
      <w:bookmarkStart w:id="53" w:name="_Toc14341348"/>
      <w:bookmarkStart w:id="54" w:name="_Toc14341456"/>
      <w:bookmarkStart w:id="55" w:name="_Toc14343073"/>
      <w:r w:rsidRPr="00767F1F">
        <w:t>Must be part of a group policy.</w:t>
      </w:r>
      <w:bookmarkEnd w:id="53"/>
      <w:bookmarkEnd w:id="54"/>
      <w:bookmarkEnd w:id="55"/>
    </w:p>
    <w:p w14:paraId="6F40690A" w14:textId="77777777" w:rsidR="006D6A1A" w:rsidRPr="00767F1F" w:rsidRDefault="006D6A1A" w:rsidP="006D6A1A">
      <w:pPr>
        <w:numPr>
          <w:ilvl w:val="0"/>
          <w:numId w:val="40"/>
        </w:numPr>
        <w:spacing w:line="276" w:lineRule="auto"/>
      </w:pPr>
      <w:bookmarkStart w:id="56" w:name="_Toc14341349"/>
      <w:bookmarkStart w:id="57" w:name="_Toc14341457"/>
      <w:bookmarkStart w:id="58" w:name="_Toc14343074"/>
      <w:r w:rsidRPr="00767F1F">
        <w:t>The supplier accounts for Insurance Premium Tax – DVLA has a registered IPT Number with HMRC.</w:t>
      </w:r>
      <w:bookmarkEnd w:id="56"/>
      <w:bookmarkEnd w:id="57"/>
      <w:bookmarkEnd w:id="58"/>
    </w:p>
    <w:p w14:paraId="150A8F42" w14:textId="77777777" w:rsidR="006D6A1A" w:rsidRPr="00767F1F" w:rsidRDefault="006D6A1A" w:rsidP="006D6A1A">
      <w:pPr>
        <w:numPr>
          <w:ilvl w:val="0"/>
          <w:numId w:val="40"/>
        </w:numPr>
        <w:spacing w:line="276" w:lineRule="auto"/>
      </w:pPr>
      <w:bookmarkStart w:id="59" w:name="_Toc14341350"/>
      <w:bookmarkStart w:id="60" w:name="_Toc14341458"/>
      <w:bookmarkStart w:id="61" w:name="_Toc14343075"/>
      <w:r w:rsidRPr="00767F1F">
        <w:t>Option to pay out a regular income rather than a lump sum.</w:t>
      </w:r>
      <w:bookmarkEnd w:id="59"/>
      <w:bookmarkEnd w:id="60"/>
      <w:bookmarkEnd w:id="61"/>
    </w:p>
    <w:p w14:paraId="51269CBC" w14:textId="77777777" w:rsidR="006D6A1A" w:rsidRPr="00767F1F" w:rsidRDefault="006D6A1A" w:rsidP="006D6A1A">
      <w:pPr>
        <w:numPr>
          <w:ilvl w:val="0"/>
          <w:numId w:val="40"/>
        </w:numPr>
        <w:spacing w:line="276" w:lineRule="auto"/>
      </w:pPr>
      <w:bookmarkStart w:id="62" w:name="_Toc14341351"/>
      <w:bookmarkStart w:id="63" w:name="_Toc14341459"/>
      <w:bookmarkStart w:id="64" w:name="_Toc14343076"/>
      <w:r w:rsidRPr="00767F1F">
        <w:t>Critical illness cover:</w:t>
      </w:r>
      <w:bookmarkEnd w:id="62"/>
      <w:bookmarkEnd w:id="63"/>
      <w:bookmarkEnd w:id="64"/>
    </w:p>
    <w:p w14:paraId="5157B642" w14:textId="77777777" w:rsidR="006D6A1A" w:rsidRDefault="006D6A1A" w:rsidP="006D6A1A">
      <w:pPr>
        <w:numPr>
          <w:ilvl w:val="0"/>
          <w:numId w:val="40"/>
        </w:numPr>
        <w:spacing w:line="276" w:lineRule="auto"/>
      </w:pPr>
      <w:bookmarkStart w:id="65" w:name="_Toc14341352"/>
      <w:bookmarkStart w:id="66" w:name="_Toc14341460"/>
      <w:bookmarkStart w:id="67" w:name="_Toc14343077"/>
      <w:r w:rsidRPr="00767F1F">
        <w:t>Pays out a tax-free lump sum in the event that an employee is diagnosed with one of a range of listed illnesses and survives for a period of at least 14 days.</w:t>
      </w:r>
      <w:bookmarkEnd w:id="65"/>
      <w:bookmarkEnd w:id="66"/>
      <w:bookmarkEnd w:id="67"/>
    </w:p>
    <w:p w14:paraId="2CF7D346" w14:textId="77777777" w:rsidR="006D6A1A" w:rsidRPr="00767F1F" w:rsidRDefault="006D6A1A" w:rsidP="006D6A1A">
      <w:pPr>
        <w:ind w:left="720"/>
      </w:pPr>
    </w:p>
    <w:p w14:paraId="3A710157" w14:textId="77777777" w:rsidR="006D6A1A" w:rsidRPr="00767F1F" w:rsidRDefault="006D6A1A" w:rsidP="006D6A1A">
      <w:pPr>
        <w:rPr>
          <w:b/>
        </w:rPr>
      </w:pPr>
      <w:bookmarkStart w:id="68" w:name="_Toc14341353"/>
      <w:bookmarkStart w:id="69" w:name="_Toc14341461"/>
      <w:bookmarkStart w:id="70" w:name="_Toc14343078"/>
      <w:r w:rsidRPr="00767F1F">
        <w:rPr>
          <w:b/>
        </w:rPr>
        <w:t>Medical Cover</w:t>
      </w:r>
      <w:bookmarkEnd w:id="68"/>
      <w:bookmarkEnd w:id="69"/>
      <w:bookmarkEnd w:id="70"/>
      <w:r w:rsidRPr="00767F1F">
        <w:rPr>
          <w:b/>
        </w:rPr>
        <w:t xml:space="preserve"> </w:t>
      </w:r>
    </w:p>
    <w:p w14:paraId="1C4D4970" w14:textId="77777777" w:rsidR="006D6A1A" w:rsidRDefault="006D6A1A" w:rsidP="006D6A1A">
      <w:bookmarkStart w:id="71" w:name="_Toc14341354"/>
      <w:bookmarkStart w:id="72" w:name="_Toc14341462"/>
      <w:bookmarkStart w:id="73" w:name="_Toc14343079"/>
      <w:r w:rsidRPr="00767F1F">
        <w:t>Insurance against the risk of incurring medical expenses for individuals, plus when appropriate partners and/or families.</w:t>
      </w:r>
      <w:bookmarkEnd w:id="71"/>
      <w:bookmarkEnd w:id="72"/>
      <w:bookmarkEnd w:id="73"/>
      <w:r w:rsidRPr="00767F1F">
        <w:t xml:space="preserve">  </w:t>
      </w:r>
    </w:p>
    <w:p w14:paraId="5C071791" w14:textId="77777777" w:rsidR="006D6A1A" w:rsidRPr="00767F1F" w:rsidRDefault="006D6A1A" w:rsidP="006D6A1A">
      <w:pPr>
        <w:numPr>
          <w:ilvl w:val="0"/>
          <w:numId w:val="41"/>
        </w:numPr>
        <w:spacing w:line="276" w:lineRule="auto"/>
      </w:pPr>
      <w:bookmarkStart w:id="74" w:name="_Toc14341355"/>
      <w:bookmarkStart w:id="75" w:name="_Toc14341463"/>
      <w:bookmarkStart w:id="76" w:name="_Toc14343080"/>
      <w:r w:rsidRPr="00767F1F">
        <w:t>The policy must be medical history disregarded (i.e. previous conditions are not considered when awarding cover).</w:t>
      </w:r>
      <w:bookmarkEnd w:id="74"/>
      <w:bookmarkEnd w:id="75"/>
      <w:bookmarkEnd w:id="76"/>
    </w:p>
    <w:p w14:paraId="171FF344" w14:textId="77777777" w:rsidR="006D6A1A" w:rsidRPr="00767F1F" w:rsidRDefault="006D6A1A" w:rsidP="006D6A1A">
      <w:pPr>
        <w:numPr>
          <w:ilvl w:val="0"/>
          <w:numId w:val="41"/>
        </w:numPr>
        <w:spacing w:line="276" w:lineRule="auto"/>
      </w:pPr>
      <w:bookmarkStart w:id="77" w:name="_Toc14341356"/>
      <w:bookmarkStart w:id="78" w:name="_Toc14341464"/>
      <w:bookmarkStart w:id="79" w:name="_Toc14343081"/>
      <w:r w:rsidRPr="00767F1F">
        <w:t>Options to add partner, children (no partner) and family. These will be paid for     directly by the employee</w:t>
      </w:r>
      <w:bookmarkEnd w:id="77"/>
      <w:bookmarkEnd w:id="78"/>
      <w:bookmarkEnd w:id="79"/>
    </w:p>
    <w:p w14:paraId="3FC42629" w14:textId="77777777" w:rsidR="006D6A1A" w:rsidRPr="00767F1F" w:rsidRDefault="006D6A1A" w:rsidP="006D6A1A">
      <w:pPr>
        <w:numPr>
          <w:ilvl w:val="0"/>
          <w:numId w:val="41"/>
        </w:numPr>
        <w:spacing w:line="276" w:lineRule="auto"/>
      </w:pPr>
      <w:bookmarkStart w:id="80" w:name="_Toc14341357"/>
      <w:bookmarkStart w:id="81" w:name="_Toc14341465"/>
      <w:bookmarkStart w:id="82" w:name="_Toc14343082"/>
      <w:r w:rsidRPr="00767F1F">
        <w:t>Must be part of a group policy.</w:t>
      </w:r>
      <w:bookmarkEnd w:id="80"/>
      <w:bookmarkEnd w:id="81"/>
      <w:bookmarkEnd w:id="82"/>
    </w:p>
    <w:p w14:paraId="62F8BE0C" w14:textId="77777777" w:rsidR="006D6A1A" w:rsidRPr="00767F1F" w:rsidRDefault="006D6A1A" w:rsidP="006D6A1A">
      <w:pPr>
        <w:numPr>
          <w:ilvl w:val="0"/>
          <w:numId w:val="41"/>
        </w:numPr>
        <w:spacing w:line="276" w:lineRule="auto"/>
      </w:pPr>
      <w:bookmarkStart w:id="83" w:name="_Toc14341358"/>
      <w:bookmarkStart w:id="84" w:name="_Toc14341466"/>
      <w:bookmarkStart w:id="85" w:name="_Toc14343083"/>
      <w:r w:rsidRPr="00767F1F">
        <w:t>The person named in the Policy must be able to account for tax on a P11D.</w:t>
      </w:r>
      <w:bookmarkEnd w:id="83"/>
      <w:bookmarkEnd w:id="84"/>
      <w:bookmarkEnd w:id="85"/>
    </w:p>
    <w:p w14:paraId="7B9FB350" w14:textId="77777777" w:rsidR="006D6A1A" w:rsidRPr="00767F1F" w:rsidRDefault="006D6A1A" w:rsidP="006D6A1A">
      <w:pPr>
        <w:numPr>
          <w:ilvl w:val="0"/>
          <w:numId w:val="41"/>
        </w:numPr>
        <w:spacing w:line="276" w:lineRule="auto"/>
      </w:pPr>
      <w:bookmarkStart w:id="86" w:name="_Toc14341359"/>
      <w:bookmarkStart w:id="87" w:name="_Toc14341467"/>
      <w:bookmarkStart w:id="88" w:name="_Toc14343084"/>
      <w:r w:rsidRPr="00767F1F">
        <w:t>GP 24/7 anytime telephone contact if unwell.</w:t>
      </w:r>
      <w:bookmarkEnd w:id="86"/>
      <w:bookmarkEnd w:id="87"/>
      <w:bookmarkEnd w:id="88"/>
    </w:p>
    <w:p w14:paraId="38AF05EA" w14:textId="77777777" w:rsidR="006D6A1A" w:rsidRDefault="006D6A1A" w:rsidP="006D6A1A">
      <w:pPr>
        <w:rPr>
          <w:u w:val="single"/>
        </w:rPr>
      </w:pPr>
      <w:bookmarkStart w:id="89" w:name="_Toc14341360"/>
      <w:bookmarkStart w:id="90" w:name="_Toc14341468"/>
      <w:bookmarkStart w:id="91" w:name="_Toc14343085"/>
    </w:p>
    <w:p w14:paraId="2D82B39B" w14:textId="77777777" w:rsidR="006D6A1A" w:rsidRPr="00767F1F" w:rsidRDefault="006D6A1A" w:rsidP="006D6A1A">
      <w:pPr>
        <w:rPr>
          <w:u w:val="single"/>
        </w:rPr>
      </w:pPr>
      <w:r w:rsidRPr="00767F1F">
        <w:rPr>
          <w:u w:val="single"/>
        </w:rPr>
        <w:t>Elements:</w:t>
      </w:r>
      <w:bookmarkEnd w:id="89"/>
      <w:bookmarkEnd w:id="90"/>
      <w:bookmarkEnd w:id="91"/>
    </w:p>
    <w:p w14:paraId="0A3113BC" w14:textId="77777777" w:rsidR="006D6A1A" w:rsidRPr="00767F1F" w:rsidRDefault="006D6A1A" w:rsidP="006D6A1A">
      <w:pPr>
        <w:numPr>
          <w:ilvl w:val="0"/>
          <w:numId w:val="42"/>
        </w:numPr>
        <w:spacing w:line="276" w:lineRule="auto"/>
      </w:pPr>
      <w:bookmarkStart w:id="92" w:name="_Toc14341361"/>
      <w:bookmarkStart w:id="93" w:name="_Toc14341469"/>
      <w:bookmarkStart w:id="94" w:name="_Toc14343086"/>
      <w:r w:rsidRPr="00767F1F">
        <w:t>Consultation with GP for a series of tests.</w:t>
      </w:r>
      <w:bookmarkEnd w:id="92"/>
      <w:bookmarkEnd w:id="93"/>
      <w:bookmarkEnd w:id="94"/>
    </w:p>
    <w:p w14:paraId="17CEBF48" w14:textId="77777777" w:rsidR="006D6A1A" w:rsidRPr="00767F1F" w:rsidRDefault="006D6A1A" w:rsidP="006D6A1A">
      <w:pPr>
        <w:numPr>
          <w:ilvl w:val="0"/>
          <w:numId w:val="42"/>
        </w:numPr>
        <w:spacing w:line="276" w:lineRule="auto"/>
      </w:pPr>
      <w:bookmarkStart w:id="95" w:name="_Toc14341362"/>
      <w:bookmarkStart w:id="96" w:name="_Toc14341470"/>
      <w:bookmarkStart w:id="97" w:name="_Toc14343087"/>
      <w:r w:rsidRPr="00767F1F">
        <w:t>Screening, scans and diagnostic tests - investigations and detection.</w:t>
      </w:r>
      <w:bookmarkEnd w:id="95"/>
      <w:bookmarkEnd w:id="96"/>
      <w:bookmarkEnd w:id="97"/>
    </w:p>
    <w:p w14:paraId="718CF888" w14:textId="77777777" w:rsidR="006D6A1A" w:rsidRPr="00767F1F" w:rsidRDefault="006D6A1A" w:rsidP="006D6A1A">
      <w:pPr>
        <w:numPr>
          <w:ilvl w:val="0"/>
          <w:numId w:val="42"/>
        </w:numPr>
        <w:spacing w:line="276" w:lineRule="auto"/>
      </w:pPr>
      <w:bookmarkStart w:id="98" w:name="_Toc14341363"/>
      <w:bookmarkStart w:id="99" w:name="_Toc14341471"/>
      <w:bookmarkStart w:id="100" w:name="_Toc14343088"/>
      <w:r w:rsidRPr="00767F1F">
        <w:t>Treatments for identified conditions – outpatient, day patient, in-patient:</w:t>
      </w:r>
      <w:bookmarkEnd w:id="98"/>
      <w:bookmarkEnd w:id="99"/>
      <w:bookmarkEnd w:id="100"/>
    </w:p>
    <w:p w14:paraId="48276F45" w14:textId="77777777" w:rsidR="006D6A1A" w:rsidRPr="00767F1F" w:rsidRDefault="006D6A1A" w:rsidP="006D6A1A">
      <w:pPr>
        <w:numPr>
          <w:ilvl w:val="0"/>
          <w:numId w:val="42"/>
        </w:numPr>
        <w:spacing w:line="276" w:lineRule="auto"/>
      </w:pPr>
      <w:bookmarkStart w:id="101" w:name="_Toc14341364"/>
      <w:bookmarkStart w:id="102" w:name="_Toc14341472"/>
      <w:bookmarkStart w:id="103" w:name="_Toc14343089"/>
      <w:r w:rsidRPr="00767F1F">
        <w:t>Treatments for cancer– outpatient, day patient, in-patient.</w:t>
      </w:r>
      <w:bookmarkEnd w:id="101"/>
      <w:bookmarkEnd w:id="102"/>
      <w:bookmarkEnd w:id="103"/>
    </w:p>
    <w:p w14:paraId="2BE47944" w14:textId="77777777" w:rsidR="006D6A1A" w:rsidRPr="00767F1F" w:rsidRDefault="006D6A1A" w:rsidP="006D6A1A">
      <w:pPr>
        <w:numPr>
          <w:ilvl w:val="0"/>
          <w:numId w:val="42"/>
        </w:numPr>
        <w:spacing w:line="276" w:lineRule="auto"/>
      </w:pPr>
      <w:bookmarkStart w:id="104" w:name="_Toc14341365"/>
      <w:bookmarkStart w:id="105" w:name="_Toc14341473"/>
      <w:bookmarkStart w:id="106" w:name="_Toc14343090"/>
      <w:r w:rsidRPr="00767F1F">
        <w:t>Pregnancy complications.</w:t>
      </w:r>
      <w:bookmarkEnd w:id="104"/>
      <w:bookmarkEnd w:id="105"/>
      <w:bookmarkEnd w:id="106"/>
    </w:p>
    <w:p w14:paraId="770CFF50" w14:textId="77777777" w:rsidR="006D6A1A" w:rsidRPr="00767F1F" w:rsidRDefault="006D6A1A" w:rsidP="006D6A1A">
      <w:pPr>
        <w:numPr>
          <w:ilvl w:val="0"/>
          <w:numId w:val="42"/>
        </w:numPr>
        <w:spacing w:line="276" w:lineRule="auto"/>
      </w:pPr>
      <w:bookmarkStart w:id="107" w:name="_Toc14341366"/>
      <w:bookmarkStart w:id="108" w:name="_Toc14341474"/>
      <w:bookmarkStart w:id="109" w:name="_Toc14343091"/>
      <w:r w:rsidRPr="00767F1F">
        <w:t>Medical devices.</w:t>
      </w:r>
      <w:bookmarkEnd w:id="107"/>
      <w:bookmarkEnd w:id="108"/>
      <w:bookmarkEnd w:id="109"/>
    </w:p>
    <w:p w14:paraId="48ABA98E" w14:textId="77777777" w:rsidR="006D6A1A" w:rsidRPr="00767F1F" w:rsidRDefault="006D6A1A" w:rsidP="006D6A1A">
      <w:pPr>
        <w:numPr>
          <w:ilvl w:val="0"/>
          <w:numId w:val="42"/>
        </w:numPr>
        <w:spacing w:line="276" w:lineRule="auto"/>
      </w:pPr>
      <w:bookmarkStart w:id="110" w:name="_Toc14341367"/>
      <w:bookmarkStart w:id="111" w:name="_Toc14341475"/>
      <w:bookmarkStart w:id="112" w:name="_Toc14343092"/>
      <w:r w:rsidRPr="00767F1F">
        <w:t>Prosthesis.</w:t>
      </w:r>
      <w:bookmarkEnd w:id="110"/>
      <w:bookmarkEnd w:id="111"/>
      <w:bookmarkEnd w:id="112"/>
    </w:p>
    <w:p w14:paraId="7C949269" w14:textId="77777777" w:rsidR="006D6A1A" w:rsidRPr="00767F1F" w:rsidRDefault="006D6A1A" w:rsidP="006D6A1A">
      <w:pPr>
        <w:numPr>
          <w:ilvl w:val="0"/>
          <w:numId w:val="42"/>
        </w:numPr>
        <w:spacing w:line="276" w:lineRule="auto"/>
      </w:pPr>
      <w:bookmarkStart w:id="113" w:name="_Toc14341368"/>
      <w:bookmarkStart w:id="114" w:name="_Toc14341476"/>
      <w:bookmarkStart w:id="115" w:name="_Toc14343093"/>
      <w:r w:rsidRPr="00767F1F">
        <w:t>High Dependency Unit care.</w:t>
      </w:r>
      <w:bookmarkEnd w:id="113"/>
      <w:bookmarkEnd w:id="114"/>
      <w:bookmarkEnd w:id="115"/>
    </w:p>
    <w:p w14:paraId="6AC1C093" w14:textId="77777777" w:rsidR="006D6A1A" w:rsidRPr="00767F1F" w:rsidRDefault="006D6A1A" w:rsidP="006D6A1A">
      <w:pPr>
        <w:numPr>
          <w:ilvl w:val="0"/>
          <w:numId w:val="42"/>
        </w:numPr>
        <w:spacing w:line="276" w:lineRule="auto"/>
      </w:pPr>
      <w:bookmarkStart w:id="116" w:name="_Toc14341369"/>
      <w:bookmarkStart w:id="117" w:name="_Toc14341477"/>
      <w:bookmarkStart w:id="118" w:name="_Toc14343094"/>
      <w:r w:rsidRPr="00767F1F">
        <w:t>Medical Transport.</w:t>
      </w:r>
      <w:bookmarkEnd w:id="116"/>
      <w:bookmarkEnd w:id="117"/>
      <w:bookmarkEnd w:id="118"/>
    </w:p>
    <w:p w14:paraId="2605C01D" w14:textId="77777777" w:rsidR="006D6A1A" w:rsidRPr="00767F1F" w:rsidRDefault="006D6A1A" w:rsidP="006D6A1A">
      <w:pPr>
        <w:numPr>
          <w:ilvl w:val="0"/>
          <w:numId w:val="42"/>
        </w:numPr>
        <w:spacing w:line="276" w:lineRule="auto"/>
      </w:pPr>
      <w:bookmarkStart w:id="119" w:name="_Toc14341370"/>
      <w:bookmarkStart w:id="120" w:name="_Toc14341478"/>
      <w:bookmarkStart w:id="121" w:name="_Toc14343095"/>
      <w:r w:rsidRPr="00767F1F">
        <w:lastRenderedPageBreak/>
        <w:t>Parent and child accommodation.</w:t>
      </w:r>
      <w:bookmarkEnd w:id="119"/>
      <w:bookmarkEnd w:id="120"/>
      <w:bookmarkEnd w:id="121"/>
    </w:p>
    <w:p w14:paraId="45A7E3EA" w14:textId="77777777" w:rsidR="006D6A1A" w:rsidRPr="00767F1F" w:rsidRDefault="006D6A1A" w:rsidP="006D6A1A">
      <w:pPr>
        <w:numPr>
          <w:ilvl w:val="0"/>
          <w:numId w:val="42"/>
        </w:numPr>
        <w:spacing w:line="276" w:lineRule="auto"/>
      </w:pPr>
      <w:bookmarkStart w:id="122" w:name="_Toc14341371"/>
      <w:bookmarkStart w:id="123" w:name="_Toc14341479"/>
      <w:bookmarkStart w:id="124" w:name="_Toc14343096"/>
      <w:r w:rsidRPr="00767F1F">
        <w:t>Recovery at home.</w:t>
      </w:r>
      <w:bookmarkEnd w:id="122"/>
      <w:bookmarkEnd w:id="123"/>
      <w:bookmarkEnd w:id="124"/>
    </w:p>
    <w:p w14:paraId="54DF5781" w14:textId="77777777" w:rsidR="006D6A1A" w:rsidRPr="00767F1F" w:rsidRDefault="006D6A1A" w:rsidP="006D6A1A">
      <w:pPr>
        <w:numPr>
          <w:ilvl w:val="0"/>
          <w:numId w:val="42"/>
        </w:numPr>
        <w:spacing w:line="276" w:lineRule="auto"/>
      </w:pPr>
      <w:bookmarkStart w:id="125" w:name="_Toc14341372"/>
      <w:bookmarkStart w:id="126" w:name="_Toc14341480"/>
      <w:bookmarkStart w:id="127" w:name="_Toc14343097"/>
      <w:r w:rsidRPr="00767F1F">
        <w:t>Recovery - therapies:</w:t>
      </w:r>
      <w:bookmarkEnd w:id="125"/>
      <w:bookmarkEnd w:id="126"/>
      <w:bookmarkEnd w:id="127"/>
    </w:p>
    <w:p w14:paraId="172CE55B" w14:textId="77777777" w:rsidR="006D6A1A" w:rsidRPr="00767F1F" w:rsidRDefault="006D6A1A" w:rsidP="006D6A1A">
      <w:pPr>
        <w:numPr>
          <w:ilvl w:val="0"/>
          <w:numId w:val="42"/>
        </w:numPr>
        <w:spacing w:line="276" w:lineRule="auto"/>
      </w:pPr>
      <w:bookmarkStart w:id="128" w:name="_Toc14341373"/>
      <w:bookmarkStart w:id="129" w:name="_Toc14341481"/>
      <w:bookmarkStart w:id="130" w:name="_Toc14343098"/>
      <w:r w:rsidRPr="00767F1F">
        <w:t>Homeopathy – alternative medicine.</w:t>
      </w:r>
      <w:bookmarkEnd w:id="128"/>
      <w:bookmarkEnd w:id="129"/>
      <w:bookmarkEnd w:id="130"/>
    </w:p>
    <w:p w14:paraId="30678058" w14:textId="77777777" w:rsidR="006D6A1A" w:rsidRPr="00767F1F" w:rsidRDefault="006D6A1A" w:rsidP="006D6A1A">
      <w:pPr>
        <w:numPr>
          <w:ilvl w:val="0"/>
          <w:numId w:val="42"/>
        </w:numPr>
        <w:spacing w:line="276" w:lineRule="auto"/>
      </w:pPr>
      <w:bookmarkStart w:id="131" w:name="_Toc14341374"/>
      <w:bookmarkStart w:id="132" w:name="_Toc14341482"/>
      <w:bookmarkStart w:id="133" w:name="_Toc14343099"/>
      <w:r w:rsidRPr="00767F1F">
        <w:t>Recovery or end of life:</w:t>
      </w:r>
      <w:bookmarkEnd w:id="131"/>
      <w:bookmarkEnd w:id="132"/>
      <w:bookmarkEnd w:id="133"/>
    </w:p>
    <w:p w14:paraId="0DB370DC" w14:textId="77777777" w:rsidR="006D6A1A" w:rsidRPr="00767F1F" w:rsidRDefault="006D6A1A" w:rsidP="006D6A1A">
      <w:pPr>
        <w:numPr>
          <w:ilvl w:val="0"/>
          <w:numId w:val="42"/>
        </w:numPr>
        <w:spacing w:line="276" w:lineRule="auto"/>
      </w:pPr>
      <w:bookmarkStart w:id="134" w:name="_Toc14341375"/>
      <w:bookmarkStart w:id="135" w:name="_Toc14341483"/>
      <w:bookmarkStart w:id="136" w:name="_Toc14343100"/>
      <w:r w:rsidRPr="00767F1F">
        <w:t>Cash, in lieu of receiving scheme funded treatment.</w:t>
      </w:r>
      <w:bookmarkEnd w:id="134"/>
      <w:bookmarkEnd w:id="135"/>
      <w:bookmarkEnd w:id="136"/>
    </w:p>
    <w:p w14:paraId="37FD66F0" w14:textId="77777777" w:rsidR="006D6A1A" w:rsidRPr="00767F1F" w:rsidRDefault="006D6A1A" w:rsidP="006D6A1A">
      <w:pPr>
        <w:numPr>
          <w:ilvl w:val="0"/>
          <w:numId w:val="42"/>
        </w:numPr>
        <w:spacing w:line="276" w:lineRule="auto"/>
      </w:pPr>
      <w:bookmarkStart w:id="137" w:name="_Toc14341376"/>
      <w:bookmarkStart w:id="138" w:name="_Toc14341484"/>
      <w:bookmarkStart w:id="139" w:name="_Toc14343101"/>
      <w:r w:rsidRPr="00767F1F">
        <w:t>Cash for hospital stay.</w:t>
      </w:r>
      <w:bookmarkEnd w:id="137"/>
      <w:bookmarkEnd w:id="138"/>
      <w:bookmarkEnd w:id="139"/>
    </w:p>
    <w:p w14:paraId="0F62D5D0" w14:textId="77777777" w:rsidR="006D6A1A" w:rsidRPr="00767F1F" w:rsidRDefault="006D6A1A" w:rsidP="006D6A1A">
      <w:pPr>
        <w:numPr>
          <w:ilvl w:val="0"/>
          <w:numId w:val="42"/>
        </w:numPr>
        <w:spacing w:line="276" w:lineRule="auto"/>
      </w:pPr>
      <w:bookmarkStart w:id="140" w:name="_Toc14341377"/>
      <w:bookmarkStart w:id="141" w:name="_Toc14341485"/>
      <w:bookmarkStart w:id="142" w:name="_Toc14343102"/>
      <w:r w:rsidRPr="00767F1F">
        <w:t>Cash payments due to long term absence from work due to illness or injury.</w:t>
      </w:r>
      <w:bookmarkEnd w:id="140"/>
      <w:bookmarkEnd w:id="141"/>
      <w:bookmarkEnd w:id="142"/>
    </w:p>
    <w:p w14:paraId="5DB1511F" w14:textId="77777777" w:rsidR="006D6A1A" w:rsidRPr="00767F1F" w:rsidRDefault="006D6A1A" w:rsidP="006D6A1A">
      <w:pPr>
        <w:numPr>
          <w:ilvl w:val="0"/>
          <w:numId w:val="42"/>
        </w:numPr>
        <w:spacing w:line="276" w:lineRule="auto"/>
      </w:pPr>
      <w:bookmarkStart w:id="143" w:name="_Toc14341378"/>
      <w:bookmarkStart w:id="144" w:name="_Toc14341486"/>
      <w:bookmarkStart w:id="145" w:name="_Toc14343103"/>
      <w:r w:rsidRPr="00767F1F">
        <w:t>The policy must be medical history disregarded (i.e. previous conditions are not considered when awarding cover).</w:t>
      </w:r>
      <w:bookmarkEnd w:id="143"/>
      <w:bookmarkEnd w:id="144"/>
      <w:bookmarkEnd w:id="145"/>
    </w:p>
    <w:p w14:paraId="7681F3D1" w14:textId="77777777" w:rsidR="006D6A1A" w:rsidRPr="00767F1F" w:rsidRDefault="006D6A1A" w:rsidP="006D6A1A">
      <w:pPr>
        <w:numPr>
          <w:ilvl w:val="0"/>
          <w:numId w:val="42"/>
        </w:numPr>
        <w:spacing w:line="276" w:lineRule="auto"/>
      </w:pPr>
      <w:bookmarkStart w:id="146" w:name="_Toc14341379"/>
      <w:bookmarkStart w:id="147" w:name="_Toc14341487"/>
      <w:bookmarkStart w:id="148" w:name="_Toc14343104"/>
      <w:r w:rsidRPr="00767F1F">
        <w:t>The scheme must be a group policy.</w:t>
      </w:r>
      <w:bookmarkEnd w:id="146"/>
      <w:bookmarkEnd w:id="147"/>
      <w:bookmarkEnd w:id="148"/>
    </w:p>
    <w:p w14:paraId="727385CB" w14:textId="77777777" w:rsidR="006D6A1A" w:rsidRPr="00767F1F" w:rsidRDefault="006D6A1A" w:rsidP="006D6A1A">
      <w:pPr>
        <w:numPr>
          <w:ilvl w:val="0"/>
          <w:numId w:val="42"/>
        </w:numPr>
        <w:spacing w:line="276" w:lineRule="auto"/>
      </w:pPr>
      <w:bookmarkStart w:id="149" w:name="_Toc14341380"/>
      <w:bookmarkStart w:id="150" w:name="_Toc14341488"/>
      <w:bookmarkStart w:id="151" w:name="_Toc14343105"/>
      <w:r w:rsidRPr="00767F1F">
        <w:t>The person named in the Policy must be able to account for tax on a P11D.</w:t>
      </w:r>
      <w:bookmarkEnd w:id="149"/>
      <w:bookmarkEnd w:id="150"/>
      <w:bookmarkEnd w:id="151"/>
    </w:p>
    <w:p w14:paraId="54E0BA1A" w14:textId="77777777" w:rsidR="006D6A1A" w:rsidRPr="00767F1F" w:rsidRDefault="006D6A1A" w:rsidP="006D6A1A">
      <w:pPr>
        <w:numPr>
          <w:ilvl w:val="0"/>
          <w:numId w:val="42"/>
        </w:numPr>
        <w:spacing w:line="276" w:lineRule="auto"/>
      </w:pPr>
      <w:bookmarkStart w:id="152" w:name="_Toc14341381"/>
      <w:bookmarkStart w:id="153" w:name="_Toc14341489"/>
      <w:bookmarkStart w:id="154" w:name="_Toc14343106"/>
      <w:r w:rsidRPr="00767F1F">
        <w:t>GP 24/7 anytime telephone contact if unwell.</w:t>
      </w:r>
      <w:bookmarkEnd w:id="152"/>
      <w:bookmarkEnd w:id="153"/>
      <w:bookmarkEnd w:id="154"/>
    </w:p>
    <w:p w14:paraId="4C504CF0" w14:textId="77777777" w:rsidR="006D6A1A" w:rsidRDefault="006D6A1A" w:rsidP="006D6A1A">
      <w:pPr>
        <w:rPr>
          <w:b/>
        </w:rPr>
      </w:pPr>
      <w:bookmarkStart w:id="155" w:name="_Toc14341382"/>
      <w:bookmarkStart w:id="156" w:name="_Toc14341490"/>
      <w:bookmarkStart w:id="157" w:name="_Toc14343107"/>
    </w:p>
    <w:p w14:paraId="3FA476B1" w14:textId="77777777" w:rsidR="006D6A1A" w:rsidRPr="00767F1F" w:rsidRDefault="006D6A1A" w:rsidP="006D6A1A">
      <w:pPr>
        <w:rPr>
          <w:b/>
        </w:rPr>
      </w:pPr>
      <w:r w:rsidRPr="00767F1F">
        <w:rPr>
          <w:b/>
        </w:rPr>
        <w:t>Accident Cover</w:t>
      </w:r>
      <w:bookmarkEnd w:id="155"/>
      <w:bookmarkEnd w:id="156"/>
      <w:bookmarkEnd w:id="157"/>
      <w:r w:rsidRPr="00767F1F">
        <w:rPr>
          <w:b/>
        </w:rPr>
        <w:t xml:space="preserve"> </w:t>
      </w:r>
    </w:p>
    <w:p w14:paraId="236A4689" w14:textId="77777777" w:rsidR="006D6A1A" w:rsidRPr="00767F1F" w:rsidRDefault="006D6A1A" w:rsidP="006D6A1A">
      <w:bookmarkStart w:id="158" w:name="_Toc14341383"/>
      <w:bookmarkStart w:id="159" w:name="_Toc14341491"/>
      <w:bookmarkStart w:id="160" w:name="_Toc14343108"/>
      <w:r w:rsidRPr="00767F1F">
        <w:t>Insurance against the risk of incurring medical expenses for individuals, plus when appropriate partners and/or families, following an unfortunate incident that happens unexpectedly and unintentionally, typically resulting in damage or injury.</w:t>
      </w:r>
      <w:bookmarkEnd w:id="158"/>
      <w:bookmarkEnd w:id="159"/>
      <w:bookmarkEnd w:id="160"/>
    </w:p>
    <w:p w14:paraId="3F20AE44" w14:textId="77777777" w:rsidR="006D6A1A" w:rsidRDefault="006D6A1A" w:rsidP="006D6A1A">
      <w:bookmarkStart w:id="161" w:name="_Toc14341384"/>
      <w:bookmarkStart w:id="162" w:name="_Toc14341492"/>
      <w:bookmarkStart w:id="163" w:name="_Toc14343109"/>
    </w:p>
    <w:p w14:paraId="63CA3EE4" w14:textId="77777777" w:rsidR="006D6A1A" w:rsidRPr="00767F1F" w:rsidRDefault="006D6A1A" w:rsidP="006D6A1A">
      <w:pPr>
        <w:rPr>
          <w:u w:val="single"/>
        </w:rPr>
      </w:pPr>
      <w:r w:rsidRPr="00767F1F">
        <w:rPr>
          <w:u w:val="single"/>
        </w:rPr>
        <w:t>Structure:</w:t>
      </w:r>
      <w:bookmarkEnd w:id="161"/>
      <w:bookmarkEnd w:id="162"/>
      <w:bookmarkEnd w:id="163"/>
    </w:p>
    <w:p w14:paraId="60DBA903" w14:textId="77777777" w:rsidR="006D6A1A" w:rsidRPr="00767F1F" w:rsidRDefault="006D6A1A" w:rsidP="006D6A1A">
      <w:pPr>
        <w:numPr>
          <w:ilvl w:val="0"/>
          <w:numId w:val="43"/>
        </w:numPr>
        <w:spacing w:line="276" w:lineRule="auto"/>
      </w:pPr>
      <w:bookmarkStart w:id="164" w:name="_Toc14341385"/>
      <w:bookmarkStart w:id="165" w:name="_Toc14341493"/>
      <w:bookmarkStart w:id="166" w:name="_Toc14343110"/>
      <w:r w:rsidRPr="00767F1F">
        <w:t>Must be part of a group policy.</w:t>
      </w:r>
      <w:bookmarkEnd w:id="164"/>
      <w:bookmarkEnd w:id="165"/>
      <w:bookmarkEnd w:id="166"/>
    </w:p>
    <w:p w14:paraId="65EFBF6A" w14:textId="77777777" w:rsidR="006D6A1A" w:rsidRPr="00767F1F" w:rsidRDefault="006D6A1A" w:rsidP="006D6A1A">
      <w:pPr>
        <w:numPr>
          <w:ilvl w:val="0"/>
          <w:numId w:val="43"/>
        </w:numPr>
        <w:spacing w:line="276" w:lineRule="auto"/>
      </w:pPr>
      <w:bookmarkStart w:id="167" w:name="_Toc14341386"/>
      <w:bookmarkStart w:id="168" w:name="_Toc14341494"/>
      <w:bookmarkStart w:id="169" w:name="_Toc14343111"/>
      <w:r w:rsidRPr="00767F1F">
        <w:t>The supplier must account for Insurance Premium Tax – DVLA has a registered IPT Number with HMRC.</w:t>
      </w:r>
      <w:bookmarkEnd w:id="167"/>
      <w:bookmarkEnd w:id="168"/>
      <w:bookmarkEnd w:id="169"/>
    </w:p>
    <w:p w14:paraId="398F31DB" w14:textId="77777777" w:rsidR="006D6A1A" w:rsidRPr="00767F1F" w:rsidRDefault="006D6A1A" w:rsidP="006D6A1A">
      <w:pPr>
        <w:numPr>
          <w:ilvl w:val="0"/>
          <w:numId w:val="43"/>
        </w:numPr>
        <w:spacing w:line="276" w:lineRule="auto"/>
      </w:pPr>
      <w:bookmarkStart w:id="170" w:name="_Toc14341387"/>
      <w:bookmarkStart w:id="171" w:name="_Toc14341495"/>
      <w:bookmarkStart w:id="172" w:name="_Toc14343112"/>
      <w:r w:rsidRPr="00767F1F">
        <w:t>Payout made to a DVLA employee when an unfortunate incident happens, which unexpectedly and unintentionally results in injury.</w:t>
      </w:r>
      <w:bookmarkEnd w:id="170"/>
      <w:bookmarkEnd w:id="171"/>
      <w:bookmarkEnd w:id="172"/>
    </w:p>
    <w:p w14:paraId="45786B0F" w14:textId="77777777" w:rsidR="006D6A1A" w:rsidRPr="00767F1F" w:rsidRDefault="006D6A1A" w:rsidP="006D6A1A">
      <w:pPr>
        <w:numPr>
          <w:ilvl w:val="0"/>
          <w:numId w:val="43"/>
        </w:numPr>
        <w:spacing w:line="276" w:lineRule="auto"/>
      </w:pPr>
      <w:bookmarkStart w:id="173" w:name="_Toc14341388"/>
      <w:bookmarkStart w:id="174" w:name="_Toc14341496"/>
      <w:bookmarkStart w:id="175" w:name="_Toc14343113"/>
      <w:r w:rsidRPr="00767F1F">
        <w:t>Service Providers will be required to provide evidence of the following as part of their tender submission:</w:t>
      </w:r>
      <w:bookmarkEnd w:id="173"/>
      <w:bookmarkEnd w:id="174"/>
      <w:bookmarkEnd w:id="175"/>
      <w:r w:rsidRPr="00767F1F">
        <w:t xml:space="preserve"> </w:t>
      </w:r>
    </w:p>
    <w:p w14:paraId="37B009BF" w14:textId="77777777" w:rsidR="006D6A1A" w:rsidRPr="00767F1F" w:rsidRDefault="006D6A1A" w:rsidP="006D6A1A">
      <w:pPr>
        <w:numPr>
          <w:ilvl w:val="0"/>
          <w:numId w:val="43"/>
        </w:numPr>
        <w:spacing w:line="276" w:lineRule="auto"/>
      </w:pPr>
      <w:bookmarkStart w:id="176" w:name="_Toc14341389"/>
      <w:bookmarkStart w:id="177" w:name="_Toc14341497"/>
      <w:bookmarkStart w:id="178" w:name="_Toc14343114"/>
      <w:r w:rsidRPr="00767F1F">
        <w:t>Standard Customer Service Targets</w:t>
      </w:r>
      <w:bookmarkEnd w:id="176"/>
      <w:bookmarkEnd w:id="177"/>
      <w:bookmarkEnd w:id="178"/>
    </w:p>
    <w:p w14:paraId="7772C26B" w14:textId="77777777" w:rsidR="006D6A1A" w:rsidRPr="00767F1F" w:rsidRDefault="006D6A1A" w:rsidP="006D6A1A">
      <w:pPr>
        <w:numPr>
          <w:ilvl w:val="0"/>
          <w:numId w:val="43"/>
        </w:numPr>
        <w:spacing w:line="276" w:lineRule="auto"/>
      </w:pPr>
      <w:bookmarkStart w:id="179" w:name="_Toc14341390"/>
      <w:bookmarkStart w:id="180" w:name="_Toc14341498"/>
      <w:bookmarkStart w:id="181" w:name="_Toc14343115"/>
      <w:r w:rsidRPr="00767F1F">
        <w:t>Expected Response times to claims made under this contract</w:t>
      </w:r>
      <w:bookmarkEnd w:id="179"/>
      <w:bookmarkEnd w:id="180"/>
      <w:bookmarkEnd w:id="181"/>
    </w:p>
    <w:p w14:paraId="08998181" w14:textId="77777777" w:rsidR="006D6A1A" w:rsidRPr="00767F1F" w:rsidRDefault="006D6A1A" w:rsidP="006D6A1A">
      <w:pPr>
        <w:numPr>
          <w:ilvl w:val="0"/>
          <w:numId w:val="43"/>
        </w:numPr>
        <w:spacing w:line="276" w:lineRule="auto"/>
      </w:pPr>
      <w:bookmarkStart w:id="182" w:name="_Toc14341391"/>
      <w:bookmarkStart w:id="183" w:name="_Toc14341499"/>
      <w:bookmarkStart w:id="184" w:name="_Toc14343116"/>
      <w:r w:rsidRPr="00767F1F">
        <w:t>Commitment to deliver services within the locality of claimant</w:t>
      </w:r>
      <w:bookmarkEnd w:id="182"/>
      <w:bookmarkEnd w:id="183"/>
      <w:bookmarkEnd w:id="184"/>
    </w:p>
    <w:p w14:paraId="0409E472" w14:textId="77777777" w:rsidR="006D6A1A" w:rsidRPr="00767F1F" w:rsidRDefault="006D6A1A" w:rsidP="006D6A1A">
      <w:pPr>
        <w:numPr>
          <w:ilvl w:val="0"/>
          <w:numId w:val="43"/>
        </w:numPr>
        <w:spacing w:line="276" w:lineRule="auto"/>
      </w:pPr>
      <w:bookmarkStart w:id="185" w:name="_Toc14341392"/>
      <w:bookmarkStart w:id="186" w:name="_Toc14341500"/>
      <w:bookmarkStart w:id="187" w:name="_Toc14343117"/>
      <w:r w:rsidRPr="00767F1F">
        <w:t>Performance history for the last three years for similar services</w:t>
      </w:r>
      <w:bookmarkEnd w:id="185"/>
      <w:bookmarkEnd w:id="186"/>
      <w:bookmarkEnd w:id="187"/>
    </w:p>
    <w:p w14:paraId="0A8D8DD5" w14:textId="77777777" w:rsidR="006D6A1A" w:rsidRPr="00767F1F" w:rsidRDefault="006D6A1A" w:rsidP="006D6A1A">
      <w:pPr>
        <w:numPr>
          <w:ilvl w:val="0"/>
          <w:numId w:val="43"/>
        </w:numPr>
        <w:spacing w:line="276" w:lineRule="auto"/>
      </w:pPr>
      <w:bookmarkStart w:id="188" w:name="_Toc14341393"/>
      <w:bookmarkStart w:id="189" w:name="_Toc14341501"/>
      <w:bookmarkStart w:id="190" w:name="_Toc14343118"/>
      <w:r w:rsidRPr="00767F1F">
        <w:t>Confirmation that sufficient information packs (electronic or hard copy) will be made available for each policy holder</w:t>
      </w:r>
      <w:bookmarkEnd w:id="188"/>
      <w:bookmarkEnd w:id="189"/>
      <w:bookmarkEnd w:id="190"/>
    </w:p>
    <w:p w14:paraId="7386E27E" w14:textId="77777777" w:rsidR="006D6A1A" w:rsidRPr="00767F1F" w:rsidRDefault="006D6A1A" w:rsidP="006D6A1A">
      <w:pPr>
        <w:numPr>
          <w:ilvl w:val="0"/>
          <w:numId w:val="43"/>
        </w:numPr>
        <w:spacing w:line="276" w:lineRule="auto"/>
      </w:pPr>
      <w:bookmarkStart w:id="191" w:name="_Toc14341394"/>
      <w:bookmarkStart w:id="192" w:name="_Toc14341502"/>
      <w:bookmarkStart w:id="193" w:name="_Toc14343119"/>
      <w:r w:rsidRPr="00767F1F">
        <w:t>Confirmation that they will meet the performance measures agreed and provide accurate management information</w:t>
      </w:r>
      <w:bookmarkEnd w:id="191"/>
      <w:bookmarkEnd w:id="192"/>
      <w:bookmarkEnd w:id="193"/>
    </w:p>
    <w:p w14:paraId="18ABEBDE" w14:textId="77777777" w:rsidR="006D6A1A" w:rsidRPr="00767F1F" w:rsidRDefault="006D6A1A" w:rsidP="006D6A1A">
      <w:pPr>
        <w:numPr>
          <w:ilvl w:val="0"/>
          <w:numId w:val="43"/>
        </w:numPr>
        <w:spacing w:line="276" w:lineRule="auto"/>
      </w:pPr>
      <w:bookmarkStart w:id="194" w:name="_Toc14341395"/>
      <w:bookmarkStart w:id="195" w:name="_Toc14341503"/>
      <w:bookmarkStart w:id="196" w:name="_Toc14343120"/>
      <w:r w:rsidRPr="00767F1F">
        <w:t>Clear description of the approach to administration of opt in opt out processes including payments and refunds</w:t>
      </w:r>
      <w:bookmarkEnd w:id="194"/>
      <w:bookmarkEnd w:id="195"/>
      <w:bookmarkEnd w:id="196"/>
    </w:p>
    <w:p w14:paraId="1684734D" w14:textId="77777777" w:rsidR="006D6A1A" w:rsidRDefault="006D6A1A" w:rsidP="006D6A1A">
      <w:pPr>
        <w:rPr>
          <w:b/>
        </w:rPr>
      </w:pPr>
      <w:bookmarkStart w:id="197" w:name="_Toc14341396"/>
      <w:bookmarkStart w:id="198" w:name="_Toc14341504"/>
      <w:bookmarkStart w:id="199" w:name="_Toc14343121"/>
    </w:p>
    <w:p w14:paraId="724807AB" w14:textId="77777777" w:rsidR="006D6A1A" w:rsidRPr="00767F1F" w:rsidRDefault="006D6A1A" w:rsidP="006D6A1A">
      <w:pPr>
        <w:rPr>
          <w:b/>
        </w:rPr>
      </w:pPr>
      <w:r w:rsidRPr="00767F1F">
        <w:rPr>
          <w:b/>
        </w:rPr>
        <w:t>Legal and Policy Changes</w:t>
      </w:r>
      <w:bookmarkEnd w:id="197"/>
      <w:bookmarkEnd w:id="198"/>
      <w:bookmarkEnd w:id="199"/>
      <w:r w:rsidRPr="00767F1F">
        <w:rPr>
          <w:b/>
        </w:rPr>
        <w:t xml:space="preserve"> </w:t>
      </w:r>
    </w:p>
    <w:p w14:paraId="505B1BE3" w14:textId="77777777" w:rsidR="006D6A1A" w:rsidRDefault="006D6A1A" w:rsidP="006D6A1A"/>
    <w:p w14:paraId="5249BB8A" w14:textId="6A385CD1" w:rsidR="006D6A1A" w:rsidRDefault="006D6A1A" w:rsidP="006D6A1A">
      <w:r w:rsidRPr="00767F1F">
        <w:t xml:space="preserve">During the policy period there may be circumstances where DVLA’s requirements change. Where necessary the Service Provider shall provide or procure the request to amend the policy and / or Premium accordingly. The request to amend the policy shall </w:t>
      </w:r>
      <w:r w:rsidRPr="00767F1F">
        <w:lastRenderedPageBreak/>
        <w:t>be acknowledged by the Service Provider within two working days of receipt, and the revised terms shall be agreed by all parties within a reasonable timeframe</w:t>
      </w:r>
      <w:r w:rsidR="006B6EC4">
        <w:t>.</w:t>
      </w:r>
      <w:r w:rsidRPr="00AA764A">
        <w:t xml:space="preserve"> </w:t>
      </w:r>
      <w:bookmarkStart w:id="200" w:name="_Toc14341346"/>
      <w:bookmarkStart w:id="201" w:name="_Toc14341454"/>
      <w:bookmarkStart w:id="202" w:name="_Toc14343071"/>
    </w:p>
    <w:p w14:paraId="71AC826F" w14:textId="77777777" w:rsidR="006D6A1A" w:rsidRDefault="006D6A1A" w:rsidP="006D6A1A"/>
    <w:bookmarkEnd w:id="200"/>
    <w:bookmarkEnd w:id="201"/>
    <w:bookmarkEnd w:id="202"/>
    <w:p w14:paraId="43CDCC46" w14:textId="77777777" w:rsidR="00CA344D" w:rsidRDefault="00CA344D" w:rsidP="00B228E1">
      <w:pPr>
        <w:tabs>
          <w:tab w:val="left" w:pos="-180"/>
        </w:tabs>
        <w:rPr>
          <w:rFonts w:eastAsia="Calibri" w:cs="Arial"/>
          <w:iCs/>
          <w:szCs w:val="24"/>
          <w:lang w:eastAsia="en-GB"/>
        </w:rPr>
      </w:pPr>
    </w:p>
    <w:p w14:paraId="65028AE1" w14:textId="77777777" w:rsidR="00CA344D" w:rsidRDefault="00CA344D" w:rsidP="00BD4691">
      <w:pPr>
        <w:tabs>
          <w:tab w:val="left" w:pos="-180"/>
        </w:tabs>
        <w:ind w:left="-180"/>
        <w:rPr>
          <w:rFonts w:eastAsia="Calibri" w:cs="Arial"/>
          <w:iCs/>
          <w:szCs w:val="24"/>
          <w:lang w:eastAsia="en-GB"/>
        </w:rPr>
      </w:pPr>
    </w:p>
    <w:bookmarkEnd w:id="46"/>
    <w:p w14:paraId="5E2ACE71" w14:textId="77777777" w:rsidR="00EF0C55" w:rsidRDefault="00EF0C55" w:rsidP="00237E4B">
      <w:pPr>
        <w:tabs>
          <w:tab w:val="left" w:pos="-180"/>
        </w:tabs>
        <w:ind w:left="-180"/>
        <w:rPr>
          <w:rFonts w:cs="Arial"/>
        </w:rPr>
      </w:pPr>
    </w:p>
    <w:p w14:paraId="0CDDE049" w14:textId="64B1F220" w:rsidR="001A236D" w:rsidRDefault="00237E4B" w:rsidP="00850192">
      <w:pPr>
        <w:pStyle w:val="Heading2"/>
        <w:tabs>
          <w:tab w:val="clear" w:pos="0"/>
          <w:tab w:val="left" w:pos="-180"/>
        </w:tabs>
        <w:spacing w:before="0"/>
        <w:ind w:hanging="181"/>
      </w:pPr>
      <w:bookmarkStart w:id="203" w:name="_Toc177969172"/>
      <w:bookmarkStart w:id="204" w:name="_Toc180380671"/>
      <w:bookmarkStart w:id="205" w:name="_Toc158968208"/>
      <w:bookmarkStart w:id="206" w:name="_Hlk158017088"/>
      <w:r>
        <w:t xml:space="preserve">7. </w:t>
      </w:r>
      <w:r w:rsidR="001A236D" w:rsidRPr="000E1435">
        <w:t>Quality Assurance Requirements</w:t>
      </w:r>
      <w:bookmarkEnd w:id="203"/>
      <w:bookmarkEnd w:id="204"/>
      <w:bookmarkEnd w:id="205"/>
      <w:r w:rsidR="001A236D" w:rsidRPr="000E1435">
        <w:t xml:space="preserve"> </w:t>
      </w:r>
      <w:bookmarkEnd w:id="206"/>
      <w:r w:rsidR="001A236D" w:rsidRPr="000E1435">
        <w:tab/>
      </w:r>
    </w:p>
    <w:p w14:paraId="1901F0C0" w14:textId="20D8D9E4" w:rsidR="007F633E" w:rsidRPr="00DF5E5B" w:rsidRDefault="00DF5E5B" w:rsidP="00C2167B">
      <w:pPr>
        <w:ind w:left="-180"/>
        <w:rPr>
          <w:rFonts w:cs="Arial"/>
          <w:color w:val="000000" w:themeColor="text1"/>
        </w:rPr>
      </w:pPr>
      <w:r w:rsidRPr="00DF5E5B">
        <w:rPr>
          <w:color w:val="000000" w:themeColor="text1"/>
        </w:rPr>
        <w:t>Not applicable</w:t>
      </w:r>
      <w:r>
        <w:rPr>
          <w:color w:val="000000" w:themeColor="text1"/>
        </w:rPr>
        <w:t>.</w:t>
      </w:r>
    </w:p>
    <w:p w14:paraId="689B7078" w14:textId="391C0CE6" w:rsidR="008E61CF" w:rsidRPr="00DF5E5B" w:rsidRDefault="001A236D" w:rsidP="00416B3F">
      <w:pPr>
        <w:tabs>
          <w:tab w:val="left" w:pos="-180"/>
        </w:tabs>
        <w:ind w:hanging="180"/>
        <w:jc w:val="both"/>
        <w:rPr>
          <w:b/>
          <w:color w:val="000000" w:themeColor="text1"/>
          <w:sz w:val="28"/>
        </w:rPr>
      </w:pPr>
      <w:r w:rsidRPr="00DF5E5B">
        <w:rPr>
          <w:color w:val="000000" w:themeColor="text1"/>
        </w:rPr>
        <w:t xml:space="preserve"> </w:t>
      </w:r>
    </w:p>
    <w:p w14:paraId="4358D627" w14:textId="53EDE5F3" w:rsidR="00021DCA" w:rsidRDefault="000F2E21" w:rsidP="000F2E21">
      <w:pPr>
        <w:pStyle w:val="Heading2"/>
        <w:ind w:left="-180"/>
      </w:pPr>
      <w:bookmarkStart w:id="207" w:name="_Toc158968209"/>
      <w:r>
        <w:t xml:space="preserve">8. </w:t>
      </w:r>
      <w:r w:rsidR="006F21BC">
        <w:t>Other Requirements</w:t>
      </w:r>
      <w:bookmarkEnd w:id="207"/>
    </w:p>
    <w:p w14:paraId="48506362" w14:textId="77777777" w:rsidR="006F21BC" w:rsidRDefault="006F21BC" w:rsidP="006F21BC">
      <w:pPr>
        <w:ind w:left="-180"/>
        <w:rPr>
          <w:rFonts w:cs="Arial"/>
        </w:rPr>
      </w:pPr>
    </w:p>
    <w:p w14:paraId="4F0172A7" w14:textId="2CE075C5" w:rsidR="006F21BC" w:rsidRPr="006D72D3" w:rsidRDefault="003B029F" w:rsidP="003145E6">
      <w:pPr>
        <w:spacing w:after="120"/>
        <w:rPr>
          <w:rFonts w:cs="Arial"/>
          <w:b/>
        </w:rPr>
      </w:pPr>
      <w:r>
        <w:rPr>
          <w:rFonts w:cs="Arial"/>
          <w:b/>
        </w:rPr>
        <w:t xml:space="preserve">8.1 </w:t>
      </w:r>
      <w:r w:rsidR="006F21BC" w:rsidRPr="00F24769">
        <w:rPr>
          <w:rFonts w:cs="Arial"/>
          <w:b/>
        </w:rPr>
        <w:t>I</w:t>
      </w:r>
      <w:r w:rsidR="00151040">
        <w:rPr>
          <w:rFonts w:cs="Arial"/>
          <w:b/>
        </w:rPr>
        <w:t>nternal Audit Group (IAG) Security Schedule</w:t>
      </w:r>
    </w:p>
    <w:p w14:paraId="3468C63D" w14:textId="77777777" w:rsidR="00151040" w:rsidRPr="00242EDF" w:rsidRDefault="00151040" w:rsidP="00151040">
      <w:pPr>
        <w:spacing w:after="160" w:line="259" w:lineRule="auto"/>
        <w:rPr>
          <w:rFonts w:eastAsia="Calibri" w:cs="Arial"/>
          <w:szCs w:val="24"/>
        </w:rPr>
      </w:pPr>
      <w:r w:rsidRPr="00242EDF">
        <w:rPr>
          <w:rFonts w:eastAsia="Calibri" w:cs="Arial"/>
          <w:szCs w:val="24"/>
        </w:rPr>
        <w:t xml:space="preserve">Where the </w:t>
      </w:r>
      <w:r>
        <w:rPr>
          <w:rFonts w:eastAsia="Calibri" w:cs="Arial"/>
          <w:szCs w:val="24"/>
        </w:rPr>
        <w:t>s</w:t>
      </w:r>
      <w:r w:rsidRPr="00242EDF">
        <w:rPr>
          <w:rFonts w:eastAsia="Calibri" w:cs="Arial"/>
          <w:szCs w:val="24"/>
        </w:rPr>
        <w:t>upplier processes Government data, including but not limited</w:t>
      </w:r>
      <w:r>
        <w:rPr>
          <w:rFonts w:eastAsia="Calibri" w:cs="Arial"/>
          <w:szCs w:val="24"/>
        </w:rPr>
        <w:t xml:space="preserve"> to</w:t>
      </w:r>
      <w:r w:rsidRPr="00242EDF">
        <w:rPr>
          <w:rFonts w:eastAsia="Calibri" w:cs="Arial"/>
          <w:szCs w:val="24"/>
        </w:rPr>
        <w:t xml:space="preserve">, </w:t>
      </w:r>
      <w:r>
        <w:rPr>
          <w:rFonts w:eastAsia="Calibri" w:cs="Arial"/>
          <w:szCs w:val="24"/>
        </w:rPr>
        <w:t>p</w:t>
      </w:r>
      <w:r w:rsidRPr="00242EDF">
        <w:rPr>
          <w:rFonts w:eastAsia="Calibri" w:cs="Arial"/>
          <w:szCs w:val="24"/>
        </w:rPr>
        <w:t xml:space="preserve">ersonal </w:t>
      </w:r>
      <w:r>
        <w:rPr>
          <w:rFonts w:eastAsia="Calibri" w:cs="Arial"/>
          <w:szCs w:val="24"/>
        </w:rPr>
        <w:t>d</w:t>
      </w:r>
      <w:r w:rsidRPr="00242EDF">
        <w:rPr>
          <w:rFonts w:eastAsia="Calibri" w:cs="Arial"/>
          <w:szCs w:val="24"/>
        </w:rPr>
        <w:t>ata on behalf of the DVLA the following requirements shall apply, unless otherwise specified or agreed in writing.</w:t>
      </w:r>
    </w:p>
    <w:p w14:paraId="3289ED0D" w14:textId="77777777" w:rsidR="00151040" w:rsidRDefault="00151040" w:rsidP="00151040">
      <w:pPr>
        <w:ind w:left="-180"/>
        <w:rPr>
          <w:rFonts w:cs="Arial"/>
        </w:rPr>
      </w:pPr>
    </w:p>
    <w:p w14:paraId="7057CBDC" w14:textId="77777777" w:rsidR="00151040" w:rsidRPr="00B43FEF" w:rsidRDefault="00151040" w:rsidP="00151040">
      <w:pPr>
        <w:spacing w:after="120"/>
        <w:ind w:firstLine="360"/>
        <w:rPr>
          <w:rFonts w:cs="Arial"/>
          <w:b/>
          <w:u w:val="single"/>
        </w:rPr>
      </w:pPr>
      <w:r w:rsidRPr="00B43FEF">
        <w:rPr>
          <w:rFonts w:cs="Arial"/>
          <w:b/>
          <w:u w:val="single"/>
        </w:rPr>
        <w:t>Assurance and Audit</w:t>
      </w:r>
    </w:p>
    <w:p w14:paraId="7334A357" w14:textId="77777777" w:rsidR="00151040" w:rsidRPr="00B43FEF" w:rsidRDefault="00151040" w:rsidP="00151040">
      <w:pPr>
        <w:pStyle w:val="ListParagraph"/>
        <w:numPr>
          <w:ilvl w:val="0"/>
          <w:numId w:val="25"/>
        </w:numPr>
        <w:rPr>
          <w:rFonts w:ascii="Arial" w:hAnsi="Arial" w:cs="Arial"/>
          <w:b/>
          <w:bCs/>
          <w:sz w:val="24"/>
          <w:szCs w:val="24"/>
        </w:rPr>
      </w:pPr>
      <w:r w:rsidRPr="00B43FEF">
        <w:rPr>
          <w:rFonts w:ascii="Arial" w:hAnsi="Arial" w:cs="Arial"/>
          <w:b/>
          <w:bCs/>
          <w:sz w:val="24"/>
          <w:szCs w:val="24"/>
        </w:rPr>
        <w:t xml:space="preserve">Statement of Assurance </w:t>
      </w:r>
    </w:p>
    <w:p w14:paraId="456B3A84" w14:textId="77777777" w:rsidR="00151040" w:rsidRPr="00B43FEF" w:rsidRDefault="00151040" w:rsidP="00151040">
      <w:pPr>
        <w:ind w:left="720"/>
        <w:rPr>
          <w:rFonts w:cs="Arial"/>
        </w:rPr>
      </w:pPr>
      <w:r w:rsidRPr="00B43FEF">
        <w:rPr>
          <w:rFonts w:cs="Arial"/>
        </w:rPr>
        <w:t>This contract will require the Supplier to process government data on DVLA’s behalf. The successful tenderer will be required to complete a Statement of Assurance Questionnaire (</w:t>
      </w:r>
      <w:proofErr w:type="spellStart"/>
      <w:r w:rsidRPr="00B43FEF">
        <w:rPr>
          <w:rFonts w:cs="Arial"/>
        </w:rPr>
        <w:t>SoAQ</w:t>
      </w:r>
      <w:proofErr w:type="spellEnd"/>
      <w:r w:rsidRPr="00B43FEF">
        <w:rPr>
          <w:rFonts w:cs="Arial"/>
        </w:rPr>
        <w:t xml:space="preserve">) </w:t>
      </w:r>
      <w:r w:rsidRPr="00B43FEF">
        <w:rPr>
          <w:rFonts w:cs="Arial"/>
          <w:iCs/>
        </w:rPr>
        <w:t>prior to formal contract award and before any processing of data commences in relation to this contract,</w:t>
      </w:r>
      <w:r w:rsidRPr="00B43FEF">
        <w:rPr>
          <w:rFonts w:cs="Arial"/>
        </w:rPr>
        <w:t xml:space="preserve"> to satisfy DVLA that its data will be appropriately protected. The purpose of the questionnaire is to assess the maturity of policies, systems and controls associated with the handling of our data. </w:t>
      </w:r>
    </w:p>
    <w:p w14:paraId="3DB0A1CF" w14:textId="77777777" w:rsidR="00151040" w:rsidRPr="00B43FEF" w:rsidRDefault="00151040" w:rsidP="00151040">
      <w:pPr>
        <w:ind w:left="720"/>
        <w:rPr>
          <w:rFonts w:cs="Arial"/>
        </w:rPr>
      </w:pPr>
    </w:p>
    <w:p w14:paraId="3C3C6375" w14:textId="77777777" w:rsidR="00151040" w:rsidRPr="00B43FEF" w:rsidRDefault="00151040" w:rsidP="00151040">
      <w:pPr>
        <w:ind w:left="720"/>
        <w:rPr>
          <w:rFonts w:cs="Arial"/>
        </w:rPr>
      </w:pPr>
      <w:r w:rsidRPr="00B43FEF">
        <w:rPr>
          <w:rFonts w:cs="Arial"/>
        </w:rPr>
        <w:t xml:space="preserve">As part of this, the Supplier must confirm how DVLA data or information will be securely managed at each stage of the supply chain, including any sub-contractors, sub-processors or any other third parties.  </w:t>
      </w:r>
    </w:p>
    <w:p w14:paraId="73C05080" w14:textId="77777777" w:rsidR="00151040" w:rsidRPr="00B43FEF" w:rsidRDefault="00151040" w:rsidP="00151040">
      <w:pPr>
        <w:ind w:left="720"/>
        <w:rPr>
          <w:rFonts w:cs="Arial"/>
        </w:rPr>
      </w:pPr>
    </w:p>
    <w:p w14:paraId="33DD25E7" w14:textId="77777777" w:rsidR="00151040" w:rsidRDefault="00151040" w:rsidP="00151040">
      <w:pPr>
        <w:ind w:left="720"/>
        <w:rPr>
          <w:rFonts w:cs="Arial"/>
        </w:rPr>
      </w:pPr>
      <w:r w:rsidRPr="00B43FEF">
        <w:rPr>
          <w:rFonts w:cs="Arial"/>
        </w:rPr>
        <w:t>The questionnaire must be completed and returned prior to contract award, and annually thereafter, and will be assessed by our Information Assurance &amp; Governance team.  DVLA will work with the Supplier to address any information aspects requiring improvement.</w:t>
      </w:r>
    </w:p>
    <w:p w14:paraId="4603DBDF" w14:textId="77777777" w:rsidR="00151040" w:rsidRPr="002206D8" w:rsidRDefault="00151040" w:rsidP="00151040">
      <w:pPr>
        <w:ind w:left="360"/>
        <w:rPr>
          <w:rFonts w:cs="Arial"/>
        </w:rPr>
      </w:pPr>
    </w:p>
    <w:p w14:paraId="1D16C265" w14:textId="77777777" w:rsidR="00151040" w:rsidRPr="00706001" w:rsidRDefault="00151040" w:rsidP="00151040">
      <w:pPr>
        <w:ind w:left="360"/>
        <w:rPr>
          <w:rFonts w:cs="Arial"/>
          <w:b/>
          <w:u w:val="single"/>
        </w:rPr>
      </w:pPr>
      <w:r w:rsidRPr="00706001">
        <w:rPr>
          <w:rFonts w:cs="Arial"/>
          <w:b/>
          <w:u w:val="single"/>
        </w:rPr>
        <w:t xml:space="preserve">Certification </w:t>
      </w:r>
    </w:p>
    <w:p w14:paraId="0D2C6201" w14:textId="77777777" w:rsidR="00151040" w:rsidRPr="00B15117" w:rsidRDefault="00151040" w:rsidP="00151040">
      <w:pPr>
        <w:ind w:left="360"/>
        <w:rPr>
          <w:rFonts w:cs="Arial"/>
        </w:rPr>
      </w:pPr>
      <w:r w:rsidRPr="00706001">
        <w:rPr>
          <w:rFonts w:cs="Arial"/>
        </w:rPr>
        <w:t>The Supplier shall ensure they hold relevant certifications in the protection of personal data and/or evidencing the effectiveness of technical and organisational measures they have in place. These certifications must be maintained throughout the entirety of the contract, including any applicable extension periods. Evidence of valid certificates and corresponding documentation shall be provided upon request by the DVLA's representative or an agent acting on DVLA’s behalf.</w:t>
      </w:r>
    </w:p>
    <w:p w14:paraId="7AB87483" w14:textId="77777777" w:rsidR="00151040" w:rsidRDefault="00151040" w:rsidP="00151040">
      <w:pPr>
        <w:ind w:left="360"/>
        <w:rPr>
          <w:color w:val="0000FF"/>
          <w:u w:val="single"/>
        </w:rPr>
      </w:pPr>
    </w:p>
    <w:p w14:paraId="115AAF9E" w14:textId="77777777" w:rsidR="00151040" w:rsidRDefault="00151040" w:rsidP="00151040">
      <w:pPr>
        <w:ind w:left="360"/>
        <w:rPr>
          <w:color w:val="0000FF"/>
          <w:u w:val="single"/>
        </w:rPr>
      </w:pPr>
    </w:p>
    <w:p w14:paraId="5F0FF4C6" w14:textId="77777777" w:rsidR="00151040" w:rsidRPr="00706001" w:rsidRDefault="00151040" w:rsidP="00151040">
      <w:pPr>
        <w:ind w:left="360"/>
        <w:rPr>
          <w:color w:val="0000FF"/>
          <w:u w:val="single"/>
        </w:rPr>
      </w:pPr>
      <w:r w:rsidRPr="00706001">
        <w:rPr>
          <w:rFonts w:cs="Arial"/>
          <w:b/>
          <w:u w:val="single"/>
        </w:rPr>
        <w:t>Governance</w:t>
      </w:r>
      <w:r w:rsidRPr="00706001">
        <w:rPr>
          <w:color w:val="0000FF"/>
          <w:u w:val="single"/>
        </w:rPr>
        <w:t xml:space="preserve"> </w:t>
      </w:r>
    </w:p>
    <w:p w14:paraId="022E2880" w14:textId="77777777" w:rsidR="00151040" w:rsidRPr="00706001" w:rsidRDefault="00151040" w:rsidP="00151040">
      <w:pPr>
        <w:pStyle w:val="ListParagraph"/>
        <w:numPr>
          <w:ilvl w:val="0"/>
          <w:numId w:val="25"/>
        </w:numPr>
        <w:rPr>
          <w:rFonts w:ascii="Arial" w:hAnsi="Arial" w:cs="Arial"/>
          <w:b/>
          <w:bCs/>
          <w:sz w:val="24"/>
          <w:szCs w:val="24"/>
        </w:rPr>
      </w:pPr>
      <w:r w:rsidRPr="00706001">
        <w:rPr>
          <w:rFonts w:ascii="Arial" w:hAnsi="Arial" w:cs="Arial"/>
          <w:b/>
          <w:bCs/>
          <w:sz w:val="24"/>
          <w:szCs w:val="24"/>
        </w:rPr>
        <w:t>Organisational Structure</w:t>
      </w:r>
    </w:p>
    <w:p w14:paraId="3FD45E70" w14:textId="77777777" w:rsidR="00151040" w:rsidRPr="00706001" w:rsidRDefault="00151040" w:rsidP="00151040">
      <w:pPr>
        <w:ind w:left="720"/>
        <w:rPr>
          <w:rFonts w:cs="Arial"/>
        </w:rPr>
      </w:pPr>
      <w:r w:rsidRPr="00706001">
        <w:rPr>
          <w:rFonts w:cs="Arial"/>
        </w:rPr>
        <w:lastRenderedPageBreak/>
        <w:t>The Supplier shall have a senior individual responsible for DVLA assets within your custody.</w:t>
      </w:r>
    </w:p>
    <w:p w14:paraId="5137C169" w14:textId="77777777" w:rsidR="00151040" w:rsidRPr="00706001" w:rsidRDefault="00151040" w:rsidP="00151040">
      <w:pPr>
        <w:ind w:left="360"/>
        <w:rPr>
          <w:rFonts w:cs="Arial"/>
        </w:rPr>
      </w:pPr>
    </w:p>
    <w:p w14:paraId="6303B800" w14:textId="77777777" w:rsidR="00151040" w:rsidRPr="00706001" w:rsidRDefault="00151040" w:rsidP="00151040">
      <w:pPr>
        <w:pStyle w:val="ListParagraph"/>
        <w:numPr>
          <w:ilvl w:val="0"/>
          <w:numId w:val="25"/>
        </w:numPr>
        <w:rPr>
          <w:rFonts w:ascii="Arial" w:hAnsi="Arial" w:cs="Arial"/>
          <w:b/>
          <w:bCs/>
          <w:sz w:val="24"/>
          <w:szCs w:val="24"/>
        </w:rPr>
      </w:pPr>
      <w:r w:rsidRPr="00706001">
        <w:rPr>
          <w:rFonts w:ascii="Arial" w:hAnsi="Arial" w:cs="Arial"/>
          <w:b/>
          <w:bCs/>
          <w:sz w:val="24"/>
          <w:szCs w:val="24"/>
        </w:rPr>
        <w:t xml:space="preserve">Asset Management </w:t>
      </w:r>
    </w:p>
    <w:p w14:paraId="20B6D68E" w14:textId="77777777" w:rsidR="00151040" w:rsidRPr="00706001" w:rsidRDefault="00151040" w:rsidP="00151040">
      <w:pPr>
        <w:ind w:left="720"/>
        <w:rPr>
          <w:rFonts w:cs="Arial"/>
        </w:rPr>
      </w:pPr>
      <w:r w:rsidRPr="00706001">
        <w:rPr>
          <w:rFonts w:cs="Arial"/>
        </w:rPr>
        <w:t>The Supplier shall implement and maintain an asset register that identifies and records the value of sensitive DVLA assets which require protection. This includes both physical and information assets.  Risk assessments should be managed to ensure that the security of the asset is proportionate to the risk depending on value and sensitivity.</w:t>
      </w:r>
    </w:p>
    <w:p w14:paraId="2151D769" w14:textId="77777777" w:rsidR="00151040" w:rsidRPr="00706001" w:rsidRDefault="00151040" w:rsidP="00151040">
      <w:pPr>
        <w:ind w:left="360"/>
        <w:rPr>
          <w:rFonts w:cs="Arial"/>
        </w:rPr>
      </w:pPr>
    </w:p>
    <w:p w14:paraId="5BC1981B" w14:textId="77777777" w:rsidR="00151040" w:rsidRPr="00706001" w:rsidRDefault="00151040" w:rsidP="00151040">
      <w:pPr>
        <w:pStyle w:val="ListParagraph"/>
        <w:numPr>
          <w:ilvl w:val="0"/>
          <w:numId w:val="25"/>
        </w:numPr>
        <w:rPr>
          <w:rFonts w:ascii="Arial" w:hAnsi="Arial" w:cs="Arial"/>
          <w:b/>
          <w:bCs/>
          <w:sz w:val="24"/>
          <w:szCs w:val="24"/>
        </w:rPr>
      </w:pPr>
      <w:r w:rsidRPr="00706001">
        <w:rPr>
          <w:rFonts w:ascii="Arial" w:hAnsi="Arial" w:cs="Arial"/>
          <w:b/>
          <w:bCs/>
          <w:sz w:val="24"/>
          <w:szCs w:val="24"/>
        </w:rPr>
        <w:t>Policies</w:t>
      </w:r>
    </w:p>
    <w:p w14:paraId="2CF53028" w14:textId="77777777" w:rsidR="00151040" w:rsidRDefault="00151040" w:rsidP="00151040">
      <w:pPr>
        <w:ind w:left="720"/>
        <w:rPr>
          <w:rFonts w:cs="Arial"/>
        </w:rPr>
      </w:pPr>
      <w:r w:rsidRPr="00706001">
        <w:rPr>
          <w:rFonts w:cs="Arial"/>
        </w:rPr>
        <w:t>The Supplier shall establish, or indicate that they have in place, policies which detail how DVLA assets should be processed, handled, copied, stored, transmitted, destroyed and/or returned. These shall be regularly maintained.  The Supplier shall provide evidence of relevant policies upon request.</w:t>
      </w:r>
    </w:p>
    <w:p w14:paraId="55453B08" w14:textId="77777777" w:rsidR="00151040" w:rsidRDefault="00151040" w:rsidP="00151040">
      <w:pPr>
        <w:ind w:left="360"/>
        <w:rPr>
          <w:rFonts w:cs="Arial"/>
        </w:rPr>
      </w:pPr>
    </w:p>
    <w:p w14:paraId="5BF68D34" w14:textId="77777777" w:rsidR="00151040" w:rsidRPr="00706001" w:rsidRDefault="00151040" w:rsidP="00151040">
      <w:pPr>
        <w:pStyle w:val="ListParagraph"/>
        <w:numPr>
          <w:ilvl w:val="0"/>
          <w:numId w:val="25"/>
        </w:numPr>
        <w:rPr>
          <w:rFonts w:ascii="Arial" w:hAnsi="Arial" w:cs="Arial"/>
          <w:b/>
          <w:bCs/>
          <w:sz w:val="24"/>
          <w:szCs w:val="24"/>
        </w:rPr>
      </w:pPr>
      <w:r w:rsidRPr="00706001">
        <w:rPr>
          <w:rFonts w:ascii="Arial" w:hAnsi="Arial" w:cs="Arial"/>
          <w:b/>
          <w:bCs/>
          <w:sz w:val="24"/>
          <w:szCs w:val="24"/>
        </w:rPr>
        <w:t>Risk Assessment</w:t>
      </w:r>
      <w:r w:rsidRPr="00706001">
        <w:rPr>
          <w:rFonts w:ascii="Arial" w:hAnsi="Arial" w:cs="Arial"/>
          <w:b/>
          <w:bCs/>
          <w:color w:val="FF0000"/>
          <w:sz w:val="24"/>
          <w:szCs w:val="24"/>
        </w:rPr>
        <w:t xml:space="preserve"> </w:t>
      </w:r>
    </w:p>
    <w:p w14:paraId="1C93E1EE" w14:textId="77777777" w:rsidR="00151040" w:rsidRPr="00706001" w:rsidRDefault="00151040" w:rsidP="00151040">
      <w:pPr>
        <w:pStyle w:val="ListParagraph"/>
        <w:numPr>
          <w:ilvl w:val="0"/>
          <w:numId w:val="30"/>
        </w:numPr>
        <w:rPr>
          <w:rFonts w:ascii="Arial" w:hAnsi="Arial" w:cs="Arial"/>
          <w:b/>
          <w:sz w:val="24"/>
          <w:szCs w:val="24"/>
        </w:rPr>
      </w:pPr>
      <w:r w:rsidRPr="00706001">
        <w:rPr>
          <w:rFonts w:ascii="Arial" w:hAnsi="Arial" w:cs="Arial"/>
          <w:b/>
          <w:sz w:val="24"/>
          <w:szCs w:val="24"/>
        </w:rPr>
        <w:t>Technical</w:t>
      </w:r>
    </w:p>
    <w:p w14:paraId="704F195C" w14:textId="77777777" w:rsidR="00151040" w:rsidRPr="00706001" w:rsidRDefault="00151040" w:rsidP="00151040">
      <w:pPr>
        <w:ind w:left="720"/>
        <w:rPr>
          <w:rFonts w:cs="Arial"/>
        </w:rPr>
      </w:pPr>
      <w:r w:rsidRPr="00706001">
        <w:rPr>
          <w:rFonts w:cs="Arial"/>
        </w:rPr>
        <w:t>The Supplier shall perform a technical information risk assessment on the service/s supplied and be able to demonstrate what controls are in place to address any identified risks.</w:t>
      </w:r>
    </w:p>
    <w:p w14:paraId="258CDD94" w14:textId="77777777" w:rsidR="00151040" w:rsidRPr="00706001" w:rsidRDefault="00151040" w:rsidP="00151040">
      <w:pPr>
        <w:pStyle w:val="ListParagraph"/>
        <w:numPr>
          <w:ilvl w:val="0"/>
          <w:numId w:val="30"/>
        </w:numPr>
        <w:rPr>
          <w:rFonts w:ascii="Arial" w:hAnsi="Arial" w:cs="Arial"/>
          <w:b/>
          <w:sz w:val="24"/>
          <w:szCs w:val="24"/>
        </w:rPr>
      </w:pPr>
      <w:r w:rsidRPr="00706001">
        <w:rPr>
          <w:rFonts w:ascii="Arial" w:hAnsi="Arial" w:cs="Arial"/>
          <w:b/>
          <w:sz w:val="24"/>
          <w:szCs w:val="24"/>
        </w:rPr>
        <w:t>Security</w:t>
      </w:r>
    </w:p>
    <w:p w14:paraId="281D33AF" w14:textId="77777777" w:rsidR="00151040" w:rsidRPr="008D5DDA" w:rsidRDefault="00151040" w:rsidP="00151040">
      <w:pPr>
        <w:ind w:left="720"/>
        <w:rPr>
          <w:rFonts w:cs="Arial"/>
        </w:rPr>
      </w:pPr>
      <w:r w:rsidRPr="00706001">
        <w:rPr>
          <w:rFonts w:cs="Arial"/>
        </w:rPr>
        <w:t>The Supplier shall ensure an annual security risk assessment is performed at any sites used to process or store any DVLA data.  This assessment must include perimeter security, access controls, manned guarding, incoming mail and delivery screening, secure areas and/or cabinets for the storage of sensitive assets, and have a demonstrable regime in place for testing controls against operational requirements.</w:t>
      </w:r>
    </w:p>
    <w:p w14:paraId="03548DE7" w14:textId="77777777" w:rsidR="00151040" w:rsidRDefault="00151040" w:rsidP="00151040">
      <w:pPr>
        <w:ind w:left="360"/>
        <w:rPr>
          <w:rFonts w:cs="Arial"/>
        </w:rPr>
      </w:pPr>
    </w:p>
    <w:p w14:paraId="5DD49BC7" w14:textId="77777777" w:rsidR="00151040" w:rsidRPr="004D4EE6" w:rsidRDefault="00151040" w:rsidP="00151040">
      <w:pPr>
        <w:pStyle w:val="ListParagraph"/>
        <w:numPr>
          <w:ilvl w:val="0"/>
          <w:numId w:val="25"/>
        </w:numPr>
        <w:rPr>
          <w:rFonts w:ascii="Arial" w:hAnsi="Arial" w:cs="Arial"/>
          <w:b/>
          <w:bCs/>
          <w:sz w:val="24"/>
          <w:szCs w:val="24"/>
        </w:rPr>
      </w:pPr>
      <w:r w:rsidRPr="004D4EE6">
        <w:rPr>
          <w:rFonts w:ascii="Arial" w:hAnsi="Arial" w:cs="Arial"/>
          <w:b/>
          <w:bCs/>
          <w:sz w:val="24"/>
          <w:szCs w:val="24"/>
        </w:rPr>
        <w:t>Return of Data / Information to DVLA</w:t>
      </w:r>
      <w:r w:rsidRPr="004D4EE6">
        <w:rPr>
          <w:rFonts w:ascii="Arial" w:hAnsi="Arial" w:cs="Arial"/>
          <w:b/>
          <w:bCs/>
          <w:color w:val="FF0000"/>
          <w:sz w:val="24"/>
          <w:szCs w:val="24"/>
        </w:rPr>
        <w:t xml:space="preserve"> </w:t>
      </w:r>
    </w:p>
    <w:p w14:paraId="4068F85D" w14:textId="77777777" w:rsidR="00151040" w:rsidRDefault="00151040" w:rsidP="00151040">
      <w:pPr>
        <w:ind w:left="720"/>
        <w:rPr>
          <w:rFonts w:cs="Arial"/>
        </w:rPr>
      </w:pPr>
      <w:r w:rsidRPr="004D4EE6">
        <w:rPr>
          <w:rFonts w:cs="Arial"/>
        </w:rPr>
        <w:t>The Supplier must be able to demonstrate they can supply a copy of all data or information on request or at termination of the service.</w:t>
      </w:r>
    </w:p>
    <w:p w14:paraId="160CD4D0" w14:textId="77777777" w:rsidR="00151040" w:rsidRDefault="00151040" w:rsidP="00151040">
      <w:pPr>
        <w:pStyle w:val="ListParagraph"/>
        <w:rPr>
          <w:rFonts w:ascii="Arial" w:hAnsi="Arial" w:cs="Arial"/>
          <w:b/>
          <w:bCs/>
          <w:sz w:val="24"/>
          <w:szCs w:val="24"/>
        </w:rPr>
      </w:pPr>
    </w:p>
    <w:p w14:paraId="054CFEEA" w14:textId="77777777" w:rsidR="00151040" w:rsidRPr="004D4EE6" w:rsidRDefault="00151040" w:rsidP="00151040">
      <w:pPr>
        <w:pStyle w:val="ListParagraph"/>
        <w:numPr>
          <w:ilvl w:val="0"/>
          <w:numId w:val="25"/>
        </w:numPr>
        <w:rPr>
          <w:rFonts w:ascii="Arial" w:hAnsi="Arial" w:cs="Arial"/>
          <w:b/>
          <w:bCs/>
          <w:sz w:val="24"/>
          <w:szCs w:val="24"/>
        </w:rPr>
      </w:pPr>
      <w:r w:rsidRPr="004D4EE6">
        <w:rPr>
          <w:rFonts w:ascii="Arial" w:hAnsi="Arial" w:cs="Arial"/>
          <w:b/>
          <w:bCs/>
          <w:sz w:val="24"/>
          <w:szCs w:val="24"/>
        </w:rPr>
        <w:t>Destruction / Deletion of Data or Information</w:t>
      </w:r>
      <w:r w:rsidRPr="004D4EE6">
        <w:rPr>
          <w:rFonts w:ascii="Arial" w:hAnsi="Arial" w:cs="Arial"/>
          <w:b/>
          <w:bCs/>
          <w:color w:val="FF0000"/>
          <w:sz w:val="24"/>
          <w:szCs w:val="24"/>
        </w:rPr>
        <w:t xml:space="preserve"> </w:t>
      </w:r>
    </w:p>
    <w:p w14:paraId="75DC1831" w14:textId="77777777" w:rsidR="00151040" w:rsidRDefault="00151040" w:rsidP="00151040">
      <w:pPr>
        <w:ind w:left="720"/>
        <w:rPr>
          <w:rFonts w:eastAsia="Arial" w:cs="Arial"/>
          <w:szCs w:val="24"/>
        </w:rPr>
      </w:pPr>
      <w:r w:rsidRPr="004D4EE6">
        <w:rPr>
          <w:rFonts w:cs="Arial"/>
        </w:rPr>
        <w:t>The Supplier must be able to securely erase or destroy all DVLA-related data or information that it has been stored and processed for the service, upon DVLA request.</w:t>
      </w:r>
      <w:r w:rsidRPr="619C132E">
        <w:rPr>
          <w:rFonts w:eastAsia="Arial" w:cs="Arial"/>
          <w:szCs w:val="24"/>
        </w:rPr>
        <w:t xml:space="preserve"> </w:t>
      </w:r>
    </w:p>
    <w:p w14:paraId="1799110E" w14:textId="77777777" w:rsidR="00151040" w:rsidRDefault="00151040" w:rsidP="00151040">
      <w:pPr>
        <w:ind w:left="360"/>
        <w:rPr>
          <w:rFonts w:cs="Arial"/>
        </w:rPr>
      </w:pPr>
    </w:p>
    <w:p w14:paraId="6630064C" w14:textId="77777777" w:rsidR="00151040" w:rsidRPr="004D4EE6" w:rsidRDefault="00151040" w:rsidP="00151040">
      <w:pPr>
        <w:pStyle w:val="ListParagraph"/>
        <w:numPr>
          <w:ilvl w:val="0"/>
          <w:numId w:val="25"/>
        </w:numPr>
        <w:rPr>
          <w:rFonts w:ascii="Arial" w:hAnsi="Arial" w:cs="Arial"/>
          <w:b/>
          <w:bCs/>
          <w:sz w:val="24"/>
          <w:szCs w:val="24"/>
        </w:rPr>
      </w:pPr>
      <w:r w:rsidRPr="004D4EE6">
        <w:rPr>
          <w:rFonts w:ascii="Arial" w:hAnsi="Arial" w:cs="Arial"/>
          <w:b/>
          <w:bCs/>
          <w:sz w:val="24"/>
          <w:szCs w:val="24"/>
        </w:rPr>
        <w:t>Incident Management</w:t>
      </w:r>
      <w:r w:rsidRPr="004D4EE6">
        <w:rPr>
          <w:rFonts w:ascii="Arial" w:hAnsi="Arial" w:cs="Arial"/>
          <w:b/>
          <w:bCs/>
          <w:color w:val="FF0000"/>
          <w:sz w:val="24"/>
          <w:szCs w:val="24"/>
        </w:rPr>
        <w:t xml:space="preserve"> </w:t>
      </w:r>
    </w:p>
    <w:p w14:paraId="5B6E84FF" w14:textId="77777777" w:rsidR="00151040" w:rsidRPr="004D4EE6" w:rsidRDefault="00151040" w:rsidP="00151040">
      <w:pPr>
        <w:ind w:left="720"/>
        <w:rPr>
          <w:rFonts w:eastAsia="Arial" w:cs="Arial"/>
          <w:szCs w:val="24"/>
        </w:rPr>
      </w:pPr>
      <w:r w:rsidRPr="004D4EE6">
        <w:rPr>
          <w:rFonts w:eastAsia="Arial" w:cs="Arial"/>
          <w:szCs w:val="24"/>
        </w:rPr>
        <w:t>The Supplier shall have policies in place which set out how information security incidents, and personal data breaches or data loss events (including breaches to the confidentiality, integrity, availability, and resilience of data) should be managed and who it should be escalated to, including notifying the DVLA immediately, or in any case within 24 hours, of becoming aware of the incident/s and/or breach/es.</w:t>
      </w:r>
    </w:p>
    <w:p w14:paraId="39F1205A" w14:textId="77777777" w:rsidR="00151040" w:rsidRPr="004D4EE6" w:rsidRDefault="00151040" w:rsidP="00151040">
      <w:pPr>
        <w:ind w:left="360"/>
        <w:rPr>
          <w:rFonts w:eastAsia="Arial" w:cs="Arial"/>
          <w:szCs w:val="24"/>
        </w:rPr>
      </w:pPr>
    </w:p>
    <w:p w14:paraId="7272DDE1" w14:textId="77777777" w:rsidR="00151040" w:rsidRPr="004D4EE6" w:rsidRDefault="00151040" w:rsidP="00151040">
      <w:pPr>
        <w:ind w:left="360" w:firstLine="360"/>
        <w:rPr>
          <w:rFonts w:eastAsia="Arial" w:cs="Arial"/>
          <w:szCs w:val="24"/>
        </w:rPr>
      </w:pPr>
      <w:r w:rsidRPr="004D4EE6">
        <w:rPr>
          <w:rFonts w:eastAsia="Arial" w:cs="Arial"/>
          <w:szCs w:val="24"/>
        </w:rPr>
        <w:t>This policy shall also include:</w:t>
      </w:r>
    </w:p>
    <w:p w14:paraId="3BB701FD" w14:textId="77777777" w:rsidR="00151040" w:rsidRPr="004D4EE6" w:rsidRDefault="00151040" w:rsidP="00151040">
      <w:pPr>
        <w:pStyle w:val="ListParagraph"/>
        <w:numPr>
          <w:ilvl w:val="0"/>
          <w:numId w:val="29"/>
        </w:numPr>
        <w:rPr>
          <w:rFonts w:ascii="Arial" w:eastAsia="Arial" w:hAnsi="Arial" w:cs="Arial"/>
          <w:sz w:val="24"/>
          <w:szCs w:val="28"/>
        </w:rPr>
      </w:pPr>
      <w:r w:rsidRPr="004D4EE6">
        <w:rPr>
          <w:rFonts w:ascii="Arial" w:eastAsia="Arial" w:hAnsi="Arial" w:cs="Arial"/>
          <w:sz w:val="24"/>
          <w:szCs w:val="28"/>
        </w:rPr>
        <w:t>individual responsibilities for identifying and reporting security incidents and information security breaches;</w:t>
      </w:r>
    </w:p>
    <w:p w14:paraId="76D42D7C" w14:textId="77777777" w:rsidR="00151040" w:rsidRPr="004D4EE6" w:rsidRDefault="00151040" w:rsidP="00151040">
      <w:pPr>
        <w:pStyle w:val="ListParagraph"/>
        <w:numPr>
          <w:ilvl w:val="0"/>
          <w:numId w:val="29"/>
        </w:numPr>
        <w:rPr>
          <w:rFonts w:ascii="Arial" w:eastAsia="Arial" w:hAnsi="Arial" w:cs="Arial"/>
          <w:sz w:val="24"/>
          <w:szCs w:val="28"/>
        </w:rPr>
      </w:pPr>
      <w:r w:rsidRPr="004D4EE6">
        <w:rPr>
          <w:rFonts w:ascii="Arial" w:eastAsia="Arial" w:hAnsi="Arial" w:cs="Arial"/>
          <w:sz w:val="24"/>
          <w:szCs w:val="28"/>
        </w:rPr>
        <w:t xml:space="preserve">a reporting matrix including escalation points; </w:t>
      </w:r>
    </w:p>
    <w:p w14:paraId="44E1E170" w14:textId="77777777" w:rsidR="00151040" w:rsidRPr="004D4EE6" w:rsidRDefault="00151040" w:rsidP="00151040">
      <w:pPr>
        <w:pStyle w:val="ListParagraph"/>
        <w:numPr>
          <w:ilvl w:val="0"/>
          <w:numId w:val="29"/>
        </w:numPr>
        <w:rPr>
          <w:rFonts w:ascii="Arial" w:eastAsia="Arial" w:hAnsi="Arial" w:cs="Arial"/>
          <w:sz w:val="24"/>
          <w:szCs w:val="28"/>
        </w:rPr>
      </w:pPr>
      <w:r w:rsidRPr="004D4EE6">
        <w:rPr>
          <w:rFonts w:ascii="Arial" w:eastAsia="Arial" w:hAnsi="Arial" w:cs="Arial"/>
          <w:sz w:val="24"/>
          <w:szCs w:val="28"/>
        </w:rPr>
        <w:lastRenderedPageBreak/>
        <w:t>an up to date list of relevant internal and external contact points; and</w:t>
      </w:r>
    </w:p>
    <w:p w14:paraId="2892550A" w14:textId="02D1816A" w:rsidR="00151040" w:rsidRPr="004D4EE6" w:rsidRDefault="00151040" w:rsidP="00151040">
      <w:pPr>
        <w:pStyle w:val="ListParagraph"/>
        <w:numPr>
          <w:ilvl w:val="0"/>
          <w:numId w:val="29"/>
        </w:numPr>
        <w:rPr>
          <w:rFonts w:ascii="Arial" w:eastAsia="Arial" w:hAnsi="Arial" w:cs="Arial"/>
          <w:sz w:val="24"/>
          <w:szCs w:val="28"/>
        </w:rPr>
      </w:pPr>
      <w:r w:rsidRPr="004D4EE6">
        <w:rPr>
          <w:rFonts w:ascii="Arial" w:eastAsia="Arial" w:hAnsi="Arial" w:cs="Arial"/>
          <w:sz w:val="24"/>
          <w:szCs w:val="28"/>
        </w:rPr>
        <w:t>a timeline detailing at which point the policy should be implemented.</w:t>
      </w:r>
      <w:r w:rsidR="00AE3413">
        <w:rPr>
          <w:rFonts w:ascii="Arial" w:eastAsia="Arial" w:hAnsi="Arial" w:cs="Arial"/>
          <w:sz w:val="24"/>
          <w:szCs w:val="28"/>
        </w:rPr>
        <w:t xml:space="preserve"> </w:t>
      </w:r>
    </w:p>
    <w:p w14:paraId="10D521D3" w14:textId="77777777" w:rsidR="00151040" w:rsidRDefault="00151040" w:rsidP="00151040">
      <w:pPr>
        <w:rPr>
          <w:color w:val="0000FF"/>
          <w:u w:val="single"/>
        </w:rPr>
      </w:pPr>
    </w:p>
    <w:p w14:paraId="5B7F502D" w14:textId="77777777" w:rsidR="00151040" w:rsidRPr="00674E19" w:rsidRDefault="00151040" w:rsidP="00151040">
      <w:pPr>
        <w:ind w:left="360"/>
        <w:rPr>
          <w:rFonts w:cs="Arial"/>
          <w:b/>
          <w:u w:val="single"/>
        </w:rPr>
      </w:pPr>
      <w:r w:rsidRPr="004D4EE6">
        <w:rPr>
          <w:rFonts w:cs="Arial"/>
          <w:b/>
          <w:u w:val="single"/>
        </w:rPr>
        <w:t>Personal Data</w:t>
      </w:r>
      <w:r>
        <w:rPr>
          <w:rFonts w:cs="Arial"/>
          <w:b/>
          <w:u w:val="single"/>
        </w:rPr>
        <w:t xml:space="preserve"> </w:t>
      </w:r>
    </w:p>
    <w:p w14:paraId="3E33B4DA" w14:textId="77777777" w:rsidR="00151040" w:rsidRDefault="00151040" w:rsidP="00151040">
      <w:pPr>
        <w:rPr>
          <w:color w:val="0000FF"/>
          <w:u w:val="single"/>
        </w:rPr>
      </w:pPr>
    </w:p>
    <w:p w14:paraId="60ADD540" w14:textId="77777777" w:rsidR="00151040" w:rsidRPr="00706001" w:rsidRDefault="00151040" w:rsidP="00151040">
      <w:pPr>
        <w:pStyle w:val="ListParagraph"/>
        <w:numPr>
          <w:ilvl w:val="0"/>
          <w:numId w:val="25"/>
        </w:numPr>
        <w:rPr>
          <w:rFonts w:ascii="Arial" w:hAnsi="Arial" w:cs="Arial"/>
          <w:b/>
          <w:bCs/>
          <w:sz w:val="24"/>
          <w:szCs w:val="24"/>
        </w:rPr>
      </w:pPr>
      <w:r w:rsidRPr="00706001">
        <w:rPr>
          <w:rFonts w:ascii="Arial" w:hAnsi="Arial" w:cs="Arial"/>
          <w:b/>
          <w:bCs/>
          <w:sz w:val="24"/>
          <w:szCs w:val="24"/>
        </w:rPr>
        <w:t>Processing Personal Data</w:t>
      </w:r>
    </w:p>
    <w:p w14:paraId="07DAF216" w14:textId="77777777" w:rsidR="00151040" w:rsidRDefault="00151040" w:rsidP="00151040">
      <w:pPr>
        <w:ind w:left="720"/>
        <w:rPr>
          <w:rFonts w:cs="Arial"/>
          <w:iCs/>
        </w:rPr>
      </w:pPr>
      <w:r w:rsidRPr="00706001">
        <w:rPr>
          <w:rFonts w:cs="Arial"/>
          <w:iCs/>
        </w:rPr>
        <w:t xml:space="preserve">The </w:t>
      </w:r>
      <w:r w:rsidRPr="00706001">
        <w:rPr>
          <w:rFonts w:cs="Arial"/>
        </w:rPr>
        <w:t>Supplier as part of the contract</w:t>
      </w:r>
      <w:r w:rsidRPr="00706001">
        <w:rPr>
          <w:rFonts w:cs="Arial"/>
          <w:iCs/>
        </w:rPr>
        <w:t xml:space="preserve"> agrees to comply with all applicable UK law relating to the processing of personal data and privacy, including but not limited to the UK GDPR and the Data Protection Act 2018, and the EU GDPR where applicable to the processing.</w:t>
      </w:r>
    </w:p>
    <w:p w14:paraId="7585F6CD" w14:textId="77777777" w:rsidR="00151040" w:rsidRDefault="00151040" w:rsidP="00151040">
      <w:pPr>
        <w:rPr>
          <w:color w:val="0000FF"/>
          <w:u w:val="single"/>
        </w:rPr>
      </w:pPr>
    </w:p>
    <w:p w14:paraId="2F5A1B3F" w14:textId="77777777" w:rsidR="00151040" w:rsidRDefault="00151040" w:rsidP="00151040">
      <w:pPr>
        <w:autoSpaceDE w:val="0"/>
        <w:autoSpaceDN w:val="0"/>
        <w:adjustRightInd w:val="0"/>
        <w:rPr>
          <w:rFonts w:cs="Arial"/>
        </w:rPr>
      </w:pPr>
    </w:p>
    <w:p w14:paraId="2ED414A2" w14:textId="77777777" w:rsidR="00151040" w:rsidRPr="00B43FEF" w:rsidRDefault="00151040" w:rsidP="00151040">
      <w:pPr>
        <w:pStyle w:val="ListParagraph"/>
        <w:numPr>
          <w:ilvl w:val="0"/>
          <w:numId w:val="25"/>
        </w:numPr>
        <w:rPr>
          <w:rFonts w:ascii="Arial" w:hAnsi="Arial" w:cs="Arial"/>
          <w:b/>
          <w:bCs/>
          <w:sz w:val="24"/>
          <w:szCs w:val="24"/>
        </w:rPr>
      </w:pPr>
      <w:r w:rsidRPr="00B43FEF">
        <w:rPr>
          <w:rFonts w:ascii="Arial" w:hAnsi="Arial" w:cs="Arial"/>
          <w:b/>
          <w:bCs/>
          <w:sz w:val="24"/>
          <w:szCs w:val="24"/>
        </w:rPr>
        <w:t>International Transfers (Offshoring) of Government Data</w:t>
      </w:r>
    </w:p>
    <w:p w14:paraId="19284F0A" w14:textId="77777777" w:rsidR="00151040" w:rsidRPr="00B43FEF" w:rsidRDefault="00151040" w:rsidP="00151040">
      <w:pPr>
        <w:pStyle w:val="ListParagraph"/>
        <w:rPr>
          <w:rFonts w:ascii="Arial" w:hAnsi="Arial" w:cs="Arial"/>
          <w:sz w:val="24"/>
          <w:szCs w:val="24"/>
        </w:rPr>
      </w:pPr>
      <w:r w:rsidRPr="00B43FEF">
        <w:rPr>
          <w:rFonts w:ascii="Arial" w:hAnsi="Arial" w:cs="Arial"/>
          <w:sz w:val="24"/>
          <w:szCs w:val="24"/>
        </w:rPr>
        <w:t>When international transfers or offshoring is described, the focus is typically on the physical location where data is hosted (such as where the data centres are located).  However, whilst physical location of data is a critical part of the offshoring question, it is important to understand how and where data might be logically accessed. Administrators or technical support staff may be located anywhere in the world, with logical access to data.</w:t>
      </w:r>
    </w:p>
    <w:p w14:paraId="3A6CF159" w14:textId="77777777" w:rsidR="00151040" w:rsidRPr="00B43FEF" w:rsidRDefault="00151040" w:rsidP="00151040">
      <w:pPr>
        <w:pStyle w:val="ListParagraph"/>
        <w:ind w:left="360"/>
        <w:rPr>
          <w:rFonts w:ascii="Arial" w:hAnsi="Arial" w:cs="Arial"/>
          <w:sz w:val="24"/>
          <w:szCs w:val="24"/>
        </w:rPr>
      </w:pPr>
    </w:p>
    <w:p w14:paraId="0073BE73" w14:textId="77777777" w:rsidR="00151040" w:rsidRPr="00B43FEF" w:rsidRDefault="00151040" w:rsidP="00151040">
      <w:pPr>
        <w:pStyle w:val="ListParagraph"/>
        <w:rPr>
          <w:rFonts w:ascii="Arial" w:hAnsi="Arial" w:cs="Arial"/>
          <w:sz w:val="24"/>
          <w:szCs w:val="24"/>
        </w:rPr>
      </w:pPr>
      <w:r w:rsidRPr="00B43FEF">
        <w:rPr>
          <w:rFonts w:ascii="Arial" w:hAnsi="Arial" w:cs="Arial"/>
          <w:sz w:val="24"/>
          <w:szCs w:val="24"/>
        </w:rPr>
        <w:t>The Supplier (and any of its third party sub-contractors, sub-processors or suppliers) shall not, transfer, store, process, access or view DVLA data outside of the UK without the prior written approval of DVLA, which may be subject to conditions.  Any changes to offshoring arrangements must also be approved by DVLA.</w:t>
      </w:r>
    </w:p>
    <w:p w14:paraId="735DF074" w14:textId="77777777" w:rsidR="00151040" w:rsidRPr="00B43FEF" w:rsidRDefault="00151040" w:rsidP="00151040">
      <w:pPr>
        <w:pStyle w:val="ListParagraph"/>
        <w:ind w:left="360"/>
        <w:rPr>
          <w:rFonts w:ascii="Arial" w:hAnsi="Arial" w:cs="Arial"/>
          <w:sz w:val="24"/>
          <w:szCs w:val="24"/>
        </w:rPr>
      </w:pPr>
    </w:p>
    <w:p w14:paraId="75DE988F" w14:textId="77777777" w:rsidR="00151040" w:rsidRPr="00B43FEF" w:rsidRDefault="00151040" w:rsidP="00151040">
      <w:pPr>
        <w:pStyle w:val="ListParagraph"/>
        <w:rPr>
          <w:rFonts w:ascii="Arial" w:hAnsi="Arial" w:cs="Arial"/>
          <w:sz w:val="24"/>
          <w:szCs w:val="24"/>
        </w:rPr>
      </w:pPr>
      <w:r w:rsidRPr="00B43FEF">
        <w:rPr>
          <w:rFonts w:ascii="Arial" w:hAnsi="Arial" w:cs="Arial"/>
          <w:sz w:val="24"/>
          <w:szCs w:val="24"/>
        </w:rPr>
        <w:t>Any request to offshore DVLA data must receive formal approval from DVLA prior to the commencement of any data processing activity. This is requested through the completion of DVLA’s offshoring questionnaire.</w:t>
      </w:r>
    </w:p>
    <w:p w14:paraId="778FAC71" w14:textId="77777777" w:rsidR="00151040" w:rsidRPr="00B43FEF" w:rsidRDefault="00151040" w:rsidP="00151040">
      <w:pPr>
        <w:pStyle w:val="ListParagraph"/>
        <w:ind w:left="360"/>
        <w:rPr>
          <w:rFonts w:ascii="Arial" w:hAnsi="Arial" w:cs="Arial"/>
          <w:sz w:val="24"/>
          <w:szCs w:val="24"/>
        </w:rPr>
      </w:pPr>
    </w:p>
    <w:p w14:paraId="5DD76D0D" w14:textId="77777777" w:rsidR="00151040" w:rsidRPr="00B43FEF" w:rsidRDefault="00151040" w:rsidP="00151040">
      <w:pPr>
        <w:pStyle w:val="ListParagraph"/>
        <w:spacing w:after="120"/>
        <w:rPr>
          <w:rFonts w:ascii="Arial" w:hAnsi="Arial" w:cs="Arial"/>
          <w:sz w:val="24"/>
          <w:szCs w:val="24"/>
        </w:rPr>
      </w:pPr>
      <w:r w:rsidRPr="00B43FEF">
        <w:rPr>
          <w:rFonts w:ascii="Arial" w:hAnsi="Arial" w:cs="Arial"/>
          <w:sz w:val="24"/>
          <w:szCs w:val="24"/>
        </w:rPr>
        <w:t>In the event that the supplier proposes to offshore any DVLA data as part of the contract, they would be required to provide details in the offshoring questionnaire about the processing to be carried out offshore, including:</w:t>
      </w:r>
    </w:p>
    <w:p w14:paraId="2C7F6B42" w14:textId="77777777" w:rsidR="00151040" w:rsidRPr="00B43FEF" w:rsidRDefault="00151040" w:rsidP="00151040">
      <w:pPr>
        <w:pStyle w:val="ListParagraph"/>
        <w:numPr>
          <w:ilvl w:val="0"/>
          <w:numId w:val="27"/>
        </w:numPr>
        <w:rPr>
          <w:rFonts w:ascii="Arial" w:hAnsi="Arial" w:cs="Arial"/>
          <w:sz w:val="24"/>
          <w:szCs w:val="24"/>
        </w:rPr>
      </w:pPr>
      <w:r w:rsidRPr="00B43FEF">
        <w:rPr>
          <w:rFonts w:ascii="Arial" w:hAnsi="Arial" w:cs="Arial"/>
          <w:sz w:val="24"/>
          <w:szCs w:val="24"/>
        </w:rPr>
        <w:t xml:space="preserve">the privacy risks and the security controls in place to protect the data; </w:t>
      </w:r>
    </w:p>
    <w:p w14:paraId="2F428D28" w14:textId="77777777" w:rsidR="00151040" w:rsidRPr="00B43FEF" w:rsidRDefault="00151040" w:rsidP="00151040">
      <w:pPr>
        <w:pStyle w:val="ListParagraph"/>
        <w:numPr>
          <w:ilvl w:val="0"/>
          <w:numId w:val="27"/>
        </w:numPr>
        <w:rPr>
          <w:rFonts w:ascii="Arial" w:hAnsi="Arial" w:cs="Arial"/>
          <w:sz w:val="24"/>
          <w:szCs w:val="24"/>
        </w:rPr>
      </w:pPr>
      <w:r w:rsidRPr="00B43FEF">
        <w:rPr>
          <w:rFonts w:ascii="Arial" w:hAnsi="Arial" w:cs="Arial"/>
          <w:sz w:val="24"/>
          <w:szCs w:val="24"/>
        </w:rPr>
        <w:t xml:space="preserve">how the offshoring arrangement is legitimised to comply with relevant data protection legislation (e.g. adequacy decision, appropriate safeguards, Standard Contractual Clauses/International Data Transfer Agreements); and </w:t>
      </w:r>
    </w:p>
    <w:p w14:paraId="272E0AA1" w14:textId="77777777" w:rsidR="00151040" w:rsidRPr="00B43FEF" w:rsidRDefault="00151040" w:rsidP="00151040">
      <w:pPr>
        <w:pStyle w:val="ListParagraph"/>
        <w:numPr>
          <w:ilvl w:val="0"/>
          <w:numId w:val="27"/>
        </w:numPr>
        <w:rPr>
          <w:rFonts w:ascii="Arial" w:hAnsi="Arial" w:cs="Arial"/>
          <w:sz w:val="24"/>
          <w:szCs w:val="24"/>
        </w:rPr>
      </w:pPr>
      <w:r w:rsidRPr="00B43FEF">
        <w:rPr>
          <w:rFonts w:ascii="Arial" w:hAnsi="Arial" w:cs="Arial"/>
          <w:sz w:val="24"/>
          <w:szCs w:val="24"/>
        </w:rPr>
        <w:t>where applicable details of any transfer risk assessment that has been conducted, along with any supplementary measures implemented.</w:t>
      </w:r>
    </w:p>
    <w:p w14:paraId="2C5A86D3" w14:textId="77777777" w:rsidR="00151040" w:rsidRDefault="00151040" w:rsidP="00151040">
      <w:pPr>
        <w:rPr>
          <w:color w:val="0000FF"/>
          <w:u w:val="single"/>
        </w:rPr>
      </w:pPr>
    </w:p>
    <w:p w14:paraId="27F3194E" w14:textId="77777777" w:rsidR="00151040" w:rsidRPr="004D4EE6" w:rsidRDefault="00151040" w:rsidP="00151040">
      <w:pPr>
        <w:ind w:firstLine="360"/>
        <w:rPr>
          <w:rFonts w:cs="Arial"/>
          <w:b/>
          <w:u w:val="single"/>
        </w:rPr>
      </w:pPr>
      <w:r w:rsidRPr="004D4EE6">
        <w:rPr>
          <w:rFonts w:cs="Arial"/>
          <w:b/>
          <w:u w:val="single"/>
        </w:rPr>
        <w:t xml:space="preserve">Personnel </w:t>
      </w:r>
    </w:p>
    <w:p w14:paraId="341E9835" w14:textId="77777777" w:rsidR="00151040" w:rsidRPr="004D4EE6" w:rsidRDefault="00151040" w:rsidP="00151040">
      <w:pPr>
        <w:rPr>
          <w:color w:val="0000FF"/>
          <w:u w:val="single"/>
        </w:rPr>
      </w:pPr>
    </w:p>
    <w:p w14:paraId="14C1FF0D" w14:textId="77777777" w:rsidR="00151040" w:rsidRPr="004D4EE6" w:rsidRDefault="00151040" w:rsidP="00151040">
      <w:pPr>
        <w:pStyle w:val="ListParagraph"/>
        <w:numPr>
          <w:ilvl w:val="0"/>
          <w:numId w:val="25"/>
        </w:numPr>
        <w:rPr>
          <w:rFonts w:ascii="Arial" w:hAnsi="Arial" w:cs="Arial"/>
          <w:b/>
          <w:bCs/>
          <w:sz w:val="24"/>
          <w:szCs w:val="24"/>
        </w:rPr>
      </w:pPr>
      <w:r w:rsidRPr="004D4EE6">
        <w:rPr>
          <w:rFonts w:ascii="Arial" w:hAnsi="Arial" w:cs="Arial"/>
          <w:b/>
          <w:bCs/>
          <w:sz w:val="24"/>
          <w:szCs w:val="24"/>
        </w:rPr>
        <w:t xml:space="preserve">Security Clearance </w:t>
      </w:r>
    </w:p>
    <w:p w14:paraId="7162485F" w14:textId="77777777" w:rsidR="00151040" w:rsidRPr="004D4EE6" w:rsidRDefault="00151040" w:rsidP="00151040">
      <w:pPr>
        <w:rPr>
          <w:rFonts w:cs="Arial"/>
          <w:b/>
        </w:rPr>
      </w:pPr>
    </w:p>
    <w:p w14:paraId="627F5C9F" w14:textId="77777777" w:rsidR="00151040" w:rsidRPr="004D4EE6" w:rsidRDefault="00151040" w:rsidP="00151040">
      <w:pPr>
        <w:pStyle w:val="ListParagraph"/>
        <w:numPr>
          <w:ilvl w:val="0"/>
          <w:numId w:val="30"/>
        </w:numPr>
        <w:rPr>
          <w:rFonts w:ascii="Arial" w:hAnsi="Arial" w:cs="Arial"/>
          <w:sz w:val="24"/>
          <w:szCs w:val="24"/>
        </w:rPr>
      </w:pPr>
      <w:r w:rsidRPr="004D4EE6">
        <w:rPr>
          <w:rFonts w:ascii="Arial" w:hAnsi="Arial" w:cs="Arial"/>
          <w:b/>
          <w:sz w:val="24"/>
          <w:szCs w:val="24"/>
        </w:rPr>
        <w:t xml:space="preserve">Level 1 </w:t>
      </w:r>
    </w:p>
    <w:p w14:paraId="4B112032" w14:textId="77777777" w:rsidR="00151040" w:rsidRPr="002A67E8" w:rsidRDefault="00151040" w:rsidP="00151040">
      <w:pPr>
        <w:ind w:left="1080"/>
        <w:rPr>
          <w:rFonts w:cs="Arial"/>
          <w:b/>
        </w:rPr>
      </w:pPr>
      <w:r w:rsidRPr="004D4EE6">
        <w:rPr>
          <w:rFonts w:cs="Arial"/>
        </w:rPr>
        <w:t>The Supplier is required to acknowledge in their response that any supplier staff that will have access to the DVLA site for meetings and similar (but have no access to the DVLA systems), must be supervised at all times by DVLA staff.</w:t>
      </w:r>
    </w:p>
    <w:p w14:paraId="6B0CEF3C" w14:textId="77777777" w:rsidR="00151040" w:rsidRDefault="00151040" w:rsidP="00151040">
      <w:pPr>
        <w:rPr>
          <w:color w:val="0000FF"/>
          <w:u w:val="single"/>
        </w:rPr>
      </w:pPr>
    </w:p>
    <w:p w14:paraId="6A42BF2A" w14:textId="77777777" w:rsidR="00151040" w:rsidRPr="004D4EE6" w:rsidRDefault="00151040" w:rsidP="00151040">
      <w:pPr>
        <w:ind w:left="360"/>
        <w:rPr>
          <w:rFonts w:cs="Arial"/>
          <w:b/>
          <w:bCs/>
          <w:u w:val="single"/>
        </w:rPr>
      </w:pPr>
      <w:r w:rsidRPr="004D4EE6">
        <w:rPr>
          <w:rFonts w:cs="Arial"/>
          <w:b/>
          <w:bCs/>
          <w:u w:val="single"/>
        </w:rPr>
        <w:t xml:space="preserve">Data Sharing </w:t>
      </w:r>
    </w:p>
    <w:p w14:paraId="1DAC9D87" w14:textId="77777777" w:rsidR="00151040" w:rsidRPr="004D4EE6" w:rsidRDefault="00151040" w:rsidP="00151040">
      <w:pPr>
        <w:ind w:left="360"/>
        <w:rPr>
          <w:rFonts w:cs="Arial"/>
        </w:rPr>
      </w:pPr>
      <w:r w:rsidRPr="004D4EE6">
        <w:rPr>
          <w:rFonts w:cs="Arial"/>
        </w:rPr>
        <w:t xml:space="preserve">DVLA’s Contract Owner will work with the successful tenderer to implement any information sharing or data sharing procedures and associated DVLA requirements that may be needed at any point during the lifecycle of the contract.  </w:t>
      </w:r>
    </w:p>
    <w:p w14:paraId="022413C5" w14:textId="77777777" w:rsidR="00151040" w:rsidRPr="004D4EE6" w:rsidRDefault="00151040" w:rsidP="00151040">
      <w:pPr>
        <w:rPr>
          <w:rFonts w:cs="Arial"/>
          <w:sz w:val="22"/>
          <w:lang w:eastAsia="en-GB"/>
        </w:rPr>
      </w:pPr>
    </w:p>
    <w:p w14:paraId="3D172A3C" w14:textId="77777777" w:rsidR="00151040" w:rsidRPr="004D4EE6" w:rsidRDefault="00151040" w:rsidP="00151040">
      <w:pPr>
        <w:ind w:left="360"/>
        <w:rPr>
          <w:rFonts w:cs="Arial"/>
        </w:rPr>
      </w:pPr>
      <w:r w:rsidRPr="004D4EE6">
        <w:rPr>
          <w:rFonts w:cs="Arial"/>
        </w:rPr>
        <w:t xml:space="preserve">Information or data sharing procedures will need to be formally assessed and approved by DVLA through the Data Sharing Clearance Process, managed by the Information Assurance &amp; Governance Team.  </w:t>
      </w:r>
    </w:p>
    <w:p w14:paraId="3CBC0615" w14:textId="77777777" w:rsidR="00151040" w:rsidRPr="004D4EE6" w:rsidRDefault="00151040" w:rsidP="00151040">
      <w:pPr>
        <w:rPr>
          <w:rFonts w:cs="Arial"/>
        </w:rPr>
      </w:pPr>
    </w:p>
    <w:p w14:paraId="14422CA6" w14:textId="77777777" w:rsidR="00151040" w:rsidRPr="004D4EE6" w:rsidRDefault="00151040" w:rsidP="00151040">
      <w:pPr>
        <w:ind w:left="360"/>
        <w:rPr>
          <w:rFonts w:cs="Arial"/>
        </w:rPr>
      </w:pPr>
      <w:r w:rsidRPr="004D4EE6">
        <w:rPr>
          <w:rFonts w:cs="Arial"/>
        </w:rPr>
        <w:t xml:space="preserve">The Supplier will submit any requirements for information / data sharing via the Contract Owner to the DVLA who will consider the changes through this Data Sharing Clearance process.  Any proposals shall be considered and if approved an implementation plan will be formally offered to and accepted by both the DVLA and the Supplier before commencement. </w:t>
      </w:r>
    </w:p>
    <w:p w14:paraId="49B787B0" w14:textId="77777777" w:rsidR="00151040" w:rsidRPr="004D4EE6" w:rsidRDefault="00151040" w:rsidP="00151040">
      <w:pPr>
        <w:rPr>
          <w:rFonts w:cs="Arial"/>
        </w:rPr>
      </w:pPr>
    </w:p>
    <w:p w14:paraId="20DD4B4C" w14:textId="77777777" w:rsidR="00151040" w:rsidRDefault="00151040" w:rsidP="00151040">
      <w:pPr>
        <w:ind w:left="360"/>
        <w:rPr>
          <w:rFonts w:cs="Arial"/>
        </w:rPr>
      </w:pPr>
      <w:r w:rsidRPr="004D4EE6">
        <w:rPr>
          <w:rFonts w:cs="Arial"/>
        </w:rPr>
        <w:t>This approvals process is designed to assess and identify additional measures and safeguards that may be required to protect data to those already stated in this specification document.</w:t>
      </w:r>
    </w:p>
    <w:p w14:paraId="3D27E381" w14:textId="77777777" w:rsidR="008820ED" w:rsidRDefault="008820ED" w:rsidP="008820ED">
      <w:pPr>
        <w:rPr>
          <w:rFonts w:cs="Arial"/>
        </w:rPr>
      </w:pPr>
    </w:p>
    <w:p w14:paraId="2F04DF97" w14:textId="75966368" w:rsidR="00E6347E" w:rsidRDefault="00E6347E">
      <w:pPr>
        <w:rPr>
          <w:rFonts w:cs="Arial"/>
          <w:b/>
        </w:rPr>
      </w:pPr>
    </w:p>
    <w:p w14:paraId="1266940F" w14:textId="013AA754" w:rsidR="006F21BC" w:rsidRDefault="003B029F" w:rsidP="003145E6">
      <w:pPr>
        <w:spacing w:after="120"/>
        <w:rPr>
          <w:rFonts w:cs="Arial"/>
          <w:b/>
        </w:rPr>
      </w:pPr>
      <w:r>
        <w:rPr>
          <w:rFonts w:cs="Arial"/>
          <w:b/>
        </w:rPr>
        <w:t>8.</w:t>
      </w:r>
      <w:r w:rsidR="00151040">
        <w:rPr>
          <w:rFonts w:cs="Arial"/>
          <w:b/>
        </w:rPr>
        <w:t>2</w:t>
      </w:r>
      <w:r w:rsidR="008820ED">
        <w:rPr>
          <w:rFonts w:cs="Arial"/>
          <w:b/>
        </w:rPr>
        <w:t xml:space="preserve"> </w:t>
      </w:r>
      <w:r w:rsidR="006F21BC" w:rsidRPr="006D72D3">
        <w:rPr>
          <w:rFonts w:cs="Arial"/>
          <w:b/>
        </w:rPr>
        <w:t>Sustainability</w:t>
      </w:r>
    </w:p>
    <w:p w14:paraId="4CFCDFEF" w14:textId="326658DA" w:rsidR="0006780D" w:rsidRPr="0006780D" w:rsidRDefault="0006780D" w:rsidP="0006780D">
      <w:pPr>
        <w:rPr>
          <w:rFonts w:cs="Arial"/>
          <w:bCs/>
          <w:color w:val="FF0000"/>
          <w:szCs w:val="24"/>
        </w:rPr>
      </w:pPr>
    </w:p>
    <w:p w14:paraId="1C27A8B8" w14:textId="77777777" w:rsidR="0006780D" w:rsidRPr="0006780D" w:rsidRDefault="0006780D" w:rsidP="0006780D">
      <w:pPr>
        <w:rPr>
          <w:rFonts w:cs="Arial"/>
          <w:szCs w:val="24"/>
        </w:rPr>
      </w:pPr>
      <w:r w:rsidRPr="0006780D">
        <w:rPr>
          <w:rFonts w:cs="Arial"/>
          <w:szCs w:val="24"/>
        </w:rPr>
        <w:t>The DVLA is committed to reducing any negative impacts produced by our activities, products and services. This aligns to the Government’s Greening Commitment which states we must: “Continue to buy more sustainable and efficient products and services with the aim of achieving the best long-term, overall value for money for society.”</w:t>
      </w:r>
    </w:p>
    <w:p w14:paraId="38806CF7" w14:textId="77777777" w:rsidR="0006780D" w:rsidRPr="0006780D" w:rsidRDefault="0006780D" w:rsidP="0006780D">
      <w:pPr>
        <w:rPr>
          <w:rFonts w:cs="Arial"/>
          <w:szCs w:val="24"/>
        </w:rPr>
      </w:pPr>
    </w:p>
    <w:p w14:paraId="31E11C91" w14:textId="77777777" w:rsidR="0006780D" w:rsidRPr="0006780D" w:rsidRDefault="0006780D" w:rsidP="0006780D">
      <w:pPr>
        <w:rPr>
          <w:rFonts w:cs="Arial"/>
          <w:szCs w:val="24"/>
        </w:rPr>
      </w:pPr>
      <w:r w:rsidRPr="0006780D">
        <w:rPr>
          <w:rFonts w:cs="Arial"/>
          <w:szCs w:val="24"/>
        </w:rPr>
        <w:t>DVLA is certified to ISO 14001:2015 and more information is available in our Environmental Policy at:</w:t>
      </w:r>
    </w:p>
    <w:p w14:paraId="2411C28A" w14:textId="77777777" w:rsidR="0006780D" w:rsidRPr="0006780D" w:rsidRDefault="00174A1E" w:rsidP="0006780D">
      <w:pPr>
        <w:rPr>
          <w:rFonts w:cs="Arial"/>
          <w:color w:val="0000FF"/>
          <w:szCs w:val="24"/>
          <w:u w:val="single"/>
        </w:rPr>
      </w:pPr>
      <w:hyperlink r:id="rId8" w:history="1">
        <w:r w:rsidR="0006780D" w:rsidRPr="0006780D">
          <w:rPr>
            <w:rFonts w:cs="Arial"/>
            <w:color w:val="0000FF"/>
            <w:szCs w:val="24"/>
            <w:u w:val="single"/>
          </w:rPr>
          <w:t>https://www.gov.uk/government/publications/dvlas-environmental-policy</w:t>
        </w:r>
      </w:hyperlink>
    </w:p>
    <w:p w14:paraId="5860F622" w14:textId="77777777" w:rsidR="0006780D" w:rsidRPr="0006780D" w:rsidRDefault="0006780D" w:rsidP="0006780D">
      <w:pPr>
        <w:rPr>
          <w:rFonts w:cs="Arial"/>
          <w:color w:val="0000FF"/>
          <w:szCs w:val="24"/>
          <w:u w:val="single"/>
        </w:rPr>
      </w:pPr>
    </w:p>
    <w:p w14:paraId="1ACF5391" w14:textId="77777777" w:rsidR="0006780D" w:rsidRPr="0006780D" w:rsidRDefault="0006780D" w:rsidP="0006780D">
      <w:pPr>
        <w:rPr>
          <w:rFonts w:eastAsia="SimSun" w:cs="Arial"/>
          <w:b/>
          <w:color w:val="000000"/>
          <w:szCs w:val="24"/>
          <w:lang w:eastAsia="zh-CN"/>
        </w:rPr>
      </w:pPr>
      <w:bookmarkStart w:id="208" w:name="_Hlk113282474"/>
      <w:r w:rsidRPr="0006780D">
        <w:rPr>
          <w:rFonts w:cs="Arial"/>
          <w:bCs/>
          <w:szCs w:val="24"/>
          <w:lang w:eastAsia="zh-CN"/>
        </w:rPr>
        <w:t xml:space="preserve">The DVLA require the Supplier to confirm their understanding and acceptance of each point </w:t>
      </w:r>
      <w:r w:rsidRPr="0006780D">
        <w:rPr>
          <w:rFonts w:cs="Arial"/>
          <w:b/>
          <w:szCs w:val="24"/>
          <w:lang w:eastAsia="zh-CN"/>
        </w:rPr>
        <w:t>S1 – S6</w:t>
      </w:r>
      <w:r w:rsidRPr="0006780D">
        <w:rPr>
          <w:rFonts w:cs="Arial"/>
          <w:bCs/>
          <w:szCs w:val="24"/>
          <w:lang w:eastAsia="zh-CN"/>
        </w:rPr>
        <w:t xml:space="preserve"> and supply information if it has been requested</w:t>
      </w:r>
      <w:r w:rsidRPr="0006780D">
        <w:rPr>
          <w:rFonts w:cs="Arial"/>
          <w:szCs w:val="24"/>
          <w:lang w:eastAsia="zh-CN"/>
        </w:rPr>
        <w:t>.</w:t>
      </w:r>
    </w:p>
    <w:p w14:paraId="1EC593A8" w14:textId="77777777" w:rsidR="0006780D" w:rsidRPr="0006780D" w:rsidRDefault="0006780D" w:rsidP="0006780D">
      <w:pPr>
        <w:ind w:left="567"/>
        <w:rPr>
          <w:rFonts w:cs="Arial"/>
          <w:b/>
          <w:color w:val="000000"/>
          <w:szCs w:val="24"/>
        </w:rPr>
      </w:pPr>
    </w:p>
    <w:p w14:paraId="1CBE4D6E" w14:textId="77777777" w:rsidR="0006780D" w:rsidRPr="0006780D" w:rsidRDefault="0006780D" w:rsidP="0006780D">
      <w:pPr>
        <w:rPr>
          <w:rFonts w:cs="Arial"/>
          <w:b/>
          <w:color w:val="000000"/>
          <w:szCs w:val="24"/>
        </w:rPr>
      </w:pPr>
      <w:r w:rsidRPr="0006780D">
        <w:rPr>
          <w:rFonts w:cs="Arial"/>
          <w:b/>
          <w:color w:val="000000"/>
          <w:szCs w:val="24"/>
        </w:rPr>
        <w:t xml:space="preserve">S.1 - </w:t>
      </w:r>
      <w:r w:rsidRPr="0006780D">
        <w:rPr>
          <w:rFonts w:cs="Arial"/>
          <w:color w:val="000000"/>
          <w:szCs w:val="24"/>
        </w:rPr>
        <w:t xml:space="preserve">The </w:t>
      </w:r>
      <w:r w:rsidRPr="0006780D">
        <w:rPr>
          <w:rFonts w:cs="Arial"/>
          <w:szCs w:val="24"/>
        </w:rPr>
        <w:t>DVLA is</w:t>
      </w:r>
      <w:r w:rsidRPr="0006780D">
        <w:rPr>
          <w:rFonts w:cs="Arial"/>
          <w:color w:val="000000"/>
          <w:szCs w:val="24"/>
        </w:rPr>
        <w:t xml:space="preserve"> committed to sustainability and as such the Supplier should consider this as part of their submission.</w:t>
      </w:r>
    </w:p>
    <w:p w14:paraId="4BAD2DAE" w14:textId="77777777" w:rsidR="0006780D" w:rsidRPr="0006780D" w:rsidRDefault="0006780D" w:rsidP="0006780D">
      <w:pPr>
        <w:rPr>
          <w:rFonts w:cs="Arial"/>
          <w:snapToGrid w:val="0"/>
          <w:color w:val="000000"/>
          <w:szCs w:val="24"/>
        </w:rPr>
      </w:pPr>
    </w:p>
    <w:p w14:paraId="4DBE594E" w14:textId="77777777" w:rsidR="0006780D" w:rsidRPr="0006780D" w:rsidRDefault="0006780D" w:rsidP="0006780D">
      <w:pPr>
        <w:rPr>
          <w:rFonts w:cs="Arial"/>
          <w:snapToGrid w:val="0"/>
          <w:color w:val="000000"/>
          <w:szCs w:val="24"/>
        </w:rPr>
      </w:pPr>
      <w:r w:rsidRPr="0006780D">
        <w:rPr>
          <w:rFonts w:cs="Arial"/>
          <w:snapToGrid w:val="0"/>
          <w:color w:val="000000"/>
          <w:szCs w:val="24"/>
        </w:rPr>
        <w:t xml:space="preserve">The </w:t>
      </w:r>
      <w:r w:rsidRPr="0006780D">
        <w:rPr>
          <w:rFonts w:cs="Arial"/>
          <w:snapToGrid w:val="0"/>
          <w:szCs w:val="24"/>
        </w:rPr>
        <w:t>DVLA requires</w:t>
      </w:r>
      <w:r w:rsidRPr="0006780D">
        <w:rPr>
          <w:rFonts w:cs="Arial"/>
          <w:snapToGrid w:val="0"/>
          <w:color w:val="000000"/>
          <w:szCs w:val="24"/>
        </w:rPr>
        <w:t xml:space="preserve"> the Supplier to:</w:t>
      </w:r>
    </w:p>
    <w:p w14:paraId="1A74F129" w14:textId="77777777" w:rsidR="0006780D" w:rsidRPr="0006780D" w:rsidRDefault="0006780D" w:rsidP="0006780D">
      <w:pPr>
        <w:rPr>
          <w:rFonts w:cs="Arial"/>
          <w:snapToGrid w:val="0"/>
          <w:color w:val="000000"/>
          <w:szCs w:val="24"/>
        </w:rPr>
      </w:pPr>
    </w:p>
    <w:p w14:paraId="135473FC" w14:textId="77777777" w:rsidR="0006780D" w:rsidRPr="0006780D" w:rsidRDefault="0006780D" w:rsidP="0006780D">
      <w:pPr>
        <w:numPr>
          <w:ilvl w:val="0"/>
          <w:numId w:val="49"/>
        </w:numPr>
        <w:ind w:left="1418" w:hanging="567"/>
        <w:rPr>
          <w:rFonts w:cs="Arial"/>
          <w:snapToGrid w:val="0"/>
          <w:szCs w:val="24"/>
        </w:rPr>
      </w:pPr>
      <w:r w:rsidRPr="0006780D">
        <w:rPr>
          <w:rFonts w:cs="Arial"/>
          <w:snapToGrid w:val="0"/>
          <w:szCs w:val="24"/>
        </w:rPr>
        <w:t xml:space="preserve">Comply with the DVLA’s Environmental Policy: </w:t>
      </w:r>
      <w:hyperlink r:id="rId9" w:history="1">
        <w:r w:rsidRPr="0006780D">
          <w:rPr>
            <w:rFonts w:cs="Arial"/>
            <w:snapToGrid w:val="0"/>
            <w:color w:val="0000FF"/>
            <w:szCs w:val="24"/>
            <w:u w:val="single"/>
          </w:rPr>
          <w:t>https://www.gov.uk/government/publications/dvlas-environmental-policy</w:t>
        </w:r>
      </w:hyperlink>
      <w:r w:rsidRPr="0006780D">
        <w:rPr>
          <w:rFonts w:cs="Arial"/>
          <w:snapToGrid w:val="0"/>
          <w:szCs w:val="24"/>
        </w:rPr>
        <w:t xml:space="preserve"> </w:t>
      </w:r>
    </w:p>
    <w:p w14:paraId="29F245F7" w14:textId="77777777" w:rsidR="0006780D" w:rsidRPr="0006780D" w:rsidRDefault="0006780D" w:rsidP="0006780D">
      <w:pPr>
        <w:rPr>
          <w:rFonts w:cs="Arial"/>
          <w:snapToGrid w:val="0"/>
          <w:szCs w:val="24"/>
        </w:rPr>
      </w:pPr>
    </w:p>
    <w:p w14:paraId="4E72F024" w14:textId="77777777" w:rsidR="0006780D" w:rsidRPr="0006780D" w:rsidRDefault="0006780D" w:rsidP="0006780D">
      <w:pPr>
        <w:numPr>
          <w:ilvl w:val="0"/>
          <w:numId w:val="49"/>
        </w:numPr>
        <w:ind w:left="1418" w:hanging="567"/>
        <w:rPr>
          <w:rFonts w:cs="Arial"/>
          <w:snapToGrid w:val="0"/>
          <w:szCs w:val="24"/>
        </w:rPr>
      </w:pPr>
      <w:r w:rsidRPr="0006780D">
        <w:rPr>
          <w:rFonts w:cs="Arial"/>
          <w:snapToGrid w:val="0"/>
          <w:szCs w:val="24"/>
        </w:rPr>
        <w:t xml:space="preserve">Where appropriate, assist the DVLA in achieving its </w:t>
      </w:r>
      <w:r w:rsidRPr="0006780D">
        <w:rPr>
          <w:rFonts w:cs="Arial"/>
          <w:szCs w:val="24"/>
        </w:rPr>
        <w:t xml:space="preserve">Greening Government Commitments as detailed on </w:t>
      </w:r>
      <w:hyperlink r:id="rId10" w:history="1">
        <w:r w:rsidRPr="0006780D">
          <w:rPr>
            <w:rFonts w:cs="Arial"/>
            <w:color w:val="0000FF"/>
            <w:u w:val="single"/>
          </w:rPr>
          <w:t>Greening Government Commitments 2021 to 2025 - GOV.UK (www.gov.uk)</w:t>
        </w:r>
      </w:hyperlink>
      <w:r w:rsidRPr="0006780D">
        <w:t xml:space="preserve"> </w:t>
      </w:r>
      <w:r w:rsidRPr="0006780D">
        <w:rPr>
          <w:rFonts w:cs="Arial"/>
          <w:szCs w:val="24"/>
        </w:rPr>
        <w:t>i.e. Reduce CO</w:t>
      </w:r>
      <w:r w:rsidRPr="0006780D">
        <w:rPr>
          <w:rFonts w:ascii="Calibri" w:hAnsi="Calibri" w:cs="Arial"/>
          <w:szCs w:val="24"/>
        </w:rPr>
        <w:t>₂</w:t>
      </w:r>
      <w:r w:rsidRPr="0006780D">
        <w:rPr>
          <w:rFonts w:cs="Arial"/>
          <w:szCs w:val="24"/>
        </w:rPr>
        <w:t xml:space="preserve"> emissions through energy consumption and travel, reduce water consumption and waste produced;</w:t>
      </w:r>
    </w:p>
    <w:p w14:paraId="2A7385FF" w14:textId="77777777" w:rsidR="0006780D" w:rsidRPr="0006780D" w:rsidRDefault="0006780D" w:rsidP="0006780D">
      <w:pPr>
        <w:ind w:left="1418" w:hanging="567"/>
        <w:rPr>
          <w:rFonts w:eastAsia="Calibri" w:cs="Arial"/>
          <w:snapToGrid w:val="0"/>
          <w:szCs w:val="24"/>
          <w:lang w:eastAsia="en-GB"/>
        </w:rPr>
      </w:pPr>
    </w:p>
    <w:p w14:paraId="2CE85736" w14:textId="77777777" w:rsidR="0006780D" w:rsidRPr="0006780D" w:rsidRDefault="0006780D" w:rsidP="0006780D">
      <w:pPr>
        <w:numPr>
          <w:ilvl w:val="0"/>
          <w:numId w:val="49"/>
        </w:numPr>
        <w:ind w:left="1418" w:hanging="567"/>
        <w:rPr>
          <w:rFonts w:cs="Arial"/>
          <w:snapToGrid w:val="0"/>
          <w:color w:val="000000"/>
          <w:szCs w:val="24"/>
        </w:rPr>
      </w:pPr>
      <w:r w:rsidRPr="0006780D">
        <w:rPr>
          <w:rFonts w:cs="Arial"/>
          <w:snapToGrid w:val="0"/>
          <w:color w:val="000000"/>
          <w:szCs w:val="24"/>
        </w:rPr>
        <w:lastRenderedPageBreak/>
        <w:t xml:space="preserve">Be able to evidence continual environmental improvements in their own organisation (ideally through a certified EMS, i.e. ISO 14001,Green Dragon etc); </w:t>
      </w:r>
    </w:p>
    <w:p w14:paraId="686688B5" w14:textId="77777777" w:rsidR="0006780D" w:rsidRPr="0006780D" w:rsidRDefault="0006780D" w:rsidP="0006780D">
      <w:pPr>
        <w:ind w:left="1418" w:hanging="567"/>
        <w:rPr>
          <w:rFonts w:eastAsia="Calibri" w:cs="Arial"/>
          <w:snapToGrid w:val="0"/>
          <w:color w:val="000000"/>
          <w:sz w:val="22"/>
          <w:szCs w:val="24"/>
          <w:lang w:eastAsia="en-GB"/>
        </w:rPr>
      </w:pPr>
    </w:p>
    <w:p w14:paraId="40977CA4" w14:textId="77777777" w:rsidR="0006780D" w:rsidRPr="0006780D" w:rsidRDefault="0006780D" w:rsidP="0006780D">
      <w:pPr>
        <w:numPr>
          <w:ilvl w:val="0"/>
          <w:numId w:val="49"/>
        </w:numPr>
        <w:ind w:left="1418" w:hanging="567"/>
        <w:rPr>
          <w:rFonts w:cs="Arial"/>
          <w:snapToGrid w:val="0"/>
          <w:color w:val="000000"/>
          <w:szCs w:val="24"/>
        </w:rPr>
      </w:pPr>
      <w:r w:rsidRPr="0006780D">
        <w:rPr>
          <w:rFonts w:cs="Arial"/>
          <w:snapToGrid w:val="0"/>
          <w:color w:val="000000"/>
          <w:szCs w:val="24"/>
        </w:rPr>
        <w:t>Ensure its own supply chain does not have negative environmental or social impact;</w:t>
      </w:r>
    </w:p>
    <w:p w14:paraId="0E958735" w14:textId="77777777" w:rsidR="0006780D" w:rsidRPr="0006780D" w:rsidRDefault="0006780D" w:rsidP="0006780D">
      <w:pPr>
        <w:ind w:left="1418" w:hanging="567"/>
        <w:rPr>
          <w:rFonts w:eastAsia="Calibri" w:cs="Arial"/>
          <w:snapToGrid w:val="0"/>
          <w:color w:val="000000"/>
          <w:szCs w:val="24"/>
          <w:lang w:eastAsia="en-GB"/>
        </w:rPr>
      </w:pPr>
    </w:p>
    <w:p w14:paraId="1970B7C0" w14:textId="77777777" w:rsidR="0006780D" w:rsidRPr="0006780D" w:rsidRDefault="0006780D" w:rsidP="0006780D">
      <w:pPr>
        <w:numPr>
          <w:ilvl w:val="0"/>
          <w:numId w:val="49"/>
        </w:numPr>
        <w:ind w:left="1418" w:hanging="567"/>
        <w:rPr>
          <w:rFonts w:cs="Arial"/>
          <w:snapToGrid w:val="0"/>
          <w:color w:val="000000"/>
          <w:szCs w:val="24"/>
        </w:rPr>
      </w:pPr>
      <w:r w:rsidRPr="0006780D">
        <w:rPr>
          <w:rFonts w:cs="Arial"/>
          <w:snapToGrid w:val="0"/>
          <w:color w:val="000000"/>
          <w:szCs w:val="24"/>
        </w:rPr>
        <w:t>Where required, be able to provide data on carbon emissions related to the products / services being supplied to aid with scope 3 emission calculations;</w:t>
      </w:r>
    </w:p>
    <w:p w14:paraId="1445FCC5" w14:textId="77777777" w:rsidR="0006780D" w:rsidRPr="0006780D" w:rsidRDefault="0006780D" w:rsidP="0006780D">
      <w:pPr>
        <w:ind w:left="720"/>
        <w:rPr>
          <w:rFonts w:eastAsia="Calibri" w:cs="Arial"/>
          <w:snapToGrid w:val="0"/>
          <w:color w:val="000000"/>
          <w:sz w:val="22"/>
          <w:szCs w:val="24"/>
          <w:lang w:eastAsia="en-GB"/>
        </w:rPr>
      </w:pPr>
    </w:p>
    <w:p w14:paraId="5BFED7FF" w14:textId="77777777" w:rsidR="0006780D" w:rsidRPr="0006780D" w:rsidRDefault="0006780D" w:rsidP="0006780D">
      <w:pPr>
        <w:numPr>
          <w:ilvl w:val="0"/>
          <w:numId w:val="49"/>
        </w:numPr>
        <w:ind w:left="1418" w:hanging="567"/>
        <w:rPr>
          <w:rFonts w:cs="Arial"/>
          <w:snapToGrid w:val="0"/>
          <w:color w:val="000000"/>
          <w:szCs w:val="24"/>
        </w:rPr>
      </w:pPr>
      <w:r w:rsidRPr="0006780D">
        <w:rPr>
          <w:rFonts w:cs="Arial"/>
          <w:snapToGrid w:val="0"/>
          <w:color w:val="000000"/>
          <w:szCs w:val="24"/>
        </w:rPr>
        <w:t xml:space="preserve">Comply with GGC to provide the specified goods / services without the use of consumer single use plastic. </w:t>
      </w:r>
    </w:p>
    <w:bookmarkEnd w:id="208"/>
    <w:p w14:paraId="5AB147F2" w14:textId="77777777" w:rsidR="0006780D" w:rsidRPr="0006780D" w:rsidRDefault="0006780D" w:rsidP="0006780D">
      <w:pPr>
        <w:ind w:left="567"/>
        <w:rPr>
          <w:rFonts w:cs="Arial"/>
          <w:color w:val="000000"/>
          <w:szCs w:val="24"/>
        </w:rPr>
      </w:pPr>
    </w:p>
    <w:p w14:paraId="5E2207D9" w14:textId="77777777" w:rsidR="0006780D" w:rsidRPr="0006780D" w:rsidRDefault="0006780D" w:rsidP="0006780D">
      <w:pPr>
        <w:rPr>
          <w:rFonts w:cs="Arial"/>
          <w:szCs w:val="24"/>
        </w:rPr>
      </w:pPr>
      <w:r w:rsidRPr="0006780D">
        <w:rPr>
          <w:rFonts w:cs="Arial"/>
          <w:b/>
          <w:color w:val="000000"/>
          <w:szCs w:val="24"/>
        </w:rPr>
        <w:t xml:space="preserve">S.2 - </w:t>
      </w:r>
      <w:r w:rsidRPr="0006780D">
        <w:rPr>
          <w:rFonts w:cs="Arial"/>
          <w:color w:val="000000"/>
          <w:szCs w:val="24"/>
        </w:rPr>
        <w:t xml:space="preserve">The Supplier shall provide their </w:t>
      </w:r>
      <w:r w:rsidRPr="0006780D">
        <w:rPr>
          <w:rFonts w:cs="Arial"/>
          <w:szCs w:val="24"/>
        </w:rPr>
        <w:t>sustainability or environmental policy.</w:t>
      </w:r>
    </w:p>
    <w:p w14:paraId="5A93F01D" w14:textId="77777777" w:rsidR="0006780D" w:rsidRPr="0006780D" w:rsidRDefault="0006780D" w:rsidP="0006780D">
      <w:pPr>
        <w:rPr>
          <w:rFonts w:cs="Arial"/>
          <w:b/>
          <w:color w:val="000000"/>
          <w:szCs w:val="24"/>
        </w:rPr>
      </w:pPr>
    </w:p>
    <w:p w14:paraId="786F7208" w14:textId="77777777" w:rsidR="0006780D" w:rsidRPr="0006780D" w:rsidRDefault="0006780D" w:rsidP="0006780D">
      <w:pPr>
        <w:rPr>
          <w:rFonts w:cs="Arial"/>
          <w:color w:val="000000"/>
          <w:szCs w:val="24"/>
        </w:rPr>
      </w:pPr>
      <w:r w:rsidRPr="0006780D">
        <w:rPr>
          <w:rFonts w:cs="Arial"/>
          <w:b/>
          <w:color w:val="000000"/>
          <w:szCs w:val="24"/>
        </w:rPr>
        <w:t>S.3 -</w:t>
      </w:r>
      <w:bookmarkStart w:id="209" w:name="_Hlk73625134"/>
      <w:r w:rsidRPr="0006780D">
        <w:rPr>
          <w:rFonts w:cs="Arial"/>
          <w:color w:val="000000"/>
          <w:szCs w:val="24"/>
        </w:rPr>
        <w:t xml:space="preserve">The Supplier shall be able to meet and evidence conforming to the relevant </w:t>
      </w:r>
      <w:hyperlink r:id="rId11" w:history="1">
        <w:r w:rsidRPr="0006780D">
          <w:rPr>
            <w:rFonts w:cs="Arial"/>
            <w:color w:val="0000FF"/>
            <w:u w:val="single"/>
          </w:rPr>
          <w:t>Government Buying Standards</w:t>
        </w:r>
      </w:hyperlink>
      <w:r w:rsidRPr="0006780D">
        <w:rPr>
          <w:rFonts w:cs="Arial"/>
        </w:rPr>
        <w:t>.</w:t>
      </w:r>
      <w:r w:rsidRPr="0006780D">
        <w:t xml:space="preserve"> </w:t>
      </w:r>
      <w:bookmarkStart w:id="210" w:name="_Hlk75961402"/>
      <w:bookmarkEnd w:id="209"/>
    </w:p>
    <w:p w14:paraId="66769384" w14:textId="77777777" w:rsidR="0006780D" w:rsidRPr="0006780D" w:rsidRDefault="0006780D" w:rsidP="0006780D">
      <w:pPr>
        <w:jc w:val="both"/>
        <w:rPr>
          <w:rFonts w:cs="Arial"/>
          <w:szCs w:val="24"/>
        </w:rPr>
      </w:pPr>
    </w:p>
    <w:p w14:paraId="6E061D78" w14:textId="77777777" w:rsidR="0006780D" w:rsidRPr="0006780D" w:rsidRDefault="0006780D" w:rsidP="0006780D">
      <w:pPr>
        <w:jc w:val="both"/>
        <w:rPr>
          <w:rFonts w:cs="Arial"/>
          <w:b/>
          <w:szCs w:val="24"/>
        </w:rPr>
      </w:pPr>
      <w:r w:rsidRPr="0006780D">
        <w:rPr>
          <w:rFonts w:cs="Arial"/>
          <w:b/>
          <w:szCs w:val="24"/>
        </w:rPr>
        <w:t>Transport</w:t>
      </w:r>
    </w:p>
    <w:p w14:paraId="7BA581B8" w14:textId="77777777" w:rsidR="0006780D" w:rsidRPr="0006780D" w:rsidRDefault="0006780D" w:rsidP="0006780D">
      <w:pPr>
        <w:jc w:val="both"/>
        <w:rPr>
          <w:rFonts w:cs="Arial"/>
          <w:snapToGrid w:val="0"/>
          <w:szCs w:val="24"/>
        </w:rPr>
      </w:pPr>
    </w:p>
    <w:p w14:paraId="176E7D3C" w14:textId="77777777" w:rsidR="0006780D" w:rsidRPr="0006780D" w:rsidRDefault="0006780D" w:rsidP="0006780D">
      <w:pPr>
        <w:jc w:val="both"/>
        <w:rPr>
          <w:rFonts w:cs="Arial"/>
          <w:snapToGrid w:val="0"/>
          <w:color w:val="000000"/>
          <w:szCs w:val="24"/>
        </w:rPr>
      </w:pPr>
      <w:r w:rsidRPr="0006780D">
        <w:rPr>
          <w:rFonts w:cs="Arial"/>
          <w:b/>
          <w:snapToGrid w:val="0"/>
          <w:color w:val="000000"/>
          <w:szCs w:val="24"/>
        </w:rPr>
        <w:t>S.5 –</w:t>
      </w:r>
      <w:r w:rsidRPr="0006780D">
        <w:rPr>
          <w:rFonts w:cs="Arial"/>
          <w:snapToGrid w:val="0"/>
          <w:color w:val="000000"/>
          <w:szCs w:val="24"/>
        </w:rPr>
        <w:t xml:space="preserve"> The Supplier shall continually aim to travel sustainably between sites whilst conducting DVLA business.</w:t>
      </w:r>
      <w:bookmarkEnd w:id="210"/>
    </w:p>
    <w:p w14:paraId="04C73759" w14:textId="77777777" w:rsidR="0006780D" w:rsidRPr="0006780D" w:rsidRDefault="0006780D" w:rsidP="0006780D">
      <w:pPr>
        <w:rPr>
          <w:rFonts w:cs="Arial"/>
          <w:b/>
          <w:bCs/>
        </w:rPr>
      </w:pPr>
    </w:p>
    <w:p w14:paraId="69A30EEC" w14:textId="3A29B84A" w:rsidR="0006780D" w:rsidRPr="0006780D" w:rsidRDefault="0006780D" w:rsidP="0006780D">
      <w:pPr>
        <w:rPr>
          <w:rFonts w:cs="Arial"/>
        </w:rPr>
      </w:pPr>
      <w:r w:rsidRPr="0006780D">
        <w:rPr>
          <w:rFonts w:cs="Arial"/>
          <w:b/>
          <w:bCs/>
        </w:rPr>
        <w:t>NOTE:</w:t>
      </w:r>
      <w:r w:rsidRPr="0006780D">
        <w:rPr>
          <w:rFonts w:cs="Arial"/>
        </w:rPr>
        <w:t xml:space="preserve"> Further details of DVLA’s Sustainability requirements and applicable contract terms are outlined</w:t>
      </w:r>
      <w:r w:rsidR="00620AFB">
        <w:rPr>
          <w:rFonts w:cs="Arial"/>
        </w:rPr>
        <w:t xml:space="preserve"> in Annex 9.</w:t>
      </w:r>
    </w:p>
    <w:p w14:paraId="0A47A85C" w14:textId="77777777" w:rsidR="00CD2F4F" w:rsidRPr="00133957" w:rsidRDefault="00CD2F4F" w:rsidP="00CD2F4F">
      <w:pPr>
        <w:rPr>
          <w:rFonts w:cs="Arial"/>
          <w:szCs w:val="24"/>
          <w:highlight w:val="lightGray"/>
        </w:rPr>
      </w:pPr>
    </w:p>
    <w:p w14:paraId="51061D8C" w14:textId="429054F6" w:rsidR="007D15D3" w:rsidRDefault="007D15D3">
      <w:pPr>
        <w:rPr>
          <w:rFonts w:cs="Arial"/>
          <w:b/>
        </w:rPr>
      </w:pPr>
    </w:p>
    <w:p w14:paraId="16C3766B" w14:textId="10E12DD7" w:rsidR="006F21BC" w:rsidRDefault="003B029F" w:rsidP="003145E6">
      <w:pPr>
        <w:spacing w:after="120"/>
        <w:rPr>
          <w:rFonts w:cs="Arial"/>
          <w:b/>
        </w:rPr>
      </w:pPr>
      <w:r>
        <w:rPr>
          <w:rFonts w:cs="Arial"/>
          <w:b/>
        </w:rPr>
        <w:t>8.</w:t>
      </w:r>
      <w:r w:rsidR="00151040">
        <w:rPr>
          <w:rFonts w:cs="Arial"/>
          <w:b/>
        </w:rPr>
        <w:t>3</w:t>
      </w:r>
      <w:r w:rsidR="008820ED">
        <w:rPr>
          <w:rFonts w:cs="Arial"/>
          <w:b/>
        </w:rPr>
        <w:t xml:space="preserve"> </w:t>
      </w:r>
      <w:r w:rsidR="003D4D09">
        <w:rPr>
          <w:rFonts w:cs="Arial"/>
          <w:b/>
        </w:rPr>
        <w:t>Health and</w:t>
      </w:r>
      <w:r w:rsidR="006F21BC" w:rsidRPr="006D72D3">
        <w:rPr>
          <w:rFonts w:cs="Arial"/>
          <w:b/>
        </w:rPr>
        <w:t xml:space="preserve"> Safety</w:t>
      </w:r>
    </w:p>
    <w:p w14:paraId="7263BED8" w14:textId="14FA9DE9" w:rsidR="00710748" w:rsidRDefault="00ED7714" w:rsidP="00710748">
      <w:pPr>
        <w:rPr>
          <w:rFonts w:cs="Arial"/>
          <w:szCs w:val="24"/>
        </w:rPr>
      </w:pPr>
      <w:bookmarkStart w:id="211" w:name="OLE_LINK1"/>
      <w:bookmarkStart w:id="212" w:name="OLE_LINK2"/>
      <w:r w:rsidRPr="00754361">
        <w:rPr>
          <w:rFonts w:cs="Arial"/>
          <w:szCs w:val="24"/>
        </w:rPr>
        <w:t>DVLA has an Occupational Health and Safety Management System that is certificated to ISO45001</w:t>
      </w:r>
      <w:r>
        <w:rPr>
          <w:rFonts w:cs="Arial"/>
          <w:szCs w:val="24"/>
        </w:rPr>
        <w:t xml:space="preserve">. </w:t>
      </w:r>
      <w:r w:rsidR="00710748">
        <w:rPr>
          <w:rFonts w:cs="Arial"/>
          <w:szCs w:val="24"/>
        </w:rPr>
        <w:t>Further information on our Health &amp; Safety Policy, is available on request</w:t>
      </w:r>
      <w:r w:rsidR="00FD1408">
        <w:rPr>
          <w:rFonts w:cs="Arial"/>
          <w:szCs w:val="24"/>
        </w:rPr>
        <w:t>.</w:t>
      </w:r>
    </w:p>
    <w:p w14:paraId="779D4ECA" w14:textId="77777777" w:rsidR="000E1CA5" w:rsidRDefault="000E1CA5" w:rsidP="003E078D">
      <w:pPr>
        <w:autoSpaceDE w:val="0"/>
        <w:autoSpaceDN w:val="0"/>
        <w:adjustRightInd w:val="0"/>
        <w:rPr>
          <w:rFonts w:cs="Arial"/>
          <w:szCs w:val="24"/>
        </w:rPr>
      </w:pPr>
    </w:p>
    <w:p w14:paraId="56445AA5" w14:textId="77777777" w:rsidR="00CD2F4F" w:rsidRPr="00647C38" w:rsidRDefault="00CD2F4F" w:rsidP="00CD2F4F">
      <w:pPr>
        <w:autoSpaceDE w:val="0"/>
        <w:autoSpaceDN w:val="0"/>
        <w:adjustRightInd w:val="0"/>
        <w:rPr>
          <w:rFonts w:cs="Arial"/>
          <w:szCs w:val="24"/>
        </w:rPr>
      </w:pPr>
      <w:r w:rsidRPr="00B13490">
        <w:rPr>
          <w:rFonts w:cs="Arial"/>
          <w:szCs w:val="24"/>
        </w:rPr>
        <w:t>All Supplier Staff working in the DVLA on any of our premises must fully comply with relevant health and safety legislation, together with health, safety and welfare policy and management arrangements applied by the DVLA. If appropriate, these issues must be addressed at or before the award of the contract and may form part of the procurement process. Where requested, Suppliers will be required to provide copies of their health and safety policy statement, risk assessments and method statements, clearly identifying any safety implications that their activities may have and how these will be managed. Contract management staff are responsible for checking health and safety information provided by Suppliers and passing relevant information to local line management and staff. Supplier’s safety performance will be monitored and checked as part of normal contract management.</w:t>
      </w:r>
    </w:p>
    <w:p w14:paraId="17565FDC" w14:textId="77777777" w:rsidR="00CD2F4F" w:rsidRDefault="00CD2F4F" w:rsidP="00CD2F4F">
      <w:pPr>
        <w:jc w:val="both"/>
        <w:rPr>
          <w:rFonts w:cs="Arial"/>
          <w:szCs w:val="24"/>
        </w:rPr>
      </w:pPr>
    </w:p>
    <w:p w14:paraId="76BC5D53" w14:textId="009345D5" w:rsidR="001A3576" w:rsidRDefault="001A3576" w:rsidP="00CD2F4F">
      <w:pPr>
        <w:rPr>
          <w:rFonts w:cs="Arial"/>
          <w:szCs w:val="24"/>
        </w:rPr>
      </w:pPr>
    </w:p>
    <w:p w14:paraId="2CEAB3AD" w14:textId="2A45E231" w:rsidR="001A3576" w:rsidRPr="00E15F98" w:rsidRDefault="001A3576" w:rsidP="00CD2F4F">
      <w:pPr>
        <w:rPr>
          <w:rFonts w:cs="Arial"/>
          <w:b/>
          <w:color w:val="FF0000"/>
        </w:rPr>
      </w:pPr>
      <w:r>
        <w:rPr>
          <w:rFonts w:cs="Arial"/>
          <w:szCs w:val="24"/>
        </w:rPr>
        <w:t>A full copy of our Health and Safety Policy is included at Annex 3a.</w:t>
      </w:r>
    </w:p>
    <w:bookmarkEnd w:id="211"/>
    <w:bookmarkEnd w:id="212"/>
    <w:p w14:paraId="08F1C578" w14:textId="77777777" w:rsidR="003D4D09" w:rsidRDefault="003D4D09" w:rsidP="003D4D09">
      <w:pPr>
        <w:rPr>
          <w:rFonts w:cs="Arial"/>
        </w:rPr>
      </w:pPr>
    </w:p>
    <w:p w14:paraId="0EC3BBA4" w14:textId="77777777" w:rsidR="00B13490" w:rsidRDefault="00B13490" w:rsidP="00B13490">
      <w:pPr>
        <w:spacing w:after="120"/>
        <w:rPr>
          <w:rFonts w:cs="Arial"/>
          <w:b/>
        </w:rPr>
      </w:pPr>
    </w:p>
    <w:p w14:paraId="2849581D" w14:textId="7BDAAA49" w:rsidR="001A2B92" w:rsidRDefault="003B029F" w:rsidP="00B13490">
      <w:pPr>
        <w:spacing w:after="120"/>
        <w:rPr>
          <w:rFonts w:cs="Arial"/>
          <w:b/>
        </w:rPr>
      </w:pPr>
      <w:r w:rsidRPr="00B13490">
        <w:rPr>
          <w:rFonts w:cs="Arial"/>
          <w:b/>
        </w:rPr>
        <w:t>8.</w:t>
      </w:r>
      <w:r w:rsidR="00151040" w:rsidRPr="00B13490">
        <w:rPr>
          <w:rFonts w:cs="Arial"/>
          <w:b/>
        </w:rPr>
        <w:t>4</w:t>
      </w:r>
      <w:r w:rsidR="008820ED" w:rsidRPr="00B13490">
        <w:rPr>
          <w:rFonts w:cs="Arial"/>
          <w:b/>
        </w:rPr>
        <w:t xml:space="preserve"> </w:t>
      </w:r>
      <w:r w:rsidR="001A2B92" w:rsidRPr="00B13490">
        <w:rPr>
          <w:rFonts w:cs="Arial"/>
          <w:b/>
        </w:rPr>
        <w:t>Estates</w:t>
      </w:r>
      <w:r w:rsidR="006A3892">
        <w:rPr>
          <w:rFonts w:cs="Arial"/>
          <w:b/>
        </w:rPr>
        <w:t xml:space="preserve"> </w:t>
      </w:r>
    </w:p>
    <w:p w14:paraId="7A95F54F" w14:textId="215959E7" w:rsidR="00B13490" w:rsidRPr="00B13490" w:rsidRDefault="00B13490" w:rsidP="00B13490">
      <w:pPr>
        <w:spacing w:after="120"/>
        <w:rPr>
          <w:rFonts w:cs="Arial"/>
          <w:bCs/>
          <w:color w:val="FF0000"/>
        </w:rPr>
      </w:pPr>
      <w:r w:rsidRPr="00B13490">
        <w:rPr>
          <w:rFonts w:cs="Arial"/>
          <w:bCs/>
        </w:rPr>
        <w:lastRenderedPageBreak/>
        <w:t>Not applicable</w:t>
      </w:r>
    </w:p>
    <w:p w14:paraId="4117F1A6" w14:textId="77777777" w:rsidR="006A3892" w:rsidRDefault="006A3892" w:rsidP="003145E6">
      <w:pPr>
        <w:spacing w:after="120"/>
        <w:rPr>
          <w:rFonts w:cs="Arial"/>
          <w:b/>
        </w:rPr>
      </w:pPr>
    </w:p>
    <w:p w14:paraId="6A0A3C70" w14:textId="106849E3" w:rsidR="006F21BC" w:rsidRDefault="003B029F" w:rsidP="003145E6">
      <w:pPr>
        <w:spacing w:after="120"/>
        <w:rPr>
          <w:rFonts w:cs="Arial"/>
          <w:b/>
        </w:rPr>
      </w:pPr>
      <w:r>
        <w:rPr>
          <w:rFonts w:cs="Arial"/>
          <w:b/>
        </w:rPr>
        <w:t>8.</w:t>
      </w:r>
      <w:r w:rsidR="00151040">
        <w:rPr>
          <w:rFonts w:cs="Arial"/>
          <w:b/>
        </w:rPr>
        <w:t>5</w:t>
      </w:r>
      <w:r w:rsidR="003B20E9">
        <w:rPr>
          <w:rFonts w:cs="Arial"/>
          <w:b/>
        </w:rPr>
        <w:t xml:space="preserve"> </w:t>
      </w:r>
      <w:r w:rsidR="006F21BC" w:rsidRPr="004A144C">
        <w:rPr>
          <w:rFonts w:cs="Arial"/>
          <w:b/>
        </w:rPr>
        <w:t>Diversity</w:t>
      </w:r>
      <w:r w:rsidR="00D76D6E">
        <w:rPr>
          <w:rFonts w:cs="Arial"/>
          <w:b/>
        </w:rPr>
        <w:t xml:space="preserve"> and Inclusion</w:t>
      </w:r>
    </w:p>
    <w:p w14:paraId="67E07A92" w14:textId="77777777" w:rsidR="00B23C38" w:rsidRDefault="00B23C38" w:rsidP="00B23C38">
      <w:pPr>
        <w:pStyle w:val="NormalWeb"/>
        <w:shd w:val="clear" w:color="auto" w:fill="FFFFFF"/>
        <w:spacing w:after="0"/>
        <w:rPr>
          <w:rFonts w:ascii="Calibri" w:hAnsi="Calibri"/>
          <w:spacing w:val="6"/>
          <w:sz w:val="22"/>
        </w:rPr>
      </w:pPr>
      <w:r>
        <w:rPr>
          <w:color w:val="000000"/>
          <w:spacing w:val="6"/>
        </w:rPr>
        <w:t>The Public Sector Equality Duty (PSED) is a legal requirement under the Equality Act 2010. The Equality Duty ensures that all public bodies play their part in making society fairer by tackling discrimination and providing equality of opportunity for all. It ensures that public bodies consider the needs of all individuals in their day-to-day work – in shaping policy, in delivering services, and in relation to their own employees.</w:t>
      </w:r>
    </w:p>
    <w:p w14:paraId="29CB2B00" w14:textId="77777777" w:rsidR="00B23C38" w:rsidRDefault="00B23C38" w:rsidP="00B23C38">
      <w:pPr>
        <w:pStyle w:val="NormalWeb"/>
        <w:shd w:val="clear" w:color="auto" w:fill="FFFFFF"/>
        <w:spacing w:after="0"/>
        <w:rPr>
          <w:lang w:val="en"/>
        </w:rPr>
      </w:pPr>
      <w:r>
        <w:rPr>
          <w:color w:val="000000"/>
        </w:rPr>
        <w:t xml:space="preserve">DVLA is committed to encouraging equality, diversity, and inclusion within our workforce and against unlawful discrimination of employees, customers, and the public. </w:t>
      </w:r>
      <w:r>
        <w:rPr>
          <w:color w:val="000000"/>
          <w:lang w:val="en"/>
        </w:rPr>
        <w:t xml:space="preserve">We promote dignity and respect for all and </w:t>
      </w:r>
      <w:r>
        <w:rPr>
          <w:color w:val="000000"/>
        </w:rPr>
        <w:t>will not tolerate bullying, harassment or discrimination by staff, customers, or partners we work with</w:t>
      </w:r>
      <w:r>
        <w:rPr>
          <w:color w:val="000000"/>
          <w:lang w:val="en"/>
        </w:rPr>
        <w:t xml:space="preserve">. </w:t>
      </w:r>
    </w:p>
    <w:p w14:paraId="403D7C11" w14:textId="03853F48" w:rsidR="005A1889" w:rsidRDefault="00B23C38" w:rsidP="00041FC6">
      <w:pPr>
        <w:pStyle w:val="NormalWeb"/>
        <w:shd w:val="clear" w:color="auto" w:fill="FFFFFF"/>
        <w:spacing w:after="0"/>
        <w:rPr>
          <w:rFonts w:cs="Arial"/>
          <w:spacing w:val="6"/>
        </w:rPr>
      </w:pPr>
      <w:r>
        <w:rPr>
          <w:color w:val="000000"/>
        </w:rPr>
        <w:t xml:space="preserve">Everyone working for us and with us, as partners in delivering our services, has a personal responsibility for implementing and promoting these policy principles in their day- to-day transactions with customers and our staff. </w:t>
      </w:r>
    </w:p>
    <w:p w14:paraId="09CAF5C6" w14:textId="77777777" w:rsidR="00864E47" w:rsidRDefault="00864E47" w:rsidP="00864E47">
      <w:pPr>
        <w:rPr>
          <w:rFonts w:cs="Arial"/>
        </w:rPr>
      </w:pPr>
    </w:p>
    <w:p w14:paraId="4A43582A" w14:textId="4036B154" w:rsidR="00864E47" w:rsidRDefault="00864E47" w:rsidP="00864E47">
      <w:pPr>
        <w:rPr>
          <w:rFonts w:cs="Arial"/>
          <w:b/>
          <w:bCs/>
          <w:color w:val="FF0000"/>
        </w:rPr>
      </w:pPr>
      <w:r w:rsidRPr="00DE745A">
        <w:rPr>
          <w:rFonts w:cs="Arial"/>
        </w:rPr>
        <w:t xml:space="preserve">A full copy of our Equality, Diversity and </w:t>
      </w:r>
      <w:r w:rsidRPr="00620AFB">
        <w:rPr>
          <w:rFonts w:cs="Arial"/>
        </w:rPr>
        <w:t>Inclusion Policy is included at Annex</w:t>
      </w:r>
      <w:r w:rsidR="00B23C38" w:rsidRPr="00620AFB">
        <w:rPr>
          <w:rFonts w:cs="Arial"/>
        </w:rPr>
        <w:t xml:space="preserve"> 6</w:t>
      </w:r>
      <w:r w:rsidRPr="00620AFB">
        <w:rPr>
          <w:rFonts w:cs="Arial"/>
        </w:rPr>
        <w:t>.</w:t>
      </w:r>
      <w:r w:rsidRPr="00F24769">
        <w:rPr>
          <w:rFonts w:cs="Arial"/>
          <w:color w:val="FF0000"/>
        </w:rPr>
        <w:t xml:space="preserve"> </w:t>
      </w:r>
    </w:p>
    <w:p w14:paraId="55A6C5EF" w14:textId="36183091" w:rsidR="005576DE" w:rsidRDefault="005576DE">
      <w:pPr>
        <w:rPr>
          <w:rFonts w:cs="Arial"/>
          <w:b/>
        </w:rPr>
      </w:pPr>
    </w:p>
    <w:p w14:paraId="031307F6" w14:textId="12E13164" w:rsidR="00307D58" w:rsidRPr="00620AFB" w:rsidRDefault="003B029F" w:rsidP="003145E6">
      <w:pPr>
        <w:spacing w:after="120"/>
        <w:rPr>
          <w:rFonts w:cs="Arial"/>
          <w:b/>
        </w:rPr>
      </w:pPr>
      <w:r w:rsidRPr="00620AFB">
        <w:rPr>
          <w:rFonts w:cs="Arial"/>
          <w:b/>
        </w:rPr>
        <w:t>8.</w:t>
      </w:r>
      <w:r w:rsidR="00151040" w:rsidRPr="00620AFB">
        <w:rPr>
          <w:rFonts w:cs="Arial"/>
          <w:b/>
        </w:rPr>
        <w:t>6</w:t>
      </w:r>
      <w:r w:rsidR="008820ED" w:rsidRPr="00620AFB">
        <w:rPr>
          <w:rFonts w:cs="Arial"/>
          <w:b/>
        </w:rPr>
        <w:t xml:space="preserve"> </w:t>
      </w:r>
      <w:r w:rsidR="00307D58" w:rsidRPr="00620AFB">
        <w:rPr>
          <w:rFonts w:cs="Arial"/>
          <w:b/>
        </w:rPr>
        <w:t>Business Continuity</w:t>
      </w:r>
      <w:r w:rsidR="006A3892" w:rsidRPr="00620AFB">
        <w:rPr>
          <w:rFonts w:cs="Arial"/>
          <w:b/>
        </w:rPr>
        <w:t xml:space="preserve"> </w:t>
      </w:r>
    </w:p>
    <w:p w14:paraId="386E4AF7" w14:textId="77777777" w:rsidR="005576DE" w:rsidRPr="00620AFB" w:rsidRDefault="005576DE" w:rsidP="005576DE">
      <w:pPr>
        <w:rPr>
          <w:rFonts w:cs="Arial"/>
        </w:rPr>
      </w:pPr>
    </w:p>
    <w:p w14:paraId="008C7667" w14:textId="44E24B44" w:rsidR="005576DE" w:rsidRDefault="005576DE" w:rsidP="005576DE">
      <w:pPr>
        <w:rPr>
          <w:rFonts w:cs="Arial"/>
        </w:rPr>
      </w:pPr>
      <w:r w:rsidRPr="00620AFB">
        <w:rPr>
          <w:rFonts w:cs="Arial"/>
        </w:rPr>
        <w:t>The Supplier shall have business continuity and disaster recovery plans in place to maintain or quickly resume any services provided to DVLA and shall maintain compliance with relevant legislation.</w:t>
      </w:r>
    </w:p>
    <w:p w14:paraId="0086E9A8" w14:textId="6C946362" w:rsidR="006A3892" w:rsidRDefault="0073185D">
      <w:pPr>
        <w:rPr>
          <w:rFonts w:cs="Arial"/>
          <w:b/>
        </w:rPr>
      </w:pPr>
      <w:r>
        <w:rPr>
          <w:rFonts w:cs="Arial"/>
          <w:b/>
        </w:rPr>
        <w:t xml:space="preserve"> </w:t>
      </w:r>
    </w:p>
    <w:p w14:paraId="0582DC34" w14:textId="4E6264EF" w:rsidR="006F21BC" w:rsidRDefault="003B029F" w:rsidP="003145E6">
      <w:pPr>
        <w:spacing w:after="120"/>
        <w:rPr>
          <w:rFonts w:cs="Arial"/>
          <w:b/>
          <w:color w:val="FF0000"/>
        </w:rPr>
      </w:pPr>
      <w:r w:rsidRPr="00620AFB">
        <w:rPr>
          <w:rFonts w:cs="Arial"/>
          <w:b/>
        </w:rPr>
        <w:t>8.</w:t>
      </w:r>
      <w:r w:rsidR="00151040" w:rsidRPr="00620AFB">
        <w:rPr>
          <w:rFonts w:cs="Arial"/>
          <w:b/>
        </w:rPr>
        <w:t>7</w:t>
      </w:r>
      <w:r w:rsidR="008820ED" w:rsidRPr="00620AFB">
        <w:rPr>
          <w:rFonts w:cs="Arial"/>
          <w:b/>
        </w:rPr>
        <w:t xml:space="preserve"> </w:t>
      </w:r>
      <w:r w:rsidR="006F21BC" w:rsidRPr="00620AFB">
        <w:rPr>
          <w:rFonts w:cs="Arial"/>
          <w:b/>
        </w:rPr>
        <w:t>Procurement Fraud</w:t>
      </w:r>
      <w:r w:rsidR="006A3892">
        <w:rPr>
          <w:rFonts w:cs="Arial"/>
          <w:b/>
        </w:rPr>
        <w:t xml:space="preserve"> </w:t>
      </w:r>
    </w:p>
    <w:p w14:paraId="3A317E58" w14:textId="77777777" w:rsidR="00770C10" w:rsidRDefault="00770C10" w:rsidP="00770C10">
      <w:pPr>
        <w:tabs>
          <w:tab w:val="left" w:pos="3645"/>
        </w:tabs>
        <w:jc w:val="center"/>
        <w:rPr>
          <w:rFonts w:cs="Arial"/>
          <w:sz w:val="28"/>
          <w:szCs w:val="28"/>
        </w:rPr>
      </w:pPr>
      <w:r w:rsidRPr="00193C7D">
        <w:rPr>
          <w:rFonts w:cs="Arial"/>
          <w:sz w:val="28"/>
          <w:szCs w:val="28"/>
        </w:rPr>
        <w:t xml:space="preserve">Procurement </w:t>
      </w:r>
      <w:r>
        <w:rPr>
          <w:rFonts w:cs="Arial"/>
          <w:sz w:val="28"/>
          <w:szCs w:val="28"/>
        </w:rPr>
        <w:t xml:space="preserve">Counter </w:t>
      </w:r>
      <w:r w:rsidRPr="00193C7D">
        <w:rPr>
          <w:rFonts w:cs="Arial"/>
          <w:sz w:val="28"/>
          <w:szCs w:val="28"/>
        </w:rPr>
        <w:t>Fraud</w:t>
      </w:r>
      <w:r>
        <w:rPr>
          <w:rFonts w:cs="Arial"/>
          <w:sz w:val="28"/>
          <w:szCs w:val="28"/>
        </w:rPr>
        <w:t xml:space="preserve"> and Bribery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70C10" w:rsidRPr="009945AC" w14:paraId="408AEE9C" w14:textId="77777777" w:rsidTr="003F51E4">
        <w:tc>
          <w:tcPr>
            <w:tcW w:w="9576" w:type="dxa"/>
          </w:tcPr>
          <w:p w14:paraId="17C8D894" w14:textId="77777777" w:rsidR="00770C10" w:rsidRPr="009945AC" w:rsidRDefault="00770C10" w:rsidP="003F51E4">
            <w:pPr>
              <w:tabs>
                <w:tab w:val="left" w:pos="3645"/>
              </w:tabs>
              <w:jc w:val="center"/>
              <w:rPr>
                <w:rFonts w:cs="Arial"/>
                <w:b/>
                <w:szCs w:val="24"/>
              </w:rPr>
            </w:pPr>
          </w:p>
          <w:p w14:paraId="0F295ABE" w14:textId="77777777" w:rsidR="00770C10" w:rsidRPr="009945AC" w:rsidRDefault="00770C10" w:rsidP="003F51E4">
            <w:pPr>
              <w:tabs>
                <w:tab w:val="left" w:pos="3645"/>
              </w:tabs>
              <w:jc w:val="center"/>
              <w:rPr>
                <w:rFonts w:cs="Arial"/>
                <w:szCs w:val="24"/>
              </w:rPr>
            </w:pPr>
            <w:r w:rsidRPr="009945AC">
              <w:rPr>
                <w:rFonts w:cs="Arial"/>
                <w:b/>
                <w:szCs w:val="24"/>
              </w:rPr>
              <w:t>The Driver and Vehicle Licensing Agency (DVLA) adopts a zero tolerance approach to procurement fraud</w:t>
            </w:r>
            <w:r>
              <w:rPr>
                <w:rFonts w:cs="Arial"/>
                <w:b/>
                <w:szCs w:val="24"/>
              </w:rPr>
              <w:t xml:space="preserve"> and bribery</w:t>
            </w:r>
            <w:r w:rsidRPr="009945AC">
              <w:rPr>
                <w:rFonts w:cs="Arial"/>
                <w:b/>
                <w:szCs w:val="24"/>
              </w:rPr>
              <w:t>.</w:t>
            </w:r>
          </w:p>
        </w:tc>
      </w:tr>
    </w:tbl>
    <w:p w14:paraId="2CF0AA5E" w14:textId="77777777" w:rsidR="00770C10" w:rsidRDefault="00770C10" w:rsidP="00770C10">
      <w:pPr>
        <w:tabs>
          <w:tab w:val="left" w:pos="3645"/>
        </w:tabs>
        <w:rPr>
          <w:rFonts w:cs="Arial"/>
          <w:szCs w:val="24"/>
        </w:rPr>
      </w:pPr>
    </w:p>
    <w:p w14:paraId="27C4ADDE" w14:textId="77777777" w:rsidR="00770C10" w:rsidRDefault="00770C10" w:rsidP="00770C10">
      <w:pPr>
        <w:tabs>
          <w:tab w:val="left" w:pos="3645"/>
        </w:tabs>
        <w:rPr>
          <w:rFonts w:cs="Arial"/>
          <w:szCs w:val="24"/>
        </w:rPr>
      </w:pPr>
      <w:r>
        <w:rPr>
          <w:rFonts w:cs="Arial"/>
          <w:szCs w:val="24"/>
        </w:rPr>
        <w:t xml:space="preserve">A counter fraud and bribery culture has been embedded at DVLA and is actively promoted amongst all staff, including procurement specialists. </w:t>
      </w:r>
    </w:p>
    <w:p w14:paraId="3F4EEFB2" w14:textId="77777777" w:rsidR="00770C10" w:rsidRDefault="00770C10" w:rsidP="00770C10">
      <w:pPr>
        <w:tabs>
          <w:tab w:val="left" w:pos="3645"/>
        </w:tabs>
        <w:rPr>
          <w:rFonts w:cs="Arial"/>
          <w:szCs w:val="24"/>
        </w:rPr>
      </w:pPr>
      <w:r>
        <w:rPr>
          <w:rFonts w:cs="Arial"/>
          <w:szCs w:val="24"/>
        </w:rPr>
        <w:t>DVLA is committed to continually improve the awareness and understanding of its staff to actively prevent, deter and detect procurement fraud and bribery.</w:t>
      </w:r>
    </w:p>
    <w:p w14:paraId="524E5588" w14:textId="77777777" w:rsidR="00770C10" w:rsidRDefault="00770C10" w:rsidP="00770C10">
      <w:pPr>
        <w:tabs>
          <w:tab w:val="left" w:pos="3645"/>
        </w:tabs>
        <w:rPr>
          <w:rFonts w:cs="Arial"/>
          <w:szCs w:val="24"/>
        </w:rPr>
      </w:pPr>
      <w:r>
        <w:rPr>
          <w:rFonts w:cs="Arial"/>
          <w:szCs w:val="24"/>
        </w:rPr>
        <w:t>DVLA expects the highest standards of conduct and integrity from its staff, potential suppliers and its contractors. Individuals and organisations have a responsibility, in deterring procurement fraud and bribery and to report any instances where it is suspected or detected.</w:t>
      </w:r>
    </w:p>
    <w:p w14:paraId="22342264" w14:textId="77777777" w:rsidR="00770C10" w:rsidRDefault="00770C10" w:rsidP="00770C10">
      <w:pPr>
        <w:tabs>
          <w:tab w:val="left" w:pos="3645"/>
        </w:tabs>
        <w:rPr>
          <w:rFonts w:cs="Arial"/>
          <w:szCs w:val="24"/>
        </w:rPr>
      </w:pPr>
      <w:r>
        <w:rPr>
          <w:rFonts w:cs="Arial"/>
          <w:szCs w:val="24"/>
        </w:rPr>
        <w:t>DVLA requires potential suppliers and its contractors to;</w:t>
      </w:r>
    </w:p>
    <w:p w14:paraId="451823F4" w14:textId="77777777" w:rsidR="00770C10" w:rsidRDefault="00770C10" w:rsidP="00770C10">
      <w:pPr>
        <w:pStyle w:val="ListParagraph"/>
        <w:numPr>
          <w:ilvl w:val="0"/>
          <w:numId w:val="47"/>
        </w:numPr>
        <w:tabs>
          <w:tab w:val="left" w:pos="709"/>
        </w:tabs>
        <w:spacing w:after="120"/>
        <w:rPr>
          <w:rFonts w:ascii="Arial" w:hAnsi="Arial" w:cs="Arial"/>
          <w:sz w:val="24"/>
          <w:szCs w:val="24"/>
        </w:rPr>
      </w:pPr>
      <w:r>
        <w:rPr>
          <w:rFonts w:ascii="Arial" w:hAnsi="Arial" w:cs="Arial"/>
          <w:sz w:val="24"/>
          <w:szCs w:val="24"/>
        </w:rPr>
        <w:t>act with integrity, propriety, honesty, objectivity, accountability and openness,</w:t>
      </w:r>
    </w:p>
    <w:p w14:paraId="4A28285F" w14:textId="77777777" w:rsidR="00770C10" w:rsidRPr="00476DE8" w:rsidRDefault="00770C10" w:rsidP="00770C10">
      <w:pPr>
        <w:pStyle w:val="ListParagraph"/>
        <w:numPr>
          <w:ilvl w:val="0"/>
          <w:numId w:val="47"/>
        </w:numPr>
        <w:tabs>
          <w:tab w:val="left" w:pos="709"/>
        </w:tabs>
        <w:spacing w:after="120"/>
        <w:ind w:left="714" w:hanging="357"/>
        <w:rPr>
          <w:rFonts w:ascii="Arial" w:hAnsi="Arial" w:cs="Arial"/>
          <w:sz w:val="24"/>
          <w:szCs w:val="24"/>
        </w:rPr>
      </w:pPr>
      <w:r w:rsidRPr="00476DE8">
        <w:rPr>
          <w:rFonts w:ascii="Arial" w:hAnsi="Arial" w:cs="Arial"/>
          <w:sz w:val="24"/>
          <w:szCs w:val="24"/>
        </w:rPr>
        <w:t xml:space="preserve">take all reasonable steps, in accordance with Good Industry Practice, to prevent </w:t>
      </w:r>
      <w:r>
        <w:rPr>
          <w:rFonts w:ascii="Arial" w:hAnsi="Arial" w:cs="Arial"/>
          <w:sz w:val="24"/>
          <w:szCs w:val="24"/>
        </w:rPr>
        <w:t>f</w:t>
      </w:r>
      <w:r w:rsidRPr="00476DE8">
        <w:rPr>
          <w:rFonts w:ascii="Arial" w:hAnsi="Arial" w:cs="Arial"/>
          <w:sz w:val="24"/>
          <w:szCs w:val="24"/>
        </w:rPr>
        <w:t>raud</w:t>
      </w:r>
      <w:r>
        <w:rPr>
          <w:rFonts w:ascii="Arial" w:hAnsi="Arial" w:cs="Arial"/>
          <w:sz w:val="24"/>
          <w:szCs w:val="24"/>
        </w:rPr>
        <w:t xml:space="preserve"> and bribery</w:t>
      </w:r>
      <w:r w:rsidRPr="00476DE8">
        <w:rPr>
          <w:rFonts w:ascii="Arial" w:hAnsi="Arial" w:cs="Arial"/>
          <w:sz w:val="24"/>
          <w:szCs w:val="24"/>
        </w:rPr>
        <w:t xml:space="preserve"> by </w:t>
      </w:r>
      <w:r>
        <w:rPr>
          <w:rFonts w:ascii="Arial" w:hAnsi="Arial" w:cs="Arial"/>
          <w:sz w:val="24"/>
          <w:szCs w:val="24"/>
        </w:rPr>
        <w:t>its s</w:t>
      </w:r>
      <w:r w:rsidRPr="00476DE8">
        <w:rPr>
          <w:rFonts w:ascii="Arial" w:hAnsi="Arial" w:cs="Arial"/>
          <w:sz w:val="24"/>
          <w:szCs w:val="24"/>
        </w:rPr>
        <w:t>taff</w:t>
      </w:r>
      <w:r>
        <w:rPr>
          <w:rFonts w:ascii="Arial" w:hAnsi="Arial" w:cs="Arial"/>
          <w:sz w:val="24"/>
          <w:szCs w:val="24"/>
        </w:rPr>
        <w:t xml:space="preserve"> and any sub-contractors,</w:t>
      </w:r>
    </w:p>
    <w:p w14:paraId="01A1B176" w14:textId="77777777" w:rsidR="00770C10" w:rsidRDefault="00770C10" w:rsidP="00770C10">
      <w:pPr>
        <w:pStyle w:val="ListParagraph"/>
        <w:numPr>
          <w:ilvl w:val="0"/>
          <w:numId w:val="47"/>
        </w:numPr>
        <w:tabs>
          <w:tab w:val="left" w:pos="709"/>
        </w:tabs>
        <w:spacing w:after="120"/>
        <w:ind w:left="714" w:hanging="357"/>
        <w:rPr>
          <w:rFonts w:ascii="Arial" w:hAnsi="Arial" w:cs="Arial"/>
          <w:sz w:val="24"/>
          <w:szCs w:val="24"/>
        </w:rPr>
      </w:pPr>
      <w:r>
        <w:rPr>
          <w:rFonts w:ascii="Arial" w:hAnsi="Arial" w:cs="Arial"/>
          <w:sz w:val="24"/>
          <w:szCs w:val="24"/>
        </w:rPr>
        <w:t>actively avoid, prevent and deter any behaviour or activity that might be considered as collusion, i.e. operating a cartel, bid rigging, bid suppression, cover bidding, bid rotation, market division and price fixing;</w:t>
      </w:r>
    </w:p>
    <w:p w14:paraId="3321B364" w14:textId="77777777" w:rsidR="00770C10" w:rsidRDefault="00770C10" w:rsidP="00770C10">
      <w:pPr>
        <w:pStyle w:val="ListParagraph"/>
        <w:numPr>
          <w:ilvl w:val="0"/>
          <w:numId w:val="47"/>
        </w:numPr>
        <w:tabs>
          <w:tab w:val="left" w:pos="709"/>
        </w:tabs>
        <w:spacing w:after="120"/>
        <w:ind w:left="714" w:hanging="357"/>
        <w:rPr>
          <w:rFonts w:ascii="Arial" w:hAnsi="Arial" w:cs="Arial"/>
          <w:sz w:val="24"/>
          <w:szCs w:val="24"/>
        </w:rPr>
      </w:pPr>
      <w:r>
        <w:rPr>
          <w:rFonts w:ascii="Arial" w:hAnsi="Arial" w:cs="Arial"/>
          <w:sz w:val="24"/>
          <w:szCs w:val="24"/>
        </w:rPr>
        <w:lastRenderedPageBreak/>
        <w:t>actively avoid, prevent and deter any behaviour or activity that might be considered as bribery or corruption, in contravention of The Bribery Act 2010, e.g. paying a sum of money, or other inducement, directly or indirectly to any person/s in relation to any DVLA contract or tender for goods, works or services;</w:t>
      </w:r>
    </w:p>
    <w:p w14:paraId="2EEBCDA9" w14:textId="77777777" w:rsidR="00770C10" w:rsidRDefault="00770C10" w:rsidP="00770C10">
      <w:pPr>
        <w:pStyle w:val="ListParagraph"/>
        <w:numPr>
          <w:ilvl w:val="0"/>
          <w:numId w:val="47"/>
        </w:numPr>
        <w:tabs>
          <w:tab w:val="left" w:pos="709"/>
        </w:tabs>
        <w:spacing w:after="120"/>
        <w:ind w:left="714" w:hanging="357"/>
        <w:rPr>
          <w:rFonts w:ascii="Arial" w:hAnsi="Arial" w:cs="Arial"/>
          <w:sz w:val="24"/>
          <w:szCs w:val="24"/>
        </w:rPr>
      </w:pPr>
      <w:r>
        <w:rPr>
          <w:rFonts w:ascii="Arial" w:hAnsi="Arial" w:cs="Arial"/>
          <w:sz w:val="24"/>
          <w:szCs w:val="24"/>
        </w:rPr>
        <w:t>declare any conflict of interest that might arise before, during or after a procurement process,</w:t>
      </w:r>
    </w:p>
    <w:p w14:paraId="273D9291" w14:textId="77777777" w:rsidR="00770C10" w:rsidRDefault="00770C10" w:rsidP="00770C10">
      <w:pPr>
        <w:pStyle w:val="ListParagraph"/>
        <w:numPr>
          <w:ilvl w:val="0"/>
          <w:numId w:val="47"/>
        </w:numPr>
        <w:tabs>
          <w:tab w:val="left" w:pos="709"/>
        </w:tabs>
        <w:spacing w:after="120"/>
        <w:ind w:left="714" w:hanging="357"/>
        <w:rPr>
          <w:rFonts w:ascii="Arial" w:hAnsi="Arial" w:cs="Arial"/>
          <w:sz w:val="24"/>
          <w:szCs w:val="24"/>
        </w:rPr>
      </w:pPr>
      <w:r>
        <w:rPr>
          <w:rFonts w:ascii="Arial" w:hAnsi="Arial" w:cs="Arial"/>
          <w:sz w:val="24"/>
          <w:szCs w:val="24"/>
        </w:rPr>
        <w:t>provide and maintain accurate contract performance records/data,</w:t>
      </w:r>
    </w:p>
    <w:p w14:paraId="002C8F6C" w14:textId="77777777" w:rsidR="00770C10" w:rsidRDefault="00770C10" w:rsidP="00770C10">
      <w:pPr>
        <w:pStyle w:val="ListParagraph"/>
        <w:numPr>
          <w:ilvl w:val="0"/>
          <w:numId w:val="47"/>
        </w:numPr>
        <w:tabs>
          <w:tab w:val="left" w:pos="709"/>
        </w:tabs>
        <w:spacing w:after="120"/>
        <w:ind w:left="714" w:hanging="357"/>
        <w:rPr>
          <w:rFonts w:ascii="Arial" w:hAnsi="Arial" w:cs="Arial"/>
          <w:sz w:val="24"/>
          <w:szCs w:val="24"/>
        </w:rPr>
      </w:pPr>
      <w:r>
        <w:rPr>
          <w:rFonts w:ascii="Arial" w:hAnsi="Arial" w:cs="Arial"/>
          <w:sz w:val="24"/>
          <w:szCs w:val="24"/>
        </w:rPr>
        <w:t>provide and maintain accurate financial documentation, e.g. invoices,</w:t>
      </w:r>
    </w:p>
    <w:p w14:paraId="4886C9AF" w14:textId="77777777" w:rsidR="00770C10" w:rsidRDefault="00770C10" w:rsidP="00770C10">
      <w:pPr>
        <w:tabs>
          <w:tab w:val="left" w:pos="3645"/>
        </w:tabs>
        <w:rPr>
          <w:rFonts w:cs="Arial"/>
          <w:szCs w:val="24"/>
        </w:rPr>
      </w:pPr>
    </w:p>
    <w:p w14:paraId="75F41D8B" w14:textId="77777777" w:rsidR="00770C10" w:rsidRDefault="00770C10" w:rsidP="00770C10">
      <w:pPr>
        <w:tabs>
          <w:tab w:val="left" w:pos="3645"/>
        </w:tabs>
        <w:rPr>
          <w:rFonts w:cs="Arial"/>
          <w:szCs w:val="24"/>
        </w:rPr>
      </w:pPr>
      <w:r>
        <w:rPr>
          <w:rFonts w:cs="Arial"/>
          <w:szCs w:val="24"/>
        </w:rPr>
        <w:t>DVLA requires its staff to;</w:t>
      </w:r>
    </w:p>
    <w:p w14:paraId="311E61AC" w14:textId="77777777" w:rsidR="00770C10" w:rsidRDefault="00770C10" w:rsidP="00770C10">
      <w:pPr>
        <w:pStyle w:val="ListParagraph"/>
        <w:numPr>
          <w:ilvl w:val="0"/>
          <w:numId w:val="45"/>
        </w:numPr>
        <w:tabs>
          <w:tab w:val="left" w:pos="709"/>
        </w:tabs>
        <w:spacing w:after="120"/>
        <w:ind w:left="714" w:hanging="357"/>
        <w:rPr>
          <w:rFonts w:ascii="Arial" w:hAnsi="Arial" w:cs="Arial"/>
          <w:sz w:val="24"/>
          <w:szCs w:val="24"/>
        </w:rPr>
      </w:pPr>
      <w:r>
        <w:rPr>
          <w:rFonts w:ascii="Arial" w:hAnsi="Arial" w:cs="Arial"/>
          <w:sz w:val="24"/>
          <w:szCs w:val="24"/>
        </w:rPr>
        <w:t>act with integrity, propriety, honesty, objectivity, accountability and openness,</w:t>
      </w:r>
    </w:p>
    <w:p w14:paraId="7595C6D8" w14:textId="77777777" w:rsidR="00770C10" w:rsidRDefault="00770C10" w:rsidP="00770C10">
      <w:pPr>
        <w:pStyle w:val="ListParagraph"/>
        <w:numPr>
          <w:ilvl w:val="0"/>
          <w:numId w:val="45"/>
        </w:numPr>
        <w:tabs>
          <w:tab w:val="left" w:pos="709"/>
        </w:tabs>
        <w:spacing w:after="120"/>
        <w:ind w:left="714" w:hanging="357"/>
        <w:rPr>
          <w:rFonts w:ascii="Arial" w:hAnsi="Arial" w:cs="Arial"/>
          <w:sz w:val="24"/>
          <w:szCs w:val="24"/>
        </w:rPr>
      </w:pPr>
      <w:r>
        <w:rPr>
          <w:rFonts w:ascii="Arial" w:hAnsi="Arial" w:cs="Arial"/>
          <w:sz w:val="24"/>
          <w:szCs w:val="24"/>
        </w:rPr>
        <w:t>be alert to the possibility that unusual events or transactions could be indicators of procurement fraud and bribery,</w:t>
      </w:r>
    </w:p>
    <w:p w14:paraId="0DFA31A0" w14:textId="77777777" w:rsidR="00770C10" w:rsidRDefault="00770C10" w:rsidP="00770C10">
      <w:pPr>
        <w:pStyle w:val="ListParagraph"/>
        <w:numPr>
          <w:ilvl w:val="0"/>
          <w:numId w:val="45"/>
        </w:numPr>
        <w:tabs>
          <w:tab w:val="left" w:pos="709"/>
        </w:tabs>
        <w:spacing w:after="120"/>
        <w:ind w:left="714" w:hanging="357"/>
        <w:rPr>
          <w:rFonts w:ascii="Arial" w:hAnsi="Arial" w:cs="Arial"/>
          <w:sz w:val="24"/>
          <w:szCs w:val="24"/>
        </w:rPr>
      </w:pPr>
      <w:r>
        <w:rPr>
          <w:rFonts w:ascii="Arial" w:hAnsi="Arial" w:cs="Arial"/>
          <w:sz w:val="24"/>
          <w:szCs w:val="24"/>
        </w:rPr>
        <w:t>report details immediately through the appropriate channel if procurement fraud and bribery is suspected,</w:t>
      </w:r>
    </w:p>
    <w:p w14:paraId="524E82FE" w14:textId="77777777" w:rsidR="00770C10" w:rsidRPr="009F631E" w:rsidRDefault="00770C10" w:rsidP="00770C10">
      <w:pPr>
        <w:pStyle w:val="ListParagraph"/>
        <w:numPr>
          <w:ilvl w:val="0"/>
          <w:numId w:val="45"/>
        </w:numPr>
        <w:tabs>
          <w:tab w:val="left" w:pos="709"/>
        </w:tabs>
        <w:spacing w:after="120" w:line="360" w:lineRule="auto"/>
        <w:ind w:left="714" w:hanging="357"/>
        <w:rPr>
          <w:rFonts w:ascii="Arial" w:hAnsi="Arial" w:cs="Arial"/>
          <w:sz w:val="24"/>
          <w:szCs w:val="24"/>
        </w:rPr>
      </w:pPr>
      <w:r w:rsidRPr="009F631E">
        <w:rPr>
          <w:rFonts w:ascii="Arial" w:hAnsi="Arial" w:cs="Arial"/>
          <w:sz w:val="24"/>
          <w:szCs w:val="24"/>
        </w:rPr>
        <w:t>Co-operate fully with the DVLA Counter Fraud</w:t>
      </w:r>
      <w:r>
        <w:rPr>
          <w:rFonts w:ascii="Arial" w:hAnsi="Arial" w:cs="Arial"/>
          <w:sz w:val="24"/>
          <w:szCs w:val="24"/>
        </w:rPr>
        <w:t xml:space="preserve"> &amp; Intelligence</w:t>
      </w:r>
      <w:r w:rsidRPr="009F631E">
        <w:rPr>
          <w:rFonts w:ascii="Arial" w:hAnsi="Arial" w:cs="Arial"/>
          <w:sz w:val="24"/>
          <w:szCs w:val="24"/>
        </w:rPr>
        <w:t xml:space="preserve"> Team.</w:t>
      </w:r>
    </w:p>
    <w:p w14:paraId="29042922" w14:textId="77777777" w:rsidR="00770C10" w:rsidRDefault="00770C10" w:rsidP="00770C10">
      <w:pPr>
        <w:tabs>
          <w:tab w:val="left" w:pos="3645"/>
        </w:tabs>
        <w:spacing w:line="360" w:lineRule="auto"/>
        <w:rPr>
          <w:rFonts w:cs="Arial"/>
          <w:szCs w:val="24"/>
        </w:rPr>
      </w:pPr>
      <w:r>
        <w:rPr>
          <w:rFonts w:cs="Arial"/>
          <w:szCs w:val="24"/>
        </w:rPr>
        <w:t>In addition, DVLA requires its procurement specialists to;</w:t>
      </w:r>
    </w:p>
    <w:p w14:paraId="1FAAD58B" w14:textId="77777777" w:rsidR="00770C10" w:rsidRPr="00E93F88" w:rsidRDefault="00770C10" w:rsidP="00770C10">
      <w:pPr>
        <w:pStyle w:val="ListParagraph"/>
        <w:numPr>
          <w:ilvl w:val="0"/>
          <w:numId w:val="46"/>
        </w:numPr>
        <w:tabs>
          <w:tab w:val="left" w:pos="709"/>
        </w:tabs>
        <w:spacing w:after="120"/>
        <w:ind w:left="714" w:hanging="357"/>
        <w:rPr>
          <w:rFonts w:ascii="Arial" w:hAnsi="Arial" w:cs="Arial"/>
          <w:sz w:val="24"/>
          <w:szCs w:val="24"/>
        </w:rPr>
      </w:pPr>
      <w:r w:rsidRPr="00E93F88">
        <w:rPr>
          <w:rFonts w:ascii="Arial" w:hAnsi="Arial" w:cs="Arial"/>
          <w:sz w:val="24"/>
          <w:szCs w:val="24"/>
        </w:rPr>
        <w:t xml:space="preserve">prevent, deter and detect </w:t>
      </w:r>
      <w:r>
        <w:rPr>
          <w:rFonts w:ascii="Arial" w:hAnsi="Arial" w:cs="Arial"/>
          <w:sz w:val="24"/>
          <w:szCs w:val="24"/>
        </w:rPr>
        <w:t xml:space="preserve">procurement </w:t>
      </w:r>
      <w:r w:rsidRPr="00E93F88">
        <w:rPr>
          <w:rFonts w:ascii="Arial" w:hAnsi="Arial" w:cs="Arial"/>
          <w:sz w:val="24"/>
          <w:szCs w:val="24"/>
        </w:rPr>
        <w:t>fraud</w:t>
      </w:r>
      <w:r>
        <w:rPr>
          <w:rFonts w:ascii="Arial" w:hAnsi="Arial" w:cs="Arial"/>
          <w:sz w:val="24"/>
          <w:szCs w:val="24"/>
        </w:rPr>
        <w:t xml:space="preserve"> and bribery</w:t>
      </w:r>
      <w:r w:rsidRPr="00E93F88">
        <w:rPr>
          <w:rFonts w:ascii="Arial" w:hAnsi="Arial" w:cs="Arial"/>
          <w:sz w:val="24"/>
          <w:szCs w:val="24"/>
        </w:rPr>
        <w:t>,</w:t>
      </w:r>
    </w:p>
    <w:p w14:paraId="77CF0751" w14:textId="77777777" w:rsidR="00770C10" w:rsidRPr="00E93F88" w:rsidRDefault="00770C10" w:rsidP="00770C10">
      <w:pPr>
        <w:pStyle w:val="ListParagraph"/>
        <w:numPr>
          <w:ilvl w:val="0"/>
          <w:numId w:val="46"/>
        </w:numPr>
        <w:tabs>
          <w:tab w:val="left" w:pos="709"/>
        </w:tabs>
        <w:spacing w:after="120"/>
        <w:ind w:left="714" w:hanging="357"/>
        <w:rPr>
          <w:rFonts w:ascii="Arial" w:hAnsi="Arial" w:cs="Arial"/>
          <w:sz w:val="24"/>
          <w:szCs w:val="24"/>
        </w:rPr>
      </w:pPr>
      <w:r w:rsidRPr="00E93F88">
        <w:rPr>
          <w:rFonts w:ascii="Arial" w:hAnsi="Arial" w:cs="Arial"/>
          <w:sz w:val="24"/>
          <w:szCs w:val="24"/>
        </w:rPr>
        <w:t>ensure adequate control</w:t>
      </w:r>
      <w:r>
        <w:rPr>
          <w:rFonts w:ascii="Arial" w:hAnsi="Arial" w:cs="Arial"/>
          <w:sz w:val="24"/>
          <w:szCs w:val="24"/>
        </w:rPr>
        <w:t xml:space="preserve"> measures</w:t>
      </w:r>
      <w:r w:rsidRPr="00E93F88">
        <w:rPr>
          <w:rFonts w:ascii="Arial" w:hAnsi="Arial" w:cs="Arial"/>
          <w:sz w:val="24"/>
          <w:szCs w:val="24"/>
        </w:rPr>
        <w:t xml:space="preserve"> exist</w:t>
      </w:r>
      <w:r>
        <w:rPr>
          <w:rFonts w:ascii="Arial" w:hAnsi="Arial" w:cs="Arial"/>
          <w:sz w:val="24"/>
          <w:szCs w:val="24"/>
        </w:rPr>
        <w:t xml:space="preserve"> </w:t>
      </w:r>
      <w:r w:rsidRPr="00E93F88">
        <w:rPr>
          <w:rFonts w:ascii="Arial" w:hAnsi="Arial" w:cs="Arial"/>
          <w:sz w:val="24"/>
          <w:szCs w:val="24"/>
        </w:rPr>
        <w:t>and operate effectively,</w:t>
      </w:r>
    </w:p>
    <w:p w14:paraId="5C5895C0" w14:textId="77777777" w:rsidR="00770C10" w:rsidRPr="00E93F88" w:rsidRDefault="00770C10" w:rsidP="00770C10">
      <w:pPr>
        <w:pStyle w:val="ListParagraph"/>
        <w:numPr>
          <w:ilvl w:val="0"/>
          <w:numId w:val="46"/>
        </w:numPr>
        <w:tabs>
          <w:tab w:val="left" w:pos="709"/>
        </w:tabs>
        <w:spacing w:after="120"/>
        <w:ind w:left="714" w:hanging="357"/>
        <w:rPr>
          <w:rFonts w:ascii="Arial" w:hAnsi="Arial" w:cs="Arial"/>
          <w:sz w:val="24"/>
          <w:szCs w:val="24"/>
        </w:rPr>
      </w:pPr>
      <w:r w:rsidRPr="00E93F88">
        <w:rPr>
          <w:rFonts w:ascii="Arial" w:hAnsi="Arial" w:cs="Arial"/>
          <w:sz w:val="24"/>
          <w:szCs w:val="24"/>
        </w:rPr>
        <w:t>assess the risk of procurement fraud</w:t>
      </w:r>
      <w:r>
        <w:rPr>
          <w:rFonts w:ascii="Arial" w:hAnsi="Arial" w:cs="Arial"/>
          <w:sz w:val="24"/>
          <w:szCs w:val="24"/>
        </w:rPr>
        <w:t xml:space="preserve"> and bribery</w:t>
      </w:r>
      <w:r w:rsidRPr="00E93F88">
        <w:rPr>
          <w:rFonts w:ascii="Arial" w:hAnsi="Arial" w:cs="Arial"/>
          <w:sz w:val="24"/>
          <w:szCs w:val="24"/>
        </w:rPr>
        <w:t>,</w:t>
      </w:r>
    </w:p>
    <w:p w14:paraId="4D75D32C" w14:textId="77777777" w:rsidR="00770C10" w:rsidRDefault="00770C10" w:rsidP="00770C10">
      <w:pPr>
        <w:pStyle w:val="ListParagraph"/>
        <w:numPr>
          <w:ilvl w:val="0"/>
          <w:numId w:val="46"/>
        </w:numPr>
        <w:tabs>
          <w:tab w:val="left" w:pos="709"/>
        </w:tabs>
        <w:spacing w:after="120"/>
        <w:ind w:left="714" w:hanging="357"/>
        <w:rPr>
          <w:rFonts w:ascii="Arial" w:hAnsi="Arial" w:cs="Arial"/>
          <w:sz w:val="24"/>
          <w:szCs w:val="24"/>
        </w:rPr>
      </w:pPr>
      <w:r w:rsidRPr="00E93F88">
        <w:rPr>
          <w:rFonts w:ascii="Arial" w:hAnsi="Arial" w:cs="Arial"/>
          <w:sz w:val="24"/>
          <w:szCs w:val="24"/>
        </w:rPr>
        <w:t>regul</w:t>
      </w:r>
      <w:r>
        <w:rPr>
          <w:rFonts w:ascii="Arial" w:hAnsi="Arial" w:cs="Arial"/>
          <w:sz w:val="24"/>
          <w:szCs w:val="24"/>
        </w:rPr>
        <w:t xml:space="preserve">arly review and test </w:t>
      </w:r>
      <w:r w:rsidRPr="00E93F88">
        <w:rPr>
          <w:rFonts w:ascii="Arial" w:hAnsi="Arial" w:cs="Arial"/>
          <w:sz w:val="24"/>
          <w:szCs w:val="24"/>
        </w:rPr>
        <w:t>control</w:t>
      </w:r>
      <w:r>
        <w:rPr>
          <w:rFonts w:ascii="Arial" w:hAnsi="Arial" w:cs="Arial"/>
          <w:sz w:val="24"/>
          <w:szCs w:val="24"/>
        </w:rPr>
        <w:t xml:space="preserve"> measures and </w:t>
      </w:r>
      <w:r w:rsidRPr="007372A7">
        <w:rPr>
          <w:rFonts w:ascii="Arial" w:hAnsi="Arial" w:cs="Arial"/>
          <w:sz w:val="24"/>
          <w:szCs w:val="24"/>
        </w:rPr>
        <w:t>implement new control measures where necessary.</w:t>
      </w:r>
    </w:p>
    <w:p w14:paraId="3C331274" w14:textId="77777777" w:rsidR="00770C10" w:rsidRPr="007372A7" w:rsidRDefault="00770C10" w:rsidP="00770C10">
      <w:pPr>
        <w:pStyle w:val="ListParagraph"/>
        <w:tabs>
          <w:tab w:val="left" w:pos="709"/>
        </w:tabs>
        <w:spacing w:after="120"/>
        <w:ind w:left="357"/>
        <w:rPr>
          <w:rFonts w:ascii="Arial" w:hAnsi="Arial" w:cs="Arial"/>
          <w:sz w:val="24"/>
          <w:szCs w:val="24"/>
        </w:rPr>
      </w:pPr>
    </w:p>
    <w:p w14:paraId="0E57D352" w14:textId="77777777" w:rsidR="00770C10" w:rsidRDefault="00770C10" w:rsidP="00770C10">
      <w:pPr>
        <w:tabs>
          <w:tab w:val="left" w:pos="3645"/>
        </w:tabs>
        <w:rPr>
          <w:rFonts w:cs="Arial"/>
          <w:szCs w:val="24"/>
        </w:rPr>
      </w:pPr>
      <w:r>
        <w:rPr>
          <w:rFonts w:cs="Arial"/>
          <w:szCs w:val="24"/>
        </w:rPr>
        <w:t>DVLA has a zero tolerance approach to procurement fraud and bribery. If procurement fraud or bribery is identified or suspected, please contact us, in confidence, immediately on the following numbers:</w:t>
      </w:r>
    </w:p>
    <w:p w14:paraId="3502678F" w14:textId="77777777" w:rsidR="00620AFB" w:rsidRPr="00476DE8" w:rsidRDefault="00620AFB" w:rsidP="00770C10">
      <w:pPr>
        <w:tabs>
          <w:tab w:val="left" w:pos="3645"/>
        </w:tabs>
        <w:rPr>
          <w:rFonts w:cs="Arial"/>
          <w:szCs w:val="24"/>
        </w:rPr>
      </w:pPr>
    </w:p>
    <w:p w14:paraId="5A52A8D6" w14:textId="77777777" w:rsidR="00770C10" w:rsidRPr="0099615C" w:rsidRDefault="00770C10" w:rsidP="00770C10">
      <w:pPr>
        <w:tabs>
          <w:tab w:val="left" w:pos="3645"/>
        </w:tabs>
        <w:rPr>
          <w:rFonts w:cs="Arial"/>
          <w:b/>
          <w:sz w:val="28"/>
          <w:szCs w:val="28"/>
        </w:rPr>
      </w:pPr>
      <w:r w:rsidRPr="0099615C">
        <w:rPr>
          <w:rFonts w:cs="Arial"/>
          <w:b/>
          <w:sz w:val="28"/>
          <w:szCs w:val="28"/>
        </w:rPr>
        <w:t>DVLA Counter Fraud &amp; Intelligence Team – 01792 782650</w:t>
      </w:r>
    </w:p>
    <w:p w14:paraId="3023EE7D" w14:textId="384BA2E7" w:rsidR="00770C10" w:rsidRDefault="00770C10" w:rsidP="00770C10">
      <w:pPr>
        <w:tabs>
          <w:tab w:val="left" w:pos="3645"/>
        </w:tabs>
        <w:rPr>
          <w:rFonts w:cs="Arial"/>
          <w:szCs w:val="24"/>
        </w:rPr>
      </w:pPr>
      <w:r w:rsidRPr="0099615C">
        <w:rPr>
          <w:rFonts w:cs="Arial"/>
          <w:b/>
          <w:sz w:val="28"/>
          <w:szCs w:val="28"/>
        </w:rPr>
        <w:t>DVLA Whistle-blowing Hotline – 01792 788883</w:t>
      </w:r>
      <w:r w:rsidR="00620AFB">
        <w:rPr>
          <w:rFonts w:cs="Arial"/>
          <w:b/>
          <w:sz w:val="28"/>
          <w:szCs w:val="28"/>
        </w:rPr>
        <w:br/>
      </w:r>
    </w:p>
    <w:p w14:paraId="6D80F598" w14:textId="77777777" w:rsidR="00770C10" w:rsidRDefault="00770C10" w:rsidP="00770C10">
      <w:pPr>
        <w:tabs>
          <w:tab w:val="left" w:pos="3645"/>
        </w:tabs>
        <w:rPr>
          <w:rFonts w:cs="Arial"/>
          <w:szCs w:val="24"/>
        </w:rPr>
      </w:pPr>
      <w:r>
        <w:rPr>
          <w:rFonts w:cs="Arial"/>
          <w:szCs w:val="24"/>
        </w:rPr>
        <w:t>If procurement fraud or bribery is suspected, DVLA will consider and investigate and may report the matter to:</w:t>
      </w:r>
    </w:p>
    <w:p w14:paraId="075AAD4D" w14:textId="77777777" w:rsidR="00770C10" w:rsidRPr="007E46CC" w:rsidRDefault="00770C10" w:rsidP="00770C10">
      <w:pPr>
        <w:numPr>
          <w:ilvl w:val="0"/>
          <w:numId w:val="48"/>
        </w:numPr>
        <w:tabs>
          <w:tab w:val="left" w:pos="709"/>
        </w:tabs>
        <w:spacing w:after="200"/>
        <w:rPr>
          <w:rFonts w:cs="Arial"/>
          <w:szCs w:val="24"/>
        </w:rPr>
      </w:pPr>
      <w:r w:rsidRPr="007E46CC">
        <w:rPr>
          <w:rFonts w:cs="Arial"/>
          <w:szCs w:val="24"/>
        </w:rPr>
        <w:t>Agency Fraud Officers;</w:t>
      </w:r>
    </w:p>
    <w:p w14:paraId="3CB717CC" w14:textId="77777777" w:rsidR="00770C10" w:rsidRDefault="00770C10" w:rsidP="00770C10">
      <w:pPr>
        <w:numPr>
          <w:ilvl w:val="0"/>
          <w:numId w:val="48"/>
        </w:numPr>
        <w:tabs>
          <w:tab w:val="left" w:pos="709"/>
        </w:tabs>
        <w:spacing w:after="200"/>
        <w:rPr>
          <w:rFonts w:cs="Arial"/>
          <w:szCs w:val="24"/>
        </w:rPr>
      </w:pPr>
      <w:r>
        <w:rPr>
          <w:rFonts w:cs="Arial"/>
          <w:szCs w:val="24"/>
        </w:rPr>
        <w:t>the Police and share with counter fraud organisations;</w:t>
      </w:r>
    </w:p>
    <w:p w14:paraId="5718C91F" w14:textId="77777777" w:rsidR="00770C10" w:rsidRDefault="00770C10" w:rsidP="00770C10">
      <w:pPr>
        <w:tabs>
          <w:tab w:val="left" w:pos="709"/>
        </w:tabs>
        <w:rPr>
          <w:rFonts w:cs="Arial"/>
          <w:szCs w:val="24"/>
        </w:rPr>
      </w:pPr>
      <w:r>
        <w:rPr>
          <w:rFonts w:cs="Arial"/>
          <w:szCs w:val="24"/>
        </w:rPr>
        <w:t xml:space="preserve">If procurement fraud or bribery is proven (i.e. sanctioned), DVLA may: </w:t>
      </w:r>
    </w:p>
    <w:p w14:paraId="6CE88632" w14:textId="77777777" w:rsidR="00770C10" w:rsidRDefault="00770C10" w:rsidP="00770C10">
      <w:pPr>
        <w:numPr>
          <w:ilvl w:val="0"/>
          <w:numId w:val="48"/>
        </w:numPr>
        <w:tabs>
          <w:tab w:val="left" w:pos="709"/>
        </w:tabs>
        <w:spacing w:after="200"/>
        <w:rPr>
          <w:rFonts w:cs="Arial"/>
          <w:szCs w:val="24"/>
        </w:rPr>
      </w:pPr>
      <w:r>
        <w:rPr>
          <w:rFonts w:cs="Arial"/>
          <w:szCs w:val="24"/>
        </w:rPr>
        <w:t>exclude a potential supplier from a procurement procedure,</w:t>
      </w:r>
    </w:p>
    <w:p w14:paraId="2F71277F" w14:textId="77777777" w:rsidR="00770C10" w:rsidRPr="00A42306" w:rsidRDefault="00770C10" w:rsidP="00770C10">
      <w:pPr>
        <w:numPr>
          <w:ilvl w:val="0"/>
          <w:numId w:val="48"/>
        </w:numPr>
        <w:tabs>
          <w:tab w:val="left" w:pos="709"/>
        </w:tabs>
        <w:spacing w:after="200"/>
        <w:rPr>
          <w:rFonts w:cs="Arial"/>
          <w:szCs w:val="24"/>
        </w:rPr>
      </w:pPr>
      <w:r>
        <w:rPr>
          <w:rFonts w:cs="Arial"/>
          <w:szCs w:val="24"/>
        </w:rPr>
        <w:t>suspend or terminate a contract with a supplier,</w:t>
      </w:r>
    </w:p>
    <w:p w14:paraId="23050C61" w14:textId="77777777" w:rsidR="00770C10" w:rsidRDefault="00770C10" w:rsidP="00770C10">
      <w:pPr>
        <w:numPr>
          <w:ilvl w:val="0"/>
          <w:numId w:val="48"/>
        </w:numPr>
        <w:tabs>
          <w:tab w:val="left" w:pos="709"/>
        </w:tabs>
        <w:spacing w:after="200"/>
        <w:rPr>
          <w:rFonts w:cs="Arial"/>
          <w:szCs w:val="24"/>
        </w:rPr>
      </w:pPr>
      <w:r>
        <w:rPr>
          <w:rFonts w:cs="Arial"/>
          <w:szCs w:val="24"/>
        </w:rPr>
        <w:t>take steps to recover financial losses.</w:t>
      </w:r>
    </w:p>
    <w:p w14:paraId="13B8A588" w14:textId="77777777" w:rsidR="00770C10" w:rsidRDefault="00770C10" w:rsidP="00770C10">
      <w:pPr>
        <w:tabs>
          <w:tab w:val="left" w:pos="3645"/>
        </w:tabs>
        <w:rPr>
          <w:rFonts w:cs="Arial"/>
          <w:szCs w:val="24"/>
        </w:rPr>
      </w:pPr>
    </w:p>
    <w:p w14:paraId="08467370" w14:textId="03206BE2" w:rsidR="00F62D65" w:rsidRPr="00F24769" w:rsidRDefault="00F62D65" w:rsidP="006F21BC">
      <w:pPr>
        <w:rPr>
          <w:rFonts w:cs="Arial"/>
          <w:color w:val="FF0000"/>
        </w:rPr>
      </w:pPr>
    </w:p>
    <w:p w14:paraId="3EB5446F" w14:textId="143E1AC3" w:rsidR="00BB0055" w:rsidRDefault="00BB0055">
      <w:pPr>
        <w:rPr>
          <w:rFonts w:cs="Arial"/>
          <w:b/>
        </w:rPr>
      </w:pPr>
    </w:p>
    <w:p w14:paraId="465062ED" w14:textId="00BFCA73" w:rsidR="00BB0055" w:rsidRDefault="00BB0055" w:rsidP="00BB0055">
      <w:pPr>
        <w:spacing w:after="120"/>
        <w:rPr>
          <w:rFonts w:cs="Arial"/>
          <w:b/>
        </w:rPr>
      </w:pPr>
      <w:r w:rsidRPr="00BB0055">
        <w:rPr>
          <w:rFonts w:cs="Arial"/>
          <w:b/>
        </w:rPr>
        <w:t>8.</w:t>
      </w:r>
      <w:r w:rsidR="00151040">
        <w:rPr>
          <w:rFonts w:cs="Arial"/>
          <w:b/>
        </w:rPr>
        <w:t>8</w:t>
      </w:r>
      <w:r w:rsidR="008820ED" w:rsidRPr="00BB0055">
        <w:rPr>
          <w:rFonts w:cs="Arial"/>
          <w:b/>
        </w:rPr>
        <w:t xml:space="preserve"> </w:t>
      </w:r>
      <w:r w:rsidRPr="00BB0055">
        <w:rPr>
          <w:rFonts w:cs="Arial"/>
          <w:b/>
        </w:rPr>
        <w:t>Use of DVLA Brands, Logos and Trademarks</w:t>
      </w:r>
    </w:p>
    <w:p w14:paraId="1FC24857" w14:textId="68DC75EB" w:rsidR="00BB0055" w:rsidRPr="00BB0055" w:rsidRDefault="00BB0055" w:rsidP="00BB0055">
      <w:pPr>
        <w:spacing w:after="120"/>
        <w:rPr>
          <w:rFonts w:cs="Arial"/>
        </w:rPr>
      </w:pPr>
      <w:r w:rsidRPr="00BB0055">
        <w:rPr>
          <w:rFonts w:cs="Arial"/>
        </w:rPr>
        <w:t xml:space="preserve">The </w:t>
      </w:r>
      <w:r w:rsidR="00F339F1">
        <w:rPr>
          <w:rFonts w:cs="Arial"/>
        </w:rPr>
        <w:t>DVLA</w:t>
      </w:r>
      <w:r w:rsidRPr="00BB0055">
        <w:rPr>
          <w:rFonts w:cs="Arial"/>
        </w:rPr>
        <w:t xml:space="preserve"> does not grant the successful </w:t>
      </w:r>
      <w:r w:rsidR="00874C87">
        <w:rPr>
          <w:rFonts w:cs="Arial"/>
        </w:rPr>
        <w:t>S</w:t>
      </w:r>
      <w:r w:rsidRPr="00BB0055">
        <w:rPr>
          <w:rFonts w:cs="Arial"/>
        </w:rPr>
        <w:t xml:space="preserve">upplier licence to use any of the </w:t>
      </w:r>
      <w:r w:rsidR="00F339F1">
        <w:rPr>
          <w:rFonts w:cs="Arial"/>
        </w:rPr>
        <w:t>DVLA’s</w:t>
      </w:r>
      <w:r w:rsidRPr="00BB0055">
        <w:rPr>
          <w:rFonts w:cs="Arial"/>
        </w:rPr>
        <w:t xml:space="preserve"> brands, logos or trademarks except for use in communications or official contract </w:t>
      </w:r>
      <w:r w:rsidR="009C0A08" w:rsidRPr="00BB0055">
        <w:rPr>
          <w:rFonts w:cs="Arial"/>
        </w:rPr>
        <w:t>documentation, which</w:t>
      </w:r>
      <w:r w:rsidRPr="00BB0055">
        <w:rPr>
          <w:rFonts w:cs="Arial"/>
        </w:rPr>
        <w:t xml:space="preserve"> is exchanged between the </w:t>
      </w:r>
      <w:r w:rsidR="00F339F1">
        <w:rPr>
          <w:rFonts w:cs="Arial"/>
        </w:rPr>
        <w:t>DVLA</w:t>
      </w:r>
      <w:r w:rsidRPr="00BB0055">
        <w:rPr>
          <w:rFonts w:cs="Arial"/>
        </w:rPr>
        <w:t xml:space="preserve"> and the successful </w:t>
      </w:r>
      <w:r w:rsidR="00874C87">
        <w:rPr>
          <w:rFonts w:cs="Arial"/>
        </w:rPr>
        <w:t>Supplier</w:t>
      </w:r>
      <w:r w:rsidRPr="00BB0055">
        <w:rPr>
          <w:rFonts w:cs="Arial"/>
        </w:rPr>
        <w:t xml:space="preserve"> as part of their fulfilment of the Contract.</w:t>
      </w:r>
    </w:p>
    <w:p w14:paraId="2C1A49A4" w14:textId="53005C47" w:rsidR="00BB0055" w:rsidRDefault="00BB0055" w:rsidP="00BB0055">
      <w:pPr>
        <w:spacing w:after="120"/>
        <w:rPr>
          <w:rFonts w:cs="Arial"/>
        </w:rPr>
      </w:pPr>
      <w:r w:rsidRPr="00BB0055">
        <w:rPr>
          <w:rFonts w:cs="Arial"/>
        </w:rPr>
        <w:t xml:space="preserve">Approval for any further specific use of the </w:t>
      </w:r>
      <w:r w:rsidR="00F339F1">
        <w:rPr>
          <w:rFonts w:cs="Arial"/>
        </w:rPr>
        <w:t>DVLA’s</w:t>
      </w:r>
      <w:r w:rsidRPr="00BB0055">
        <w:rPr>
          <w:rFonts w:cs="Arial"/>
        </w:rPr>
        <w:t xml:space="preserve"> brands, logos or trademarks must be requested and obtained in writing from the </w:t>
      </w:r>
      <w:r w:rsidR="00F339F1">
        <w:rPr>
          <w:rFonts w:cs="Arial"/>
        </w:rPr>
        <w:t>DVLA</w:t>
      </w:r>
      <w:r w:rsidRPr="00BB0055">
        <w:rPr>
          <w:rFonts w:cs="Arial"/>
        </w:rPr>
        <w:t>.</w:t>
      </w:r>
    </w:p>
    <w:p w14:paraId="58A2E7C4" w14:textId="04F4076C" w:rsidR="00416B3F" w:rsidRDefault="00416B3F">
      <w:pPr>
        <w:rPr>
          <w:rFonts w:cs="Arial"/>
          <w:b/>
          <w:highlight w:val="yellow"/>
        </w:rPr>
      </w:pPr>
    </w:p>
    <w:p w14:paraId="443724E0" w14:textId="326E16E1" w:rsidR="00901BF0" w:rsidRDefault="00AD7785" w:rsidP="00901BF0">
      <w:pPr>
        <w:spacing w:after="120"/>
        <w:rPr>
          <w:rFonts w:cs="Arial"/>
          <w:b/>
        </w:rPr>
      </w:pPr>
      <w:r w:rsidRPr="00EC67AA">
        <w:rPr>
          <w:rFonts w:cs="Arial"/>
          <w:b/>
        </w:rPr>
        <w:t>8.</w:t>
      </w:r>
      <w:r w:rsidR="00151040">
        <w:rPr>
          <w:rFonts w:cs="Arial"/>
          <w:b/>
        </w:rPr>
        <w:t>9</w:t>
      </w:r>
      <w:r w:rsidR="008820ED" w:rsidRPr="00EC67AA">
        <w:rPr>
          <w:rFonts w:cs="Arial"/>
          <w:b/>
        </w:rPr>
        <w:t xml:space="preserve"> </w:t>
      </w:r>
      <w:r w:rsidRPr="00EC67AA">
        <w:rPr>
          <w:rFonts w:cs="Arial"/>
          <w:b/>
        </w:rPr>
        <w:t>Welsh Language Scheme Requirements</w:t>
      </w:r>
      <w:r w:rsidR="00772A27" w:rsidRPr="00772A27">
        <w:rPr>
          <w:rFonts w:cs="Arial"/>
          <w:b/>
        </w:rPr>
        <w:t xml:space="preserve"> </w:t>
      </w:r>
    </w:p>
    <w:p w14:paraId="17C8A2C9" w14:textId="17E195A9" w:rsidR="00901BF0" w:rsidRPr="00901BF0" w:rsidRDefault="00901BF0" w:rsidP="00901BF0">
      <w:pPr>
        <w:spacing w:after="120"/>
        <w:rPr>
          <w:rFonts w:cs="Arial"/>
          <w:b/>
        </w:rPr>
      </w:pPr>
      <w:r w:rsidRPr="00901BF0">
        <w:rPr>
          <w:rFonts w:cs="Arial"/>
          <w:bCs/>
        </w:rPr>
        <w:t>Not Applicable</w:t>
      </w:r>
    </w:p>
    <w:p w14:paraId="61B26512" w14:textId="13DC60E6" w:rsidR="00411969" w:rsidRDefault="00411969" w:rsidP="005E1C74">
      <w:pPr>
        <w:rPr>
          <w:rFonts w:cs="Arial"/>
        </w:rPr>
      </w:pPr>
    </w:p>
    <w:p w14:paraId="204CCCC7" w14:textId="29F3D876" w:rsidR="00411969" w:rsidRDefault="00411969" w:rsidP="00411969">
      <w:pPr>
        <w:rPr>
          <w:rFonts w:cs="Arial"/>
          <w:b/>
        </w:rPr>
      </w:pPr>
      <w:r w:rsidRPr="00EC67AA">
        <w:rPr>
          <w:rFonts w:cs="Arial"/>
          <w:b/>
        </w:rPr>
        <w:t>8.</w:t>
      </w:r>
      <w:r w:rsidR="008820ED" w:rsidRPr="00EC67AA">
        <w:rPr>
          <w:rFonts w:cs="Arial"/>
          <w:b/>
        </w:rPr>
        <w:t>1</w:t>
      </w:r>
      <w:r w:rsidR="00151040">
        <w:rPr>
          <w:rFonts w:cs="Arial"/>
          <w:b/>
        </w:rPr>
        <w:t>0</w:t>
      </w:r>
      <w:r w:rsidR="008820ED" w:rsidRPr="00EC67AA">
        <w:rPr>
          <w:rFonts w:cs="Arial"/>
          <w:b/>
        </w:rPr>
        <w:t xml:space="preserve"> </w:t>
      </w:r>
      <w:r w:rsidRPr="00EC67AA">
        <w:rPr>
          <w:rFonts w:cs="Arial"/>
          <w:b/>
        </w:rPr>
        <w:t>Delivery Instructions – Goods Inward</w:t>
      </w:r>
    </w:p>
    <w:p w14:paraId="0D4A12A6" w14:textId="77777777" w:rsidR="00901BF0" w:rsidRPr="00901BF0" w:rsidRDefault="00901BF0" w:rsidP="00411969">
      <w:pPr>
        <w:rPr>
          <w:rFonts w:cs="Arial"/>
          <w:b/>
        </w:rPr>
      </w:pPr>
    </w:p>
    <w:p w14:paraId="3CA1BE87" w14:textId="5A6F47FE" w:rsidR="002E5D75" w:rsidRDefault="00901BF0" w:rsidP="002C022E">
      <w:pPr>
        <w:rPr>
          <w:rFonts w:cs="Arial"/>
          <w:szCs w:val="24"/>
        </w:rPr>
      </w:pPr>
      <w:r>
        <w:rPr>
          <w:rFonts w:cs="Arial"/>
          <w:szCs w:val="24"/>
        </w:rPr>
        <w:t>Not Applicable</w:t>
      </w:r>
    </w:p>
    <w:p w14:paraId="2EBC7833" w14:textId="77777777" w:rsidR="00901BF0" w:rsidRDefault="00901BF0" w:rsidP="002C022E">
      <w:pPr>
        <w:rPr>
          <w:rFonts w:cs="Arial"/>
          <w:szCs w:val="24"/>
        </w:rPr>
      </w:pPr>
    </w:p>
    <w:p w14:paraId="56385AD8" w14:textId="77777777" w:rsidR="00901BF0" w:rsidRDefault="00901BF0" w:rsidP="002C022E">
      <w:pPr>
        <w:rPr>
          <w:rFonts w:cs="Arial"/>
          <w:szCs w:val="24"/>
        </w:rPr>
      </w:pPr>
    </w:p>
    <w:p w14:paraId="70CC0853" w14:textId="19E38DE1" w:rsidR="002C022E" w:rsidRDefault="002C022E" w:rsidP="002C022E">
      <w:pPr>
        <w:rPr>
          <w:rFonts w:cs="Arial"/>
          <w:b/>
        </w:rPr>
      </w:pPr>
      <w:bookmarkStart w:id="213" w:name="_Hlk115775072"/>
      <w:r w:rsidRPr="00EC67AA">
        <w:rPr>
          <w:rFonts w:cs="Arial"/>
          <w:b/>
        </w:rPr>
        <w:t>8.</w:t>
      </w:r>
      <w:r w:rsidR="008820ED" w:rsidRPr="00EC67AA">
        <w:rPr>
          <w:rFonts w:cs="Arial"/>
          <w:b/>
        </w:rPr>
        <w:t>1</w:t>
      </w:r>
      <w:r w:rsidR="00151040">
        <w:rPr>
          <w:rFonts w:cs="Arial"/>
          <w:b/>
        </w:rPr>
        <w:t>1</w:t>
      </w:r>
      <w:r w:rsidR="008820ED" w:rsidRPr="00EC67AA">
        <w:rPr>
          <w:rFonts w:cs="Arial"/>
          <w:b/>
        </w:rPr>
        <w:t xml:space="preserve"> </w:t>
      </w:r>
      <w:r w:rsidRPr="00EC67AA">
        <w:rPr>
          <w:rFonts w:cs="Arial"/>
          <w:b/>
        </w:rPr>
        <w:t xml:space="preserve">Accessibility </w:t>
      </w:r>
    </w:p>
    <w:p w14:paraId="0F47B2D9" w14:textId="77777777" w:rsidR="00901BF0" w:rsidRDefault="00901BF0" w:rsidP="002C022E">
      <w:pPr>
        <w:rPr>
          <w:rFonts w:cs="Arial"/>
          <w:b/>
        </w:rPr>
      </w:pPr>
    </w:p>
    <w:p w14:paraId="63D13ED9" w14:textId="3CCA6FBE" w:rsidR="00901BF0" w:rsidRPr="00901BF0" w:rsidRDefault="00901BF0" w:rsidP="002C022E">
      <w:pPr>
        <w:rPr>
          <w:rFonts w:cs="Arial"/>
          <w:bCs/>
          <w:color w:val="FF0000"/>
        </w:rPr>
      </w:pPr>
      <w:r w:rsidRPr="00901BF0">
        <w:rPr>
          <w:rFonts w:cs="Arial"/>
          <w:bCs/>
        </w:rPr>
        <w:t>Not Applicable</w:t>
      </w:r>
    </w:p>
    <w:bookmarkEnd w:id="213"/>
    <w:p w14:paraId="6364A563" w14:textId="77777777" w:rsidR="00641073" w:rsidRDefault="00641073" w:rsidP="00CD2F4F">
      <w:pPr>
        <w:pStyle w:val="Heading2"/>
        <w:tabs>
          <w:tab w:val="clear" w:pos="0"/>
          <w:tab w:val="left" w:pos="-180"/>
          <w:tab w:val="num" w:pos="747"/>
          <w:tab w:val="num" w:pos="1080"/>
        </w:tabs>
        <w:spacing w:before="0"/>
        <w:ind w:left="-142"/>
      </w:pPr>
    </w:p>
    <w:p w14:paraId="2532A7F9" w14:textId="2BA13B17" w:rsidR="001A236D" w:rsidRPr="000F2E21" w:rsidRDefault="000F2E21" w:rsidP="00476BAD">
      <w:pPr>
        <w:pStyle w:val="Heading2"/>
        <w:tabs>
          <w:tab w:val="clear" w:pos="0"/>
          <w:tab w:val="left" w:pos="-180"/>
          <w:tab w:val="num" w:pos="747"/>
          <w:tab w:val="num" w:pos="1080"/>
        </w:tabs>
        <w:ind w:left="-142"/>
      </w:pPr>
      <w:bookmarkStart w:id="214" w:name="_Toc158968210"/>
      <w:r>
        <w:t xml:space="preserve">9. </w:t>
      </w:r>
      <w:bookmarkStart w:id="215" w:name="_Hlk134523991"/>
      <w:r w:rsidR="001A236D" w:rsidRPr="000F2E21">
        <w:t>Management and Contract Administration</w:t>
      </w:r>
      <w:bookmarkEnd w:id="215"/>
      <w:bookmarkEnd w:id="214"/>
    </w:p>
    <w:p w14:paraId="565FA130" w14:textId="77777777" w:rsidR="00041FC6" w:rsidRDefault="00041FC6" w:rsidP="00640CBA">
      <w:pPr>
        <w:tabs>
          <w:tab w:val="left" w:pos="-142"/>
        </w:tabs>
        <w:ind w:left="-142"/>
        <w:rPr>
          <w:rFonts w:cs="Arial"/>
        </w:rPr>
      </w:pPr>
    </w:p>
    <w:p w14:paraId="08C49E1E" w14:textId="3CAE435B" w:rsidR="009F348D" w:rsidRDefault="009F348D" w:rsidP="002D0CB5">
      <w:pPr>
        <w:ind w:left="-142"/>
        <w:jc w:val="both"/>
        <w:rPr>
          <w:rFonts w:cs="Arial"/>
        </w:rPr>
      </w:pPr>
      <w:bookmarkStart w:id="216" w:name="_Toc408585086"/>
      <w:bookmarkStart w:id="217" w:name="_Toc177969175"/>
      <w:bookmarkStart w:id="218" w:name="_Toc180380674"/>
      <w:r w:rsidRPr="00775EAC">
        <w:rPr>
          <w:rFonts w:cs="Arial"/>
          <w:b/>
        </w:rPr>
        <w:t>Subcontracting to Small and Medium Enterprises (SMEs)</w:t>
      </w:r>
      <w:r w:rsidR="00775EAC" w:rsidRPr="00775EAC">
        <w:rPr>
          <w:rFonts w:cs="Arial"/>
          <w:b/>
        </w:rPr>
        <w:t>:</w:t>
      </w:r>
      <w:bookmarkEnd w:id="216"/>
    </w:p>
    <w:p w14:paraId="79F2A4CF" w14:textId="77777777" w:rsidR="002D0CB5" w:rsidRPr="002D0CB5" w:rsidRDefault="002D0CB5" w:rsidP="002D0CB5">
      <w:pPr>
        <w:ind w:left="-142"/>
        <w:jc w:val="both"/>
        <w:rPr>
          <w:rFonts w:cs="Arial"/>
        </w:rPr>
      </w:pPr>
    </w:p>
    <w:p w14:paraId="6CA99714" w14:textId="7ADF089D" w:rsidR="009F348D" w:rsidRDefault="00B00D3E" w:rsidP="002D0CB5">
      <w:pPr>
        <w:tabs>
          <w:tab w:val="left" w:pos="-180"/>
        </w:tabs>
        <w:ind w:left="-180"/>
      </w:pPr>
      <w:r>
        <w:t>DVLA</w:t>
      </w:r>
      <w:r w:rsidR="009F348D" w:rsidRPr="00CC29EC">
        <w:t xml:space="preserve"> is committed to removing barriers to SME participation in its contracts, and would like to </w:t>
      </w:r>
      <w:r w:rsidR="009F348D">
        <w:t xml:space="preserve">also </w:t>
      </w:r>
      <w:r w:rsidR="009F348D" w:rsidRPr="00CC29EC">
        <w:t xml:space="preserve">actively encourage its larger </w:t>
      </w:r>
      <w:r w:rsidR="00313FCF">
        <w:t>suppliers</w:t>
      </w:r>
      <w:r w:rsidR="009F348D" w:rsidRPr="00CC29EC">
        <w:t xml:space="preserve"> to make their subcont</w:t>
      </w:r>
      <w:r w:rsidR="00343F71">
        <w:t>r</w:t>
      </w:r>
      <w:r w:rsidR="009F348D" w:rsidRPr="00CC29EC">
        <w:t>acts accessible to smaller companies and implement SME-friendly policies in their supply-chains (see</w:t>
      </w:r>
      <w:r w:rsidR="00B25974">
        <w:t xml:space="preserve"> the Gov.Uk</w:t>
      </w:r>
      <w:r w:rsidR="009F348D" w:rsidRPr="00CC29EC">
        <w:t xml:space="preserve"> </w:t>
      </w:r>
      <w:hyperlink r:id="rId12" w:history="1">
        <w:r w:rsidR="009F348D" w:rsidRPr="00F837D5">
          <w:rPr>
            <w:rStyle w:val="Hyperlink"/>
          </w:rPr>
          <w:t>website</w:t>
        </w:r>
      </w:hyperlink>
      <w:r w:rsidR="009F348D" w:rsidRPr="00CC29EC">
        <w:t xml:space="preserve"> for further information). </w:t>
      </w:r>
    </w:p>
    <w:p w14:paraId="79913735" w14:textId="77777777" w:rsidR="009F348D" w:rsidRDefault="009F348D" w:rsidP="008D63EC">
      <w:pPr>
        <w:tabs>
          <w:tab w:val="left" w:pos="-180"/>
        </w:tabs>
        <w:ind w:left="-180"/>
      </w:pPr>
      <w:r w:rsidRPr="00CC29EC">
        <w:t xml:space="preserve">To help us measure the volume of business we do with SMEs, </w:t>
      </w:r>
      <w:r>
        <w:t xml:space="preserve">our Form of Tender document </w:t>
      </w:r>
      <w:r w:rsidRPr="00CC29EC">
        <w:t>ask</w:t>
      </w:r>
      <w:r>
        <w:t>s</w:t>
      </w:r>
      <w:r w:rsidRPr="00CC29EC">
        <w:t xml:space="preserve"> about </w:t>
      </w:r>
      <w:r>
        <w:t xml:space="preserve">the size of your own organisation and those in </w:t>
      </w:r>
      <w:r w:rsidRPr="00CC29EC">
        <w:t>your supply chain</w:t>
      </w:r>
      <w:r>
        <w:t>.</w:t>
      </w:r>
      <w:r w:rsidRPr="00CC29EC">
        <w:t xml:space="preserve"> </w:t>
      </w:r>
    </w:p>
    <w:p w14:paraId="52FFDC32" w14:textId="77777777" w:rsidR="009F348D" w:rsidRDefault="009F348D" w:rsidP="008D63EC">
      <w:pPr>
        <w:tabs>
          <w:tab w:val="left" w:pos="-180"/>
        </w:tabs>
        <w:ind w:left="-180"/>
      </w:pPr>
    </w:p>
    <w:p w14:paraId="3CAF5264" w14:textId="6A1F3003" w:rsidR="001A236D" w:rsidRDefault="009F348D" w:rsidP="009424D8">
      <w:pPr>
        <w:tabs>
          <w:tab w:val="left" w:pos="-180"/>
        </w:tabs>
        <w:ind w:left="-180"/>
      </w:pPr>
      <w:r w:rsidRPr="00CC29EC">
        <w:t>If you tell us you are likely to subcontract to SMEs, and are awarded this contract, we will send you a short questionnaire asking for further information</w:t>
      </w:r>
      <w:r>
        <w:t xml:space="preserve">. This data will help us contribute towards Government targets on the use of SMEs. We </w:t>
      </w:r>
      <w:r w:rsidRPr="00CC29EC">
        <w:t xml:space="preserve">may </w:t>
      </w:r>
      <w:r>
        <w:t xml:space="preserve">also </w:t>
      </w:r>
      <w:r w:rsidRPr="00CC29EC">
        <w:t>publish success stories and examples of good practice.</w:t>
      </w:r>
      <w:bookmarkEnd w:id="217"/>
      <w:bookmarkEnd w:id="218"/>
    </w:p>
    <w:p w14:paraId="2CF89335" w14:textId="77777777" w:rsidR="009424D8" w:rsidRDefault="009424D8" w:rsidP="009424D8">
      <w:pPr>
        <w:tabs>
          <w:tab w:val="left" w:pos="-180"/>
        </w:tabs>
        <w:ind w:left="-180"/>
      </w:pPr>
    </w:p>
    <w:p w14:paraId="61C16086" w14:textId="77777777" w:rsidR="00901BF0" w:rsidRDefault="005358B8" w:rsidP="00901BF0">
      <w:pPr>
        <w:pStyle w:val="Heading2"/>
        <w:tabs>
          <w:tab w:val="left" w:pos="-180"/>
          <w:tab w:val="num" w:pos="747"/>
          <w:tab w:val="num" w:pos="1080"/>
        </w:tabs>
        <w:ind w:left="-180"/>
      </w:pPr>
      <w:bookmarkStart w:id="219" w:name="_Toc177969176"/>
      <w:bookmarkStart w:id="220" w:name="_Toc180380675"/>
      <w:bookmarkStart w:id="221" w:name="_Toc158968211"/>
      <w:r w:rsidRPr="00EC67AA">
        <w:t>10</w:t>
      </w:r>
      <w:r w:rsidR="00904F8C" w:rsidRPr="00EC67AA">
        <w:t xml:space="preserve">. </w:t>
      </w:r>
      <w:r w:rsidR="001A236D" w:rsidRPr="00EC67AA">
        <w:t>Training / Skills / Knowledge Transfer</w:t>
      </w:r>
      <w:bookmarkEnd w:id="219"/>
      <w:bookmarkEnd w:id="220"/>
      <w:bookmarkEnd w:id="221"/>
      <w:r w:rsidR="001A236D" w:rsidRPr="000E1435">
        <w:t xml:space="preserve"> </w:t>
      </w:r>
    </w:p>
    <w:p w14:paraId="04C97E8E" w14:textId="34D16FF9" w:rsidR="001A236D" w:rsidRPr="00901BF0" w:rsidRDefault="00901BF0" w:rsidP="00901BF0">
      <w:pPr>
        <w:pStyle w:val="Heading2"/>
        <w:tabs>
          <w:tab w:val="left" w:pos="-180"/>
          <w:tab w:val="num" w:pos="747"/>
          <w:tab w:val="num" w:pos="1080"/>
        </w:tabs>
        <w:ind w:left="-180"/>
        <w:rPr>
          <w:b w:val="0"/>
          <w:bCs/>
        </w:rPr>
      </w:pPr>
      <w:bookmarkStart w:id="222" w:name="_Toc158968212"/>
      <w:bookmarkStart w:id="223" w:name="_Hlk158017440"/>
      <w:r w:rsidRPr="00901BF0">
        <w:rPr>
          <w:b w:val="0"/>
          <w:bCs/>
          <w:sz w:val="24"/>
          <w:szCs w:val="24"/>
        </w:rPr>
        <w:t>Not Applicable</w:t>
      </w:r>
      <w:bookmarkEnd w:id="222"/>
    </w:p>
    <w:bookmarkEnd w:id="223"/>
    <w:p w14:paraId="4108C15D" w14:textId="77777777" w:rsidR="009424D8" w:rsidRDefault="009424D8" w:rsidP="009D6479">
      <w:pPr>
        <w:tabs>
          <w:tab w:val="left" w:pos="-180"/>
        </w:tabs>
        <w:ind w:left="-181"/>
        <w:rPr>
          <w:bCs/>
        </w:rPr>
      </w:pPr>
    </w:p>
    <w:p w14:paraId="2BD2BAC1" w14:textId="77777777" w:rsidR="00901BF0" w:rsidRDefault="005358B8" w:rsidP="00901BF0">
      <w:pPr>
        <w:pStyle w:val="Heading2"/>
        <w:tabs>
          <w:tab w:val="left" w:pos="-180"/>
          <w:tab w:val="num" w:pos="747"/>
          <w:tab w:val="num" w:pos="1080"/>
        </w:tabs>
        <w:ind w:left="-180"/>
      </w:pPr>
      <w:bookmarkStart w:id="224" w:name="_Toc177969177"/>
      <w:bookmarkStart w:id="225" w:name="_Toc180380676"/>
      <w:bookmarkStart w:id="226" w:name="_Toc158968213"/>
      <w:r w:rsidRPr="00EC67AA">
        <w:lastRenderedPageBreak/>
        <w:t>11</w:t>
      </w:r>
      <w:r w:rsidR="00904F8C" w:rsidRPr="00EC67AA">
        <w:t xml:space="preserve">. </w:t>
      </w:r>
      <w:r w:rsidR="001A236D" w:rsidRPr="00EC67AA">
        <w:t>Documentation</w:t>
      </w:r>
      <w:bookmarkEnd w:id="224"/>
      <w:bookmarkEnd w:id="225"/>
      <w:bookmarkEnd w:id="226"/>
      <w:r w:rsidR="006A3892">
        <w:t xml:space="preserve"> </w:t>
      </w:r>
    </w:p>
    <w:p w14:paraId="00C4EDBE" w14:textId="4E5343F2" w:rsidR="00901BF0" w:rsidRPr="00901BF0" w:rsidRDefault="00901BF0" w:rsidP="00901BF0">
      <w:pPr>
        <w:pStyle w:val="Heading2"/>
        <w:tabs>
          <w:tab w:val="left" w:pos="-180"/>
          <w:tab w:val="num" w:pos="747"/>
          <w:tab w:val="num" w:pos="1080"/>
        </w:tabs>
        <w:ind w:left="-180"/>
        <w:rPr>
          <w:b w:val="0"/>
          <w:bCs/>
        </w:rPr>
      </w:pPr>
      <w:bookmarkStart w:id="227" w:name="_Toc158968214"/>
      <w:r w:rsidRPr="00901BF0">
        <w:rPr>
          <w:b w:val="0"/>
          <w:bCs/>
          <w:sz w:val="24"/>
          <w:szCs w:val="24"/>
        </w:rPr>
        <w:t>Not Applicable</w:t>
      </w:r>
      <w:bookmarkEnd w:id="227"/>
    </w:p>
    <w:p w14:paraId="5F8EC1B9" w14:textId="1DE14C78" w:rsidR="001A236D" w:rsidRDefault="001A236D" w:rsidP="00901BF0">
      <w:pPr>
        <w:pStyle w:val="Heading2"/>
        <w:tabs>
          <w:tab w:val="left" w:pos="-180"/>
          <w:tab w:val="num" w:pos="747"/>
          <w:tab w:val="num" w:pos="1080"/>
        </w:tabs>
        <w:ind w:left="-181"/>
        <w:rPr>
          <w:bCs/>
        </w:rPr>
      </w:pPr>
    </w:p>
    <w:p w14:paraId="02AABA3E" w14:textId="50E36F74" w:rsidR="00BF6E83" w:rsidRDefault="005358B8" w:rsidP="009D6479">
      <w:pPr>
        <w:pStyle w:val="Heading2"/>
        <w:tabs>
          <w:tab w:val="clear" w:pos="0"/>
          <w:tab w:val="left" w:pos="-180"/>
          <w:tab w:val="num" w:pos="747"/>
          <w:tab w:val="num" w:pos="1080"/>
        </w:tabs>
        <w:spacing w:before="0"/>
        <w:ind w:left="-142"/>
      </w:pPr>
      <w:bookmarkStart w:id="228" w:name="_Toc158968215"/>
      <w:r>
        <w:t>12</w:t>
      </w:r>
      <w:r w:rsidR="00BF6E83">
        <w:t>. Arrangement for End of Contract</w:t>
      </w:r>
      <w:bookmarkEnd w:id="228"/>
    </w:p>
    <w:p w14:paraId="05ADD796" w14:textId="590C044A" w:rsidR="00AD6B04" w:rsidRDefault="00AD6B04" w:rsidP="00AD6B04">
      <w:pPr>
        <w:ind w:left="-180"/>
        <w:rPr>
          <w:rFonts w:cs="Arial"/>
          <w:szCs w:val="24"/>
        </w:rPr>
      </w:pPr>
      <w:bookmarkStart w:id="229" w:name="_Hlk115775229"/>
      <w:r w:rsidRPr="00901BF0">
        <w:rPr>
          <w:rFonts w:cs="Arial"/>
          <w:szCs w:val="24"/>
        </w:rPr>
        <w:t xml:space="preserve">The Supplier shall fully cooperate with the </w:t>
      </w:r>
      <w:r w:rsidR="00E6347E" w:rsidRPr="00901BF0">
        <w:rPr>
          <w:rFonts w:cs="Arial"/>
          <w:szCs w:val="24"/>
        </w:rPr>
        <w:t>DVLA</w:t>
      </w:r>
      <w:r w:rsidRPr="00901BF0">
        <w:rPr>
          <w:rFonts w:cs="Arial"/>
          <w:szCs w:val="24"/>
        </w:rPr>
        <w:t xml:space="preserve"> to ensure a fair and transparent re-tendering process for this contract. This may require the Supplier to demonstrate separation between teams occupied on the existing Contract and those involved in tendering for the replacement contract to prevent actual (or perceived) conflicts of interest arising.</w:t>
      </w:r>
    </w:p>
    <w:p w14:paraId="3D0D6E03" w14:textId="77777777" w:rsidR="00DC73F1" w:rsidRPr="00285D5F" w:rsidRDefault="00DC73F1" w:rsidP="00AD6B04">
      <w:pPr>
        <w:ind w:left="-180"/>
        <w:rPr>
          <w:rFonts w:cs="Arial"/>
          <w:b/>
          <w:bCs/>
          <w:color w:val="FF0000"/>
          <w:szCs w:val="24"/>
        </w:rPr>
      </w:pPr>
    </w:p>
    <w:p w14:paraId="7C4A0367" w14:textId="4BC38F2C" w:rsidR="007E5D77" w:rsidRDefault="005358B8" w:rsidP="00EC67AA">
      <w:pPr>
        <w:pStyle w:val="Heading2"/>
        <w:tabs>
          <w:tab w:val="clear" w:pos="0"/>
          <w:tab w:val="left" w:pos="-180"/>
          <w:tab w:val="num" w:pos="747"/>
          <w:tab w:val="num" w:pos="1080"/>
        </w:tabs>
        <w:spacing w:before="0" w:after="0"/>
        <w:ind w:hanging="142"/>
      </w:pPr>
      <w:bookmarkStart w:id="230" w:name="_Toc158968216"/>
      <w:bookmarkEnd w:id="229"/>
      <w:r>
        <w:t>13</w:t>
      </w:r>
      <w:r w:rsidR="00904F8C">
        <w:t xml:space="preserve">. </w:t>
      </w:r>
      <w:r w:rsidR="007E5D77">
        <w:t xml:space="preserve">Response </w:t>
      </w:r>
      <w:r w:rsidR="001A236D">
        <w:t>Evaluation</w:t>
      </w:r>
      <w:bookmarkStart w:id="231" w:name="_Toc380578633"/>
      <w:bookmarkEnd w:id="230"/>
    </w:p>
    <w:p w14:paraId="35A49DC6" w14:textId="1DEC35FE" w:rsidR="00EC67AA" w:rsidRDefault="00EC67AA" w:rsidP="00EC67AA">
      <w:pPr>
        <w:pStyle w:val="Heading3"/>
        <w:rPr>
          <w:b w:val="0"/>
          <w:bCs/>
        </w:rPr>
      </w:pPr>
      <w:bookmarkStart w:id="232" w:name="_Toc158968217"/>
      <w:r w:rsidRPr="00EC67AA">
        <w:rPr>
          <w:b w:val="0"/>
          <w:bCs/>
        </w:rPr>
        <w:t>Due to this requirement being a direct award and below publishing threshold, this will not be formally evaluated.</w:t>
      </w:r>
      <w:r>
        <w:rPr>
          <w:b w:val="0"/>
          <w:bCs/>
        </w:rPr>
        <w:t xml:space="preserve"> (Treated as an LVP)</w:t>
      </w:r>
      <w:bookmarkEnd w:id="232"/>
    </w:p>
    <w:p w14:paraId="48317C5E" w14:textId="77777777" w:rsidR="007737D5" w:rsidRDefault="007737D5" w:rsidP="007737D5"/>
    <w:p w14:paraId="2F350693" w14:textId="2ED15BE3" w:rsidR="007737D5" w:rsidRDefault="007737D5" w:rsidP="007737D5">
      <w:pPr>
        <w:pStyle w:val="Heading2"/>
      </w:pPr>
      <w:bookmarkStart w:id="233" w:name="_Toc158968218"/>
      <w:r>
        <w:t>Annexes</w:t>
      </w:r>
      <w:bookmarkEnd w:id="233"/>
    </w:p>
    <w:p w14:paraId="335A0DBF" w14:textId="77777777" w:rsidR="007737D5" w:rsidRDefault="007737D5" w:rsidP="007737D5">
      <w:pPr>
        <w:pStyle w:val="Heading3"/>
      </w:pPr>
    </w:p>
    <w:p w14:paraId="2CBEBF48" w14:textId="4C36DBB6" w:rsidR="007737D5" w:rsidRPr="007737D5" w:rsidRDefault="007737D5" w:rsidP="00B13490">
      <w:pPr>
        <w:pStyle w:val="Heading2"/>
      </w:pPr>
      <w:bookmarkStart w:id="234" w:name="_Toc157082647"/>
      <w:bookmarkStart w:id="235" w:name="_Toc158968219"/>
      <w:r w:rsidRPr="007737D5">
        <w:t xml:space="preserve">Annex </w:t>
      </w:r>
      <w:r>
        <w:t>1</w:t>
      </w:r>
      <w:r w:rsidRPr="007737D5">
        <w:t xml:space="preserve"> – </w:t>
      </w:r>
      <w:r>
        <w:t>Framework</w:t>
      </w:r>
      <w:r w:rsidRPr="007737D5">
        <w:t xml:space="preserve"> Terms</w:t>
      </w:r>
      <w:bookmarkEnd w:id="234"/>
      <w:bookmarkEnd w:id="235"/>
    </w:p>
    <w:p w14:paraId="2CBD09B2" w14:textId="15F34858" w:rsidR="007737D5" w:rsidRPr="007737D5" w:rsidRDefault="007737D5" w:rsidP="007737D5"/>
    <w:p w14:paraId="6B29B1A7" w14:textId="77777777" w:rsidR="007737D5" w:rsidRPr="007737D5" w:rsidRDefault="007737D5" w:rsidP="007737D5">
      <w:pPr>
        <w:rPr>
          <w:rFonts w:cs="Arial"/>
          <w:b/>
          <w:szCs w:val="24"/>
        </w:rPr>
      </w:pPr>
    </w:p>
    <w:p w14:paraId="39913227" w14:textId="20B17313" w:rsidR="007737D5" w:rsidRPr="007737D5" w:rsidRDefault="007737D5" w:rsidP="00B13490">
      <w:pPr>
        <w:pStyle w:val="Heading2"/>
      </w:pPr>
      <w:bookmarkStart w:id="236" w:name="_Toc78789468"/>
      <w:bookmarkStart w:id="237" w:name="_Toc79134095"/>
      <w:bookmarkStart w:id="238" w:name="_Toc79496134"/>
      <w:bookmarkStart w:id="239" w:name="_Toc79751509"/>
      <w:bookmarkStart w:id="240" w:name="_Toc157082648"/>
      <w:bookmarkStart w:id="241" w:name="_Toc158968220"/>
      <w:bookmarkEnd w:id="236"/>
      <w:bookmarkEnd w:id="237"/>
      <w:bookmarkEnd w:id="238"/>
      <w:bookmarkEnd w:id="239"/>
      <w:r w:rsidRPr="007737D5">
        <w:t xml:space="preserve">Annex </w:t>
      </w:r>
      <w:r>
        <w:t>2</w:t>
      </w:r>
      <w:r w:rsidRPr="007737D5">
        <w:t xml:space="preserve"> – Statement of Assurance</w:t>
      </w:r>
      <w:bookmarkEnd w:id="240"/>
      <w:bookmarkEnd w:id="241"/>
      <w:r w:rsidRPr="007737D5">
        <w:t xml:space="preserve"> </w:t>
      </w:r>
    </w:p>
    <w:p w14:paraId="123DDDF5" w14:textId="312B0740" w:rsidR="007737D5" w:rsidRPr="007737D5" w:rsidRDefault="007737D5" w:rsidP="007737D5">
      <w:pPr>
        <w:rPr>
          <w:rFonts w:eastAsia="Calibri"/>
          <w:b/>
          <w:highlight w:val="yellow"/>
        </w:rPr>
      </w:pPr>
    </w:p>
    <w:p w14:paraId="3678859A" w14:textId="77777777" w:rsidR="007737D5" w:rsidRPr="007737D5" w:rsidRDefault="007737D5" w:rsidP="007737D5">
      <w:pPr>
        <w:rPr>
          <w:rFonts w:eastAsia="Calibri" w:cs="Arial"/>
          <w:szCs w:val="24"/>
          <w:highlight w:val="yellow"/>
        </w:rPr>
      </w:pPr>
    </w:p>
    <w:p w14:paraId="48AA3CE9" w14:textId="395BDB0E" w:rsidR="007737D5" w:rsidRPr="007737D5" w:rsidRDefault="007737D5" w:rsidP="00B13490">
      <w:pPr>
        <w:pStyle w:val="Heading2"/>
        <w:rPr>
          <w:rFonts w:eastAsia="Calibri"/>
        </w:rPr>
      </w:pPr>
      <w:bookmarkStart w:id="242" w:name="_Hlk156820577"/>
      <w:bookmarkStart w:id="243" w:name="_Toc157082649"/>
      <w:bookmarkStart w:id="244" w:name="_Toc158968221"/>
      <w:r w:rsidRPr="007737D5">
        <w:rPr>
          <w:rFonts w:eastAsia="Calibri"/>
        </w:rPr>
        <w:t xml:space="preserve">Annex </w:t>
      </w:r>
      <w:r>
        <w:rPr>
          <w:rFonts w:eastAsia="Calibri"/>
        </w:rPr>
        <w:t>3</w:t>
      </w:r>
      <w:r w:rsidRPr="007737D5">
        <w:rPr>
          <w:rFonts w:eastAsia="Calibri"/>
        </w:rPr>
        <w:t>a – Health and Safety Policy</w:t>
      </w:r>
      <w:bookmarkEnd w:id="242"/>
      <w:r w:rsidRPr="007737D5">
        <w:rPr>
          <w:rFonts w:eastAsia="Calibri"/>
        </w:rPr>
        <w:t xml:space="preserve"> (for information)</w:t>
      </w:r>
      <w:bookmarkEnd w:id="243"/>
      <w:bookmarkEnd w:id="244"/>
    </w:p>
    <w:p w14:paraId="45EF99ED" w14:textId="77777777" w:rsidR="007737D5" w:rsidRPr="007737D5" w:rsidRDefault="007737D5" w:rsidP="007737D5">
      <w:pPr>
        <w:rPr>
          <w:rFonts w:eastAsia="Calibri" w:cs="Arial"/>
          <w:szCs w:val="24"/>
        </w:rPr>
      </w:pPr>
    </w:p>
    <w:p w14:paraId="13F0E66D" w14:textId="5AC1ED54" w:rsidR="007737D5" w:rsidRPr="007737D5" w:rsidRDefault="007737D5" w:rsidP="007737D5">
      <w:pPr>
        <w:rPr>
          <w:rFonts w:eastAsia="Calibri" w:cs="Arial"/>
          <w:szCs w:val="24"/>
        </w:rPr>
      </w:pPr>
      <w:r w:rsidRPr="007737D5">
        <w:rPr>
          <w:rFonts w:eastAsia="Calibri" w:cs="Arial"/>
          <w:szCs w:val="24"/>
        </w:rPr>
        <w:t xml:space="preserve"> </w:t>
      </w:r>
    </w:p>
    <w:p w14:paraId="1BC4A876" w14:textId="77777777" w:rsidR="007737D5" w:rsidRPr="007737D5" w:rsidRDefault="007737D5" w:rsidP="007737D5">
      <w:pPr>
        <w:rPr>
          <w:rFonts w:eastAsia="Calibri" w:cs="Arial"/>
          <w:szCs w:val="24"/>
          <w:highlight w:val="yellow"/>
        </w:rPr>
      </w:pPr>
    </w:p>
    <w:p w14:paraId="627F6792" w14:textId="680A3F3D" w:rsidR="007737D5" w:rsidRPr="007737D5" w:rsidRDefault="007737D5" w:rsidP="00B13490">
      <w:pPr>
        <w:pStyle w:val="Heading2"/>
      </w:pPr>
      <w:bookmarkStart w:id="245" w:name="_Toc157082650"/>
      <w:bookmarkStart w:id="246" w:name="_Toc158968222"/>
      <w:r w:rsidRPr="007737D5">
        <w:rPr>
          <w:rFonts w:eastAsia="Calibri"/>
        </w:rPr>
        <w:t xml:space="preserve">Annex </w:t>
      </w:r>
      <w:r>
        <w:rPr>
          <w:rFonts w:eastAsia="Calibri"/>
        </w:rPr>
        <w:t>3</w:t>
      </w:r>
      <w:r w:rsidRPr="007737D5">
        <w:rPr>
          <w:rFonts w:eastAsia="Calibri"/>
        </w:rPr>
        <w:t xml:space="preserve">b – Health and Safety Policy </w:t>
      </w:r>
      <w:r w:rsidRPr="007737D5">
        <w:t>(for completion and return)</w:t>
      </w:r>
      <w:bookmarkEnd w:id="245"/>
      <w:bookmarkEnd w:id="246"/>
    </w:p>
    <w:p w14:paraId="4CB5286D" w14:textId="77777777" w:rsidR="007737D5" w:rsidRPr="007737D5" w:rsidRDefault="007737D5" w:rsidP="007737D5">
      <w:pPr>
        <w:rPr>
          <w:rFonts w:eastAsia="Calibri"/>
        </w:rPr>
      </w:pPr>
    </w:p>
    <w:p w14:paraId="5CDCB603" w14:textId="5CBA8981" w:rsidR="007737D5" w:rsidRPr="007737D5" w:rsidRDefault="007737D5" w:rsidP="007737D5">
      <w:pPr>
        <w:rPr>
          <w:rFonts w:eastAsia="Calibri"/>
        </w:rPr>
      </w:pPr>
    </w:p>
    <w:p w14:paraId="1A3F77D2" w14:textId="77777777" w:rsidR="007737D5" w:rsidRPr="007737D5" w:rsidRDefault="007737D5" w:rsidP="007737D5">
      <w:pPr>
        <w:rPr>
          <w:rFonts w:eastAsia="Calibri"/>
        </w:rPr>
      </w:pPr>
    </w:p>
    <w:p w14:paraId="0FE467E4" w14:textId="2BCE9871" w:rsidR="007737D5" w:rsidRPr="007737D5" w:rsidRDefault="007737D5" w:rsidP="00B13490">
      <w:pPr>
        <w:pStyle w:val="Heading2"/>
        <w:rPr>
          <w:rFonts w:eastAsia="Calibri"/>
        </w:rPr>
      </w:pPr>
      <w:bookmarkStart w:id="247" w:name="_Toc157082651"/>
      <w:bookmarkStart w:id="248" w:name="_Toc158968223"/>
      <w:r w:rsidRPr="007737D5">
        <w:rPr>
          <w:rFonts w:eastAsia="Calibri"/>
        </w:rPr>
        <w:t xml:space="preserve">Annex </w:t>
      </w:r>
      <w:r>
        <w:rPr>
          <w:rFonts w:eastAsia="Calibri"/>
        </w:rPr>
        <w:t>4</w:t>
      </w:r>
      <w:r w:rsidRPr="007737D5">
        <w:rPr>
          <w:rFonts w:eastAsia="Calibri"/>
        </w:rPr>
        <w:t xml:space="preserve"> – Procurement Fraud Statement (for information)</w:t>
      </w:r>
      <w:bookmarkEnd w:id="247"/>
      <w:bookmarkEnd w:id="248"/>
    </w:p>
    <w:p w14:paraId="48725CEF" w14:textId="77777777" w:rsidR="007737D5" w:rsidRPr="007737D5" w:rsidRDefault="007737D5" w:rsidP="007737D5">
      <w:pPr>
        <w:rPr>
          <w:rFonts w:eastAsia="Calibri" w:cs="Arial"/>
          <w:szCs w:val="24"/>
        </w:rPr>
      </w:pPr>
    </w:p>
    <w:p w14:paraId="6664251F" w14:textId="7B39F978" w:rsidR="007737D5" w:rsidRPr="007737D5" w:rsidRDefault="007737D5" w:rsidP="007737D5">
      <w:pPr>
        <w:rPr>
          <w:rFonts w:eastAsia="Calibri" w:cs="Arial"/>
          <w:szCs w:val="24"/>
          <w:highlight w:val="yellow"/>
        </w:rPr>
      </w:pPr>
    </w:p>
    <w:p w14:paraId="2AF11079" w14:textId="77777777" w:rsidR="007737D5" w:rsidRPr="007737D5" w:rsidRDefault="007737D5" w:rsidP="007737D5">
      <w:pPr>
        <w:rPr>
          <w:rFonts w:eastAsia="Calibri" w:cs="Arial"/>
          <w:szCs w:val="24"/>
          <w:highlight w:val="yellow"/>
        </w:rPr>
      </w:pPr>
    </w:p>
    <w:p w14:paraId="7D11AF3F" w14:textId="32942E38" w:rsidR="007737D5" w:rsidRPr="007737D5" w:rsidRDefault="007737D5" w:rsidP="00B13490">
      <w:pPr>
        <w:pStyle w:val="Heading2"/>
      </w:pPr>
      <w:bookmarkStart w:id="249" w:name="_Toc157082652"/>
      <w:bookmarkStart w:id="250" w:name="_Toc158968224"/>
      <w:r w:rsidRPr="007737D5">
        <w:t xml:space="preserve">Annex </w:t>
      </w:r>
      <w:r>
        <w:t>5</w:t>
      </w:r>
      <w:r w:rsidRPr="007737D5">
        <w:t xml:space="preserve"> – Pricing Schedule </w:t>
      </w:r>
      <w:bookmarkStart w:id="251" w:name="_Hlk156820601"/>
      <w:r w:rsidRPr="007737D5">
        <w:t>(for completion and return)</w:t>
      </w:r>
      <w:bookmarkEnd w:id="249"/>
      <w:bookmarkEnd w:id="251"/>
      <w:bookmarkEnd w:id="250"/>
    </w:p>
    <w:p w14:paraId="599957A6" w14:textId="77777777" w:rsidR="007737D5" w:rsidRDefault="007737D5" w:rsidP="007737D5">
      <w:pPr>
        <w:rPr>
          <w:rFonts w:cs="Arial"/>
          <w:szCs w:val="24"/>
        </w:rPr>
      </w:pPr>
    </w:p>
    <w:p w14:paraId="2A7CF40E" w14:textId="5BDD7333" w:rsidR="007737D5" w:rsidRPr="007737D5" w:rsidRDefault="007737D5" w:rsidP="007737D5">
      <w:pPr>
        <w:rPr>
          <w:rFonts w:cs="Arial"/>
          <w:szCs w:val="24"/>
        </w:rPr>
      </w:pPr>
      <w:r>
        <w:rPr>
          <w:rFonts w:cs="Arial"/>
          <w:szCs w:val="24"/>
        </w:rPr>
        <w:t>Not Applicable</w:t>
      </w:r>
    </w:p>
    <w:p w14:paraId="16AB93C8" w14:textId="77777777" w:rsidR="007737D5" w:rsidRDefault="007737D5" w:rsidP="007737D5">
      <w:pPr>
        <w:rPr>
          <w:rFonts w:eastAsia="Calibri" w:cs="Arial"/>
          <w:szCs w:val="24"/>
          <w:highlight w:val="yellow"/>
        </w:rPr>
      </w:pPr>
    </w:p>
    <w:p w14:paraId="09A15701" w14:textId="77777777" w:rsidR="007737D5" w:rsidRPr="007737D5" w:rsidRDefault="007737D5" w:rsidP="007737D5">
      <w:pPr>
        <w:rPr>
          <w:rFonts w:eastAsia="Calibri" w:cs="Arial"/>
          <w:szCs w:val="24"/>
          <w:highlight w:val="yellow"/>
        </w:rPr>
      </w:pPr>
    </w:p>
    <w:p w14:paraId="4F511933" w14:textId="6D6EE858" w:rsidR="007737D5" w:rsidRPr="007737D5" w:rsidRDefault="007737D5" w:rsidP="00B13490">
      <w:pPr>
        <w:pStyle w:val="Heading2"/>
      </w:pPr>
      <w:bookmarkStart w:id="252" w:name="_Toc157082653"/>
      <w:bookmarkStart w:id="253" w:name="_Toc158968225"/>
      <w:r w:rsidRPr="007737D5">
        <w:lastRenderedPageBreak/>
        <w:t xml:space="preserve">Annex </w:t>
      </w:r>
      <w:r>
        <w:t>6</w:t>
      </w:r>
      <w:r w:rsidRPr="007737D5">
        <w:t xml:space="preserve"> - Diversity and Inclusion Policy</w:t>
      </w:r>
      <w:bookmarkEnd w:id="252"/>
      <w:bookmarkEnd w:id="253"/>
    </w:p>
    <w:p w14:paraId="7540A68C" w14:textId="77777777" w:rsidR="007737D5" w:rsidRPr="007737D5" w:rsidRDefault="007737D5" w:rsidP="007737D5">
      <w:pPr>
        <w:rPr>
          <w:rFonts w:cs="Arial"/>
          <w:szCs w:val="24"/>
        </w:rPr>
      </w:pPr>
    </w:p>
    <w:p w14:paraId="4C422DB6" w14:textId="7A24681A" w:rsidR="007737D5" w:rsidRPr="007737D5" w:rsidRDefault="007737D5" w:rsidP="007737D5">
      <w:pPr>
        <w:rPr>
          <w:rFonts w:cs="Arial"/>
          <w:szCs w:val="24"/>
        </w:rPr>
      </w:pPr>
    </w:p>
    <w:p w14:paraId="21E08BD7" w14:textId="77777777" w:rsidR="007737D5" w:rsidRPr="007737D5" w:rsidRDefault="007737D5" w:rsidP="007737D5">
      <w:pPr>
        <w:rPr>
          <w:rFonts w:eastAsia="Calibri" w:cs="Arial"/>
          <w:szCs w:val="24"/>
        </w:rPr>
      </w:pPr>
      <w:r w:rsidRPr="007737D5">
        <w:rPr>
          <w:rFonts w:eastAsia="Calibri" w:cs="Arial"/>
          <w:szCs w:val="24"/>
        </w:rPr>
        <w:t xml:space="preserve">     </w:t>
      </w:r>
    </w:p>
    <w:p w14:paraId="3E618016" w14:textId="3910A464" w:rsidR="007737D5" w:rsidRPr="007737D5" w:rsidRDefault="007737D5" w:rsidP="00B13490">
      <w:pPr>
        <w:pStyle w:val="Heading2"/>
        <w:rPr>
          <w:rFonts w:eastAsia="Calibri"/>
        </w:rPr>
      </w:pPr>
      <w:bookmarkStart w:id="254" w:name="_Toc157082654"/>
      <w:bookmarkStart w:id="255" w:name="_Toc158968226"/>
      <w:r w:rsidRPr="007737D5">
        <w:rPr>
          <w:rFonts w:eastAsia="Calibri"/>
        </w:rPr>
        <w:t xml:space="preserve">Annex </w:t>
      </w:r>
      <w:r>
        <w:rPr>
          <w:rFonts w:eastAsia="Calibri"/>
        </w:rPr>
        <w:t>7</w:t>
      </w:r>
      <w:r w:rsidRPr="007737D5">
        <w:rPr>
          <w:rFonts w:eastAsia="Calibri"/>
        </w:rPr>
        <w:t xml:space="preserve"> – Invoicing Procedures (for information)</w:t>
      </w:r>
      <w:bookmarkEnd w:id="254"/>
      <w:bookmarkEnd w:id="255"/>
    </w:p>
    <w:p w14:paraId="3D7BA2AF" w14:textId="77777777" w:rsidR="007737D5" w:rsidRPr="007737D5" w:rsidRDefault="007737D5" w:rsidP="007737D5">
      <w:pPr>
        <w:rPr>
          <w:rFonts w:eastAsia="Calibri" w:cs="Arial"/>
          <w:szCs w:val="24"/>
        </w:rPr>
      </w:pPr>
    </w:p>
    <w:p w14:paraId="4B1CF37B" w14:textId="61BAA2DB" w:rsidR="007737D5" w:rsidRPr="007737D5" w:rsidRDefault="007737D5" w:rsidP="007737D5">
      <w:pPr>
        <w:rPr>
          <w:rFonts w:eastAsia="Calibri" w:cs="Arial"/>
          <w:szCs w:val="24"/>
        </w:rPr>
      </w:pPr>
    </w:p>
    <w:p w14:paraId="30B5A2B5" w14:textId="77777777" w:rsidR="007737D5" w:rsidRPr="007737D5" w:rsidRDefault="007737D5" w:rsidP="007737D5">
      <w:pPr>
        <w:rPr>
          <w:rFonts w:eastAsia="Calibri" w:cs="Arial"/>
          <w:szCs w:val="24"/>
          <w:highlight w:val="yellow"/>
        </w:rPr>
      </w:pPr>
    </w:p>
    <w:p w14:paraId="432FB83F" w14:textId="3F1F55C7" w:rsidR="007737D5" w:rsidRPr="007737D5" w:rsidRDefault="007737D5" w:rsidP="00B13490">
      <w:pPr>
        <w:pStyle w:val="Heading2"/>
        <w:rPr>
          <w:rFonts w:eastAsia="Calibri"/>
        </w:rPr>
      </w:pPr>
      <w:bookmarkStart w:id="256" w:name="_Toc157082655"/>
      <w:bookmarkStart w:id="257" w:name="_Toc158968227"/>
      <w:r w:rsidRPr="007737D5">
        <w:rPr>
          <w:rFonts w:eastAsia="Calibri"/>
        </w:rPr>
        <w:t xml:space="preserve">Annex </w:t>
      </w:r>
      <w:r>
        <w:rPr>
          <w:rFonts w:eastAsia="Calibri"/>
        </w:rPr>
        <w:t xml:space="preserve">8 </w:t>
      </w:r>
      <w:r w:rsidRPr="007737D5">
        <w:rPr>
          <w:rFonts w:eastAsia="Calibri"/>
        </w:rPr>
        <w:t>– Armed Forces (for information)</w:t>
      </w:r>
      <w:bookmarkEnd w:id="256"/>
      <w:bookmarkEnd w:id="257"/>
    </w:p>
    <w:p w14:paraId="18BC0F19" w14:textId="50069DAC" w:rsidR="007737D5" w:rsidRPr="007737D5" w:rsidRDefault="007737D5" w:rsidP="007737D5">
      <w:pPr>
        <w:rPr>
          <w:rFonts w:eastAsia="Calibri"/>
        </w:rPr>
      </w:pPr>
      <w:bookmarkStart w:id="258" w:name="_Toc79496135"/>
      <w:bookmarkStart w:id="259" w:name="_Toc79751510"/>
      <w:bookmarkEnd w:id="258"/>
      <w:bookmarkEnd w:id="259"/>
    </w:p>
    <w:p w14:paraId="019BED21" w14:textId="77777777" w:rsidR="007737D5" w:rsidRPr="007737D5" w:rsidRDefault="007737D5" w:rsidP="007737D5">
      <w:pPr>
        <w:rPr>
          <w:rFonts w:eastAsia="Calibri"/>
        </w:rPr>
      </w:pPr>
    </w:p>
    <w:p w14:paraId="0A32F8C2" w14:textId="69C75B97" w:rsidR="007737D5" w:rsidRPr="007737D5" w:rsidRDefault="007737D5" w:rsidP="00B13490">
      <w:pPr>
        <w:pStyle w:val="Heading2"/>
      </w:pPr>
      <w:bookmarkStart w:id="260" w:name="_Toc157082660"/>
      <w:bookmarkStart w:id="261" w:name="_Toc158968228"/>
      <w:r w:rsidRPr="007737D5">
        <w:t xml:space="preserve">Annex </w:t>
      </w:r>
      <w:r>
        <w:t>9</w:t>
      </w:r>
      <w:r w:rsidRPr="007737D5">
        <w:t xml:space="preserve"> – DVLA Environmental Policy (for information)</w:t>
      </w:r>
      <w:bookmarkEnd w:id="260"/>
      <w:bookmarkEnd w:id="261"/>
    </w:p>
    <w:p w14:paraId="052D26E1" w14:textId="77777777" w:rsidR="00B13490" w:rsidRDefault="00B13490" w:rsidP="005A3C67">
      <w:pPr>
        <w:pStyle w:val="Heading2"/>
        <w:rPr>
          <w:rFonts w:eastAsia="Calibri"/>
          <w:sz w:val="24"/>
          <w:szCs w:val="18"/>
        </w:rPr>
      </w:pPr>
    </w:p>
    <w:p w14:paraId="47A0DA74" w14:textId="7E43AC12" w:rsidR="005A3C67" w:rsidRPr="00B13490" w:rsidRDefault="005A3C67" w:rsidP="00B13490">
      <w:pPr>
        <w:pStyle w:val="Heading2"/>
        <w:rPr>
          <w:rFonts w:eastAsia="Calibri"/>
        </w:rPr>
      </w:pPr>
      <w:bookmarkStart w:id="262" w:name="_Toc158968229"/>
      <w:r w:rsidRPr="00B13490">
        <w:rPr>
          <w:rFonts w:eastAsia="Calibri"/>
        </w:rPr>
        <w:t>Annex 10 – TUPE Staff Numbers</w:t>
      </w:r>
      <w:bookmarkEnd w:id="262"/>
    </w:p>
    <w:p w14:paraId="00E96345" w14:textId="77777777" w:rsidR="005A3C67" w:rsidRDefault="005A3C67" w:rsidP="005A3C67"/>
    <w:p w14:paraId="0C880F33" w14:textId="77777777" w:rsidR="00B13490" w:rsidRDefault="00B13490" w:rsidP="00B13490">
      <w:pPr>
        <w:rPr>
          <w:rFonts w:ascii="Calibri" w:hAnsi="Calibri"/>
          <w:sz w:val="22"/>
        </w:rPr>
      </w:pPr>
      <w:r>
        <w:t>Healthcare cover – 36</w:t>
      </w:r>
    </w:p>
    <w:p w14:paraId="5ABBD352" w14:textId="77777777" w:rsidR="00B13490" w:rsidRDefault="00B13490" w:rsidP="00B13490">
      <w:r>
        <w:t>Life cover – 49</w:t>
      </w:r>
    </w:p>
    <w:p w14:paraId="72A6C8AD" w14:textId="77777777" w:rsidR="00B13490" w:rsidRDefault="00B13490" w:rsidP="00B13490">
      <w:r>
        <w:t>Accident cover – 50</w:t>
      </w:r>
    </w:p>
    <w:p w14:paraId="3F36268C" w14:textId="77777777" w:rsidR="00B13490" w:rsidRDefault="00B13490" w:rsidP="005A3C67">
      <w:pPr>
        <w:rPr>
          <w:b/>
          <w:bCs/>
          <w:highlight w:val="yellow"/>
        </w:rPr>
      </w:pPr>
    </w:p>
    <w:p w14:paraId="73DC5B3B" w14:textId="77777777" w:rsidR="005A3C67" w:rsidRPr="00B13490" w:rsidRDefault="005A3C67" w:rsidP="007F1CA3">
      <w:pPr>
        <w:pStyle w:val="Heading2"/>
      </w:pPr>
      <w:bookmarkStart w:id="263" w:name="_Toc158968230"/>
      <w:r w:rsidRPr="00B13490">
        <w:t>Annex 11 – Vehicle Claims History</w:t>
      </w:r>
      <w:bookmarkEnd w:id="263"/>
    </w:p>
    <w:p w14:paraId="67A4E403" w14:textId="11A79C8A" w:rsidR="005A3C67" w:rsidRDefault="005A3C67" w:rsidP="005A3C67"/>
    <w:p w14:paraId="7D4A03CB" w14:textId="05066113" w:rsidR="00EB631C" w:rsidRDefault="00EB631C" w:rsidP="007737D5"/>
    <w:p w14:paraId="029E8945" w14:textId="14757F07" w:rsidR="00EB631C" w:rsidRPr="00EB631C" w:rsidRDefault="00EB631C" w:rsidP="007737D5"/>
    <w:bookmarkEnd w:id="231"/>
    <w:sectPr w:rsidR="00EB631C" w:rsidRPr="00EB631C" w:rsidSect="00E14466">
      <w:footerReference w:type="default" r:id="rId13"/>
      <w:headerReference w:type="first" r:id="rId14"/>
      <w:footerReference w:type="first" r:id="rId15"/>
      <w:pgSz w:w="11906" w:h="16838"/>
      <w:pgMar w:top="1440" w:right="1286" w:bottom="1440" w:left="1260" w:header="708"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3B697" w14:textId="77777777" w:rsidR="00F15D1E" w:rsidRDefault="00F15D1E">
      <w:r>
        <w:separator/>
      </w:r>
    </w:p>
  </w:endnote>
  <w:endnote w:type="continuationSeparator" w:id="0">
    <w:p w14:paraId="7652E5FB" w14:textId="77777777" w:rsidR="00F15D1E" w:rsidRDefault="00F1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994668"/>
      <w:docPartObj>
        <w:docPartGallery w:val="Page Numbers (Bottom of Page)"/>
        <w:docPartUnique/>
      </w:docPartObj>
    </w:sdtPr>
    <w:sdtEndPr/>
    <w:sdtContent>
      <w:sdt>
        <w:sdtPr>
          <w:id w:val="-1705238520"/>
          <w:docPartObj>
            <w:docPartGallery w:val="Page Numbers (Top of Page)"/>
            <w:docPartUnique/>
          </w:docPartObj>
        </w:sdtPr>
        <w:sdtEndPr/>
        <w:sdtContent>
          <w:p w14:paraId="5D5EFE3F" w14:textId="348DFF28" w:rsidR="00F15D1E" w:rsidRDefault="00F15D1E">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22</w:t>
            </w:r>
            <w:r>
              <w:rPr>
                <w:b/>
                <w:bCs/>
                <w:szCs w:val="24"/>
              </w:rPr>
              <w:fldChar w:fldCharType="end"/>
            </w:r>
            <w:r>
              <w:rPr>
                <w:b/>
                <w:bCs/>
                <w:szCs w:val="24"/>
              </w:rPr>
              <w:tab/>
            </w:r>
            <w:r>
              <w:rPr>
                <w:b/>
                <w:bCs/>
                <w:szCs w:val="24"/>
              </w:rPr>
              <w:tab/>
            </w:r>
          </w:p>
        </w:sdtContent>
      </w:sdt>
    </w:sdtContent>
  </w:sdt>
  <w:p w14:paraId="204C9021" w14:textId="77777777" w:rsidR="00F15D1E" w:rsidRPr="005A7DF2" w:rsidRDefault="00F15D1E">
    <w:pPr>
      <w:pStyle w:val="Footer"/>
      <w:rPr>
        <w:rFonts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D13C4" w14:textId="52292ED9" w:rsidR="00F15D1E" w:rsidRDefault="00AB79CA">
    <w:pPr>
      <w:pStyle w:val="Footer"/>
    </w:pPr>
    <w:r>
      <w:t>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47FDA" w14:textId="77777777" w:rsidR="00F15D1E" w:rsidRDefault="00F15D1E">
      <w:r>
        <w:separator/>
      </w:r>
    </w:p>
  </w:footnote>
  <w:footnote w:type="continuationSeparator" w:id="0">
    <w:p w14:paraId="03CE3534" w14:textId="77777777" w:rsidR="00F15D1E" w:rsidRDefault="00F15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2082A" w14:textId="532DB54B" w:rsidR="00F15D1E" w:rsidRDefault="00F15D1E" w:rsidP="00031DF7">
    <w:pPr>
      <w:pBdr>
        <w:top w:val="nil"/>
        <w:left w:val="nil"/>
        <w:bottom w:val="nil"/>
        <w:right w:val="nil"/>
        <w:between w:val="nil"/>
      </w:pBdr>
      <w:tabs>
        <w:tab w:val="center" w:pos="4513"/>
        <w:tab w:val="right" w:pos="9026"/>
      </w:tabs>
      <w:jc w:val="right"/>
      <w:rPr>
        <w:rFonts w:cs="Arial"/>
      </w:rPr>
    </w:pPr>
    <w:r w:rsidRPr="007F1139">
      <w:rPr>
        <w:rFonts w:eastAsia="Arial" w:cs="Arial"/>
        <w:b/>
        <w:noProof/>
        <w:color w:val="000000"/>
      </w:rPr>
      <w:drawing>
        <wp:anchor distT="0" distB="0" distL="114300" distR="114300" simplePos="0" relativeHeight="251662336" behindDoc="0" locked="0" layoutInCell="1" allowOverlap="1" wp14:anchorId="5DF6F4AE" wp14:editId="061632D6">
          <wp:simplePos x="0" y="0"/>
          <wp:positionH relativeFrom="column">
            <wp:posOffset>316230</wp:posOffset>
          </wp:positionH>
          <wp:positionV relativeFrom="paragraph">
            <wp:posOffset>-349885</wp:posOffset>
          </wp:positionV>
          <wp:extent cx="981075" cy="688975"/>
          <wp:effectExtent l="0" t="0" r="9525" b="0"/>
          <wp:wrapThrough wrapText="bothSides">
            <wp:wrapPolygon edited="0">
              <wp:start x="0" y="0"/>
              <wp:lineTo x="0" y="20903"/>
              <wp:lineTo x="2517" y="20903"/>
              <wp:lineTo x="11324" y="20903"/>
              <wp:lineTo x="11744" y="19112"/>
              <wp:lineTo x="21390" y="11347"/>
              <wp:lineTo x="21390" y="7764"/>
              <wp:lineTo x="5872" y="0"/>
              <wp:lineTo x="0" y="0"/>
            </wp:wrapPolygon>
          </wp:wrapThrough>
          <wp:docPr id="2" name="Picture 2" descr="DVLA_3298_SML_AW.png"/>
          <wp:cNvGraphicFramePr/>
          <a:graphic xmlns:a="http://schemas.openxmlformats.org/drawingml/2006/main">
            <a:graphicData uri="http://schemas.openxmlformats.org/drawingml/2006/picture">
              <pic:pic xmlns:pic="http://schemas.openxmlformats.org/drawingml/2006/picture">
                <pic:nvPicPr>
                  <pic:cNvPr id="3" name="Picture 3" descr="DVLA_3298_SML_AW.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688975"/>
                  </a:xfrm>
                  <a:prstGeom prst="rect">
                    <a:avLst/>
                  </a:prstGeom>
                  <a:noFill/>
                </pic:spPr>
              </pic:pic>
            </a:graphicData>
          </a:graphic>
          <wp14:sizeRelV relativeFrom="margin">
            <wp14:pctHeight>0</wp14:pctHeight>
          </wp14:sizeRelV>
        </wp:anchor>
      </w:drawing>
    </w:r>
    <w:r w:rsidRPr="007F1139">
      <w:rPr>
        <w:rFonts w:eastAsia="Arial" w:cs="Arial"/>
        <w:b/>
        <w:noProof/>
        <w:color w:val="000000"/>
      </w:rPr>
      <w:drawing>
        <wp:anchor distT="0" distB="0" distL="114300" distR="114300" simplePos="0" relativeHeight="251663360" behindDoc="0" locked="0" layoutInCell="1" allowOverlap="1" wp14:anchorId="63603F99" wp14:editId="4DDA0F93">
          <wp:simplePos x="0" y="0"/>
          <wp:positionH relativeFrom="page">
            <wp:posOffset>47625</wp:posOffset>
          </wp:positionH>
          <wp:positionV relativeFrom="paragraph">
            <wp:posOffset>-332740</wp:posOffset>
          </wp:positionV>
          <wp:extent cx="1036320" cy="683260"/>
          <wp:effectExtent l="0" t="0" r="0" b="2540"/>
          <wp:wrapThrough wrapText="bothSides">
            <wp:wrapPolygon edited="0">
              <wp:start x="0" y="0"/>
              <wp:lineTo x="0" y="21078"/>
              <wp:lineTo x="21044" y="21078"/>
              <wp:lineTo x="2104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683260"/>
                  </a:xfrm>
                  <a:prstGeom prst="rect">
                    <a:avLst/>
                  </a:prstGeom>
                  <a:noFill/>
                  <a:ln>
                    <a:noFill/>
                  </a:ln>
                </pic:spPr>
              </pic:pic>
            </a:graphicData>
          </a:graphic>
        </wp:anchor>
      </w:drawing>
    </w:r>
    <w:bookmarkStart w:id="264" w:name="_Hlk92456719"/>
    <w:r w:rsidRPr="000D013D">
      <w:rPr>
        <w:rFonts w:cs="Arial"/>
      </w:rPr>
      <w:t xml:space="preserve">Contract Reference: </w:t>
    </w:r>
    <w:r w:rsidR="00024F99">
      <w:rPr>
        <w:rFonts w:cs="Arial"/>
      </w:rPr>
      <w:t>PS/2</w:t>
    </w:r>
    <w:r w:rsidR="00043A53">
      <w:rPr>
        <w:rFonts w:cs="Arial"/>
      </w:rPr>
      <w:t>4/13</w:t>
    </w:r>
  </w:p>
  <w:bookmarkEnd w:id="2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38200D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CB72D7"/>
    <w:multiLevelType w:val="hybridMultilevel"/>
    <w:tmpl w:val="1E92082E"/>
    <w:lvl w:ilvl="0" w:tplc="14149D7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252DC"/>
    <w:multiLevelType w:val="hybridMultilevel"/>
    <w:tmpl w:val="23B4028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79F0023"/>
    <w:multiLevelType w:val="hybridMultilevel"/>
    <w:tmpl w:val="C4C2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61072"/>
    <w:multiLevelType w:val="hybridMultilevel"/>
    <w:tmpl w:val="82600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06D89"/>
    <w:multiLevelType w:val="hybridMultilevel"/>
    <w:tmpl w:val="040A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B5F5E"/>
    <w:multiLevelType w:val="hybridMultilevel"/>
    <w:tmpl w:val="C582944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5D5303"/>
    <w:multiLevelType w:val="multilevel"/>
    <w:tmpl w:val="C14C2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63475ED"/>
    <w:multiLevelType w:val="hybridMultilevel"/>
    <w:tmpl w:val="B7140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831495B"/>
    <w:multiLevelType w:val="hybridMultilevel"/>
    <w:tmpl w:val="E7485F02"/>
    <w:lvl w:ilvl="0" w:tplc="2766EC74">
      <w:start w:val="1"/>
      <w:numFmt w:val="lowerLetter"/>
      <w:lvlText w:val="(%1)"/>
      <w:lvlJc w:val="left"/>
      <w:pPr>
        <w:ind w:left="1210" w:hanging="360"/>
      </w:pPr>
    </w:lvl>
    <w:lvl w:ilvl="1" w:tplc="08090019">
      <w:start w:val="1"/>
      <w:numFmt w:val="lowerLetter"/>
      <w:lvlText w:val="%2."/>
      <w:lvlJc w:val="left"/>
      <w:pPr>
        <w:ind w:left="1930" w:hanging="360"/>
      </w:pPr>
    </w:lvl>
    <w:lvl w:ilvl="2" w:tplc="0809001B">
      <w:start w:val="1"/>
      <w:numFmt w:val="lowerRoman"/>
      <w:lvlText w:val="%3."/>
      <w:lvlJc w:val="right"/>
      <w:pPr>
        <w:ind w:left="2650" w:hanging="180"/>
      </w:pPr>
    </w:lvl>
    <w:lvl w:ilvl="3" w:tplc="0809000F">
      <w:start w:val="1"/>
      <w:numFmt w:val="decimal"/>
      <w:lvlText w:val="%4."/>
      <w:lvlJc w:val="left"/>
      <w:pPr>
        <w:ind w:left="3370" w:hanging="360"/>
      </w:pPr>
    </w:lvl>
    <w:lvl w:ilvl="4" w:tplc="08090019">
      <w:start w:val="1"/>
      <w:numFmt w:val="lowerLetter"/>
      <w:lvlText w:val="%5."/>
      <w:lvlJc w:val="left"/>
      <w:pPr>
        <w:ind w:left="4090" w:hanging="360"/>
      </w:pPr>
    </w:lvl>
    <w:lvl w:ilvl="5" w:tplc="0809001B">
      <w:start w:val="1"/>
      <w:numFmt w:val="lowerRoman"/>
      <w:lvlText w:val="%6."/>
      <w:lvlJc w:val="right"/>
      <w:pPr>
        <w:ind w:left="4810" w:hanging="180"/>
      </w:pPr>
    </w:lvl>
    <w:lvl w:ilvl="6" w:tplc="0809000F">
      <w:start w:val="1"/>
      <w:numFmt w:val="decimal"/>
      <w:lvlText w:val="%7."/>
      <w:lvlJc w:val="left"/>
      <w:pPr>
        <w:ind w:left="5530" w:hanging="360"/>
      </w:pPr>
    </w:lvl>
    <w:lvl w:ilvl="7" w:tplc="08090019">
      <w:start w:val="1"/>
      <w:numFmt w:val="lowerLetter"/>
      <w:lvlText w:val="%8."/>
      <w:lvlJc w:val="left"/>
      <w:pPr>
        <w:ind w:left="6250" w:hanging="360"/>
      </w:pPr>
    </w:lvl>
    <w:lvl w:ilvl="8" w:tplc="0809001B">
      <w:start w:val="1"/>
      <w:numFmt w:val="lowerRoman"/>
      <w:lvlText w:val="%9."/>
      <w:lvlJc w:val="right"/>
      <w:pPr>
        <w:ind w:left="6970" w:hanging="180"/>
      </w:pPr>
    </w:lvl>
  </w:abstractNum>
  <w:abstractNum w:abstractNumId="10" w15:restartNumberingAfterBreak="0">
    <w:nsid w:val="1C1214E7"/>
    <w:multiLevelType w:val="hybridMultilevel"/>
    <w:tmpl w:val="4BCA09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18047B"/>
    <w:multiLevelType w:val="hybridMultilevel"/>
    <w:tmpl w:val="EE8868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C641FE"/>
    <w:multiLevelType w:val="hybridMultilevel"/>
    <w:tmpl w:val="AD2E3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480864"/>
    <w:multiLevelType w:val="hybridMultilevel"/>
    <w:tmpl w:val="28883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752801"/>
    <w:multiLevelType w:val="hybridMultilevel"/>
    <w:tmpl w:val="C6B6E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E11C2A"/>
    <w:multiLevelType w:val="hybridMultilevel"/>
    <w:tmpl w:val="788AC9BE"/>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A5A691B"/>
    <w:multiLevelType w:val="hybridMultilevel"/>
    <w:tmpl w:val="990E29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C061D82"/>
    <w:multiLevelType w:val="hybridMultilevel"/>
    <w:tmpl w:val="6744F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6626C9"/>
    <w:multiLevelType w:val="hybridMultilevel"/>
    <w:tmpl w:val="544AF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276DA6"/>
    <w:multiLevelType w:val="hybridMultilevel"/>
    <w:tmpl w:val="980E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CD5BE1"/>
    <w:multiLevelType w:val="hybridMultilevel"/>
    <w:tmpl w:val="FAC03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F97275"/>
    <w:multiLevelType w:val="hybridMultilevel"/>
    <w:tmpl w:val="89D42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3F6528"/>
    <w:multiLevelType w:val="hybridMultilevel"/>
    <w:tmpl w:val="FD72C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734F4A"/>
    <w:multiLevelType w:val="hybridMultilevel"/>
    <w:tmpl w:val="7048DCAA"/>
    <w:lvl w:ilvl="0" w:tplc="F9B2CA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1E567D"/>
    <w:multiLevelType w:val="hybridMultilevel"/>
    <w:tmpl w:val="66D0A83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4C48270D"/>
    <w:multiLevelType w:val="hybridMultilevel"/>
    <w:tmpl w:val="CB540A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4C7561FA"/>
    <w:multiLevelType w:val="hybridMultilevel"/>
    <w:tmpl w:val="F74CD190"/>
    <w:lvl w:ilvl="0" w:tplc="F634ADC2">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F720761"/>
    <w:multiLevelType w:val="hybridMultilevel"/>
    <w:tmpl w:val="76448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7E33C4"/>
    <w:multiLevelType w:val="multilevel"/>
    <w:tmpl w:val="1DE06AE6"/>
    <w:lvl w:ilvl="0">
      <w:numFmt w:val="decimal"/>
      <w:pStyle w:val="Heading1"/>
      <w:lvlText w:val="%1"/>
      <w:lvlJc w:val="left"/>
      <w:pPr>
        <w:tabs>
          <w:tab w:val="num" w:pos="432"/>
        </w:tabs>
        <w:ind w:left="432" w:hanging="432"/>
      </w:pPr>
      <w:rPr>
        <w:rFonts w:hint="default"/>
      </w:rPr>
    </w:lvl>
    <w:lvl w:ilvl="1">
      <w:start w:val="1"/>
      <w:numFmt w:val="decimal"/>
      <w:lvlText w:val="%2."/>
      <w:lvlJc w:val="left"/>
      <w:pPr>
        <w:tabs>
          <w:tab w:val="num" w:pos="747"/>
        </w:tabs>
        <w:ind w:left="74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5C410290"/>
    <w:multiLevelType w:val="hybridMultilevel"/>
    <w:tmpl w:val="386E2E96"/>
    <w:lvl w:ilvl="0" w:tplc="260AD306">
      <w:start w:val="1"/>
      <w:numFmt w:val="lowerLetter"/>
      <w:lvlText w:val="%1)"/>
      <w:lvlJc w:val="left"/>
      <w:pPr>
        <w:ind w:left="179" w:hanging="360"/>
      </w:pPr>
      <w:rPr>
        <w:rFonts w:hint="default"/>
      </w:rPr>
    </w:lvl>
    <w:lvl w:ilvl="1" w:tplc="08090019" w:tentative="1">
      <w:start w:val="1"/>
      <w:numFmt w:val="lowerLetter"/>
      <w:lvlText w:val="%2."/>
      <w:lvlJc w:val="left"/>
      <w:pPr>
        <w:ind w:left="899" w:hanging="360"/>
      </w:pPr>
    </w:lvl>
    <w:lvl w:ilvl="2" w:tplc="0809001B" w:tentative="1">
      <w:start w:val="1"/>
      <w:numFmt w:val="lowerRoman"/>
      <w:lvlText w:val="%3."/>
      <w:lvlJc w:val="right"/>
      <w:pPr>
        <w:ind w:left="1619" w:hanging="180"/>
      </w:pPr>
    </w:lvl>
    <w:lvl w:ilvl="3" w:tplc="0809000F" w:tentative="1">
      <w:start w:val="1"/>
      <w:numFmt w:val="decimal"/>
      <w:lvlText w:val="%4."/>
      <w:lvlJc w:val="left"/>
      <w:pPr>
        <w:ind w:left="2339" w:hanging="360"/>
      </w:pPr>
    </w:lvl>
    <w:lvl w:ilvl="4" w:tplc="08090019" w:tentative="1">
      <w:start w:val="1"/>
      <w:numFmt w:val="lowerLetter"/>
      <w:lvlText w:val="%5."/>
      <w:lvlJc w:val="left"/>
      <w:pPr>
        <w:ind w:left="3059" w:hanging="360"/>
      </w:pPr>
    </w:lvl>
    <w:lvl w:ilvl="5" w:tplc="0809001B" w:tentative="1">
      <w:start w:val="1"/>
      <w:numFmt w:val="lowerRoman"/>
      <w:lvlText w:val="%6."/>
      <w:lvlJc w:val="right"/>
      <w:pPr>
        <w:ind w:left="3779" w:hanging="180"/>
      </w:pPr>
    </w:lvl>
    <w:lvl w:ilvl="6" w:tplc="0809000F" w:tentative="1">
      <w:start w:val="1"/>
      <w:numFmt w:val="decimal"/>
      <w:lvlText w:val="%7."/>
      <w:lvlJc w:val="left"/>
      <w:pPr>
        <w:ind w:left="4499" w:hanging="360"/>
      </w:pPr>
    </w:lvl>
    <w:lvl w:ilvl="7" w:tplc="08090019" w:tentative="1">
      <w:start w:val="1"/>
      <w:numFmt w:val="lowerLetter"/>
      <w:lvlText w:val="%8."/>
      <w:lvlJc w:val="left"/>
      <w:pPr>
        <w:ind w:left="5219" w:hanging="360"/>
      </w:pPr>
    </w:lvl>
    <w:lvl w:ilvl="8" w:tplc="0809001B" w:tentative="1">
      <w:start w:val="1"/>
      <w:numFmt w:val="lowerRoman"/>
      <w:lvlText w:val="%9."/>
      <w:lvlJc w:val="right"/>
      <w:pPr>
        <w:ind w:left="5939" w:hanging="180"/>
      </w:pPr>
    </w:lvl>
  </w:abstractNum>
  <w:abstractNum w:abstractNumId="30" w15:restartNumberingAfterBreak="0">
    <w:nsid w:val="5C625A4E"/>
    <w:multiLevelType w:val="hybridMultilevel"/>
    <w:tmpl w:val="6C626D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EB87800"/>
    <w:multiLevelType w:val="hybridMultilevel"/>
    <w:tmpl w:val="F91E8F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F1A40EC"/>
    <w:multiLevelType w:val="hybridMultilevel"/>
    <w:tmpl w:val="AEBE1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0A017F"/>
    <w:multiLevelType w:val="hybridMultilevel"/>
    <w:tmpl w:val="545A98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8D0532"/>
    <w:multiLevelType w:val="hybridMultilevel"/>
    <w:tmpl w:val="14CC16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2ED755D"/>
    <w:multiLevelType w:val="hybridMultilevel"/>
    <w:tmpl w:val="8AFC890A"/>
    <w:lvl w:ilvl="0" w:tplc="08090001">
      <w:start w:val="1"/>
      <w:numFmt w:val="bullet"/>
      <w:lvlText w:val=""/>
      <w:lvlJc w:val="left"/>
      <w:pPr>
        <w:ind w:left="1584" w:hanging="360"/>
      </w:pPr>
      <w:rPr>
        <w:rFonts w:ascii="Symbol" w:hAnsi="Symbol" w:hint="default"/>
      </w:rPr>
    </w:lvl>
    <w:lvl w:ilvl="1" w:tplc="08090003">
      <w:start w:val="1"/>
      <w:numFmt w:val="bullet"/>
      <w:lvlText w:val="o"/>
      <w:lvlJc w:val="left"/>
      <w:pPr>
        <w:ind w:left="2304" w:hanging="360"/>
      </w:pPr>
      <w:rPr>
        <w:rFonts w:ascii="Courier New" w:hAnsi="Courier New" w:cs="Courier New" w:hint="default"/>
      </w:rPr>
    </w:lvl>
    <w:lvl w:ilvl="2" w:tplc="08090005">
      <w:start w:val="1"/>
      <w:numFmt w:val="bullet"/>
      <w:lvlText w:val=""/>
      <w:lvlJc w:val="left"/>
      <w:pPr>
        <w:ind w:left="3024" w:hanging="360"/>
      </w:pPr>
      <w:rPr>
        <w:rFonts w:ascii="Wingdings" w:hAnsi="Wingdings" w:hint="default"/>
      </w:rPr>
    </w:lvl>
    <w:lvl w:ilvl="3" w:tplc="08090001">
      <w:start w:val="1"/>
      <w:numFmt w:val="bullet"/>
      <w:lvlText w:val=""/>
      <w:lvlJc w:val="left"/>
      <w:pPr>
        <w:ind w:left="3744" w:hanging="360"/>
      </w:pPr>
      <w:rPr>
        <w:rFonts w:ascii="Symbol" w:hAnsi="Symbol" w:hint="default"/>
      </w:rPr>
    </w:lvl>
    <w:lvl w:ilvl="4" w:tplc="08090003">
      <w:start w:val="1"/>
      <w:numFmt w:val="bullet"/>
      <w:lvlText w:val="o"/>
      <w:lvlJc w:val="left"/>
      <w:pPr>
        <w:ind w:left="4464" w:hanging="360"/>
      </w:pPr>
      <w:rPr>
        <w:rFonts w:ascii="Courier New" w:hAnsi="Courier New" w:cs="Courier New" w:hint="default"/>
      </w:rPr>
    </w:lvl>
    <w:lvl w:ilvl="5" w:tplc="08090005">
      <w:start w:val="1"/>
      <w:numFmt w:val="bullet"/>
      <w:lvlText w:val=""/>
      <w:lvlJc w:val="left"/>
      <w:pPr>
        <w:ind w:left="5184" w:hanging="360"/>
      </w:pPr>
      <w:rPr>
        <w:rFonts w:ascii="Wingdings" w:hAnsi="Wingdings" w:hint="default"/>
      </w:rPr>
    </w:lvl>
    <w:lvl w:ilvl="6" w:tplc="08090001">
      <w:start w:val="1"/>
      <w:numFmt w:val="bullet"/>
      <w:lvlText w:val=""/>
      <w:lvlJc w:val="left"/>
      <w:pPr>
        <w:ind w:left="5904" w:hanging="360"/>
      </w:pPr>
      <w:rPr>
        <w:rFonts w:ascii="Symbol" w:hAnsi="Symbol" w:hint="default"/>
      </w:rPr>
    </w:lvl>
    <w:lvl w:ilvl="7" w:tplc="08090003">
      <w:start w:val="1"/>
      <w:numFmt w:val="bullet"/>
      <w:lvlText w:val="o"/>
      <w:lvlJc w:val="left"/>
      <w:pPr>
        <w:ind w:left="6624" w:hanging="360"/>
      </w:pPr>
      <w:rPr>
        <w:rFonts w:ascii="Courier New" w:hAnsi="Courier New" w:cs="Courier New" w:hint="default"/>
      </w:rPr>
    </w:lvl>
    <w:lvl w:ilvl="8" w:tplc="08090005">
      <w:start w:val="1"/>
      <w:numFmt w:val="bullet"/>
      <w:lvlText w:val=""/>
      <w:lvlJc w:val="left"/>
      <w:pPr>
        <w:ind w:left="7344" w:hanging="360"/>
      </w:pPr>
      <w:rPr>
        <w:rFonts w:ascii="Wingdings" w:hAnsi="Wingdings" w:hint="default"/>
      </w:rPr>
    </w:lvl>
  </w:abstractNum>
  <w:abstractNum w:abstractNumId="36" w15:restartNumberingAfterBreak="0">
    <w:nsid w:val="66145C52"/>
    <w:multiLevelType w:val="hybridMultilevel"/>
    <w:tmpl w:val="D608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AC134B"/>
    <w:multiLevelType w:val="hybridMultilevel"/>
    <w:tmpl w:val="CCCA1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143055"/>
    <w:multiLevelType w:val="hybridMultilevel"/>
    <w:tmpl w:val="C1DE124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83F09BF"/>
    <w:multiLevelType w:val="multilevel"/>
    <w:tmpl w:val="1EAAE4EC"/>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bullet"/>
      <w:lvlText w:val=""/>
      <w:lvlJc w:val="left"/>
      <w:pPr>
        <w:ind w:left="2448" w:hanging="648"/>
      </w:pPr>
      <w:rPr>
        <w:rFonts w:ascii="Symbol" w:hAnsi="Symbol" w:hint="default"/>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0" w15:restartNumberingAfterBreak="0">
    <w:nsid w:val="6A924450"/>
    <w:multiLevelType w:val="hybridMultilevel"/>
    <w:tmpl w:val="CA7A67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BB4524"/>
    <w:multiLevelType w:val="hybridMultilevel"/>
    <w:tmpl w:val="831688D4"/>
    <w:lvl w:ilvl="0" w:tplc="FFFFFFFF">
      <w:start w:val="1"/>
      <w:numFmt w:val="bullet"/>
      <w:pStyle w:val="List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9617B8"/>
    <w:multiLevelType w:val="hybridMultilevel"/>
    <w:tmpl w:val="62548A2C"/>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43" w15:restartNumberingAfterBreak="0">
    <w:nsid w:val="6D245C77"/>
    <w:multiLevelType w:val="hybridMultilevel"/>
    <w:tmpl w:val="B220FC50"/>
    <w:lvl w:ilvl="0" w:tplc="54689DE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44" w15:restartNumberingAfterBreak="0">
    <w:nsid w:val="6F3A610A"/>
    <w:multiLevelType w:val="hybridMultilevel"/>
    <w:tmpl w:val="013C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15:restartNumberingAfterBreak="0">
    <w:nsid w:val="7DB83F7F"/>
    <w:multiLevelType w:val="hybridMultilevel"/>
    <w:tmpl w:val="608E8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E503D8"/>
    <w:multiLevelType w:val="hybridMultilevel"/>
    <w:tmpl w:val="5BDC79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8E46E6"/>
    <w:multiLevelType w:val="hybridMultilevel"/>
    <w:tmpl w:val="4E720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75167829">
    <w:abstractNumId w:val="28"/>
  </w:num>
  <w:num w:numId="2" w16cid:durableId="622734918">
    <w:abstractNumId w:val="41"/>
  </w:num>
  <w:num w:numId="3" w16cid:durableId="195443301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168962">
    <w:abstractNumId w:val="6"/>
  </w:num>
  <w:num w:numId="5" w16cid:durableId="1629236391">
    <w:abstractNumId w:val="1"/>
  </w:num>
  <w:num w:numId="6" w16cid:durableId="1332173199">
    <w:abstractNumId w:val="36"/>
  </w:num>
  <w:num w:numId="7" w16cid:durableId="87584271">
    <w:abstractNumId w:val="34"/>
  </w:num>
  <w:num w:numId="8" w16cid:durableId="624039889">
    <w:abstractNumId w:val="0"/>
  </w:num>
  <w:num w:numId="9" w16cid:durableId="1416705986">
    <w:abstractNumId w:val="25"/>
  </w:num>
  <w:num w:numId="10" w16cid:durableId="1101217397">
    <w:abstractNumId w:val="44"/>
  </w:num>
  <w:num w:numId="11" w16cid:durableId="1832721426">
    <w:abstractNumId w:val="3"/>
  </w:num>
  <w:num w:numId="12" w16cid:durableId="1141772047">
    <w:abstractNumId w:val="20"/>
  </w:num>
  <w:num w:numId="13" w16cid:durableId="363989099">
    <w:abstractNumId w:val="11"/>
  </w:num>
  <w:num w:numId="14" w16cid:durableId="1143162377">
    <w:abstractNumId w:val="40"/>
  </w:num>
  <w:num w:numId="15" w16cid:durableId="1019938965">
    <w:abstractNumId w:val="42"/>
  </w:num>
  <w:num w:numId="16" w16cid:durableId="1647856284">
    <w:abstractNumId w:val="33"/>
  </w:num>
  <w:num w:numId="17" w16cid:durableId="425541144">
    <w:abstractNumId w:val="19"/>
  </w:num>
  <w:num w:numId="18" w16cid:durableId="1774548906">
    <w:abstractNumId w:val="38"/>
  </w:num>
  <w:num w:numId="19" w16cid:durableId="699474698">
    <w:abstractNumId w:val="27"/>
  </w:num>
  <w:num w:numId="20" w16cid:durableId="2043050875">
    <w:abstractNumId w:val="29"/>
  </w:num>
  <w:num w:numId="21" w16cid:durableId="797457946">
    <w:abstractNumId w:val="7"/>
  </w:num>
  <w:num w:numId="22" w16cid:durableId="1547445810">
    <w:abstractNumId w:val="10"/>
  </w:num>
  <w:num w:numId="23" w16cid:durableId="1682201456">
    <w:abstractNumId w:val="23"/>
  </w:num>
  <w:num w:numId="24" w16cid:durableId="1730421266">
    <w:abstractNumId w:val="22"/>
  </w:num>
  <w:num w:numId="25" w16cid:durableId="1521814055">
    <w:abstractNumId w:val="18"/>
  </w:num>
  <w:num w:numId="26" w16cid:durableId="4907572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5690515">
    <w:abstractNumId w:val="2"/>
  </w:num>
  <w:num w:numId="28" w16cid:durableId="591547060">
    <w:abstractNumId w:val="31"/>
  </w:num>
  <w:num w:numId="29" w16cid:durableId="280454511">
    <w:abstractNumId w:val="47"/>
  </w:num>
  <w:num w:numId="30" w16cid:durableId="793644622">
    <w:abstractNumId w:val="26"/>
  </w:num>
  <w:num w:numId="31" w16cid:durableId="1515077259">
    <w:abstractNumId w:val="43"/>
  </w:num>
  <w:num w:numId="32" w16cid:durableId="1033044824">
    <w:abstractNumId w:val="39"/>
  </w:num>
  <w:num w:numId="33" w16cid:durableId="564756249">
    <w:abstractNumId w:val="37"/>
  </w:num>
  <w:num w:numId="34" w16cid:durableId="1345522237">
    <w:abstractNumId w:val="46"/>
  </w:num>
  <w:num w:numId="35" w16cid:durableId="664743993">
    <w:abstractNumId w:val="5"/>
  </w:num>
  <w:num w:numId="36" w16cid:durableId="634288701">
    <w:abstractNumId w:val="32"/>
  </w:num>
  <w:num w:numId="37" w16cid:durableId="1615945347">
    <w:abstractNumId w:val="35"/>
  </w:num>
  <w:num w:numId="38" w16cid:durableId="1365642734">
    <w:abstractNumId w:val="4"/>
  </w:num>
  <w:num w:numId="39" w16cid:durableId="652490540">
    <w:abstractNumId w:val="16"/>
  </w:num>
  <w:num w:numId="40" w16cid:durableId="1434326581">
    <w:abstractNumId w:val="8"/>
  </w:num>
  <w:num w:numId="41" w16cid:durableId="444735478">
    <w:abstractNumId w:val="30"/>
  </w:num>
  <w:num w:numId="42" w16cid:durableId="1314531648">
    <w:abstractNumId w:val="15"/>
  </w:num>
  <w:num w:numId="43" w16cid:durableId="1138300030">
    <w:abstractNumId w:val="48"/>
  </w:num>
  <w:num w:numId="44" w16cid:durableId="2130858593">
    <w:abstractNumId w:val="17"/>
  </w:num>
  <w:num w:numId="45" w16cid:durableId="1934895596">
    <w:abstractNumId w:val="21"/>
  </w:num>
  <w:num w:numId="46" w16cid:durableId="121920845">
    <w:abstractNumId w:val="12"/>
  </w:num>
  <w:num w:numId="47" w16cid:durableId="646974899">
    <w:abstractNumId w:val="14"/>
  </w:num>
  <w:num w:numId="48" w16cid:durableId="1345210957">
    <w:abstractNumId w:val="13"/>
  </w:num>
  <w:num w:numId="49" w16cid:durableId="1043359075">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39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DC"/>
    <w:rsid w:val="000020A9"/>
    <w:rsid w:val="0000238E"/>
    <w:rsid w:val="00007B4D"/>
    <w:rsid w:val="00011F3E"/>
    <w:rsid w:val="00013A7F"/>
    <w:rsid w:val="000164A5"/>
    <w:rsid w:val="00021DCA"/>
    <w:rsid w:val="00024F99"/>
    <w:rsid w:val="000305B2"/>
    <w:rsid w:val="00030C8C"/>
    <w:rsid w:val="00031383"/>
    <w:rsid w:val="00031DF7"/>
    <w:rsid w:val="00033530"/>
    <w:rsid w:val="00033C37"/>
    <w:rsid w:val="00034B4F"/>
    <w:rsid w:val="00041FC6"/>
    <w:rsid w:val="00043A53"/>
    <w:rsid w:val="000443B0"/>
    <w:rsid w:val="00046BD2"/>
    <w:rsid w:val="00050FBE"/>
    <w:rsid w:val="00055DF1"/>
    <w:rsid w:val="00057810"/>
    <w:rsid w:val="0006780D"/>
    <w:rsid w:val="00067851"/>
    <w:rsid w:val="00067AD8"/>
    <w:rsid w:val="00071D5A"/>
    <w:rsid w:val="00071ED8"/>
    <w:rsid w:val="00076C9A"/>
    <w:rsid w:val="0007750C"/>
    <w:rsid w:val="00077A17"/>
    <w:rsid w:val="00077AD0"/>
    <w:rsid w:val="0008110C"/>
    <w:rsid w:val="00082D33"/>
    <w:rsid w:val="00083320"/>
    <w:rsid w:val="00085772"/>
    <w:rsid w:val="00086A73"/>
    <w:rsid w:val="00087C2B"/>
    <w:rsid w:val="00087E52"/>
    <w:rsid w:val="00090578"/>
    <w:rsid w:val="00091B80"/>
    <w:rsid w:val="0009506C"/>
    <w:rsid w:val="000C1A85"/>
    <w:rsid w:val="000C3014"/>
    <w:rsid w:val="000D1576"/>
    <w:rsid w:val="000D34DB"/>
    <w:rsid w:val="000D3DCE"/>
    <w:rsid w:val="000E1435"/>
    <w:rsid w:val="000E1CA5"/>
    <w:rsid w:val="000E6889"/>
    <w:rsid w:val="000E748E"/>
    <w:rsid w:val="000F08FB"/>
    <w:rsid w:val="000F1815"/>
    <w:rsid w:val="000F2E21"/>
    <w:rsid w:val="000F32C3"/>
    <w:rsid w:val="000F563D"/>
    <w:rsid w:val="001013C5"/>
    <w:rsid w:val="00103F4B"/>
    <w:rsid w:val="00110F4A"/>
    <w:rsid w:val="00115794"/>
    <w:rsid w:val="00120940"/>
    <w:rsid w:val="00122A87"/>
    <w:rsid w:val="001245E7"/>
    <w:rsid w:val="00124D0E"/>
    <w:rsid w:val="00130B54"/>
    <w:rsid w:val="00131DD3"/>
    <w:rsid w:val="00132EB3"/>
    <w:rsid w:val="00133957"/>
    <w:rsid w:val="00133E39"/>
    <w:rsid w:val="00136330"/>
    <w:rsid w:val="00136AFE"/>
    <w:rsid w:val="00141192"/>
    <w:rsid w:val="00141A05"/>
    <w:rsid w:val="00142529"/>
    <w:rsid w:val="00146794"/>
    <w:rsid w:val="001470BF"/>
    <w:rsid w:val="00147696"/>
    <w:rsid w:val="00150C97"/>
    <w:rsid w:val="00151040"/>
    <w:rsid w:val="00152625"/>
    <w:rsid w:val="00153E53"/>
    <w:rsid w:val="001549D1"/>
    <w:rsid w:val="00160800"/>
    <w:rsid w:val="00161A63"/>
    <w:rsid w:val="0016217D"/>
    <w:rsid w:val="00162B99"/>
    <w:rsid w:val="00163C65"/>
    <w:rsid w:val="00166E06"/>
    <w:rsid w:val="00171330"/>
    <w:rsid w:val="00174A1E"/>
    <w:rsid w:val="00175680"/>
    <w:rsid w:val="00176795"/>
    <w:rsid w:val="00176FCB"/>
    <w:rsid w:val="001804FC"/>
    <w:rsid w:val="0018142D"/>
    <w:rsid w:val="0018220F"/>
    <w:rsid w:val="00185153"/>
    <w:rsid w:val="00185E8C"/>
    <w:rsid w:val="00190473"/>
    <w:rsid w:val="001916B4"/>
    <w:rsid w:val="00191BE9"/>
    <w:rsid w:val="00191F7D"/>
    <w:rsid w:val="001925F7"/>
    <w:rsid w:val="00192965"/>
    <w:rsid w:val="00194695"/>
    <w:rsid w:val="001A1704"/>
    <w:rsid w:val="001A236D"/>
    <w:rsid w:val="001A2B92"/>
    <w:rsid w:val="001A3576"/>
    <w:rsid w:val="001A59F6"/>
    <w:rsid w:val="001A6828"/>
    <w:rsid w:val="001A7B1C"/>
    <w:rsid w:val="001B0DD7"/>
    <w:rsid w:val="001B180D"/>
    <w:rsid w:val="001B2327"/>
    <w:rsid w:val="001B69DC"/>
    <w:rsid w:val="001C03FD"/>
    <w:rsid w:val="001C1CB6"/>
    <w:rsid w:val="001C445A"/>
    <w:rsid w:val="001C624D"/>
    <w:rsid w:val="001C6E8E"/>
    <w:rsid w:val="001C6FEB"/>
    <w:rsid w:val="001D010C"/>
    <w:rsid w:val="001D13BF"/>
    <w:rsid w:val="001D1B02"/>
    <w:rsid w:val="001D7207"/>
    <w:rsid w:val="001E092D"/>
    <w:rsid w:val="001E15EA"/>
    <w:rsid w:val="001E236E"/>
    <w:rsid w:val="001F0759"/>
    <w:rsid w:val="001F2879"/>
    <w:rsid w:val="001F3A20"/>
    <w:rsid w:val="002024D3"/>
    <w:rsid w:val="00202B96"/>
    <w:rsid w:val="0021007A"/>
    <w:rsid w:val="002108D8"/>
    <w:rsid w:val="00211032"/>
    <w:rsid w:val="00212657"/>
    <w:rsid w:val="00212BB0"/>
    <w:rsid w:val="00213203"/>
    <w:rsid w:val="0021542F"/>
    <w:rsid w:val="00216534"/>
    <w:rsid w:val="00220165"/>
    <w:rsid w:val="00220488"/>
    <w:rsid w:val="00222A4F"/>
    <w:rsid w:val="00226712"/>
    <w:rsid w:val="00230C76"/>
    <w:rsid w:val="00231A3B"/>
    <w:rsid w:val="0023368B"/>
    <w:rsid w:val="00236890"/>
    <w:rsid w:val="00237E4B"/>
    <w:rsid w:val="002409E1"/>
    <w:rsid w:val="00244685"/>
    <w:rsid w:val="0025267D"/>
    <w:rsid w:val="00253F00"/>
    <w:rsid w:val="0025484F"/>
    <w:rsid w:val="00255FB6"/>
    <w:rsid w:val="00257758"/>
    <w:rsid w:val="00260E8B"/>
    <w:rsid w:val="0026368F"/>
    <w:rsid w:val="002643B2"/>
    <w:rsid w:val="00264EB4"/>
    <w:rsid w:val="00264F0E"/>
    <w:rsid w:val="00266854"/>
    <w:rsid w:val="00266CE3"/>
    <w:rsid w:val="00271B0F"/>
    <w:rsid w:val="002739A0"/>
    <w:rsid w:val="00274B1B"/>
    <w:rsid w:val="00276D00"/>
    <w:rsid w:val="002773C8"/>
    <w:rsid w:val="00281DFB"/>
    <w:rsid w:val="00284EB1"/>
    <w:rsid w:val="002875E7"/>
    <w:rsid w:val="00287C85"/>
    <w:rsid w:val="00291A5A"/>
    <w:rsid w:val="00294417"/>
    <w:rsid w:val="002A3DCB"/>
    <w:rsid w:val="002A56B1"/>
    <w:rsid w:val="002A67E8"/>
    <w:rsid w:val="002A6D61"/>
    <w:rsid w:val="002A7AEF"/>
    <w:rsid w:val="002A7E36"/>
    <w:rsid w:val="002B5811"/>
    <w:rsid w:val="002B5E1C"/>
    <w:rsid w:val="002C022E"/>
    <w:rsid w:val="002C16CC"/>
    <w:rsid w:val="002C5781"/>
    <w:rsid w:val="002C7D59"/>
    <w:rsid w:val="002D0917"/>
    <w:rsid w:val="002D0CB5"/>
    <w:rsid w:val="002D6126"/>
    <w:rsid w:val="002E114F"/>
    <w:rsid w:val="002E2684"/>
    <w:rsid w:val="002E499F"/>
    <w:rsid w:val="002E5D75"/>
    <w:rsid w:val="002F6303"/>
    <w:rsid w:val="0030069B"/>
    <w:rsid w:val="00301979"/>
    <w:rsid w:val="00301D64"/>
    <w:rsid w:val="00301DAB"/>
    <w:rsid w:val="003049E0"/>
    <w:rsid w:val="00305A22"/>
    <w:rsid w:val="00307D58"/>
    <w:rsid w:val="00313FCF"/>
    <w:rsid w:val="003145E6"/>
    <w:rsid w:val="003154D2"/>
    <w:rsid w:val="00315FEA"/>
    <w:rsid w:val="00321E0B"/>
    <w:rsid w:val="003300D4"/>
    <w:rsid w:val="00330C07"/>
    <w:rsid w:val="00333D5A"/>
    <w:rsid w:val="0033714E"/>
    <w:rsid w:val="00337E88"/>
    <w:rsid w:val="00341475"/>
    <w:rsid w:val="00343F71"/>
    <w:rsid w:val="00344563"/>
    <w:rsid w:val="003455F4"/>
    <w:rsid w:val="00346854"/>
    <w:rsid w:val="00354877"/>
    <w:rsid w:val="00355289"/>
    <w:rsid w:val="00355700"/>
    <w:rsid w:val="00355FC4"/>
    <w:rsid w:val="00356175"/>
    <w:rsid w:val="00357208"/>
    <w:rsid w:val="0036118D"/>
    <w:rsid w:val="00362DE0"/>
    <w:rsid w:val="00364A90"/>
    <w:rsid w:val="00365D7B"/>
    <w:rsid w:val="00365FD5"/>
    <w:rsid w:val="003662E3"/>
    <w:rsid w:val="003678CF"/>
    <w:rsid w:val="00371D9B"/>
    <w:rsid w:val="003758E9"/>
    <w:rsid w:val="0037592B"/>
    <w:rsid w:val="0037695D"/>
    <w:rsid w:val="00376B0D"/>
    <w:rsid w:val="00376ED5"/>
    <w:rsid w:val="00376F96"/>
    <w:rsid w:val="003774BB"/>
    <w:rsid w:val="00377E02"/>
    <w:rsid w:val="003800CA"/>
    <w:rsid w:val="00381081"/>
    <w:rsid w:val="00386A73"/>
    <w:rsid w:val="00387A0B"/>
    <w:rsid w:val="00391B30"/>
    <w:rsid w:val="00393B81"/>
    <w:rsid w:val="003945DF"/>
    <w:rsid w:val="00394948"/>
    <w:rsid w:val="003A0CFA"/>
    <w:rsid w:val="003A14E4"/>
    <w:rsid w:val="003A52D6"/>
    <w:rsid w:val="003A5A34"/>
    <w:rsid w:val="003A5CA9"/>
    <w:rsid w:val="003A607C"/>
    <w:rsid w:val="003A6184"/>
    <w:rsid w:val="003B029F"/>
    <w:rsid w:val="003B15B8"/>
    <w:rsid w:val="003B20E9"/>
    <w:rsid w:val="003B6257"/>
    <w:rsid w:val="003C66B7"/>
    <w:rsid w:val="003D01AE"/>
    <w:rsid w:val="003D07B1"/>
    <w:rsid w:val="003D29FA"/>
    <w:rsid w:val="003D338D"/>
    <w:rsid w:val="003D4D09"/>
    <w:rsid w:val="003D502C"/>
    <w:rsid w:val="003D5803"/>
    <w:rsid w:val="003D5E49"/>
    <w:rsid w:val="003D5F62"/>
    <w:rsid w:val="003D72BA"/>
    <w:rsid w:val="003E078D"/>
    <w:rsid w:val="003E5975"/>
    <w:rsid w:val="003E77E5"/>
    <w:rsid w:val="003F421E"/>
    <w:rsid w:val="003F4C4B"/>
    <w:rsid w:val="003F712B"/>
    <w:rsid w:val="003F7D84"/>
    <w:rsid w:val="003F7E1C"/>
    <w:rsid w:val="004011A8"/>
    <w:rsid w:val="004027C4"/>
    <w:rsid w:val="004043B9"/>
    <w:rsid w:val="004051D8"/>
    <w:rsid w:val="00407612"/>
    <w:rsid w:val="00407D68"/>
    <w:rsid w:val="00411969"/>
    <w:rsid w:val="00412E65"/>
    <w:rsid w:val="00413135"/>
    <w:rsid w:val="00413A2C"/>
    <w:rsid w:val="0041550C"/>
    <w:rsid w:val="004157CE"/>
    <w:rsid w:val="00416612"/>
    <w:rsid w:val="00416B3F"/>
    <w:rsid w:val="0042256B"/>
    <w:rsid w:val="00423A1B"/>
    <w:rsid w:val="004259DF"/>
    <w:rsid w:val="00427AC4"/>
    <w:rsid w:val="0043081A"/>
    <w:rsid w:val="00430AAC"/>
    <w:rsid w:val="00433814"/>
    <w:rsid w:val="00434D1D"/>
    <w:rsid w:val="00436005"/>
    <w:rsid w:val="00436799"/>
    <w:rsid w:val="00436EEE"/>
    <w:rsid w:val="0044039E"/>
    <w:rsid w:val="00441325"/>
    <w:rsid w:val="00442897"/>
    <w:rsid w:val="004437C5"/>
    <w:rsid w:val="00446A2F"/>
    <w:rsid w:val="00446EC5"/>
    <w:rsid w:val="00455722"/>
    <w:rsid w:val="00461BEC"/>
    <w:rsid w:val="00462C40"/>
    <w:rsid w:val="0046546F"/>
    <w:rsid w:val="004676C3"/>
    <w:rsid w:val="004734A7"/>
    <w:rsid w:val="00476BAD"/>
    <w:rsid w:val="00482A8D"/>
    <w:rsid w:val="00484A78"/>
    <w:rsid w:val="0049145E"/>
    <w:rsid w:val="00496949"/>
    <w:rsid w:val="004A00DE"/>
    <w:rsid w:val="004A144C"/>
    <w:rsid w:val="004A5544"/>
    <w:rsid w:val="004A591F"/>
    <w:rsid w:val="004A6632"/>
    <w:rsid w:val="004A6CE0"/>
    <w:rsid w:val="004A6DB4"/>
    <w:rsid w:val="004A7502"/>
    <w:rsid w:val="004B008E"/>
    <w:rsid w:val="004B295E"/>
    <w:rsid w:val="004B34C1"/>
    <w:rsid w:val="004B3C1E"/>
    <w:rsid w:val="004B6C5B"/>
    <w:rsid w:val="004B6EE6"/>
    <w:rsid w:val="004C1118"/>
    <w:rsid w:val="004C3CA5"/>
    <w:rsid w:val="004C62D8"/>
    <w:rsid w:val="004D0F42"/>
    <w:rsid w:val="004D14CE"/>
    <w:rsid w:val="004D5C54"/>
    <w:rsid w:val="004D6E5B"/>
    <w:rsid w:val="004D7E93"/>
    <w:rsid w:val="004E35B6"/>
    <w:rsid w:val="004E4785"/>
    <w:rsid w:val="004F67FE"/>
    <w:rsid w:val="00500264"/>
    <w:rsid w:val="005023FA"/>
    <w:rsid w:val="00503A18"/>
    <w:rsid w:val="00504A4E"/>
    <w:rsid w:val="00505BAA"/>
    <w:rsid w:val="00511151"/>
    <w:rsid w:val="00514C1D"/>
    <w:rsid w:val="005253E6"/>
    <w:rsid w:val="00526582"/>
    <w:rsid w:val="00526F6A"/>
    <w:rsid w:val="00527013"/>
    <w:rsid w:val="00533D73"/>
    <w:rsid w:val="00534732"/>
    <w:rsid w:val="005358B8"/>
    <w:rsid w:val="00536A09"/>
    <w:rsid w:val="00536FD1"/>
    <w:rsid w:val="00537163"/>
    <w:rsid w:val="00540538"/>
    <w:rsid w:val="00542C2D"/>
    <w:rsid w:val="00543737"/>
    <w:rsid w:val="00544221"/>
    <w:rsid w:val="00544B59"/>
    <w:rsid w:val="00544F94"/>
    <w:rsid w:val="00546359"/>
    <w:rsid w:val="00546498"/>
    <w:rsid w:val="00550051"/>
    <w:rsid w:val="00550AEA"/>
    <w:rsid w:val="00556954"/>
    <w:rsid w:val="005576DE"/>
    <w:rsid w:val="005625CE"/>
    <w:rsid w:val="00562632"/>
    <w:rsid w:val="005651A6"/>
    <w:rsid w:val="00565D16"/>
    <w:rsid w:val="0056688C"/>
    <w:rsid w:val="00570D66"/>
    <w:rsid w:val="0057628B"/>
    <w:rsid w:val="00577892"/>
    <w:rsid w:val="00581A14"/>
    <w:rsid w:val="005835B2"/>
    <w:rsid w:val="0059187A"/>
    <w:rsid w:val="00592694"/>
    <w:rsid w:val="00594035"/>
    <w:rsid w:val="0059411E"/>
    <w:rsid w:val="005954BC"/>
    <w:rsid w:val="00595FF2"/>
    <w:rsid w:val="005973F7"/>
    <w:rsid w:val="00597ADD"/>
    <w:rsid w:val="005A0097"/>
    <w:rsid w:val="005A1487"/>
    <w:rsid w:val="005A1889"/>
    <w:rsid w:val="005A1D70"/>
    <w:rsid w:val="005A2D9B"/>
    <w:rsid w:val="005A3C67"/>
    <w:rsid w:val="005A4D9F"/>
    <w:rsid w:val="005A592C"/>
    <w:rsid w:val="005A7B34"/>
    <w:rsid w:val="005A7DF2"/>
    <w:rsid w:val="005B05D7"/>
    <w:rsid w:val="005B15F2"/>
    <w:rsid w:val="005B4DEA"/>
    <w:rsid w:val="005B7D97"/>
    <w:rsid w:val="005C45ED"/>
    <w:rsid w:val="005D0237"/>
    <w:rsid w:val="005D4687"/>
    <w:rsid w:val="005D4A3D"/>
    <w:rsid w:val="005D723F"/>
    <w:rsid w:val="005E14E1"/>
    <w:rsid w:val="005E1C74"/>
    <w:rsid w:val="005E2438"/>
    <w:rsid w:val="005E3488"/>
    <w:rsid w:val="005E3DA4"/>
    <w:rsid w:val="005F1E7C"/>
    <w:rsid w:val="005F26DB"/>
    <w:rsid w:val="005F3FB0"/>
    <w:rsid w:val="005F51D5"/>
    <w:rsid w:val="005F6AAD"/>
    <w:rsid w:val="005F7352"/>
    <w:rsid w:val="006005C8"/>
    <w:rsid w:val="006006F7"/>
    <w:rsid w:val="00606930"/>
    <w:rsid w:val="006102F9"/>
    <w:rsid w:val="00611F85"/>
    <w:rsid w:val="00612DDD"/>
    <w:rsid w:val="006148EE"/>
    <w:rsid w:val="00615EF2"/>
    <w:rsid w:val="00615FC4"/>
    <w:rsid w:val="0061742E"/>
    <w:rsid w:val="00620AFB"/>
    <w:rsid w:val="00620B16"/>
    <w:rsid w:val="006268CB"/>
    <w:rsid w:val="00627776"/>
    <w:rsid w:val="00630C0C"/>
    <w:rsid w:val="00632F75"/>
    <w:rsid w:val="00633334"/>
    <w:rsid w:val="0063367E"/>
    <w:rsid w:val="0063394D"/>
    <w:rsid w:val="006339AA"/>
    <w:rsid w:val="00635819"/>
    <w:rsid w:val="0063595A"/>
    <w:rsid w:val="00636DF1"/>
    <w:rsid w:val="0063757C"/>
    <w:rsid w:val="00640CBA"/>
    <w:rsid w:val="00640F2D"/>
    <w:rsid w:val="00641073"/>
    <w:rsid w:val="006432A1"/>
    <w:rsid w:val="00647C38"/>
    <w:rsid w:val="00650CA8"/>
    <w:rsid w:val="00651512"/>
    <w:rsid w:val="00651F06"/>
    <w:rsid w:val="00652BB5"/>
    <w:rsid w:val="00653CE1"/>
    <w:rsid w:val="00662B62"/>
    <w:rsid w:val="006630C6"/>
    <w:rsid w:val="00663BF1"/>
    <w:rsid w:val="00663F83"/>
    <w:rsid w:val="00664E04"/>
    <w:rsid w:val="006661EE"/>
    <w:rsid w:val="006675AC"/>
    <w:rsid w:val="00667684"/>
    <w:rsid w:val="0067327F"/>
    <w:rsid w:val="00675659"/>
    <w:rsid w:val="0068051C"/>
    <w:rsid w:val="00680AA4"/>
    <w:rsid w:val="00680F18"/>
    <w:rsid w:val="0068131C"/>
    <w:rsid w:val="00684601"/>
    <w:rsid w:val="00685324"/>
    <w:rsid w:val="00685336"/>
    <w:rsid w:val="00686DCB"/>
    <w:rsid w:val="0068736B"/>
    <w:rsid w:val="0069124E"/>
    <w:rsid w:val="0069185B"/>
    <w:rsid w:val="00692F10"/>
    <w:rsid w:val="0069519D"/>
    <w:rsid w:val="00696D73"/>
    <w:rsid w:val="00697835"/>
    <w:rsid w:val="00697C21"/>
    <w:rsid w:val="006A0DE0"/>
    <w:rsid w:val="006A3892"/>
    <w:rsid w:val="006A47CA"/>
    <w:rsid w:val="006B179D"/>
    <w:rsid w:val="006B3327"/>
    <w:rsid w:val="006B4D8C"/>
    <w:rsid w:val="006B6EC4"/>
    <w:rsid w:val="006C2208"/>
    <w:rsid w:val="006C2254"/>
    <w:rsid w:val="006C5372"/>
    <w:rsid w:val="006C57D4"/>
    <w:rsid w:val="006D2453"/>
    <w:rsid w:val="006D4AF7"/>
    <w:rsid w:val="006D6A1A"/>
    <w:rsid w:val="006D72D3"/>
    <w:rsid w:val="006E228F"/>
    <w:rsid w:val="006E2514"/>
    <w:rsid w:val="006E2DD4"/>
    <w:rsid w:val="006E341C"/>
    <w:rsid w:val="006E36FD"/>
    <w:rsid w:val="006E6A4D"/>
    <w:rsid w:val="006F21BC"/>
    <w:rsid w:val="006F5746"/>
    <w:rsid w:val="006F5D75"/>
    <w:rsid w:val="006F6F57"/>
    <w:rsid w:val="006F72A1"/>
    <w:rsid w:val="006F7E88"/>
    <w:rsid w:val="0070235E"/>
    <w:rsid w:val="0070600A"/>
    <w:rsid w:val="00706CC3"/>
    <w:rsid w:val="00710748"/>
    <w:rsid w:val="007119C7"/>
    <w:rsid w:val="0071376C"/>
    <w:rsid w:val="007230CD"/>
    <w:rsid w:val="007264B1"/>
    <w:rsid w:val="00727DE8"/>
    <w:rsid w:val="007316A2"/>
    <w:rsid w:val="0073185D"/>
    <w:rsid w:val="0073215C"/>
    <w:rsid w:val="0073356B"/>
    <w:rsid w:val="0073548B"/>
    <w:rsid w:val="00735532"/>
    <w:rsid w:val="007414AD"/>
    <w:rsid w:val="00743E92"/>
    <w:rsid w:val="007455DC"/>
    <w:rsid w:val="00754361"/>
    <w:rsid w:val="007564FC"/>
    <w:rsid w:val="00757094"/>
    <w:rsid w:val="00760E82"/>
    <w:rsid w:val="007662E7"/>
    <w:rsid w:val="00767F1F"/>
    <w:rsid w:val="00770C10"/>
    <w:rsid w:val="00771E66"/>
    <w:rsid w:val="00772A27"/>
    <w:rsid w:val="007737D5"/>
    <w:rsid w:val="00775EAC"/>
    <w:rsid w:val="007779F1"/>
    <w:rsid w:val="00777C4C"/>
    <w:rsid w:val="00780CA1"/>
    <w:rsid w:val="007815D6"/>
    <w:rsid w:val="00781BA1"/>
    <w:rsid w:val="0078262B"/>
    <w:rsid w:val="00783512"/>
    <w:rsid w:val="007879DD"/>
    <w:rsid w:val="007919EA"/>
    <w:rsid w:val="007937B1"/>
    <w:rsid w:val="007947A8"/>
    <w:rsid w:val="00794DD0"/>
    <w:rsid w:val="007968E6"/>
    <w:rsid w:val="007A2887"/>
    <w:rsid w:val="007A2EAA"/>
    <w:rsid w:val="007A4598"/>
    <w:rsid w:val="007A4E93"/>
    <w:rsid w:val="007A61E9"/>
    <w:rsid w:val="007B3C12"/>
    <w:rsid w:val="007C3B27"/>
    <w:rsid w:val="007C3C3B"/>
    <w:rsid w:val="007C4A77"/>
    <w:rsid w:val="007C6011"/>
    <w:rsid w:val="007C6A2F"/>
    <w:rsid w:val="007C6A37"/>
    <w:rsid w:val="007C6A82"/>
    <w:rsid w:val="007D15D3"/>
    <w:rsid w:val="007D20BE"/>
    <w:rsid w:val="007D774F"/>
    <w:rsid w:val="007D7EFE"/>
    <w:rsid w:val="007E08BA"/>
    <w:rsid w:val="007E34BB"/>
    <w:rsid w:val="007E54BC"/>
    <w:rsid w:val="007E5D77"/>
    <w:rsid w:val="007E6AF7"/>
    <w:rsid w:val="007F095A"/>
    <w:rsid w:val="007F0A47"/>
    <w:rsid w:val="007F1CA3"/>
    <w:rsid w:val="007F3E3B"/>
    <w:rsid w:val="007F4801"/>
    <w:rsid w:val="007F5775"/>
    <w:rsid w:val="007F633E"/>
    <w:rsid w:val="007F782A"/>
    <w:rsid w:val="00800973"/>
    <w:rsid w:val="0080331E"/>
    <w:rsid w:val="008042EC"/>
    <w:rsid w:val="00806673"/>
    <w:rsid w:val="00810C67"/>
    <w:rsid w:val="00812026"/>
    <w:rsid w:val="00815531"/>
    <w:rsid w:val="00820ABF"/>
    <w:rsid w:val="00821F24"/>
    <w:rsid w:val="008248CD"/>
    <w:rsid w:val="00827DD2"/>
    <w:rsid w:val="00834157"/>
    <w:rsid w:val="008409E9"/>
    <w:rsid w:val="00840CE1"/>
    <w:rsid w:val="0084309A"/>
    <w:rsid w:val="008447A5"/>
    <w:rsid w:val="00844DA4"/>
    <w:rsid w:val="00844FF4"/>
    <w:rsid w:val="00846033"/>
    <w:rsid w:val="00846906"/>
    <w:rsid w:val="00847562"/>
    <w:rsid w:val="00847A2F"/>
    <w:rsid w:val="00850192"/>
    <w:rsid w:val="00850DC5"/>
    <w:rsid w:val="00854744"/>
    <w:rsid w:val="00854D1F"/>
    <w:rsid w:val="00860FCC"/>
    <w:rsid w:val="0086165E"/>
    <w:rsid w:val="00864E47"/>
    <w:rsid w:val="00866C9A"/>
    <w:rsid w:val="00867DC1"/>
    <w:rsid w:val="00874C87"/>
    <w:rsid w:val="0087593E"/>
    <w:rsid w:val="008820ED"/>
    <w:rsid w:val="00883000"/>
    <w:rsid w:val="00884DE0"/>
    <w:rsid w:val="00896A29"/>
    <w:rsid w:val="008A006D"/>
    <w:rsid w:val="008A1146"/>
    <w:rsid w:val="008A63A8"/>
    <w:rsid w:val="008B34AD"/>
    <w:rsid w:val="008B772A"/>
    <w:rsid w:val="008C164B"/>
    <w:rsid w:val="008C3F74"/>
    <w:rsid w:val="008C42AC"/>
    <w:rsid w:val="008C6693"/>
    <w:rsid w:val="008C66A1"/>
    <w:rsid w:val="008C729C"/>
    <w:rsid w:val="008D0049"/>
    <w:rsid w:val="008D2EFD"/>
    <w:rsid w:val="008D31B6"/>
    <w:rsid w:val="008D4AA5"/>
    <w:rsid w:val="008D623D"/>
    <w:rsid w:val="008D63EC"/>
    <w:rsid w:val="008E02D6"/>
    <w:rsid w:val="008E3704"/>
    <w:rsid w:val="008E42B4"/>
    <w:rsid w:val="008E50BF"/>
    <w:rsid w:val="008E5C2F"/>
    <w:rsid w:val="008E61CC"/>
    <w:rsid w:val="008E61CF"/>
    <w:rsid w:val="008E7575"/>
    <w:rsid w:val="008F188C"/>
    <w:rsid w:val="008F1CA0"/>
    <w:rsid w:val="008F6944"/>
    <w:rsid w:val="008F6FCE"/>
    <w:rsid w:val="00901BF0"/>
    <w:rsid w:val="00904BD7"/>
    <w:rsid w:val="00904F8C"/>
    <w:rsid w:val="009054BE"/>
    <w:rsid w:val="00906E16"/>
    <w:rsid w:val="0091083F"/>
    <w:rsid w:val="009109E4"/>
    <w:rsid w:val="00913C07"/>
    <w:rsid w:val="00917E2B"/>
    <w:rsid w:val="00917E36"/>
    <w:rsid w:val="00920CD3"/>
    <w:rsid w:val="0092350C"/>
    <w:rsid w:val="0093049C"/>
    <w:rsid w:val="00931F00"/>
    <w:rsid w:val="00931FAE"/>
    <w:rsid w:val="009424D8"/>
    <w:rsid w:val="0094289B"/>
    <w:rsid w:val="00942F5D"/>
    <w:rsid w:val="00943D93"/>
    <w:rsid w:val="00945DAF"/>
    <w:rsid w:val="009507A1"/>
    <w:rsid w:val="009522B3"/>
    <w:rsid w:val="009554ED"/>
    <w:rsid w:val="009609F0"/>
    <w:rsid w:val="0096150B"/>
    <w:rsid w:val="00966EF0"/>
    <w:rsid w:val="00970909"/>
    <w:rsid w:val="00973945"/>
    <w:rsid w:val="00984FB2"/>
    <w:rsid w:val="00985E2F"/>
    <w:rsid w:val="00990A79"/>
    <w:rsid w:val="00992869"/>
    <w:rsid w:val="00992E05"/>
    <w:rsid w:val="009A00F2"/>
    <w:rsid w:val="009A02AF"/>
    <w:rsid w:val="009A1CFC"/>
    <w:rsid w:val="009A5A2D"/>
    <w:rsid w:val="009A6AB0"/>
    <w:rsid w:val="009B14E3"/>
    <w:rsid w:val="009B158B"/>
    <w:rsid w:val="009B67E8"/>
    <w:rsid w:val="009C0A08"/>
    <w:rsid w:val="009C54A7"/>
    <w:rsid w:val="009C65C0"/>
    <w:rsid w:val="009C671B"/>
    <w:rsid w:val="009C75B9"/>
    <w:rsid w:val="009D06A9"/>
    <w:rsid w:val="009D6479"/>
    <w:rsid w:val="009D6893"/>
    <w:rsid w:val="009E249F"/>
    <w:rsid w:val="009E5471"/>
    <w:rsid w:val="009E722A"/>
    <w:rsid w:val="009E759C"/>
    <w:rsid w:val="009F1004"/>
    <w:rsid w:val="009F2C82"/>
    <w:rsid w:val="009F2D81"/>
    <w:rsid w:val="009F2F8A"/>
    <w:rsid w:val="009F348D"/>
    <w:rsid w:val="009F5C9F"/>
    <w:rsid w:val="009F5CD6"/>
    <w:rsid w:val="009F6BD3"/>
    <w:rsid w:val="00A024A2"/>
    <w:rsid w:val="00A0679B"/>
    <w:rsid w:val="00A068CE"/>
    <w:rsid w:val="00A11EC1"/>
    <w:rsid w:val="00A11F92"/>
    <w:rsid w:val="00A12DD2"/>
    <w:rsid w:val="00A175F3"/>
    <w:rsid w:val="00A17AED"/>
    <w:rsid w:val="00A2192C"/>
    <w:rsid w:val="00A24A7E"/>
    <w:rsid w:val="00A256B3"/>
    <w:rsid w:val="00A27801"/>
    <w:rsid w:val="00A32320"/>
    <w:rsid w:val="00A324D8"/>
    <w:rsid w:val="00A33728"/>
    <w:rsid w:val="00A378E0"/>
    <w:rsid w:val="00A42C5D"/>
    <w:rsid w:val="00A4503A"/>
    <w:rsid w:val="00A45567"/>
    <w:rsid w:val="00A4782A"/>
    <w:rsid w:val="00A47A8B"/>
    <w:rsid w:val="00A50FC1"/>
    <w:rsid w:val="00A53C0C"/>
    <w:rsid w:val="00A60832"/>
    <w:rsid w:val="00A80370"/>
    <w:rsid w:val="00A82231"/>
    <w:rsid w:val="00A868EC"/>
    <w:rsid w:val="00A878AB"/>
    <w:rsid w:val="00A87A59"/>
    <w:rsid w:val="00A9040F"/>
    <w:rsid w:val="00A91A9D"/>
    <w:rsid w:val="00AA102D"/>
    <w:rsid w:val="00AA7EEF"/>
    <w:rsid w:val="00AB05B5"/>
    <w:rsid w:val="00AB3234"/>
    <w:rsid w:val="00AB3FB8"/>
    <w:rsid w:val="00AB5796"/>
    <w:rsid w:val="00AB71B4"/>
    <w:rsid w:val="00AB79CA"/>
    <w:rsid w:val="00AB7CC6"/>
    <w:rsid w:val="00AC320E"/>
    <w:rsid w:val="00AC4458"/>
    <w:rsid w:val="00AC5522"/>
    <w:rsid w:val="00AC5DCC"/>
    <w:rsid w:val="00AD32F5"/>
    <w:rsid w:val="00AD49D6"/>
    <w:rsid w:val="00AD645B"/>
    <w:rsid w:val="00AD6875"/>
    <w:rsid w:val="00AD6B04"/>
    <w:rsid w:val="00AD753C"/>
    <w:rsid w:val="00AD7785"/>
    <w:rsid w:val="00AE13D9"/>
    <w:rsid w:val="00AE3413"/>
    <w:rsid w:val="00AE6412"/>
    <w:rsid w:val="00AE6A40"/>
    <w:rsid w:val="00AE7D97"/>
    <w:rsid w:val="00AF0650"/>
    <w:rsid w:val="00AF734D"/>
    <w:rsid w:val="00AF785A"/>
    <w:rsid w:val="00AF7AB8"/>
    <w:rsid w:val="00B0075E"/>
    <w:rsid w:val="00B00D3E"/>
    <w:rsid w:val="00B0397E"/>
    <w:rsid w:val="00B04CA1"/>
    <w:rsid w:val="00B05FE7"/>
    <w:rsid w:val="00B072A3"/>
    <w:rsid w:val="00B13490"/>
    <w:rsid w:val="00B13CBE"/>
    <w:rsid w:val="00B13EFF"/>
    <w:rsid w:val="00B159BD"/>
    <w:rsid w:val="00B17F47"/>
    <w:rsid w:val="00B22335"/>
    <w:rsid w:val="00B228E1"/>
    <w:rsid w:val="00B23C38"/>
    <w:rsid w:val="00B25974"/>
    <w:rsid w:val="00B27D11"/>
    <w:rsid w:val="00B33D56"/>
    <w:rsid w:val="00B34FB2"/>
    <w:rsid w:val="00B355E7"/>
    <w:rsid w:val="00B35E7C"/>
    <w:rsid w:val="00B367FD"/>
    <w:rsid w:val="00B36E6C"/>
    <w:rsid w:val="00B42F5C"/>
    <w:rsid w:val="00B43326"/>
    <w:rsid w:val="00B5060B"/>
    <w:rsid w:val="00B50AF2"/>
    <w:rsid w:val="00B51367"/>
    <w:rsid w:val="00B5349C"/>
    <w:rsid w:val="00B553CA"/>
    <w:rsid w:val="00B55445"/>
    <w:rsid w:val="00B55EB4"/>
    <w:rsid w:val="00B62B2E"/>
    <w:rsid w:val="00B62BFD"/>
    <w:rsid w:val="00B63523"/>
    <w:rsid w:val="00B639EE"/>
    <w:rsid w:val="00B675DC"/>
    <w:rsid w:val="00B747E0"/>
    <w:rsid w:val="00B748C6"/>
    <w:rsid w:val="00B801B4"/>
    <w:rsid w:val="00B823DD"/>
    <w:rsid w:val="00B85CAE"/>
    <w:rsid w:val="00B85D16"/>
    <w:rsid w:val="00B8698A"/>
    <w:rsid w:val="00B87D8B"/>
    <w:rsid w:val="00B9109F"/>
    <w:rsid w:val="00B96CC0"/>
    <w:rsid w:val="00B9753F"/>
    <w:rsid w:val="00BA0E8C"/>
    <w:rsid w:val="00BA2647"/>
    <w:rsid w:val="00BA3280"/>
    <w:rsid w:val="00BA3490"/>
    <w:rsid w:val="00BA5ADD"/>
    <w:rsid w:val="00BA6233"/>
    <w:rsid w:val="00BA6940"/>
    <w:rsid w:val="00BA69A6"/>
    <w:rsid w:val="00BA71C8"/>
    <w:rsid w:val="00BB0055"/>
    <w:rsid w:val="00BB20E2"/>
    <w:rsid w:val="00BB31C1"/>
    <w:rsid w:val="00BB4DAC"/>
    <w:rsid w:val="00BC0F4A"/>
    <w:rsid w:val="00BC3F02"/>
    <w:rsid w:val="00BC6990"/>
    <w:rsid w:val="00BC7CC7"/>
    <w:rsid w:val="00BD061E"/>
    <w:rsid w:val="00BD3E00"/>
    <w:rsid w:val="00BD4691"/>
    <w:rsid w:val="00BD7249"/>
    <w:rsid w:val="00BE17D4"/>
    <w:rsid w:val="00BE6924"/>
    <w:rsid w:val="00BE6CFA"/>
    <w:rsid w:val="00BE7BF9"/>
    <w:rsid w:val="00BF1A58"/>
    <w:rsid w:val="00BF1C21"/>
    <w:rsid w:val="00BF23D5"/>
    <w:rsid w:val="00BF26F7"/>
    <w:rsid w:val="00BF2A15"/>
    <w:rsid w:val="00BF4E6A"/>
    <w:rsid w:val="00BF6E83"/>
    <w:rsid w:val="00C03742"/>
    <w:rsid w:val="00C10E0A"/>
    <w:rsid w:val="00C11A49"/>
    <w:rsid w:val="00C124E1"/>
    <w:rsid w:val="00C16BE8"/>
    <w:rsid w:val="00C16F91"/>
    <w:rsid w:val="00C17CA5"/>
    <w:rsid w:val="00C2167B"/>
    <w:rsid w:val="00C23EA4"/>
    <w:rsid w:val="00C274A5"/>
    <w:rsid w:val="00C27660"/>
    <w:rsid w:val="00C33E9F"/>
    <w:rsid w:val="00C34AD4"/>
    <w:rsid w:val="00C351E4"/>
    <w:rsid w:val="00C35A82"/>
    <w:rsid w:val="00C40209"/>
    <w:rsid w:val="00C40BE3"/>
    <w:rsid w:val="00C413B2"/>
    <w:rsid w:val="00C41667"/>
    <w:rsid w:val="00C41A09"/>
    <w:rsid w:val="00C43ADB"/>
    <w:rsid w:val="00C441E6"/>
    <w:rsid w:val="00C500ED"/>
    <w:rsid w:val="00C52503"/>
    <w:rsid w:val="00C53AEA"/>
    <w:rsid w:val="00C53EFF"/>
    <w:rsid w:val="00C55C70"/>
    <w:rsid w:val="00C567BF"/>
    <w:rsid w:val="00C56BE5"/>
    <w:rsid w:val="00C574C4"/>
    <w:rsid w:val="00C60DDA"/>
    <w:rsid w:val="00C62215"/>
    <w:rsid w:val="00C65038"/>
    <w:rsid w:val="00C74C57"/>
    <w:rsid w:val="00C755FD"/>
    <w:rsid w:val="00C775FD"/>
    <w:rsid w:val="00C815E0"/>
    <w:rsid w:val="00C83706"/>
    <w:rsid w:val="00C848C2"/>
    <w:rsid w:val="00C84A01"/>
    <w:rsid w:val="00C87018"/>
    <w:rsid w:val="00C95239"/>
    <w:rsid w:val="00C9734C"/>
    <w:rsid w:val="00CA0203"/>
    <w:rsid w:val="00CA1486"/>
    <w:rsid w:val="00CA1A83"/>
    <w:rsid w:val="00CA344D"/>
    <w:rsid w:val="00CA5821"/>
    <w:rsid w:val="00CA6221"/>
    <w:rsid w:val="00CB1292"/>
    <w:rsid w:val="00CB5A16"/>
    <w:rsid w:val="00CB5C62"/>
    <w:rsid w:val="00CC3455"/>
    <w:rsid w:val="00CC3C85"/>
    <w:rsid w:val="00CD234D"/>
    <w:rsid w:val="00CD2F4F"/>
    <w:rsid w:val="00CD5DAA"/>
    <w:rsid w:val="00CD628A"/>
    <w:rsid w:val="00CD7817"/>
    <w:rsid w:val="00CE0E8D"/>
    <w:rsid w:val="00CE239F"/>
    <w:rsid w:val="00CE4479"/>
    <w:rsid w:val="00CF024D"/>
    <w:rsid w:val="00CF2E84"/>
    <w:rsid w:val="00CF379B"/>
    <w:rsid w:val="00CF57DF"/>
    <w:rsid w:val="00D0012E"/>
    <w:rsid w:val="00D01C9D"/>
    <w:rsid w:val="00D01D0D"/>
    <w:rsid w:val="00D0423A"/>
    <w:rsid w:val="00D13523"/>
    <w:rsid w:val="00D137CF"/>
    <w:rsid w:val="00D15E0D"/>
    <w:rsid w:val="00D20CCD"/>
    <w:rsid w:val="00D21B7E"/>
    <w:rsid w:val="00D23FC5"/>
    <w:rsid w:val="00D24313"/>
    <w:rsid w:val="00D30A94"/>
    <w:rsid w:val="00D31AA0"/>
    <w:rsid w:val="00D31EB7"/>
    <w:rsid w:val="00D32E58"/>
    <w:rsid w:val="00D40677"/>
    <w:rsid w:val="00D43F9A"/>
    <w:rsid w:val="00D44413"/>
    <w:rsid w:val="00D456FE"/>
    <w:rsid w:val="00D45722"/>
    <w:rsid w:val="00D501F4"/>
    <w:rsid w:val="00D511AB"/>
    <w:rsid w:val="00D51FF0"/>
    <w:rsid w:val="00D52548"/>
    <w:rsid w:val="00D52F9F"/>
    <w:rsid w:val="00D556F3"/>
    <w:rsid w:val="00D56461"/>
    <w:rsid w:val="00D565F0"/>
    <w:rsid w:val="00D56703"/>
    <w:rsid w:val="00D60304"/>
    <w:rsid w:val="00D63562"/>
    <w:rsid w:val="00D63674"/>
    <w:rsid w:val="00D651CF"/>
    <w:rsid w:val="00D66A62"/>
    <w:rsid w:val="00D67AF5"/>
    <w:rsid w:val="00D70D80"/>
    <w:rsid w:val="00D71811"/>
    <w:rsid w:val="00D733C4"/>
    <w:rsid w:val="00D76D6E"/>
    <w:rsid w:val="00D8150D"/>
    <w:rsid w:val="00D81A80"/>
    <w:rsid w:val="00D90D4A"/>
    <w:rsid w:val="00D90F8A"/>
    <w:rsid w:val="00D90FF4"/>
    <w:rsid w:val="00D9216B"/>
    <w:rsid w:val="00D9276F"/>
    <w:rsid w:val="00D939E1"/>
    <w:rsid w:val="00D951A3"/>
    <w:rsid w:val="00D97656"/>
    <w:rsid w:val="00DA2121"/>
    <w:rsid w:val="00DA222C"/>
    <w:rsid w:val="00DA331C"/>
    <w:rsid w:val="00DA3D2D"/>
    <w:rsid w:val="00DA44A9"/>
    <w:rsid w:val="00DA4FD2"/>
    <w:rsid w:val="00DA51B3"/>
    <w:rsid w:val="00DA6DC8"/>
    <w:rsid w:val="00DB29AB"/>
    <w:rsid w:val="00DB2B00"/>
    <w:rsid w:val="00DB5C92"/>
    <w:rsid w:val="00DC0C76"/>
    <w:rsid w:val="00DC4243"/>
    <w:rsid w:val="00DC5DBA"/>
    <w:rsid w:val="00DC73F1"/>
    <w:rsid w:val="00DC7BC6"/>
    <w:rsid w:val="00DD547B"/>
    <w:rsid w:val="00DD59CC"/>
    <w:rsid w:val="00DD6474"/>
    <w:rsid w:val="00DE1130"/>
    <w:rsid w:val="00DE26E3"/>
    <w:rsid w:val="00DE6E80"/>
    <w:rsid w:val="00DF07C6"/>
    <w:rsid w:val="00DF4AE3"/>
    <w:rsid w:val="00DF5E5B"/>
    <w:rsid w:val="00DF6335"/>
    <w:rsid w:val="00DF75C6"/>
    <w:rsid w:val="00E06DD0"/>
    <w:rsid w:val="00E10CD4"/>
    <w:rsid w:val="00E11991"/>
    <w:rsid w:val="00E1247E"/>
    <w:rsid w:val="00E14466"/>
    <w:rsid w:val="00E15A15"/>
    <w:rsid w:val="00E15F98"/>
    <w:rsid w:val="00E16E7E"/>
    <w:rsid w:val="00E16FE1"/>
    <w:rsid w:val="00E206AF"/>
    <w:rsid w:val="00E21834"/>
    <w:rsid w:val="00E218F9"/>
    <w:rsid w:val="00E22241"/>
    <w:rsid w:val="00E22A4B"/>
    <w:rsid w:val="00E23D4D"/>
    <w:rsid w:val="00E2575F"/>
    <w:rsid w:val="00E2638D"/>
    <w:rsid w:val="00E26FB9"/>
    <w:rsid w:val="00E2737A"/>
    <w:rsid w:val="00E34400"/>
    <w:rsid w:val="00E347D0"/>
    <w:rsid w:val="00E43C50"/>
    <w:rsid w:val="00E45180"/>
    <w:rsid w:val="00E45D01"/>
    <w:rsid w:val="00E466A2"/>
    <w:rsid w:val="00E51BE6"/>
    <w:rsid w:val="00E5511D"/>
    <w:rsid w:val="00E57136"/>
    <w:rsid w:val="00E6242D"/>
    <w:rsid w:val="00E6347E"/>
    <w:rsid w:val="00E66935"/>
    <w:rsid w:val="00E676DC"/>
    <w:rsid w:val="00E7032E"/>
    <w:rsid w:val="00E72BE4"/>
    <w:rsid w:val="00E77C6B"/>
    <w:rsid w:val="00E80842"/>
    <w:rsid w:val="00E9051F"/>
    <w:rsid w:val="00E91929"/>
    <w:rsid w:val="00E95709"/>
    <w:rsid w:val="00E96AA4"/>
    <w:rsid w:val="00EA66EA"/>
    <w:rsid w:val="00EA74F2"/>
    <w:rsid w:val="00EB24CD"/>
    <w:rsid w:val="00EB55ED"/>
    <w:rsid w:val="00EB56C4"/>
    <w:rsid w:val="00EB631C"/>
    <w:rsid w:val="00EC0323"/>
    <w:rsid w:val="00EC0B60"/>
    <w:rsid w:val="00EC1385"/>
    <w:rsid w:val="00EC2C9E"/>
    <w:rsid w:val="00EC46B0"/>
    <w:rsid w:val="00EC500C"/>
    <w:rsid w:val="00EC5CAB"/>
    <w:rsid w:val="00EC67AA"/>
    <w:rsid w:val="00EC7A3D"/>
    <w:rsid w:val="00ED021C"/>
    <w:rsid w:val="00ED4B17"/>
    <w:rsid w:val="00ED570A"/>
    <w:rsid w:val="00ED7714"/>
    <w:rsid w:val="00ED7A66"/>
    <w:rsid w:val="00EE3B69"/>
    <w:rsid w:val="00EE71D6"/>
    <w:rsid w:val="00EF0506"/>
    <w:rsid w:val="00EF08E7"/>
    <w:rsid w:val="00EF0C55"/>
    <w:rsid w:val="00EF103A"/>
    <w:rsid w:val="00EF5CBA"/>
    <w:rsid w:val="00EF5E9D"/>
    <w:rsid w:val="00F01B35"/>
    <w:rsid w:val="00F02965"/>
    <w:rsid w:val="00F02E97"/>
    <w:rsid w:val="00F0363F"/>
    <w:rsid w:val="00F056C6"/>
    <w:rsid w:val="00F063E6"/>
    <w:rsid w:val="00F06671"/>
    <w:rsid w:val="00F07501"/>
    <w:rsid w:val="00F12361"/>
    <w:rsid w:val="00F14DBA"/>
    <w:rsid w:val="00F15D1E"/>
    <w:rsid w:val="00F15F3E"/>
    <w:rsid w:val="00F16D43"/>
    <w:rsid w:val="00F2115A"/>
    <w:rsid w:val="00F24769"/>
    <w:rsid w:val="00F32C18"/>
    <w:rsid w:val="00F32CC3"/>
    <w:rsid w:val="00F339F1"/>
    <w:rsid w:val="00F34AF3"/>
    <w:rsid w:val="00F34C6D"/>
    <w:rsid w:val="00F36769"/>
    <w:rsid w:val="00F4103A"/>
    <w:rsid w:val="00F42D14"/>
    <w:rsid w:val="00F42F8E"/>
    <w:rsid w:val="00F444B5"/>
    <w:rsid w:val="00F44FA2"/>
    <w:rsid w:val="00F461CD"/>
    <w:rsid w:val="00F50579"/>
    <w:rsid w:val="00F528C6"/>
    <w:rsid w:val="00F52A33"/>
    <w:rsid w:val="00F53EA0"/>
    <w:rsid w:val="00F549B4"/>
    <w:rsid w:val="00F54E2A"/>
    <w:rsid w:val="00F613DD"/>
    <w:rsid w:val="00F62D65"/>
    <w:rsid w:val="00F66BF9"/>
    <w:rsid w:val="00F71789"/>
    <w:rsid w:val="00F7249E"/>
    <w:rsid w:val="00F75318"/>
    <w:rsid w:val="00F77980"/>
    <w:rsid w:val="00F77FF9"/>
    <w:rsid w:val="00F8245C"/>
    <w:rsid w:val="00F84D14"/>
    <w:rsid w:val="00F851A4"/>
    <w:rsid w:val="00F85D28"/>
    <w:rsid w:val="00F900DD"/>
    <w:rsid w:val="00F95168"/>
    <w:rsid w:val="00FA0C19"/>
    <w:rsid w:val="00FA2C34"/>
    <w:rsid w:val="00FA5734"/>
    <w:rsid w:val="00FB0BEF"/>
    <w:rsid w:val="00FB1A74"/>
    <w:rsid w:val="00FB3029"/>
    <w:rsid w:val="00FB4C69"/>
    <w:rsid w:val="00FC71D6"/>
    <w:rsid w:val="00FD0D03"/>
    <w:rsid w:val="00FD1408"/>
    <w:rsid w:val="00FD7F0E"/>
    <w:rsid w:val="00FE0314"/>
    <w:rsid w:val="00FE0A3F"/>
    <w:rsid w:val="00FE6886"/>
    <w:rsid w:val="00FE7414"/>
    <w:rsid w:val="00FF4368"/>
    <w:rsid w:val="00FF499E"/>
    <w:rsid w:val="00FF4D7F"/>
    <w:rsid w:val="00FF5C01"/>
    <w:rsid w:val="00FF6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9617"/>
    <o:shapelayout v:ext="edit">
      <o:idmap v:ext="edit" data="1"/>
    </o:shapelayout>
  </w:shapeDefaults>
  <w:decimalSymbol w:val="."/>
  <w:listSeparator w:val=","/>
  <w14:docId w14:val="567E780D"/>
  <w15:docId w15:val="{1FD89AEE-6BB4-4D37-9B25-80DC52CE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A5A"/>
    <w:rPr>
      <w:rFonts w:ascii="Arial" w:hAnsi="Arial"/>
      <w:sz w:val="24"/>
      <w:lang w:eastAsia="en-US"/>
    </w:rPr>
  </w:style>
  <w:style w:type="paragraph" w:styleId="Heading1">
    <w:name w:val="heading 1"/>
    <w:basedOn w:val="Normal"/>
    <w:next w:val="Heading2"/>
    <w:qFormat/>
    <w:rsid w:val="004D0F42"/>
    <w:pPr>
      <w:keepNext/>
      <w:pageBreakBefore/>
      <w:numPr>
        <w:numId w:val="1"/>
      </w:numPr>
      <w:overflowPunct w:val="0"/>
      <w:autoSpaceDE w:val="0"/>
      <w:autoSpaceDN w:val="0"/>
      <w:adjustRightInd w:val="0"/>
      <w:spacing w:before="120" w:after="120"/>
      <w:ind w:left="431" w:hanging="431"/>
      <w:textAlignment w:val="baseline"/>
      <w:outlineLvl w:val="0"/>
    </w:pPr>
    <w:rPr>
      <w:b/>
      <w:noProof/>
      <w:color w:val="566BBA"/>
      <w:sz w:val="32"/>
      <w:szCs w:val="12"/>
    </w:rPr>
  </w:style>
  <w:style w:type="paragraph" w:styleId="Heading2">
    <w:name w:val="heading 2"/>
    <w:basedOn w:val="Normal"/>
    <w:next w:val="Heading3"/>
    <w:link w:val="Heading2Char"/>
    <w:qFormat/>
    <w:rsid w:val="004D0F42"/>
    <w:pPr>
      <w:keepNext/>
      <w:tabs>
        <w:tab w:val="left" w:pos="0"/>
      </w:tabs>
      <w:overflowPunct w:val="0"/>
      <w:autoSpaceDE w:val="0"/>
      <w:autoSpaceDN w:val="0"/>
      <w:adjustRightInd w:val="0"/>
      <w:spacing w:before="120" w:after="120"/>
      <w:jc w:val="both"/>
      <w:textAlignment w:val="baseline"/>
      <w:outlineLvl w:val="1"/>
    </w:pPr>
    <w:rPr>
      <w:b/>
      <w:sz w:val="28"/>
    </w:rPr>
  </w:style>
  <w:style w:type="paragraph" w:styleId="Heading3">
    <w:name w:val="heading 3"/>
    <w:basedOn w:val="Normal"/>
    <w:next w:val="Normal"/>
    <w:qFormat/>
    <w:rsid w:val="00F50579"/>
    <w:pPr>
      <w:keepNext/>
      <w:tabs>
        <w:tab w:val="left" w:pos="0"/>
      </w:tabs>
      <w:overflowPunct w:val="0"/>
      <w:autoSpaceDE w:val="0"/>
      <w:autoSpaceDN w:val="0"/>
      <w:adjustRightInd w:val="0"/>
      <w:spacing w:before="120" w:after="120"/>
      <w:textAlignment w:val="baseline"/>
      <w:outlineLvl w:val="2"/>
    </w:pPr>
    <w:rPr>
      <w:b/>
    </w:rPr>
  </w:style>
  <w:style w:type="paragraph" w:styleId="Heading4">
    <w:name w:val="heading 4"/>
    <w:basedOn w:val="Normal"/>
    <w:next w:val="Normal"/>
    <w:qFormat/>
    <w:rsid w:val="00556954"/>
    <w:pPr>
      <w:keepNext/>
      <w:numPr>
        <w:ilvl w:val="3"/>
        <w:numId w:val="1"/>
      </w:numPr>
      <w:tabs>
        <w:tab w:val="left" w:pos="0"/>
      </w:tabs>
      <w:overflowPunct w:val="0"/>
      <w:autoSpaceDE w:val="0"/>
      <w:autoSpaceDN w:val="0"/>
      <w:adjustRightInd w:val="0"/>
      <w:textAlignment w:val="baseline"/>
      <w:outlineLvl w:val="3"/>
    </w:pPr>
    <w:rPr>
      <w:b/>
      <w:i/>
      <w:snapToGrid w:val="0"/>
      <w:sz w:val="22"/>
    </w:rPr>
  </w:style>
  <w:style w:type="paragraph" w:styleId="Heading5">
    <w:name w:val="heading 5"/>
    <w:basedOn w:val="Normal"/>
    <w:qFormat/>
    <w:rsid w:val="00556954"/>
    <w:pPr>
      <w:numPr>
        <w:ilvl w:val="4"/>
        <w:numId w:val="1"/>
      </w:numPr>
      <w:overflowPunct w:val="0"/>
      <w:autoSpaceDE w:val="0"/>
      <w:autoSpaceDN w:val="0"/>
      <w:adjustRightInd w:val="0"/>
      <w:spacing w:before="130"/>
      <w:textAlignment w:val="baseline"/>
      <w:outlineLvl w:val="4"/>
    </w:pPr>
    <w:rPr>
      <w:i/>
      <w:sz w:val="22"/>
    </w:rPr>
  </w:style>
  <w:style w:type="paragraph" w:styleId="Heading6">
    <w:name w:val="heading 6"/>
    <w:basedOn w:val="Normal"/>
    <w:next w:val="Heading7"/>
    <w:qFormat/>
    <w:rsid w:val="00556954"/>
    <w:pPr>
      <w:numPr>
        <w:ilvl w:val="5"/>
        <w:numId w:val="1"/>
      </w:numPr>
      <w:overflowPunct w:val="0"/>
      <w:autoSpaceDE w:val="0"/>
      <w:autoSpaceDN w:val="0"/>
      <w:adjustRightInd w:val="0"/>
      <w:spacing w:before="240" w:after="60"/>
      <w:textAlignment w:val="baseline"/>
      <w:outlineLvl w:val="5"/>
    </w:pPr>
    <w:rPr>
      <w:sz w:val="36"/>
    </w:rPr>
  </w:style>
  <w:style w:type="paragraph" w:styleId="Heading7">
    <w:name w:val="heading 7"/>
    <w:basedOn w:val="Normal"/>
    <w:next w:val="Normal"/>
    <w:qFormat/>
    <w:rsid w:val="00556954"/>
    <w:pPr>
      <w:numPr>
        <w:ilvl w:val="6"/>
        <w:numId w:val="1"/>
      </w:numPr>
      <w:overflowPunct w:val="0"/>
      <w:autoSpaceDE w:val="0"/>
      <w:autoSpaceDN w:val="0"/>
      <w:adjustRightInd w:val="0"/>
      <w:spacing w:before="240" w:after="60"/>
      <w:textAlignment w:val="baseline"/>
      <w:outlineLvl w:val="6"/>
    </w:pPr>
    <w:rPr>
      <w:sz w:val="22"/>
    </w:rPr>
  </w:style>
  <w:style w:type="paragraph" w:styleId="Heading8">
    <w:name w:val="heading 8"/>
    <w:basedOn w:val="Normal"/>
    <w:next w:val="Normal"/>
    <w:qFormat/>
    <w:rsid w:val="00556954"/>
    <w:pPr>
      <w:numPr>
        <w:ilvl w:val="7"/>
        <w:numId w:val="1"/>
      </w:numPr>
      <w:overflowPunct w:val="0"/>
      <w:autoSpaceDE w:val="0"/>
      <w:autoSpaceDN w:val="0"/>
      <w:adjustRightInd w:val="0"/>
      <w:spacing w:before="240" w:after="60"/>
      <w:textAlignment w:val="baseline"/>
      <w:outlineLvl w:val="7"/>
    </w:pPr>
    <w:rPr>
      <w:sz w:val="22"/>
    </w:rPr>
  </w:style>
  <w:style w:type="paragraph" w:styleId="Heading9">
    <w:name w:val="heading 9"/>
    <w:basedOn w:val="Normal"/>
    <w:next w:val="Normal"/>
    <w:qFormat/>
    <w:rsid w:val="00556954"/>
    <w:pPr>
      <w:numPr>
        <w:ilvl w:val="8"/>
        <w:numId w:val="1"/>
      </w:numPr>
      <w:overflowPunct w:val="0"/>
      <w:autoSpaceDE w:val="0"/>
      <w:autoSpaceDN w:val="0"/>
      <w:adjustRightInd w:val="0"/>
      <w:spacing w:before="240" w:after="60"/>
      <w:textAlignment w:val="baseline"/>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43E92"/>
    <w:pPr>
      <w:tabs>
        <w:tab w:val="center" w:pos="4320"/>
        <w:tab w:val="right" w:pos="8640"/>
      </w:tabs>
    </w:pPr>
    <w:rPr>
      <w:rFonts w:ascii="Times" w:eastAsia="Times" w:hAnsi="Times"/>
    </w:rPr>
  </w:style>
  <w:style w:type="paragraph" w:styleId="BodyText">
    <w:name w:val="Body Text"/>
    <w:basedOn w:val="Normal"/>
    <w:rsid w:val="00743E92"/>
    <w:rPr>
      <w:rFonts w:ascii="Arial Black" w:eastAsia="Times" w:hAnsi="Arial Black"/>
      <w:sz w:val="48"/>
    </w:rPr>
  </w:style>
  <w:style w:type="paragraph" w:styleId="ListBullet">
    <w:name w:val="List Bullet"/>
    <w:basedOn w:val="Normal"/>
    <w:autoRedefine/>
    <w:rsid w:val="00556954"/>
    <w:pPr>
      <w:numPr>
        <w:numId w:val="2"/>
      </w:numPr>
      <w:overflowPunct w:val="0"/>
      <w:autoSpaceDE w:val="0"/>
      <w:autoSpaceDN w:val="0"/>
      <w:adjustRightInd w:val="0"/>
      <w:spacing w:before="130"/>
      <w:jc w:val="both"/>
      <w:textAlignment w:val="baseline"/>
    </w:pPr>
    <w:rPr>
      <w:sz w:val="22"/>
    </w:rPr>
  </w:style>
  <w:style w:type="paragraph" w:customStyle="1" w:styleId="BodyText1">
    <w:name w:val="Body Text1"/>
    <w:basedOn w:val="Normal"/>
    <w:rsid w:val="006432A1"/>
    <w:pPr>
      <w:overflowPunct w:val="0"/>
      <w:autoSpaceDE w:val="0"/>
      <w:autoSpaceDN w:val="0"/>
      <w:adjustRightInd w:val="0"/>
      <w:spacing w:before="240" w:after="120"/>
      <w:textAlignment w:val="baseline"/>
    </w:pPr>
    <w:rPr>
      <w:noProof/>
      <w:sz w:val="20"/>
      <w:lang w:val="en-US"/>
    </w:rPr>
  </w:style>
  <w:style w:type="character" w:styleId="Strong">
    <w:name w:val="Strong"/>
    <w:uiPriority w:val="22"/>
    <w:qFormat/>
    <w:rsid w:val="006432A1"/>
    <w:rPr>
      <w:b/>
      <w:bCs/>
    </w:rPr>
  </w:style>
  <w:style w:type="paragraph" w:customStyle="1" w:styleId="Bullets">
    <w:name w:val="Bullets"/>
    <w:basedOn w:val="Normal"/>
    <w:rsid w:val="006432A1"/>
    <w:pPr>
      <w:numPr>
        <w:numId w:val="3"/>
      </w:numPr>
      <w:spacing w:after="80" w:line="260" w:lineRule="exact"/>
    </w:pPr>
    <w:rPr>
      <w:rFonts w:eastAsia="MS Mincho"/>
      <w:sz w:val="20"/>
      <w:szCs w:val="24"/>
      <w:lang w:eastAsia="ja-JP"/>
    </w:rPr>
  </w:style>
  <w:style w:type="paragraph" w:styleId="TOC2">
    <w:name w:val="toc 2"/>
    <w:basedOn w:val="Normal"/>
    <w:next w:val="Normal"/>
    <w:autoRedefine/>
    <w:uiPriority w:val="39"/>
    <w:rsid w:val="00EB55ED"/>
    <w:pPr>
      <w:tabs>
        <w:tab w:val="right" w:leader="dot" w:pos="9350"/>
      </w:tabs>
      <w:spacing w:before="240"/>
    </w:pPr>
    <w:rPr>
      <w:b/>
      <w:bCs/>
    </w:rPr>
  </w:style>
  <w:style w:type="character" w:styleId="Hyperlink">
    <w:name w:val="Hyperlink"/>
    <w:uiPriority w:val="99"/>
    <w:rsid w:val="00C351E4"/>
    <w:rPr>
      <w:color w:val="0000FF"/>
      <w:u w:val="single"/>
    </w:rPr>
  </w:style>
  <w:style w:type="paragraph" w:styleId="TOC1">
    <w:name w:val="toc 1"/>
    <w:basedOn w:val="Normal"/>
    <w:next w:val="Normal"/>
    <w:autoRedefine/>
    <w:uiPriority w:val="39"/>
    <w:rsid w:val="00321E0B"/>
    <w:pPr>
      <w:spacing w:before="360"/>
    </w:pPr>
    <w:rPr>
      <w:rFonts w:cs="Arial"/>
      <w:b/>
      <w:bCs/>
      <w:caps/>
      <w:szCs w:val="24"/>
    </w:rPr>
  </w:style>
  <w:style w:type="paragraph" w:styleId="TOC3">
    <w:name w:val="toc 3"/>
    <w:basedOn w:val="Normal"/>
    <w:next w:val="Normal"/>
    <w:autoRedefine/>
    <w:uiPriority w:val="39"/>
    <w:rsid w:val="003D01AE"/>
    <w:pPr>
      <w:ind w:left="240"/>
    </w:pPr>
  </w:style>
  <w:style w:type="paragraph" w:styleId="TOC4">
    <w:name w:val="toc 4"/>
    <w:basedOn w:val="Normal"/>
    <w:next w:val="Normal"/>
    <w:autoRedefine/>
    <w:semiHidden/>
    <w:rsid w:val="003D01AE"/>
    <w:pPr>
      <w:ind w:left="480"/>
    </w:pPr>
  </w:style>
  <w:style w:type="paragraph" w:styleId="TOC5">
    <w:name w:val="toc 5"/>
    <w:basedOn w:val="Normal"/>
    <w:next w:val="Normal"/>
    <w:autoRedefine/>
    <w:semiHidden/>
    <w:rsid w:val="003D01AE"/>
    <w:pPr>
      <w:ind w:left="720"/>
    </w:pPr>
  </w:style>
  <w:style w:type="paragraph" w:styleId="TOC6">
    <w:name w:val="toc 6"/>
    <w:basedOn w:val="Normal"/>
    <w:next w:val="Normal"/>
    <w:autoRedefine/>
    <w:semiHidden/>
    <w:rsid w:val="003D01AE"/>
    <w:pPr>
      <w:ind w:left="960"/>
    </w:pPr>
  </w:style>
  <w:style w:type="paragraph" w:styleId="TOC7">
    <w:name w:val="toc 7"/>
    <w:basedOn w:val="Normal"/>
    <w:next w:val="Normal"/>
    <w:autoRedefine/>
    <w:semiHidden/>
    <w:rsid w:val="003D01AE"/>
    <w:pPr>
      <w:ind w:left="1200"/>
    </w:pPr>
  </w:style>
  <w:style w:type="paragraph" w:styleId="TOC8">
    <w:name w:val="toc 8"/>
    <w:basedOn w:val="Normal"/>
    <w:next w:val="Normal"/>
    <w:autoRedefine/>
    <w:semiHidden/>
    <w:rsid w:val="003D01AE"/>
    <w:pPr>
      <w:ind w:left="1440"/>
    </w:pPr>
  </w:style>
  <w:style w:type="paragraph" w:styleId="TOC9">
    <w:name w:val="toc 9"/>
    <w:basedOn w:val="Normal"/>
    <w:next w:val="Normal"/>
    <w:autoRedefine/>
    <w:semiHidden/>
    <w:rsid w:val="003D01AE"/>
    <w:pPr>
      <w:ind w:left="1680"/>
    </w:pPr>
  </w:style>
  <w:style w:type="paragraph" w:styleId="Footer">
    <w:name w:val="footer"/>
    <w:basedOn w:val="Normal"/>
    <w:link w:val="FooterChar"/>
    <w:uiPriority w:val="99"/>
    <w:rsid w:val="00B639EE"/>
    <w:pPr>
      <w:tabs>
        <w:tab w:val="center" w:pos="4153"/>
        <w:tab w:val="right" w:pos="8306"/>
      </w:tabs>
    </w:pPr>
  </w:style>
  <w:style w:type="character" w:styleId="PageNumber">
    <w:name w:val="page number"/>
    <w:basedOn w:val="DefaultParagraphFont"/>
    <w:rsid w:val="00B639EE"/>
  </w:style>
  <w:style w:type="table" w:styleId="TableGrid">
    <w:name w:val="Table Grid"/>
    <w:basedOn w:val="TableNormal"/>
    <w:uiPriority w:val="39"/>
    <w:rsid w:val="001A2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0075E"/>
    <w:rPr>
      <w:sz w:val="16"/>
      <w:szCs w:val="16"/>
    </w:rPr>
  </w:style>
  <w:style w:type="paragraph" w:styleId="CommentText">
    <w:name w:val="annotation text"/>
    <w:basedOn w:val="Normal"/>
    <w:link w:val="CommentTextChar"/>
    <w:rsid w:val="00B0075E"/>
    <w:rPr>
      <w:sz w:val="20"/>
    </w:rPr>
  </w:style>
  <w:style w:type="paragraph" w:styleId="CommentSubject">
    <w:name w:val="annotation subject"/>
    <w:basedOn w:val="CommentText"/>
    <w:next w:val="CommentText"/>
    <w:semiHidden/>
    <w:rsid w:val="00B0075E"/>
    <w:rPr>
      <w:b/>
      <w:bCs/>
    </w:rPr>
  </w:style>
  <w:style w:type="paragraph" w:styleId="BalloonText">
    <w:name w:val="Balloon Text"/>
    <w:basedOn w:val="Normal"/>
    <w:semiHidden/>
    <w:rsid w:val="00B0075E"/>
    <w:rPr>
      <w:rFonts w:ascii="Tahoma" w:hAnsi="Tahoma" w:cs="Tahoma"/>
      <w:sz w:val="16"/>
      <w:szCs w:val="16"/>
    </w:rPr>
  </w:style>
  <w:style w:type="paragraph" w:customStyle="1" w:styleId="Default">
    <w:name w:val="Default"/>
    <w:rsid w:val="006F21BC"/>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link w:val="ListParagraphChar"/>
    <w:uiPriority w:val="34"/>
    <w:qFormat/>
    <w:rsid w:val="006F21BC"/>
    <w:pPr>
      <w:ind w:left="720"/>
    </w:pPr>
    <w:rPr>
      <w:rFonts w:ascii="Calibri" w:eastAsia="Calibri" w:hAnsi="Calibri"/>
      <w:sz w:val="22"/>
      <w:szCs w:val="22"/>
      <w:lang w:eastAsia="en-GB"/>
    </w:rPr>
  </w:style>
  <w:style w:type="paragraph" w:styleId="ListBullet2">
    <w:name w:val="List Bullet 2"/>
    <w:basedOn w:val="Normal"/>
    <w:rsid w:val="006D72D3"/>
    <w:pPr>
      <w:numPr>
        <w:numId w:val="8"/>
      </w:numPr>
      <w:contextualSpacing/>
    </w:pPr>
  </w:style>
  <w:style w:type="paragraph" w:styleId="BodyTextIndent3">
    <w:name w:val="Body Text Indent 3"/>
    <w:basedOn w:val="Normal"/>
    <w:link w:val="BodyTextIndent3Char"/>
    <w:rsid w:val="008D623D"/>
    <w:pPr>
      <w:spacing w:after="120"/>
      <w:ind w:left="283"/>
    </w:pPr>
    <w:rPr>
      <w:sz w:val="16"/>
      <w:szCs w:val="16"/>
    </w:rPr>
  </w:style>
  <w:style w:type="character" w:customStyle="1" w:styleId="BodyTextIndent3Char">
    <w:name w:val="Body Text Indent 3 Char"/>
    <w:link w:val="BodyTextIndent3"/>
    <w:rsid w:val="008D623D"/>
    <w:rPr>
      <w:sz w:val="16"/>
      <w:szCs w:val="16"/>
      <w:lang w:eastAsia="en-US"/>
    </w:rPr>
  </w:style>
  <w:style w:type="paragraph" w:customStyle="1" w:styleId="NumberedNormal">
    <w:name w:val="Numbered Normal"/>
    <w:basedOn w:val="Normal"/>
    <w:link w:val="NumberedNormalChar"/>
    <w:rsid w:val="005F7352"/>
    <w:pPr>
      <w:spacing w:before="180" w:after="60"/>
    </w:pPr>
    <w:rPr>
      <w:sz w:val="22"/>
      <w:szCs w:val="22"/>
    </w:rPr>
  </w:style>
  <w:style w:type="character" w:customStyle="1" w:styleId="NumberedNormalChar">
    <w:name w:val="Numbered Normal Char"/>
    <w:basedOn w:val="DefaultParagraphFont"/>
    <w:link w:val="NumberedNormal"/>
    <w:rsid w:val="005F7352"/>
    <w:rPr>
      <w:rFonts w:ascii="Arial" w:hAnsi="Arial"/>
      <w:sz w:val="22"/>
      <w:szCs w:val="22"/>
      <w:lang w:eastAsia="en-US"/>
    </w:rPr>
  </w:style>
  <w:style w:type="paragraph" w:styleId="NoSpacing">
    <w:name w:val="No Spacing"/>
    <w:uiPriority w:val="1"/>
    <w:qFormat/>
    <w:rsid w:val="005F7352"/>
    <w:pPr>
      <w:pBdr>
        <w:top w:val="nil"/>
        <w:left w:val="nil"/>
        <w:bottom w:val="nil"/>
        <w:right w:val="nil"/>
        <w:between w:val="nil"/>
      </w:pBdr>
    </w:pPr>
    <w:rPr>
      <w:rFonts w:ascii="Calibri" w:eastAsia="Calibri" w:hAnsi="Calibri" w:cs="Calibri"/>
      <w:color w:val="000000"/>
      <w:sz w:val="22"/>
      <w:szCs w:val="22"/>
    </w:rPr>
  </w:style>
  <w:style w:type="character" w:styleId="FollowedHyperlink">
    <w:name w:val="FollowedHyperlink"/>
    <w:basedOn w:val="DefaultParagraphFont"/>
    <w:semiHidden/>
    <w:unhideWhenUsed/>
    <w:rsid w:val="0018142D"/>
    <w:rPr>
      <w:color w:val="800080" w:themeColor="followedHyperlink"/>
      <w:u w:val="single"/>
    </w:rPr>
  </w:style>
  <w:style w:type="paragraph" w:styleId="Caption">
    <w:name w:val="caption"/>
    <w:basedOn w:val="Normal"/>
    <w:next w:val="Normal"/>
    <w:qFormat/>
    <w:rsid w:val="00D44413"/>
    <w:rPr>
      <w:b/>
      <w:bCs/>
      <w:sz w:val="20"/>
    </w:rPr>
  </w:style>
  <w:style w:type="character" w:customStyle="1" w:styleId="CommentTextChar">
    <w:name w:val="Comment Text Char"/>
    <w:basedOn w:val="DefaultParagraphFont"/>
    <w:link w:val="CommentText"/>
    <w:rsid w:val="00DA51B3"/>
    <w:rPr>
      <w:lang w:eastAsia="en-US"/>
    </w:rPr>
  </w:style>
  <w:style w:type="paragraph" w:styleId="Revision">
    <w:name w:val="Revision"/>
    <w:hidden/>
    <w:uiPriority w:val="99"/>
    <w:semiHidden/>
    <w:rsid w:val="00220165"/>
    <w:rPr>
      <w:sz w:val="24"/>
      <w:lang w:eastAsia="en-US"/>
    </w:rPr>
  </w:style>
  <w:style w:type="paragraph" w:styleId="FootnoteText">
    <w:name w:val="footnote text"/>
    <w:basedOn w:val="Normal"/>
    <w:link w:val="FootnoteTextChar"/>
    <w:semiHidden/>
    <w:unhideWhenUsed/>
    <w:rsid w:val="00BF4E6A"/>
    <w:rPr>
      <w:sz w:val="20"/>
    </w:rPr>
  </w:style>
  <w:style w:type="character" w:customStyle="1" w:styleId="FootnoteTextChar">
    <w:name w:val="Footnote Text Char"/>
    <w:basedOn w:val="DefaultParagraphFont"/>
    <w:link w:val="FootnoteText"/>
    <w:semiHidden/>
    <w:rsid w:val="00BF4E6A"/>
    <w:rPr>
      <w:lang w:eastAsia="en-US"/>
    </w:rPr>
  </w:style>
  <w:style w:type="character" w:styleId="FootnoteReference">
    <w:name w:val="footnote reference"/>
    <w:basedOn w:val="DefaultParagraphFont"/>
    <w:semiHidden/>
    <w:unhideWhenUsed/>
    <w:rsid w:val="00BF4E6A"/>
    <w:rPr>
      <w:vertAlign w:val="superscript"/>
    </w:rPr>
  </w:style>
  <w:style w:type="character" w:customStyle="1" w:styleId="FooterChar">
    <w:name w:val="Footer Char"/>
    <w:basedOn w:val="DefaultParagraphFont"/>
    <w:link w:val="Footer"/>
    <w:uiPriority w:val="99"/>
    <w:rsid w:val="00B62BFD"/>
    <w:rPr>
      <w:sz w:val="24"/>
      <w:lang w:eastAsia="en-US"/>
    </w:rPr>
  </w:style>
  <w:style w:type="paragraph" w:styleId="NormalWeb">
    <w:name w:val="Normal (Web)"/>
    <w:basedOn w:val="Normal"/>
    <w:uiPriority w:val="99"/>
    <w:unhideWhenUsed/>
    <w:rsid w:val="00864E47"/>
    <w:pPr>
      <w:spacing w:after="150"/>
    </w:pPr>
    <w:rPr>
      <w:szCs w:val="24"/>
      <w:lang w:eastAsia="en-GB"/>
    </w:rPr>
  </w:style>
  <w:style w:type="character" w:styleId="UnresolvedMention">
    <w:name w:val="Unresolved Mention"/>
    <w:basedOn w:val="DefaultParagraphFont"/>
    <w:uiPriority w:val="99"/>
    <w:semiHidden/>
    <w:unhideWhenUsed/>
    <w:rsid w:val="000E748E"/>
    <w:rPr>
      <w:color w:val="605E5C"/>
      <w:shd w:val="clear" w:color="auto" w:fill="E1DFDD"/>
    </w:rPr>
  </w:style>
  <w:style w:type="character" w:customStyle="1" w:styleId="HeaderChar">
    <w:name w:val="Header Char"/>
    <w:basedOn w:val="DefaultParagraphFont"/>
    <w:link w:val="Header"/>
    <w:rsid w:val="002A56B1"/>
    <w:rPr>
      <w:rFonts w:ascii="Times" w:eastAsia="Times" w:hAnsi="Times"/>
      <w:sz w:val="24"/>
      <w:lang w:eastAsia="en-US"/>
    </w:rPr>
  </w:style>
  <w:style w:type="paragraph" w:customStyle="1" w:styleId="Parasubclause1">
    <w:name w:val="Para subclause 1"/>
    <w:aliases w:val="BIWS Heading 2"/>
    <w:basedOn w:val="Normal"/>
    <w:rsid w:val="00533D73"/>
    <w:pPr>
      <w:spacing w:before="240" w:after="120" w:line="300" w:lineRule="atLeast"/>
      <w:ind w:left="720"/>
      <w:jc w:val="both"/>
    </w:pPr>
    <w:rPr>
      <w:rFonts w:asciiTheme="minorHAnsi" w:eastAsia="Arial Unicode MS" w:hAnsiTheme="minorHAnsi" w:cs="Arial"/>
      <w:color w:val="000000"/>
      <w:sz w:val="22"/>
    </w:rPr>
  </w:style>
  <w:style w:type="paragraph" w:customStyle="1" w:styleId="Paragraph">
    <w:name w:val="Paragraph"/>
    <w:basedOn w:val="Normal"/>
    <w:link w:val="ParagraphChar"/>
    <w:qFormat/>
    <w:rsid w:val="00533D73"/>
    <w:pPr>
      <w:spacing w:after="120" w:line="300" w:lineRule="atLeast"/>
      <w:jc w:val="both"/>
    </w:pPr>
    <w:rPr>
      <w:rFonts w:asciiTheme="minorHAnsi" w:eastAsia="Arial Unicode MS" w:hAnsiTheme="minorHAnsi" w:cs="Arial"/>
      <w:color w:val="000000"/>
      <w:sz w:val="22"/>
    </w:rPr>
  </w:style>
  <w:style w:type="character" w:customStyle="1" w:styleId="DefTerm">
    <w:name w:val="DefTerm"/>
    <w:basedOn w:val="DefaultParagraphFont"/>
    <w:uiPriority w:val="1"/>
    <w:qFormat/>
    <w:rsid w:val="00533D73"/>
    <w:rPr>
      <w:b/>
      <w:color w:val="000000"/>
    </w:rPr>
  </w:style>
  <w:style w:type="character" w:customStyle="1" w:styleId="ParagraphChar">
    <w:name w:val="Paragraph Char"/>
    <w:basedOn w:val="DefaultParagraphFont"/>
    <w:link w:val="Paragraph"/>
    <w:rsid w:val="00533D73"/>
    <w:rPr>
      <w:rFonts w:asciiTheme="minorHAnsi" w:eastAsia="Arial Unicode MS" w:hAnsiTheme="minorHAnsi" w:cs="Arial"/>
      <w:color w:val="000000"/>
      <w:sz w:val="22"/>
      <w:lang w:eastAsia="en-US"/>
    </w:rPr>
  </w:style>
  <w:style w:type="character" w:customStyle="1" w:styleId="ListParagraphChar">
    <w:name w:val="List Paragraph Char"/>
    <w:link w:val="ListParagraph"/>
    <w:uiPriority w:val="34"/>
    <w:rsid w:val="00BA3280"/>
    <w:rPr>
      <w:rFonts w:ascii="Calibri" w:eastAsia="Calibri" w:hAnsi="Calibri"/>
      <w:sz w:val="22"/>
      <w:szCs w:val="22"/>
    </w:rPr>
  </w:style>
  <w:style w:type="character" w:customStyle="1" w:styleId="Heading2Char">
    <w:name w:val="Heading 2 Char"/>
    <w:basedOn w:val="DefaultParagraphFont"/>
    <w:link w:val="Heading2"/>
    <w:rsid w:val="00901BF0"/>
    <w:rPr>
      <w:rFonts w:ascii="Arial" w:hAnsi="Arial"/>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400380">
      <w:bodyDiv w:val="1"/>
      <w:marLeft w:val="0"/>
      <w:marRight w:val="0"/>
      <w:marTop w:val="0"/>
      <w:marBottom w:val="0"/>
      <w:divBdr>
        <w:top w:val="none" w:sz="0" w:space="0" w:color="auto"/>
        <w:left w:val="none" w:sz="0" w:space="0" w:color="auto"/>
        <w:bottom w:val="none" w:sz="0" w:space="0" w:color="auto"/>
        <w:right w:val="none" w:sz="0" w:space="0" w:color="auto"/>
      </w:divBdr>
    </w:div>
    <w:div w:id="719860386">
      <w:bodyDiv w:val="1"/>
      <w:marLeft w:val="0"/>
      <w:marRight w:val="0"/>
      <w:marTop w:val="0"/>
      <w:marBottom w:val="0"/>
      <w:divBdr>
        <w:top w:val="none" w:sz="0" w:space="0" w:color="auto"/>
        <w:left w:val="none" w:sz="0" w:space="0" w:color="auto"/>
        <w:bottom w:val="none" w:sz="0" w:space="0" w:color="auto"/>
        <w:right w:val="none" w:sz="0" w:space="0" w:color="auto"/>
      </w:divBdr>
    </w:div>
    <w:div w:id="1328049741">
      <w:bodyDiv w:val="1"/>
      <w:marLeft w:val="0"/>
      <w:marRight w:val="0"/>
      <w:marTop w:val="0"/>
      <w:marBottom w:val="0"/>
      <w:divBdr>
        <w:top w:val="none" w:sz="0" w:space="0" w:color="auto"/>
        <w:left w:val="none" w:sz="0" w:space="0" w:color="auto"/>
        <w:bottom w:val="none" w:sz="0" w:space="0" w:color="auto"/>
        <w:right w:val="none" w:sz="0" w:space="0" w:color="auto"/>
      </w:divBdr>
    </w:div>
    <w:div w:id="1731270989">
      <w:bodyDiv w:val="1"/>
      <w:marLeft w:val="0"/>
      <w:marRight w:val="0"/>
      <w:marTop w:val="0"/>
      <w:marBottom w:val="0"/>
      <w:divBdr>
        <w:top w:val="none" w:sz="0" w:space="0" w:color="auto"/>
        <w:left w:val="none" w:sz="0" w:space="0" w:color="auto"/>
        <w:bottom w:val="none" w:sz="0" w:space="0" w:color="auto"/>
        <w:right w:val="none" w:sz="0" w:space="0" w:color="auto"/>
      </w:divBdr>
    </w:div>
    <w:div w:id="1732968505">
      <w:bodyDiv w:val="1"/>
      <w:marLeft w:val="0"/>
      <w:marRight w:val="0"/>
      <w:marTop w:val="0"/>
      <w:marBottom w:val="0"/>
      <w:divBdr>
        <w:top w:val="none" w:sz="0" w:space="0" w:color="auto"/>
        <w:left w:val="none" w:sz="0" w:space="0" w:color="auto"/>
        <w:bottom w:val="none" w:sz="0" w:space="0" w:color="auto"/>
        <w:right w:val="none" w:sz="0" w:space="0" w:color="auto"/>
      </w:divBdr>
    </w:div>
    <w:div w:id="197460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vlas-environmental-polic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department-for-transport-actions-for-improving-business-opportunities-for-small-and-medium-enterpris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sustainable-procurement-the-government-buying-standards-gb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overnment/publications/greening-government-commitments-2021-to-2025" TargetMode="External"/><Relationship Id="rId4" Type="http://schemas.openxmlformats.org/officeDocument/2006/relationships/settings" Target="settings.xml"/><Relationship Id="rId9" Type="http://schemas.openxmlformats.org/officeDocument/2006/relationships/hyperlink" Target="https://www.gov.uk/government/publications/dvlas-environmental-policy"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220BE45-701C-4558-A498-B14DDE5C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5476</Words>
  <Characters>33389</Characters>
  <Application>Microsoft Office Word</Application>
  <DocSecurity>0</DocSecurity>
  <Lines>278</Lines>
  <Paragraphs>77</Paragraphs>
  <ScaleCrop>false</ScaleCrop>
  <HeadingPairs>
    <vt:vector size="2" baseType="variant">
      <vt:variant>
        <vt:lpstr>Title</vt:lpstr>
      </vt:variant>
      <vt:variant>
        <vt:i4>1</vt:i4>
      </vt:variant>
    </vt:vector>
  </HeadingPairs>
  <TitlesOfParts>
    <vt:vector size="1" baseType="lpstr">
      <vt:lpstr>PF07 - Specification (non-framework procurement) template</vt:lpstr>
    </vt:vector>
  </TitlesOfParts>
  <Company>DVLA</Company>
  <LinksUpToDate>false</LinksUpToDate>
  <CharactersWithSpaces>38788</CharactersWithSpaces>
  <SharedDoc>false</SharedDoc>
  <HLinks>
    <vt:vector size="126" baseType="variant">
      <vt:variant>
        <vt:i4>3342455</vt:i4>
      </vt:variant>
      <vt:variant>
        <vt:i4>111</vt:i4>
      </vt:variant>
      <vt:variant>
        <vt:i4>0</vt:i4>
      </vt:variant>
      <vt:variant>
        <vt:i4>5</vt:i4>
      </vt:variant>
      <vt:variant>
        <vt:lpwstr>http://www.dft.gov.uk/about/doing-business-with-us</vt:lpwstr>
      </vt:variant>
      <vt:variant>
        <vt:lpwstr/>
      </vt:variant>
      <vt:variant>
        <vt:i4>5242903</vt:i4>
      </vt:variant>
      <vt:variant>
        <vt:i4>108</vt:i4>
      </vt:variant>
      <vt:variant>
        <vt:i4>0</vt:i4>
      </vt:variant>
      <vt:variant>
        <vt:i4>5</vt:i4>
      </vt:variant>
      <vt:variant>
        <vt:lpwstr>http://eur-lex.europa.eu/LexUriServ/LexUriServ.do?uri=OJ:L:2012:315:0001:0056:EN:PDF</vt:lpwstr>
      </vt:variant>
      <vt:variant>
        <vt:lpwstr/>
      </vt:variant>
      <vt:variant>
        <vt:i4>3866660</vt:i4>
      </vt:variant>
      <vt:variant>
        <vt:i4>105</vt:i4>
      </vt:variant>
      <vt:variant>
        <vt:i4>0</vt:i4>
      </vt:variant>
      <vt:variant>
        <vt:i4>5</vt:i4>
      </vt:variant>
      <vt:variant>
        <vt:lpwstr>https://www.cyberstreetwise.com/cyberessentials</vt:lpwstr>
      </vt:variant>
      <vt:variant>
        <vt:lpwstr/>
      </vt:variant>
      <vt:variant>
        <vt:i4>6684731</vt:i4>
      </vt:variant>
      <vt:variant>
        <vt:i4>102</vt:i4>
      </vt:variant>
      <vt:variant>
        <vt:i4>0</vt:i4>
      </vt:variant>
      <vt:variant>
        <vt:i4>5</vt:i4>
      </vt:variant>
      <vt:variant>
        <vt:lpwstr>https://www.gov.uk/government/publications/cyber-essentials-scheme-overview</vt:lpwstr>
      </vt:variant>
      <vt:variant>
        <vt:lpwstr/>
      </vt:variant>
      <vt:variant>
        <vt:i4>7209083</vt:i4>
      </vt:variant>
      <vt:variant>
        <vt:i4>99</vt:i4>
      </vt:variant>
      <vt:variant>
        <vt:i4>0</vt:i4>
      </vt:variant>
      <vt:variant>
        <vt:i4>5</vt:i4>
      </vt:variant>
      <vt:variant>
        <vt:lpwstr>https://www.gov.uk/government/publications/government-security-classifications</vt:lpwstr>
      </vt:variant>
      <vt:variant>
        <vt:lpwstr/>
      </vt:variant>
      <vt:variant>
        <vt:i4>1703989</vt:i4>
      </vt:variant>
      <vt:variant>
        <vt:i4>92</vt:i4>
      </vt:variant>
      <vt:variant>
        <vt:i4>0</vt:i4>
      </vt:variant>
      <vt:variant>
        <vt:i4>5</vt:i4>
      </vt:variant>
      <vt:variant>
        <vt:lpwstr/>
      </vt:variant>
      <vt:variant>
        <vt:lpwstr>_Toc508185095</vt:lpwstr>
      </vt:variant>
      <vt:variant>
        <vt:i4>1703989</vt:i4>
      </vt:variant>
      <vt:variant>
        <vt:i4>86</vt:i4>
      </vt:variant>
      <vt:variant>
        <vt:i4>0</vt:i4>
      </vt:variant>
      <vt:variant>
        <vt:i4>5</vt:i4>
      </vt:variant>
      <vt:variant>
        <vt:lpwstr/>
      </vt:variant>
      <vt:variant>
        <vt:lpwstr>_Toc508185094</vt:lpwstr>
      </vt:variant>
      <vt:variant>
        <vt:i4>1703989</vt:i4>
      </vt:variant>
      <vt:variant>
        <vt:i4>80</vt:i4>
      </vt:variant>
      <vt:variant>
        <vt:i4>0</vt:i4>
      </vt:variant>
      <vt:variant>
        <vt:i4>5</vt:i4>
      </vt:variant>
      <vt:variant>
        <vt:lpwstr/>
      </vt:variant>
      <vt:variant>
        <vt:lpwstr>_Toc508185093</vt:lpwstr>
      </vt:variant>
      <vt:variant>
        <vt:i4>1703989</vt:i4>
      </vt:variant>
      <vt:variant>
        <vt:i4>74</vt:i4>
      </vt:variant>
      <vt:variant>
        <vt:i4>0</vt:i4>
      </vt:variant>
      <vt:variant>
        <vt:i4>5</vt:i4>
      </vt:variant>
      <vt:variant>
        <vt:lpwstr/>
      </vt:variant>
      <vt:variant>
        <vt:lpwstr>_Toc508185092</vt:lpwstr>
      </vt:variant>
      <vt:variant>
        <vt:i4>1703989</vt:i4>
      </vt:variant>
      <vt:variant>
        <vt:i4>68</vt:i4>
      </vt:variant>
      <vt:variant>
        <vt:i4>0</vt:i4>
      </vt:variant>
      <vt:variant>
        <vt:i4>5</vt:i4>
      </vt:variant>
      <vt:variant>
        <vt:lpwstr/>
      </vt:variant>
      <vt:variant>
        <vt:lpwstr>_Toc508185091</vt:lpwstr>
      </vt:variant>
      <vt:variant>
        <vt:i4>1703989</vt:i4>
      </vt:variant>
      <vt:variant>
        <vt:i4>62</vt:i4>
      </vt:variant>
      <vt:variant>
        <vt:i4>0</vt:i4>
      </vt:variant>
      <vt:variant>
        <vt:i4>5</vt:i4>
      </vt:variant>
      <vt:variant>
        <vt:lpwstr/>
      </vt:variant>
      <vt:variant>
        <vt:lpwstr>_Toc508185090</vt:lpwstr>
      </vt:variant>
      <vt:variant>
        <vt:i4>1769525</vt:i4>
      </vt:variant>
      <vt:variant>
        <vt:i4>56</vt:i4>
      </vt:variant>
      <vt:variant>
        <vt:i4>0</vt:i4>
      </vt:variant>
      <vt:variant>
        <vt:i4>5</vt:i4>
      </vt:variant>
      <vt:variant>
        <vt:lpwstr/>
      </vt:variant>
      <vt:variant>
        <vt:lpwstr>_Toc508185089</vt:lpwstr>
      </vt:variant>
      <vt:variant>
        <vt:i4>1769525</vt:i4>
      </vt:variant>
      <vt:variant>
        <vt:i4>50</vt:i4>
      </vt:variant>
      <vt:variant>
        <vt:i4>0</vt:i4>
      </vt:variant>
      <vt:variant>
        <vt:i4>5</vt:i4>
      </vt:variant>
      <vt:variant>
        <vt:lpwstr/>
      </vt:variant>
      <vt:variant>
        <vt:lpwstr>_Toc508185088</vt:lpwstr>
      </vt:variant>
      <vt:variant>
        <vt:i4>1769525</vt:i4>
      </vt:variant>
      <vt:variant>
        <vt:i4>44</vt:i4>
      </vt:variant>
      <vt:variant>
        <vt:i4>0</vt:i4>
      </vt:variant>
      <vt:variant>
        <vt:i4>5</vt:i4>
      </vt:variant>
      <vt:variant>
        <vt:lpwstr/>
      </vt:variant>
      <vt:variant>
        <vt:lpwstr>_Toc508185087</vt:lpwstr>
      </vt:variant>
      <vt:variant>
        <vt:i4>1769525</vt:i4>
      </vt:variant>
      <vt:variant>
        <vt:i4>38</vt:i4>
      </vt:variant>
      <vt:variant>
        <vt:i4>0</vt:i4>
      </vt:variant>
      <vt:variant>
        <vt:i4>5</vt:i4>
      </vt:variant>
      <vt:variant>
        <vt:lpwstr/>
      </vt:variant>
      <vt:variant>
        <vt:lpwstr>_Toc508185086</vt:lpwstr>
      </vt:variant>
      <vt:variant>
        <vt:i4>1769525</vt:i4>
      </vt:variant>
      <vt:variant>
        <vt:i4>32</vt:i4>
      </vt:variant>
      <vt:variant>
        <vt:i4>0</vt:i4>
      </vt:variant>
      <vt:variant>
        <vt:i4>5</vt:i4>
      </vt:variant>
      <vt:variant>
        <vt:lpwstr/>
      </vt:variant>
      <vt:variant>
        <vt:lpwstr>_Toc508185085</vt:lpwstr>
      </vt:variant>
      <vt:variant>
        <vt:i4>1769525</vt:i4>
      </vt:variant>
      <vt:variant>
        <vt:i4>26</vt:i4>
      </vt:variant>
      <vt:variant>
        <vt:i4>0</vt:i4>
      </vt:variant>
      <vt:variant>
        <vt:i4>5</vt:i4>
      </vt:variant>
      <vt:variant>
        <vt:lpwstr/>
      </vt:variant>
      <vt:variant>
        <vt:lpwstr>_Toc508185084</vt:lpwstr>
      </vt:variant>
      <vt:variant>
        <vt:i4>1769525</vt:i4>
      </vt:variant>
      <vt:variant>
        <vt:i4>20</vt:i4>
      </vt:variant>
      <vt:variant>
        <vt:i4>0</vt:i4>
      </vt:variant>
      <vt:variant>
        <vt:i4>5</vt:i4>
      </vt:variant>
      <vt:variant>
        <vt:lpwstr/>
      </vt:variant>
      <vt:variant>
        <vt:lpwstr>_Toc508185083</vt:lpwstr>
      </vt:variant>
      <vt:variant>
        <vt:i4>1769525</vt:i4>
      </vt:variant>
      <vt:variant>
        <vt:i4>14</vt:i4>
      </vt:variant>
      <vt:variant>
        <vt:i4>0</vt:i4>
      </vt:variant>
      <vt:variant>
        <vt:i4>5</vt:i4>
      </vt:variant>
      <vt:variant>
        <vt:lpwstr/>
      </vt:variant>
      <vt:variant>
        <vt:lpwstr>_Toc508185082</vt:lpwstr>
      </vt:variant>
      <vt:variant>
        <vt:i4>1769525</vt:i4>
      </vt:variant>
      <vt:variant>
        <vt:i4>8</vt:i4>
      </vt:variant>
      <vt:variant>
        <vt:i4>0</vt:i4>
      </vt:variant>
      <vt:variant>
        <vt:i4>5</vt:i4>
      </vt:variant>
      <vt:variant>
        <vt:lpwstr/>
      </vt:variant>
      <vt:variant>
        <vt:lpwstr>_Toc508185081</vt:lpwstr>
      </vt:variant>
      <vt:variant>
        <vt:i4>1769525</vt:i4>
      </vt:variant>
      <vt:variant>
        <vt:i4>2</vt:i4>
      </vt:variant>
      <vt:variant>
        <vt:i4>0</vt:i4>
      </vt:variant>
      <vt:variant>
        <vt:i4>5</vt:i4>
      </vt:variant>
      <vt:variant>
        <vt:lpwstr/>
      </vt:variant>
      <vt:variant>
        <vt:lpwstr>_Toc508185080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PF07 - Specification (non-framework procurement) template</dc:title>
  <dc:subject>Non-framework procurement specification template</dc:subject>
  <dc:creator>Commercial Compliance Team</dc:creator>
  <cp:keywords>PF07, Specification, framework, procurement, template</cp:keywords>
  <cp:lastModifiedBy>Andrew Williams</cp:lastModifiedBy>
  <cp:revision>3</cp:revision>
  <cp:lastPrinted>2018-03-07T08:33:00Z</cp:lastPrinted>
  <dcterms:created xsi:type="dcterms:W3CDTF">2024-04-12T12:23:00Z</dcterms:created>
  <dcterms:modified xsi:type="dcterms:W3CDTF">2024-04-12T12:24:00Z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