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4261630" w:rsidR="00B327EC" w:rsidRPr="002C519F" w:rsidRDefault="00084F7C" w:rsidP="00B327EC">
      <w:pPr>
        <w:widowControl w:val="0"/>
        <w:tabs>
          <w:tab w:val="center" w:pos="4513"/>
        </w:tabs>
        <w:spacing w:before="120" w:after="120"/>
        <w:jc w:val="center"/>
        <w:rPr>
          <w:b/>
          <w:bCs/>
          <w:sz w:val="36"/>
          <w:szCs w:val="36"/>
        </w:rPr>
      </w:pPr>
      <w:r>
        <w:rPr>
          <w:b/>
          <w:bCs/>
          <w:sz w:val="36"/>
          <w:szCs w:val="36"/>
        </w:rPr>
        <w:t xml:space="preserve">UK GOVERNMENT INVESTMENTS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084F7C" w:rsidRDefault="00B327EC" w:rsidP="00B327EC">
      <w:pPr>
        <w:widowControl w:val="0"/>
        <w:tabs>
          <w:tab w:val="center" w:pos="4513"/>
        </w:tabs>
        <w:spacing w:before="120" w:after="120"/>
        <w:jc w:val="center"/>
        <w:rPr>
          <w:b/>
          <w:bCs/>
          <w:sz w:val="36"/>
          <w:szCs w:val="36"/>
        </w:rPr>
      </w:pPr>
      <w:r w:rsidRPr="00084F7C">
        <w:rPr>
          <w:b/>
          <w:bCs/>
          <w:sz w:val="36"/>
          <w:szCs w:val="36"/>
        </w:rPr>
        <w:t>- and -</w:t>
      </w:r>
    </w:p>
    <w:p w14:paraId="5CA8630C" w14:textId="77777777" w:rsidR="00B327EC" w:rsidRPr="00084F7C" w:rsidRDefault="00B327EC" w:rsidP="00B327EC">
      <w:pPr>
        <w:widowControl w:val="0"/>
        <w:tabs>
          <w:tab w:val="center" w:pos="4513"/>
        </w:tabs>
        <w:spacing w:before="120" w:after="120"/>
        <w:jc w:val="center"/>
        <w:rPr>
          <w:b/>
          <w:bCs/>
          <w:sz w:val="36"/>
          <w:szCs w:val="36"/>
        </w:rPr>
      </w:pPr>
    </w:p>
    <w:p w14:paraId="42EC9FF9" w14:textId="5F4817FF" w:rsidR="00B327EC" w:rsidRPr="00084F7C" w:rsidRDefault="00084F7C" w:rsidP="00B327EC">
      <w:pPr>
        <w:widowControl w:val="0"/>
        <w:tabs>
          <w:tab w:val="center" w:pos="4513"/>
        </w:tabs>
        <w:spacing w:before="120" w:after="120"/>
        <w:jc w:val="center"/>
        <w:rPr>
          <w:bCs/>
          <w:sz w:val="36"/>
          <w:szCs w:val="36"/>
        </w:rPr>
      </w:pPr>
      <w:r w:rsidRPr="00084F7C">
        <w:rPr>
          <w:b/>
          <w:bCs/>
          <w:sz w:val="36"/>
          <w:szCs w:val="36"/>
        </w:rPr>
        <w:t>CREDIT BENCHMARK</w:t>
      </w:r>
    </w:p>
    <w:p w14:paraId="0AC1DA6B" w14:textId="77777777" w:rsidR="00B327EC" w:rsidRPr="00084F7C"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084F7C">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084F7C">
      <w:pPr>
        <w:widowControl w:val="0"/>
        <w:tabs>
          <w:tab w:val="center" w:pos="4513"/>
        </w:tabs>
        <w:spacing w:before="120" w:after="120"/>
        <w:jc w:val="center"/>
        <w:rPr>
          <w:b/>
          <w:bCs/>
          <w:sz w:val="36"/>
          <w:szCs w:val="36"/>
        </w:rPr>
      </w:pPr>
    </w:p>
    <w:p w14:paraId="56B48EA4" w14:textId="77777777" w:rsidR="00084F7C" w:rsidRPr="00084F7C" w:rsidRDefault="00084F7C" w:rsidP="00B327EC">
      <w:pPr>
        <w:widowControl w:val="0"/>
        <w:tabs>
          <w:tab w:val="center" w:pos="4513"/>
        </w:tabs>
        <w:spacing w:before="120" w:after="120"/>
        <w:jc w:val="center"/>
        <w:rPr>
          <w:b/>
          <w:bCs/>
          <w:sz w:val="36"/>
          <w:szCs w:val="36"/>
        </w:rPr>
      </w:pPr>
      <w:r w:rsidRPr="00084F7C">
        <w:rPr>
          <w:b/>
          <w:bCs/>
          <w:sz w:val="36"/>
          <w:szCs w:val="36"/>
        </w:rPr>
        <w:t>The Provision of Credit Benchmark's data for UKGI</w:t>
      </w:r>
    </w:p>
    <w:p w14:paraId="584C9CC2" w14:textId="619C3FD7" w:rsidR="00F42D71" w:rsidRPr="002C519F" w:rsidRDefault="00084F7C" w:rsidP="00B327EC">
      <w:pPr>
        <w:widowControl w:val="0"/>
        <w:tabs>
          <w:tab w:val="center" w:pos="4513"/>
        </w:tabs>
        <w:spacing w:before="120" w:after="120"/>
        <w:jc w:val="center"/>
        <w:rPr>
          <w:b/>
          <w:bCs/>
          <w:sz w:val="36"/>
          <w:szCs w:val="36"/>
        </w:rPr>
      </w:pPr>
      <w:r w:rsidRPr="00084F7C">
        <w:rPr>
          <w:b/>
          <w:bCs/>
          <w:sz w:val="36"/>
          <w:szCs w:val="36"/>
        </w:rPr>
        <w:t>CCFI20A18</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54CE6BF"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49393E">
          <w:rPr>
            <w:noProof/>
            <w:webHidden/>
          </w:rPr>
          <w:t>3</w:t>
        </w:r>
        <w:r w:rsidR="003537BB">
          <w:rPr>
            <w:noProof/>
            <w:webHidden/>
          </w:rPr>
          <w:fldChar w:fldCharType="end"/>
        </w:r>
      </w:hyperlink>
    </w:p>
    <w:p w14:paraId="0AA737F4" w14:textId="05859F3D" w:rsidR="003537BB" w:rsidRDefault="00C73DC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49393E">
          <w:rPr>
            <w:noProof/>
            <w:webHidden/>
          </w:rPr>
          <w:t>3</w:t>
        </w:r>
        <w:r w:rsidR="003537BB">
          <w:rPr>
            <w:noProof/>
            <w:webHidden/>
          </w:rPr>
          <w:fldChar w:fldCharType="end"/>
        </w:r>
      </w:hyperlink>
    </w:p>
    <w:p w14:paraId="4C1A2F88" w14:textId="1B79A3F4" w:rsidR="003537BB" w:rsidRDefault="00C73DC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49393E">
          <w:rPr>
            <w:noProof/>
            <w:webHidden/>
          </w:rPr>
          <w:t>4</w:t>
        </w:r>
        <w:r w:rsidR="003537BB">
          <w:rPr>
            <w:noProof/>
            <w:webHidden/>
          </w:rPr>
          <w:fldChar w:fldCharType="end"/>
        </w:r>
      </w:hyperlink>
    </w:p>
    <w:p w14:paraId="239E4E79" w14:textId="6A88EEDA" w:rsidR="003537BB" w:rsidRDefault="00C73DC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49393E">
          <w:rPr>
            <w:noProof/>
            <w:webHidden/>
          </w:rPr>
          <w:t>4</w:t>
        </w:r>
        <w:r w:rsidR="003537BB">
          <w:rPr>
            <w:noProof/>
            <w:webHidden/>
          </w:rPr>
          <w:fldChar w:fldCharType="end"/>
        </w:r>
      </w:hyperlink>
    </w:p>
    <w:p w14:paraId="0B35382D" w14:textId="5AA30604" w:rsidR="003537BB" w:rsidRDefault="00C73DC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49393E">
          <w:rPr>
            <w:noProof/>
            <w:webHidden/>
          </w:rPr>
          <w:t>5</w:t>
        </w:r>
        <w:r w:rsidR="003537BB">
          <w:rPr>
            <w:noProof/>
            <w:webHidden/>
          </w:rPr>
          <w:fldChar w:fldCharType="end"/>
        </w:r>
      </w:hyperlink>
    </w:p>
    <w:p w14:paraId="13B8BD04" w14:textId="3FD5BD0B" w:rsidR="003537BB" w:rsidRDefault="00C73DC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49393E">
          <w:rPr>
            <w:noProof/>
            <w:webHidden/>
          </w:rPr>
          <w:t>5</w:t>
        </w:r>
        <w:r w:rsidR="003537BB">
          <w:rPr>
            <w:noProof/>
            <w:webHidden/>
          </w:rPr>
          <w:fldChar w:fldCharType="end"/>
        </w:r>
      </w:hyperlink>
    </w:p>
    <w:p w14:paraId="3137EB71" w14:textId="262E13F5" w:rsidR="003537BB" w:rsidRDefault="00C73DC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49393E">
          <w:rPr>
            <w:noProof/>
            <w:webHidden/>
          </w:rPr>
          <w:t>6</w:t>
        </w:r>
        <w:r w:rsidR="003537BB">
          <w:rPr>
            <w:noProof/>
            <w:webHidden/>
          </w:rPr>
          <w:fldChar w:fldCharType="end"/>
        </w:r>
      </w:hyperlink>
    </w:p>
    <w:p w14:paraId="49500F3D" w14:textId="44AE9E04" w:rsidR="003537BB" w:rsidRDefault="00C73DC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49393E">
          <w:rPr>
            <w:noProof/>
            <w:webHidden/>
          </w:rPr>
          <w:t>7</w:t>
        </w:r>
        <w:r w:rsidR="003537BB">
          <w:rPr>
            <w:noProof/>
            <w:webHidden/>
          </w:rPr>
          <w:fldChar w:fldCharType="end"/>
        </w:r>
      </w:hyperlink>
    </w:p>
    <w:p w14:paraId="1F65720D" w14:textId="048DAABA" w:rsidR="003537BB" w:rsidRDefault="00C73DC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49393E">
          <w:rPr>
            <w:noProof/>
            <w:webHidden/>
          </w:rPr>
          <w:t>7</w:t>
        </w:r>
        <w:r w:rsidR="003537BB">
          <w:rPr>
            <w:noProof/>
            <w:webHidden/>
          </w:rPr>
          <w:fldChar w:fldCharType="end"/>
        </w:r>
      </w:hyperlink>
    </w:p>
    <w:p w14:paraId="11D51CDD" w14:textId="78FF5115" w:rsidR="003537BB" w:rsidRDefault="00C73DC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49393E">
          <w:rPr>
            <w:noProof/>
            <w:webHidden/>
          </w:rPr>
          <w:t>8</w:t>
        </w:r>
        <w:r w:rsidR="003537BB">
          <w:rPr>
            <w:noProof/>
            <w:webHidden/>
          </w:rPr>
          <w:fldChar w:fldCharType="end"/>
        </w:r>
      </w:hyperlink>
    </w:p>
    <w:p w14:paraId="37C11058" w14:textId="79BC12FE" w:rsidR="003537BB" w:rsidRDefault="00C73DC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49393E">
          <w:rPr>
            <w:noProof/>
            <w:webHidden/>
          </w:rPr>
          <w:t>9</w:t>
        </w:r>
        <w:r w:rsidR="003537BB">
          <w:rPr>
            <w:noProof/>
            <w:webHidden/>
          </w:rPr>
          <w:fldChar w:fldCharType="end"/>
        </w:r>
      </w:hyperlink>
    </w:p>
    <w:p w14:paraId="049CD371" w14:textId="462DCEE1" w:rsidR="003537BB" w:rsidRDefault="00C73DC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49393E">
          <w:rPr>
            <w:noProof/>
            <w:webHidden/>
          </w:rPr>
          <w:t>9</w:t>
        </w:r>
        <w:r w:rsidR="003537BB">
          <w:rPr>
            <w:noProof/>
            <w:webHidden/>
          </w:rPr>
          <w:fldChar w:fldCharType="end"/>
        </w:r>
      </w:hyperlink>
    </w:p>
    <w:p w14:paraId="0F6856DE" w14:textId="53439F79" w:rsidR="003537BB" w:rsidRDefault="00C73DC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49393E">
          <w:rPr>
            <w:noProof/>
            <w:webHidden/>
          </w:rPr>
          <w:t>10</w:t>
        </w:r>
        <w:r w:rsidR="003537BB">
          <w:rPr>
            <w:noProof/>
            <w:webHidden/>
          </w:rPr>
          <w:fldChar w:fldCharType="end"/>
        </w:r>
      </w:hyperlink>
    </w:p>
    <w:p w14:paraId="30D93AB2" w14:textId="419D04EF" w:rsidR="003537BB" w:rsidRDefault="00C73DC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49393E">
          <w:rPr>
            <w:noProof/>
            <w:webHidden/>
          </w:rPr>
          <w:t>11</w:t>
        </w:r>
        <w:r w:rsidR="003537BB">
          <w:rPr>
            <w:noProof/>
            <w:webHidden/>
          </w:rPr>
          <w:fldChar w:fldCharType="end"/>
        </w:r>
      </w:hyperlink>
    </w:p>
    <w:p w14:paraId="18AD9369" w14:textId="034F5C91" w:rsidR="003537BB" w:rsidRDefault="00C73DC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49393E">
          <w:rPr>
            <w:noProof/>
            <w:webHidden/>
          </w:rPr>
          <w:t>11</w:t>
        </w:r>
        <w:r w:rsidR="003537BB">
          <w:rPr>
            <w:noProof/>
            <w:webHidden/>
          </w:rPr>
          <w:fldChar w:fldCharType="end"/>
        </w:r>
      </w:hyperlink>
    </w:p>
    <w:p w14:paraId="55FCE754" w14:textId="3BF24D8E" w:rsidR="003537BB" w:rsidRDefault="00C73DC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49393E">
          <w:rPr>
            <w:noProof/>
            <w:webHidden/>
          </w:rPr>
          <w:t>11</w:t>
        </w:r>
        <w:r w:rsidR="003537BB">
          <w:rPr>
            <w:noProof/>
            <w:webHidden/>
          </w:rPr>
          <w:fldChar w:fldCharType="end"/>
        </w:r>
      </w:hyperlink>
    </w:p>
    <w:p w14:paraId="62436698" w14:textId="0821F9E0" w:rsidR="003537BB" w:rsidRDefault="00C73DC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49393E">
          <w:rPr>
            <w:noProof/>
            <w:webHidden/>
          </w:rPr>
          <w:t>12</w:t>
        </w:r>
        <w:r w:rsidR="003537BB">
          <w:rPr>
            <w:noProof/>
            <w:webHidden/>
          </w:rPr>
          <w:fldChar w:fldCharType="end"/>
        </w:r>
      </w:hyperlink>
    </w:p>
    <w:p w14:paraId="4EC3B055" w14:textId="31ECE418" w:rsidR="003537BB" w:rsidRDefault="00C73DC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49393E">
          <w:rPr>
            <w:noProof/>
            <w:webHidden/>
          </w:rPr>
          <w:t>12</w:t>
        </w:r>
        <w:r w:rsidR="003537BB">
          <w:rPr>
            <w:noProof/>
            <w:webHidden/>
          </w:rPr>
          <w:fldChar w:fldCharType="end"/>
        </w:r>
      </w:hyperlink>
    </w:p>
    <w:p w14:paraId="445081EC" w14:textId="4C3E566B" w:rsidR="003537BB" w:rsidRDefault="00C73DC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49393E">
          <w:rPr>
            <w:noProof/>
            <w:webHidden/>
          </w:rPr>
          <w:t>13</w:t>
        </w:r>
        <w:r w:rsidR="003537BB">
          <w:rPr>
            <w:noProof/>
            <w:webHidden/>
          </w:rPr>
          <w:fldChar w:fldCharType="end"/>
        </w:r>
      </w:hyperlink>
    </w:p>
    <w:p w14:paraId="5F951ACA" w14:textId="24D88E11" w:rsidR="003537BB" w:rsidRDefault="00C73DC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49393E">
          <w:rPr>
            <w:noProof/>
            <w:webHidden/>
          </w:rPr>
          <w:t>13</w:t>
        </w:r>
        <w:r w:rsidR="003537BB">
          <w:rPr>
            <w:noProof/>
            <w:webHidden/>
          </w:rPr>
          <w:fldChar w:fldCharType="end"/>
        </w:r>
      </w:hyperlink>
    </w:p>
    <w:p w14:paraId="7631B256" w14:textId="4519B05D" w:rsidR="003537BB" w:rsidRDefault="00C73DC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49393E">
          <w:rPr>
            <w:noProof/>
            <w:webHidden/>
          </w:rPr>
          <w:t>14</w:t>
        </w:r>
        <w:r w:rsidR="003537BB">
          <w:rPr>
            <w:noProof/>
            <w:webHidden/>
          </w:rPr>
          <w:fldChar w:fldCharType="end"/>
        </w:r>
      </w:hyperlink>
    </w:p>
    <w:p w14:paraId="6B939037" w14:textId="3E813842" w:rsidR="003537BB" w:rsidRDefault="00C73DC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49393E">
          <w:rPr>
            <w:noProof/>
            <w:webHidden/>
          </w:rPr>
          <w:t>14</w:t>
        </w:r>
        <w:r w:rsidR="003537BB">
          <w:rPr>
            <w:noProof/>
            <w:webHidden/>
          </w:rPr>
          <w:fldChar w:fldCharType="end"/>
        </w:r>
      </w:hyperlink>
    </w:p>
    <w:p w14:paraId="17107B4E" w14:textId="0F10B78F" w:rsidR="003537BB" w:rsidRDefault="00C73DC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49393E">
          <w:rPr>
            <w:noProof/>
            <w:webHidden/>
          </w:rPr>
          <w:t>15</w:t>
        </w:r>
        <w:r w:rsidR="003537BB">
          <w:rPr>
            <w:noProof/>
            <w:webHidden/>
          </w:rPr>
          <w:fldChar w:fldCharType="end"/>
        </w:r>
      </w:hyperlink>
    </w:p>
    <w:p w14:paraId="6E571369" w14:textId="22F1C160" w:rsidR="003537BB" w:rsidRDefault="00C73DC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49393E">
          <w:rPr>
            <w:noProof/>
            <w:webHidden/>
          </w:rPr>
          <w:t>16</w:t>
        </w:r>
        <w:r w:rsidR="003537BB">
          <w:rPr>
            <w:noProof/>
            <w:webHidden/>
          </w:rPr>
          <w:fldChar w:fldCharType="end"/>
        </w:r>
      </w:hyperlink>
    </w:p>
    <w:p w14:paraId="1D908634" w14:textId="3E5E551D" w:rsidR="003537BB" w:rsidRDefault="00C73DC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49393E">
          <w:rPr>
            <w:noProof/>
            <w:webHidden/>
          </w:rPr>
          <w:t>17</w:t>
        </w:r>
        <w:r w:rsidR="003537BB">
          <w:rPr>
            <w:noProof/>
            <w:webHidden/>
          </w:rPr>
          <w:fldChar w:fldCharType="end"/>
        </w:r>
      </w:hyperlink>
    </w:p>
    <w:p w14:paraId="4C793176" w14:textId="21DE4504" w:rsidR="003537BB" w:rsidRDefault="00C73DC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49393E">
          <w:rPr>
            <w:noProof/>
            <w:webHidden/>
          </w:rPr>
          <w:t>17</w:t>
        </w:r>
        <w:r w:rsidR="003537BB">
          <w:rPr>
            <w:noProof/>
            <w:webHidden/>
          </w:rPr>
          <w:fldChar w:fldCharType="end"/>
        </w:r>
      </w:hyperlink>
    </w:p>
    <w:p w14:paraId="606B5B06" w14:textId="7B6FD685" w:rsidR="003537BB" w:rsidRDefault="00C73DCD">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49393E">
          <w:rPr>
            <w:noProof/>
            <w:webHidden/>
          </w:rPr>
          <w:t>22</w:t>
        </w:r>
        <w:r w:rsidR="003537BB">
          <w:rPr>
            <w:noProof/>
            <w:webHidden/>
          </w:rPr>
          <w:fldChar w:fldCharType="end"/>
        </w:r>
      </w:hyperlink>
    </w:p>
    <w:p w14:paraId="118FE93F" w14:textId="3585F7E5" w:rsidR="003537BB" w:rsidRDefault="00C73DC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49393E">
          <w:rPr>
            <w:noProof/>
            <w:webHidden/>
          </w:rPr>
          <w:t>23</w:t>
        </w:r>
        <w:r w:rsidR="003537BB">
          <w:rPr>
            <w:noProof/>
            <w:webHidden/>
          </w:rPr>
          <w:fldChar w:fldCharType="end"/>
        </w:r>
      </w:hyperlink>
    </w:p>
    <w:p w14:paraId="58F3D739" w14:textId="3081DEC8" w:rsidR="003537BB" w:rsidRDefault="00C73DCD">
      <w:pPr>
        <w:pStyle w:val="TOC1"/>
        <w:rPr>
          <w:noProof/>
        </w:rPr>
      </w:pPr>
      <w:hyperlink w:anchor="_Toc444688627" w:history="1">
        <w:r w:rsidR="000B589B">
          <w:rPr>
            <w:rStyle w:val="Hyperlink"/>
            <w:rFonts w:eastAsia="Times New Roman"/>
            <w:b/>
            <w:noProof/>
            <w:lang w:eastAsia="en-US"/>
          </w:rPr>
          <w:t xml:space="preserve">ANNEX 7 – </w:t>
        </w:r>
        <w:r w:rsidR="000B589B">
          <w:rPr>
            <w:rFonts w:eastAsia="Times New Roman"/>
            <w:b/>
            <w:szCs w:val="22"/>
            <w:lang w:eastAsia="en-US"/>
          </w:rPr>
          <w:t>FURTHER TERMS &amp; CONDITIONS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49393E">
          <w:rPr>
            <w:noProof/>
            <w:webHidden/>
          </w:rPr>
          <w:t>30</w:t>
        </w:r>
        <w:r w:rsidR="003537BB">
          <w:rPr>
            <w:noProof/>
            <w:webHidden/>
          </w:rPr>
          <w:fldChar w:fldCharType="end"/>
        </w:r>
      </w:hyperlink>
    </w:p>
    <w:p w14:paraId="7F1DF26E" w14:textId="6329D08E" w:rsidR="000B589B" w:rsidRDefault="000B589B">
      <w:pPr>
        <w:pStyle w:val="TOC1"/>
        <w:rPr>
          <w:rFonts w:asciiTheme="minorHAnsi" w:eastAsiaTheme="minorEastAsia" w:hAnsiTheme="minorHAnsi" w:cstheme="minorBidi"/>
          <w:caps w:val="0"/>
          <w:noProof/>
          <w:szCs w:val="22"/>
          <w:lang w:eastAsia="en-GB"/>
        </w:rPr>
      </w:pPr>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084F7C">
        <w:rPr>
          <w:b w:val="0"/>
          <w:u w:val="none"/>
        </w:rPr>
        <w:t xml:space="preserve">within </w:t>
      </w:r>
      <w:r w:rsidR="00E33C8F" w:rsidRPr="00084F7C">
        <w:rPr>
          <w:b w:val="0"/>
          <w:u w:val="none"/>
        </w:rPr>
        <w:t>7</w:t>
      </w:r>
      <w:r w:rsidRPr="00084F7C">
        <w:rPr>
          <w:b w:val="0"/>
          <w:u w:val="none"/>
        </w:rPr>
        <w:t xml:space="preserve"> days of the date of the award letter, of a copy of the Award Letter countersigned by the Supplier</w:t>
      </w:r>
      <w:r w:rsidRPr="006E4A65">
        <w:rPr>
          <w:b w:val="0"/>
          <w:u w:val="none"/>
        </w:rPr>
        <w:t>.</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084F7C"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w:t>
      </w:r>
      <w:r w:rsidRPr="00084F7C">
        <w:rPr>
          <w:rFonts w:cs="Arial"/>
          <w:b w:val="0"/>
          <w:u w:val="none"/>
        </w:rPr>
        <w:t xml:space="preserve">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084F7C">
        <w:rPr>
          <w:rFonts w:cs="Arial"/>
          <w:b w:val="0"/>
          <w:u w:val="none"/>
        </w:rPr>
        <w:t xml:space="preserve">The Customer may extend the Agreement for a period of up to </w:t>
      </w:r>
      <w:r w:rsidR="00E33C8F" w:rsidRPr="00084F7C">
        <w:rPr>
          <w:rFonts w:cs="Arial"/>
          <w:b w:val="0"/>
          <w:u w:val="none"/>
        </w:rPr>
        <w:t>6</w:t>
      </w:r>
      <w:r w:rsidRPr="00084F7C">
        <w:rPr>
          <w:rFonts w:cs="Arial"/>
          <w:b w:val="0"/>
          <w:u w:val="none"/>
        </w:rPr>
        <w:t xml:space="preserve"> months by giving</w:t>
      </w:r>
      <w:r w:rsidRPr="006E4A65">
        <w:rPr>
          <w:rFonts w:cs="Arial"/>
          <w:b w:val="0"/>
          <w:u w:val="none"/>
        </w:rPr>
        <w:t xml:space="preserve">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5B03436" w14:textId="3E5F3AA9" w:rsidR="0049393E" w:rsidRPr="00ED37EB" w:rsidRDefault="00ED37EB">
      <w:pPr>
        <w:rPr>
          <w:rFonts w:eastAsia="Times New Roman" w:cs="Arial"/>
          <w:b/>
          <w:szCs w:val="22"/>
          <w:lang w:eastAsia="en-US"/>
        </w:rPr>
      </w:pPr>
      <w:r w:rsidRPr="00ED37EB">
        <w:rPr>
          <w:rFonts w:cs="Arial"/>
          <w:b/>
          <w:color w:val="222222"/>
          <w:shd w:val="clear" w:color="auto" w:fill="FFFFFF"/>
        </w:rPr>
        <w:t>REDACTED</w:t>
      </w:r>
    </w:p>
    <w:p w14:paraId="62D18184" w14:textId="76F2A25F" w:rsidR="0049393E" w:rsidRDefault="0049393E">
      <w:pPr>
        <w:rPr>
          <w:rFonts w:eastAsia="Times New Roman" w:cs="Arial"/>
          <w:szCs w:val="22"/>
          <w:lang w:eastAsia="en-US"/>
        </w:rPr>
      </w:pPr>
    </w:p>
    <w:p w14:paraId="554C12F7" w14:textId="63B2F7DB" w:rsidR="0049393E" w:rsidRDefault="0049393E">
      <w:pPr>
        <w:rPr>
          <w:rFonts w:eastAsia="Times New Roman" w:cs="Arial"/>
          <w:szCs w:val="22"/>
          <w:lang w:eastAsia="en-US"/>
        </w:rPr>
      </w:pPr>
    </w:p>
    <w:p w14:paraId="63DB8963" w14:textId="429ECB70" w:rsidR="0049393E" w:rsidRDefault="0049393E">
      <w:pPr>
        <w:rPr>
          <w:rFonts w:eastAsia="Times New Roman" w:cs="Arial"/>
          <w:szCs w:val="22"/>
          <w:lang w:eastAsia="en-US"/>
        </w:rPr>
      </w:pPr>
    </w:p>
    <w:p w14:paraId="60EF57EF" w14:textId="7B5397FD" w:rsidR="0049393E" w:rsidRDefault="0049393E">
      <w:pPr>
        <w:rPr>
          <w:rFonts w:eastAsia="Times New Roman" w:cs="Arial"/>
          <w:szCs w:val="22"/>
          <w:lang w:eastAsia="en-US"/>
        </w:rPr>
      </w:pPr>
    </w:p>
    <w:p w14:paraId="50FAD0F3" w14:textId="3825B0AD" w:rsidR="0049393E" w:rsidRDefault="0049393E">
      <w:pPr>
        <w:rPr>
          <w:rFonts w:eastAsia="Times New Roman" w:cs="Arial"/>
          <w:szCs w:val="22"/>
          <w:lang w:eastAsia="en-US"/>
        </w:rPr>
      </w:pPr>
    </w:p>
    <w:p w14:paraId="18F7BF02" w14:textId="7CFBE7C9" w:rsidR="0049393E" w:rsidRDefault="0049393E">
      <w:pPr>
        <w:rPr>
          <w:rFonts w:eastAsia="Times New Roman" w:cs="Arial"/>
          <w:szCs w:val="22"/>
          <w:lang w:eastAsia="en-US"/>
        </w:rPr>
      </w:pPr>
    </w:p>
    <w:p w14:paraId="66F7F95C" w14:textId="2F9E2890" w:rsidR="0049393E" w:rsidRDefault="0049393E">
      <w:pPr>
        <w:rPr>
          <w:rFonts w:eastAsia="Times New Roman" w:cs="Arial"/>
          <w:szCs w:val="22"/>
          <w:lang w:eastAsia="en-US"/>
        </w:rPr>
      </w:pPr>
    </w:p>
    <w:p w14:paraId="6186FAF2" w14:textId="13253520" w:rsidR="0049393E" w:rsidRDefault="0049393E">
      <w:pPr>
        <w:rPr>
          <w:rFonts w:eastAsia="Times New Roman" w:cs="Arial"/>
          <w:szCs w:val="22"/>
          <w:lang w:eastAsia="en-US"/>
        </w:rPr>
      </w:pPr>
    </w:p>
    <w:p w14:paraId="1573CBF1" w14:textId="1561304C" w:rsidR="0049393E" w:rsidRDefault="0049393E">
      <w:pPr>
        <w:rPr>
          <w:rFonts w:eastAsia="Times New Roman" w:cs="Arial"/>
          <w:szCs w:val="22"/>
          <w:lang w:eastAsia="en-US"/>
        </w:rPr>
      </w:pPr>
    </w:p>
    <w:p w14:paraId="4C868330" w14:textId="3349953D" w:rsidR="0049393E" w:rsidRDefault="0049393E">
      <w:pPr>
        <w:rPr>
          <w:rFonts w:eastAsia="Times New Roman" w:cs="Arial"/>
          <w:szCs w:val="22"/>
          <w:lang w:eastAsia="en-US"/>
        </w:rPr>
      </w:pPr>
    </w:p>
    <w:p w14:paraId="28EF115D" w14:textId="7E4EDB04" w:rsidR="0049393E" w:rsidRDefault="0049393E">
      <w:pPr>
        <w:rPr>
          <w:rFonts w:eastAsia="Times New Roman" w:cs="Arial"/>
          <w:szCs w:val="22"/>
          <w:lang w:eastAsia="en-US"/>
        </w:rPr>
      </w:pPr>
    </w:p>
    <w:p w14:paraId="32352908" w14:textId="38508FBF" w:rsidR="0049393E" w:rsidRDefault="0049393E">
      <w:pPr>
        <w:rPr>
          <w:rFonts w:eastAsia="Times New Roman" w:cs="Arial"/>
          <w:szCs w:val="22"/>
          <w:lang w:eastAsia="en-US"/>
        </w:rPr>
      </w:pPr>
    </w:p>
    <w:p w14:paraId="05A755E7" w14:textId="7D7E4678" w:rsidR="0049393E" w:rsidRDefault="0049393E">
      <w:pPr>
        <w:rPr>
          <w:rFonts w:eastAsia="Times New Roman" w:cs="Arial"/>
          <w:szCs w:val="22"/>
          <w:lang w:eastAsia="en-US"/>
        </w:rPr>
      </w:pPr>
    </w:p>
    <w:p w14:paraId="70625C28" w14:textId="740B4D76" w:rsidR="0049393E" w:rsidRDefault="0049393E">
      <w:pPr>
        <w:rPr>
          <w:rFonts w:eastAsia="Times New Roman" w:cs="Arial"/>
          <w:szCs w:val="22"/>
          <w:lang w:eastAsia="en-US"/>
        </w:rPr>
      </w:pPr>
    </w:p>
    <w:p w14:paraId="70A79B7B" w14:textId="1D12C4B4" w:rsidR="0049393E" w:rsidRDefault="0049393E">
      <w:pPr>
        <w:rPr>
          <w:rFonts w:eastAsia="Times New Roman" w:cs="Arial"/>
          <w:szCs w:val="22"/>
          <w:lang w:eastAsia="en-US"/>
        </w:rPr>
      </w:pPr>
    </w:p>
    <w:p w14:paraId="7410E61C" w14:textId="0077A482" w:rsidR="0049393E" w:rsidRDefault="0049393E">
      <w:pPr>
        <w:rPr>
          <w:rFonts w:eastAsia="Times New Roman" w:cs="Arial"/>
          <w:szCs w:val="22"/>
          <w:lang w:eastAsia="en-US"/>
        </w:rPr>
      </w:pPr>
    </w:p>
    <w:p w14:paraId="08EEBE96" w14:textId="2824571C" w:rsidR="0049393E" w:rsidRDefault="0049393E">
      <w:pPr>
        <w:rPr>
          <w:rFonts w:eastAsia="Times New Roman" w:cs="Arial"/>
          <w:szCs w:val="22"/>
          <w:lang w:eastAsia="en-US"/>
        </w:rPr>
      </w:pPr>
    </w:p>
    <w:p w14:paraId="152E939B" w14:textId="43C72D04" w:rsidR="0049393E" w:rsidRDefault="0049393E">
      <w:pPr>
        <w:rPr>
          <w:rFonts w:eastAsia="Times New Roman" w:cs="Arial"/>
          <w:szCs w:val="22"/>
          <w:lang w:eastAsia="en-US"/>
        </w:rPr>
      </w:pPr>
    </w:p>
    <w:p w14:paraId="4B16D7D5" w14:textId="12FC6A1C" w:rsidR="0049393E" w:rsidRDefault="0049393E">
      <w:pPr>
        <w:rPr>
          <w:rFonts w:eastAsia="Times New Roman" w:cs="Arial"/>
          <w:szCs w:val="22"/>
          <w:lang w:eastAsia="en-US"/>
        </w:rPr>
      </w:pPr>
    </w:p>
    <w:p w14:paraId="787F6339" w14:textId="67FBB668" w:rsidR="0049393E" w:rsidRDefault="0049393E">
      <w:pPr>
        <w:rPr>
          <w:rFonts w:eastAsia="Times New Roman" w:cs="Arial"/>
          <w:szCs w:val="22"/>
          <w:lang w:eastAsia="en-US"/>
        </w:rPr>
      </w:pPr>
    </w:p>
    <w:p w14:paraId="3E9195B7" w14:textId="4D355561" w:rsidR="0049393E" w:rsidRDefault="0049393E">
      <w:pPr>
        <w:rPr>
          <w:rFonts w:eastAsia="Times New Roman" w:cs="Arial"/>
          <w:szCs w:val="22"/>
          <w:lang w:eastAsia="en-US"/>
        </w:rPr>
      </w:pPr>
    </w:p>
    <w:p w14:paraId="121959CF" w14:textId="7874E047" w:rsidR="0049393E" w:rsidRDefault="0049393E">
      <w:pPr>
        <w:rPr>
          <w:rFonts w:eastAsia="Times New Roman" w:cs="Arial"/>
          <w:szCs w:val="22"/>
          <w:lang w:eastAsia="en-US"/>
        </w:rPr>
      </w:pPr>
    </w:p>
    <w:p w14:paraId="36CCEB32" w14:textId="225909BA" w:rsidR="0049393E" w:rsidRDefault="0049393E">
      <w:pPr>
        <w:rPr>
          <w:rFonts w:eastAsia="Times New Roman" w:cs="Arial"/>
          <w:szCs w:val="22"/>
          <w:lang w:eastAsia="en-US"/>
        </w:rPr>
      </w:pPr>
    </w:p>
    <w:p w14:paraId="4CD6E036" w14:textId="7E9D44EA" w:rsidR="0049393E" w:rsidRDefault="0049393E">
      <w:pPr>
        <w:rPr>
          <w:rFonts w:eastAsia="Times New Roman" w:cs="Arial"/>
          <w:szCs w:val="22"/>
          <w:lang w:eastAsia="en-US"/>
        </w:rPr>
      </w:pPr>
    </w:p>
    <w:p w14:paraId="7269B240" w14:textId="3A52CF5A" w:rsidR="0049393E" w:rsidRDefault="0049393E">
      <w:pPr>
        <w:rPr>
          <w:rFonts w:eastAsia="Times New Roman" w:cs="Arial"/>
          <w:szCs w:val="22"/>
          <w:lang w:eastAsia="en-US"/>
        </w:rPr>
      </w:pPr>
    </w:p>
    <w:p w14:paraId="15E97468" w14:textId="2B093139" w:rsidR="0049393E" w:rsidRDefault="0049393E">
      <w:pPr>
        <w:rPr>
          <w:rFonts w:eastAsia="Times New Roman" w:cs="Arial"/>
          <w:szCs w:val="22"/>
          <w:lang w:eastAsia="en-US"/>
        </w:rPr>
      </w:pPr>
    </w:p>
    <w:p w14:paraId="1AB21B12" w14:textId="52083BAE" w:rsidR="0049393E" w:rsidRDefault="0049393E">
      <w:pPr>
        <w:rPr>
          <w:rFonts w:eastAsia="Times New Roman" w:cs="Arial"/>
          <w:szCs w:val="22"/>
          <w:lang w:eastAsia="en-US"/>
        </w:rPr>
      </w:pPr>
    </w:p>
    <w:p w14:paraId="20E670BB" w14:textId="6A4EDB4A" w:rsidR="0049393E" w:rsidRDefault="0049393E">
      <w:pPr>
        <w:rPr>
          <w:rFonts w:eastAsia="Times New Roman" w:cs="Arial"/>
          <w:szCs w:val="22"/>
          <w:lang w:eastAsia="en-US"/>
        </w:rPr>
      </w:pPr>
    </w:p>
    <w:p w14:paraId="6E3FA003" w14:textId="40260427" w:rsidR="0049393E" w:rsidRDefault="0049393E">
      <w:pPr>
        <w:rPr>
          <w:rFonts w:eastAsia="Times New Roman" w:cs="Arial"/>
          <w:szCs w:val="22"/>
          <w:lang w:eastAsia="en-US"/>
        </w:rPr>
      </w:pPr>
    </w:p>
    <w:p w14:paraId="0D7A2B68" w14:textId="3F798520" w:rsidR="0049393E" w:rsidRDefault="0049393E">
      <w:pPr>
        <w:rPr>
          <w:rFonts w:eastAsia="Times New Roman" w:cs="Arial"/>
          <w:szCs w:val="22"/>
          <w:lang w:eastAsia="en-US"/>
        </w:rPr>
      </w:pPr>
    </w:p>
    <w:p w14:paraId="33F4E1DC" w14:textId="522BA5E7" w:rsidR="0049393E" w:rsidRDefault="0049393E">
      <w:pPr>
        <w:rPr>
          <w:rFonts w:eastAsia="Times New Roman" w:cs="Arial"/>
          <w:szCs w:val="22"/>
          <w:lang w:eastAsia="en-US"/>
        </w:rPr>
      </w:pPr>
    </w:p>
    <w:p w14:paraId="6F885F63" w14:textId="6ACD0D80" w:rsidR="0049393E" w:rsidRDefault="0049393E">
      <w:pPr>
        <w:rPr>
          <w:rFonts w:eastAsia="Times New Roman" w:cs="Arial"/>
          <w:szCs w:val="22"/>
          <w:lang w:eastAsia="en-US"/>
        </w:rPr>
      </w:pPr>
    </w:p>
    <w:p w14:paraId="578BE767" w14:textId="3D697264" w:rsidR="0049393E" w:rsidRDefault="0049393E">
      <w:pPr>
        <w:rPr>
          <w:rFonts w:eastAsia="Times New Roman" w:cs="Arial"/>
          <w:szCs w:val="22"/>
          <w:lang w:eastAsia="en-US"/>
        </w:rPr>
      </w:pPr>
    </w:p>
    <w:p w14:paraId="11562B31" w14:textId="19B5C303" w:rsidR="0049393E" w:rsidRDefault="0049393E">
      <w:pPr>
        <w:rPr>
          <w:rFonts w:eastAsia="Times New Roman" w:cs="Arial"/>
          <w:szCs w:val="22"/>
          <w:lang w:eastAsia="en-US"/>
        </w:rPr>
      </w:pPr>
    </w:p>
    <w:p w14:paraId="6D071132" w14:textId="31476979" w:rsidR="0049393E" w:rsidRDefault="0049393E">
      <w:pPr>
        <w:rPr>
          <w:rFonts w:eastAsia="Times New Roman" w:cs="Arial"/>
          <w:szCs w:val="22"/>
          <w:lang w:eastAsia="en-US"/>
        </w:rPr>
      </w:pPr>
    </w:p>
    <w:p w14:paraId="1BA617A8" w14:textId="0C2A3F48" w:rsidR="0049393E" w:rsidRDefault="0049393E">
      <w:pPr>
        <w:rPr>
          <w:rFonts w:eastAsia="Times New Roman" w:cs="Arial"/>
          <w:szCs w:val="22"/>
          <w:lang w:eastAsia="en-US"/>
        </w:rPr>
      </w:pPr>
    </w:p>
    <w:p w14:paraId="4BCA6953" w14:textId="7CEE8F09" w:rsidR="0049393E" w:rsidRDefault="0049393E">
      <w:pPr>
        <w:rPr>
          <w:rFonts w:eastAsia="Times New Roman" w:cs="Arial"/>
          <w:szCs w:val="22"/>
          <w:lang w:eastAsia="en-US"/>
        </w:rPr>
      </w:pPr>
    </w:p>
    <w:p w14:paraId="66F24653" w14:textId="24F30611" w:rsidR="0049393E" w:rsidRDefault="0049393E">
      <w:pPr>
        <w:rPr>
          <w:rFonts w:eastAsia="Times New Roman" w:cs="Arial"/>
          <w:szCs w:val="22"/>
          <w:lang w:eastAsia="en-US"/>
        </w:rPr>
      </w:pPr>
    </w:p>
    <w:p w14:paraId="1A3C864E" w14:textId="01C218D6" w:rsidR="0049393E" w:rsidRDefault="0049393E">
      <w:pPr>
        <w:rPr>
          <w:rFonts w:eastAsia="Times New Roman" w:cs="Arial"/>
          <w:szCs w:val="22"/>
          <w:lang w:eastAsia="en-US"/>
        </w:rPr>
      </w:pPr>
    </w:p>
    <w:p w14:paraId="0E3F6BE0" w14:textId="3BC06919" w:rsidR="0049393E" w:rsidRDefault="0049393E">
      <w:pPr>
        <w:rPr>
          <w:rFonts w:eastAsia="Times New Roman" w:cs="Arial"/>
          <w:szCs w:val="22"/>
          <w:lang w:eastAsia="en-US"/>
        </w:rPr>
      </w:pPr>
    </w:p>
    <w:p w14:paraId="5F8CB587" w14:textId="14F7D8C2" w:rsidR="0049393E" w:rsidRDefault="0049393E">
      <w:pPr>
        <w:rPr>
          <w:rFonts w:eastAsia="Times New Roman" w:cs="Arial"/>
          <w:szCs w:val="22"/>
          <w:lang w:eastAsia="en-US"/>
        </w:rPr>
      </w:pPr>
    </w:p>
    <w:p w14:paraId="03435782" w14:textId="6B56DA01" w:rsidR="0049393E" w:rsidRDefault="0049393E">
      <w:pPr>
        <w:rPr>
          <w:rFonts w:eastAsia="Times New Roman" w:cs="Arial"/>
          <w:szCs w:val="22"/>
          <w:lang w:eastAsia="en-US"/>
        </w:rPr>
      </w:pPr>
    </w:p>
    <w:p w14:paraId="7DF658B6" w14:textId="14B99740" w:rsidR="0049393E" w:rsidRDefault="0049393E">
      <w:pPr>
        <w:rPr>
          <w:rFonts w:eastAsia="Times New Roman" w:cs="Arial"/>
          <w:szCs w:val="22"/>
          <w:lang w:eastAsia="en-US"/>
        </w:rPr>
      </w:pPr>
    </w:p>
    <w:p w14:paraId="2EEC396F" w14:textId="77777777" w:rsidR="000B589B" w:rsidRDefault="000B589B">
      <w:pPr>
        <w:rPr>
          <w:rFonts w:eastAsia="Times New Roman" w:cs="Arial"/>
          <w:szCs w:val="22"/>
          <w:lang w:eastAsia="en-US"/>
        </w:rPr>
      </w:pPr>
    </w:p>
    <w:p w14:paraId="0CA2EF69" w14:textId="77777777" w:rsidR="0049393E" w:rsidRPr="0049393E" w:rsidRDefault="0049393E">
      <w:pPr>
        <w:rPr>
          <w:rFonts w:eastAsia="Times New Roman" w:cs="Arial"/>
          <w:szCs w:val="22"/>
          <w:lang w:eastAsia="en-US"/>
        </w:rPr>
      </w:pPr>
    </w:p>
    <w:p w14:paraId="375BD8C9" w14:textId="77777777" w:rsidR="0049393E" w:rsidRPr="00913679" w:rsidRDefault="0049393E">
      <w:pPr>
        <w:rPr>
          <w:rFonts w:eastAsia="Times New Roman" w:cs="Arial"/>
          <w:b/>
          <w:szCs w:val="22"/>
          <w:lang w:eastAsia="en-US"/>
        </w:r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r w:rsidR="00E33C8F">
        <w:rPr>
          <w:rFonts w:eastAsia="Times New Roman"/>
          <w:b/>
          <w:szCs w:val="22"/>
          <w:lang w:eastAsia="en-US"/>
        </w:rPr>
        <w:t>S</w:t>
      </w:r>
    </w:p>
    <w:p w14:paraId="418FC45B" w14:textId="77777777" w:rsidR="0049393E" w:rsidRPr="006962C8" w:rsidRDefault="0049393E" w:rsidP="0049393E">
      <w:pPr>
        <w:keepNext/>
        <w:numPr>
          <w:ilvl w:val="0"/>
          <w:numId w:val="44"/>
        </w:numPr>
        <w:tabs>
          <w:tab w:val="clear" w:pos="720"/>
        </w:tabs>
        <w:spacing w:after="120"/>
        <w:jc w:val="both"/>
        <w:outlineLvl w:val="0"/>
        <w:rPr>
          <w:rFonts w:eastAsia="STZhongsong"/>
          <w:b/>
          <w:caps/>
          <w:sz w:val="24"/>
        </w:rPr>
      </w:pPr>
      <w:bookmarkStart w:id="109" w:name="_Toc368573027"/>
      <w:bookmarkStart w:id="110" w:name="_Toc38349507"/>
      <w:bookmarkStart w:id="111" w:name="_Toc444688624"/>
      <w:r w:rsidRPr="006962C8">
        <w:rPr>
          <w:rFonts w:eastAsia="STZhongsong"/>
          <w:b/>
          <w:sz w:val="24"/>
        </w:rPr>
        <w:t>PURPOSE</w:t>
      </w:r>
      <w:bookmarkEnd w:id="109"/>
      <w:bookmarkEnd w:id="110"/>
    </w:p>
    <w:p w14:paraId="436CB817" w14:textId="77777777" w:rsidR="0049393E" w:rsidRPr="006962C8" w:rsidRDefault="0049393E" w:rsidP="0049393E">
      <w:pPr>
        <w:pStyle w:val="Heading2"/>
        <w:numPr>
          <w:ilvl w:val="1"/>
          <w:numId w:val="43"/>
        </w:numPr>
        <w:tabs>
          <w:tab w:val="num" w:pos="720"/>
        </w:tabs>
        <w:ind w:left="720" w:hanging="720"/>
        <w:rPr>
          <w:rFonts w:cs="Arial"/>
          <w:sz w:val="24"/>
          <w:szCs w:val="24"/>
        </w:rPr>
      </w:pPr>
      <w:bookmarkStart w:id="112" w:name="_Toc296415791"/>
      <w:r w:rsidRPr="006962C8">
        <w:rPr>
          <w:rFonts w:cs="Arial"/>
          <w:sz w:val="24"/>
          <w:szCs w:val="24"/>
        </w:rPr>
        <w:t xml:space="preserve">UK Government Investments Limited (UKGI) requires </w:t>
      </w:r>
      <w:r>
        <w:rPr>
          <w:rFonts w:cs="Arial"/>
          <w:sz w:val="24"/>
          <w:szCs w:val="24"/>
        </w:rPr>
        <w:t xml:space="preserve">Credit Benchmark data with respect private bank ratings </w:t>
      </w:r>
      <w:r w:rsidRPr="006962C8">
        <w:rPr>
          <w:rFonts w:cs="Arial"/>
          <w:sz w:val="24"/>
          <w:szCs w:val="24"/>
        </w:rPr>
        <w:t>to help with Her Majesty’s Government (HMG) Covid-19 related business support programmes.</w:t>
      </w:r>
    </w:p>
    <w:p w14:paraId="3CDF2CD0" w14:textId="77777777" w:rsidR="0049393E" w:rsidRPr="006962C8" w:rsidRDefault="0049393E" w:rsidP="0049393E">
      <w:pPr>
        <w:keepNext/>
        <w:numPr>
          <w:ilvl w:val="0"/>
          <w:numId w:val="44"/>
        </w:numPr>
        <w:tabs>
          <w:tab w:val="clear" w:pos="720"/>
        </w:tabs>
        <w:spacing w:after="120"/>
        <w:jc w:val="both"/>
        <w:outlineLvl w:val="0"/>
        <w:rPr>
          <w:rFonts w:eastAsia="STZhongsong"/>
          <w:b/>
          <w:caps/>
          <w:sz w:val="24"/>
        </w:rPr>
      </w:pPr>
      <w:bookmarkStart w:id="113" w:name="_Toc368573028"/>
      <w:bookmarkStart w:id="114" w:name="_Toc38349508"/>
      <w:bookmarkStart w:id="115" w:name="_Toc297554773"/>
      <w:bookmarkStart w:id="116" w:name="_Toc296415805"/>
      <w:bookmarkStart w:id="117" w:name="_Toc296415793"/>
      <w:bookmarkEnd w:id="112"/>
      <w:r w:rsidRPr="006962C8">
        <w:rPr>
          <w:rFonts w:eastAsia="STZhongsong"/>
          <w:b/>
          <w:sz w:val="24"/>
        </w:rPr>
        <w:t>BACKGROUND</w:t>
      </w:r>
      <w:r w:rsidRPr="006962C8">
        <w:rPr>
          <w:rFonts w:eastAsia="STZhongsong"/>
          <w:b/>
          <w:caps/>
          <w:sz w:val="24"/>
        </w:rPr>
        <w:t xml:space="preserve"> TO THE CONTRACTING aUTHORITY</w:t>
      </w:r>
      <w:bookmarkEnd w:id="113"/>
      <w:bookmarkEnd w:id="114"/>
    </w:p>
    <w:p w14:paraId="58C6F4F6" w14:textId="77777777" w:rsidR="0049393E" w:rsidRPr="006962C8" w:rsidRDefault="0049393E" w:rsidP="0049393E">
      <w:pPr>
        <w:keepNext/>
        <w:numPr>
          <w:ilvl w:val="1"/>
          <w:numId w:val="44"/>
        </w:numPr>
        <w:spacing w:after="120"/>
        <w:jc w:val="both"/>
        <w:outlineLvl w:val="0"/>
        <w:rPr>
          <w:rFonts w:eastAsia="STZhongsong"/>
          <w:b/>
          <w:caps/>
          <w:sz w:val="24"/>
        </w:rPr>
      </w:pPr>
      <w:r w:rsidRPr="006962C8">
        <w:rPr>
          <w:rFonts w:eastAsia="STZhongsong"/>
          <w:sz w:val="24"/>
        </w:rPr>
        <w:t>UKGI, referred to as the Authority within this Annex 1 and referred to as the Customer in the remainder of this Call Off Contract, is the Government’s centre of excellence in corporate finance and corporate governance; as such, UKGI acts on behalf of and provides advice to various parts of HMG.</w:t>
      </w:r>
    </w:p>
    <w:p w14:paraId="63B0738E" w14:textId="77777777" w:rsidR="0049393E" w:rsidRPr="006962C8" w:rsidRDefault="0049393E" w:rsidP="0049393E">
      <w:pPr>
        <w:keepNext/>
        <w:numPr>
          <w:ilvl w:val="0"/>
          <w:numId w:val="44"/>
        </w:numPr>
        <w:tabs>
          <w:tab w:val="clear" w:pos="720"/>
        </w:tabs>
        <w:spacing w:after="120"/>
        <w:jc w:val="both"/>
        <w:outlineLvl w:val="0"/>
        <w:rPr>
          <w:rFonts w:eastAsia="STZhongsong"/>
          <w:b/>
          <w:caps/>
          <w:sz w:val="24"/>
        </w:rPr>
      </w:pPr>
      <w:bookmarkStart w:id="118" w:name="_Toc368573029"/>
      <w:bookmarkStart w:id="119" w:name="_Toc38349509"/>
      <w:r w:rsidRPr="006962C8">
        <w:rPr>
          <w:rFonts w:eastAsia="STZhongsong"/>
          <w:b/>
          <w:sz w:val="24"/>
        </w:rPr>
        <w:t>BACKGROUND</w:t>
      </w:r>
      <w:r w:rsidRPr="006962C8">
        <w:rPr>
          <w:rFonts w:eastAsia="STZhongsong"/>
          <w:b/>
          <w:caps/>
          <w:sz w:val="24"/>
        </w:rPr>
        <w:t xml:space="preserve"> to requirement/OVERVIEW</w:t>
      </w:r>
      <w:bookmarkEnd w:id="115"/>
      <w:r w:rsidRPr="006962C8">
        <w:rPr>
          <w:rFonts w:eastAsia="STZhongsong"/>
          <w:b/>
          <w:caps/>
          <w:sz w:val="24"/>
        </w:rPr>
        <w:t xml:space="preserve"> of requirement</w:t>
      </w:r>
      <w:bookmarkEnd w:id="118"/>
      <w:bookmarkEnd w:id="119"/>
    </w:p>
    <w:p w14:paraId="034E07E6" w14:textId="77777777" w:rsidR="0049393E" w:rsidRPr="006962C8" w:rsidRDefault="0049393E" w:rsidP="0049393E">
      <w:pPr>
        <w:keepNext/>
        <w:numPr>
          <w:ilvl w:val="1"/>
          <w:numId w:val="44"/>
        </w:numPr>
        <w:spacing w:after="120"/>
        <w:jc w:val="both"/>
        <w:outlineLvl w:val="0"/>
        <w:rPr>
          <w:color w:val="1E1E1E"/>
          <w:sz w:val="24"/>
          <w:lang w:eastAsia="en-GB"/>
        </w:rPr>
      </w:pPr>
      <w:bookmarkStart w:id="120" w:name="_Toc297554774"/>
      <w:bookmarkEnd w:id="116"/>
      <w:r w:rsidRPr="006962C8">
        <w:rPr>
          <w:color w:val="1E1E1E"/>
          <w:sz w:val="24"/>
          <w:lang w:eastAsia="en-GB"/>
        </w:rPr>
        <w:t xml:space="preserve">On March 17, 2020, HM Treasury announced a number of measures designed to support businesses. The </w:t>
      </w:r>
      <w:r w:rsidRPr="006962C8">
        <w:rPr>
          <w:sz w:val="24"/>
          <w:shd w:val="clear" w:color="auto" w:fill="FFFFFF"/>
        </w:rPr>
        <w:t>Chancellor</w:t>
      </w:r>
      <w:r w:rsidRPr="006962C8">
        <w:rPr>
          <w:color w:val="1E1E1E"/>
          <w:sz w:val="24"/>
          <w:lang w:eastAsia="en-GB"/>
        </w:rPr>
        <w:t xml:space="preserve"> set out a package of temporary, timely and targeted measures to support public services, people and businesses through this period of disruption caused by Covid-19.</w:t>
      </w:r>
    </w:p>
    <w:p w14:paraId="6391B8F3" w14:textId="77777777" w:rsidR="0049393E" w:rsidRPr="006962C8" w:rsidRDefault="0049393E" w:rsidP="0049393E">
      <w:pPr>
        <w:keepNext/>
        <w:numPr>
          <w:ilvl w:val="1"/>
          <w:numId w:val="44"/>
        </w:numPr>
        <w:spacing w:after="120"/>
        <w:jc w:val="both"/>
        <w:outlineLvl w:val="0"/>
        <w:rPr>
          <w:color w:val="1E1E1E"/>
          <w:sz w:val="24"/>
          <w:lang w:eastAsia="en-GB"/>
        </w:rPr>
      </w:pPr>
      <w:r w:rsidRPr="006962C8">
        <w:rPr>
          <w:color w:val="1E1E1E"/>
          <w:sz w:val="24"/>
          <w:lang w:eastAsia="en-GB"/>
        </w:rPr>
        <w:t xml:space="preserve">One of the major measures announced was the joint HM Treasury and Bank of England (BoE) lending facility, named the Covid Corporate Financing Facility (CCFF). The facility is designed to support liquidity among larger firms, helping them to bridge coronavirus disruption to their cash flows through the purchase of short-term debt in the form of commercial paper. At a summary level, there is no requirement to have previously issued Commercial Paper </w:t>
      </w:r>
      <w:r>
        <w:rPr>
          <w:color w:val="1E1E1E"/>
          <w:sz w:val="24"/>
          <w:lang w:eastAsia="en-GB"/>
        </w:rPr>
        <w:t>t</w:t>
      </w:r>
      <w:r w:rsidRPr="006962C8">
        <w:rPr>
          <w:color w:val="1E1E1E"/>
          <w:sz w:val="24"/>
          <w:lang w:eastAsia="en-GB"/>
        </w:rPr>
        <w:t>o be eligible for the scheme, applicants currently need to:</w:t>
      </w:r>
    </w:p>
    <w:p w14:paraId="68713D89" w14:textId="77777777" w:rsidR="0049393E" w:rsidRPr="006962C8" w:rsidRDefault="0049393E" w:rsidP="0049393E">
      <w:pPr>
        <w:numPr>
          <w:ilvl w:val="0"/>
          <w:numId w:val="45"/>
        </w:numPr>
        <w:shd w:val="clear" w:color="auto" w:fill="FFFFFE"/>
        <w:spacing w:after="45"/>
        <w:jc w:val="both"/>
        <w:rPr>
          <w:color w:val="1E1E1E"/>
          <w:sz w:val="24"/>
          <w:lang w:eastAsia="en-GB"/>
        </w:rPr>
      </w:pPr>
      <w:r w:rsidRPr="006962C8">
        <w:rPr>
          <w:color w:val="1E1E1E"/>
          <w:sz w:val="24"/>
          <w:lang w:eastAsia="en-GB"/>
        </w:rPr>
        <w:t>Make a material UK contribution</w:t>
      </w:r>
      <w:r>
        <w:rPr>
          <w:color w:val="1E1E1E"/>
          <w:sz w:val="24"/>
          <w:lang w:eastAsia="en-GB"/>
        </w:rPr>
        <w:t>;</w:t>
      </w:r>
    </w:p>
    <w:p w14:paraId="5B5299E5" w14:textId="77777777" w:rsidR="0049393E" w:rsidRPr="006962C8" w:rsidRDefault="0049393E" w:rsidP="0049393E">
      <w:pPr>
        <w:numPr>
          <w:ilvl w:val="0"/>
          <w:numId w:val="45"/>
        </w:numPr>
        <w:shd w:val="clear" w:color="auto" w:fill="FFFFFE"/>
        <w:spacing w:after="45"/>
        <w:jc w:val="both"/>
        <w:rPr>
          <w:color w:val="1E1E1E"/>
          <w:sz w:val="24"/>
          <w:lang w:eastAsia="en-GB"/>
        </w:rPr>
      </w:pPr>
      <w:r w:rsidRPr="006962C8">
        <w:rPr>
          <w:color w:val="1E1E1E"/>
          <w:sz w:val="24"/>
          <w:lang w:eastAsia="en-GB"/>
        </w:rPr>
        <w:t>Be investment grade rated (or equivalent) as at 1 March 2020 (supplemented by ongoing credit quality review)</w:t>
      </w:r>
      <w:r>
        <w:rPr>
          <w:color w:val="1E1E1E"/>
          <w:sz w:val="24"/>
          <w:lang w:eastAsia="en-GB"/>
        </w:rPr>
        <w:t>;</w:t>
      </w:r>
    </w:p>
    <w:p w14:paraId="0AE6B9F7" w14:textId="77777777" w:rsidR="0049393E" w:rsidRPr="006962C8" w:rsidRDefault="0049393E" w:rsidP="0049393E">
      <w:pPr>
        <w:numPr>
          <w:ilvl w:val="0"/>
          <w:numId w:val="45"/>
        </w:numPr>
        <w:shd w:val="clear" w:color="auto" w:fill="FFFFFE"/>
        <w:spacing w:after="45"/>
        <w:jc w:val="both"/>
        <w:rPr>
          <w:sz w:val="24"/>
          <w:lang w:eastAsia="en-GB"/>
        </w:rPr>
      </w:pPr>
      <w:r w:rsidRPr="006962C8">
        <w:rPr>
          <w:color w:val="1E1E1E"/>
          <w:sz w:val="24"/>
          <w:lang w:eastAsia="en-GB"/>
        </w:rPr>
        <w:t>Not</w:t>
      </w:r>
      <w:r w:rsidRPr="006962C8">
        <w:rPr>
          <w:sz w:val="24"/>
          <w:lang w:eastAsia="en-GB"/>
        </w:rPr>
        <w:t xml:space="preserve"> be PRA- or FCA-regulated</w:t>
      </w:r>
      <w:r>
        <w:rPr>
          <w:sz w:val="24"/>
          <w:lang w:eastAsia="en-GB"/>
        </w:rPr>
        <w:t>;</w:t>
      </w:r>
    </w:p>
    <w:p w14:paraId="5078EF0E" w14:textId="77777777" w:rsidR="0049393E" w:rsidRPr="006962C8" w:rsidRDefault="0049393E" w:rsidP="0049393E">
      <w:pPr>
        <w:numPr>
          <w:ilvl w:val="0"/>
          <w:numId w:val="45"/>
        </w:numPr>
        <w:shd w:val="clear" w:color="auto" w:fill="FFFFFE"/>
        <w:spacing w:after="45"/>
        <w:jc w:val="both"/>
        <w:rPr>
          <w:color w:val="1E1E1E"/>
          <w:sz w:val="24"/>
          <w:lang w:eastAsia="en-GB"/>
        </w:rPr>
      </w:pPr>
      <w:r w:rsidRPr="006962C8">
        <w:rPr>
          <w:color w:val="1E1E1E"/>
          <w:sz w:val="24"/>
          <w:lang w:eastAsia="en-GB"/>
        </w:rPr>
        <w:t>Not be a public undertaking</w:t>
      </w:r>
      <w:r>
        <w:rPr>
          <w:color w:val="1E1E1E"/>
          <w:sz w:val="24"/>
          <w:lang w:eastAsia="en-GB"/>
        </w:rPr>
        <w:t>; and</w:t>
      </w:r>
    </w:p>
    <w:p w14:paraId="4A77BA03" w14:textId="77777777" w:rsidR="0049393E" w:rsidRPr="00142A55" w:rsidRDefault="0049393E" w:rsidP="0049393E">
      <w:pPr>
        <w:numPr>
          <w:ilvl w:val="0"/>
          <w:numId w:val="45"/>
        </w:numPr>
        <w:shd w:val="clear" w:color="auto" w:fill="FFFFFE"/>
        <w:spacing w:after="45"/>
        <w:jc w:val="both"/>
        <w:rPr>
          <w:color w:val="1E1E1E"/>
          <w:sz w:val="24"/>
          <w:lang w:eastAsia="en-GB"/>
        </w:rPr>
      </w:pPr>
      <w:r w:rsidRPr="006962C8">
        <w:rPr>
          <w:color w:val="1E1E1E"/>
          <w:sz w:val="24"/>
          <w:lang w:eastAsia="en-GB"/>
        </w:rPr>
        <w:t>Not be a leveraged investment vehicle</w:t>
      </w:r>
      <w:r>
        <w:rPr>
          <w:color w:val="1E1E1E"/>
          <w:sz w:val="24"/>
          <w:lang w:eastAsia="en-GB"/>
        </w:rPr>
        <w:t>.</w:t>
      </w:r>
    </w:p>
    <w:p w14:paraId="6E27DB54" w14:textId="77777777" w:rsidR="0049393E" w:rsidRPr="006962C8" w:rsidRDefault="0049393E" w:rsidP="0049393E">
      <w:pPr>
        <w:shd w:val="clear" w:color="auto" w:fill="FFFFFE"/>
        <w:spacing w:after="45"/>
        <w:ind w:left="720"/>
        <w:rPr>
          <w:color w:val="1E1E1E"/>
          <w:sz w:val="24"/>
          <w:lang w:eastAsia="en-GB"/>
        </w:rPr>
      </w:pPr>
    </w:p>
    <w:p w14:paraId="0A162858" w14:textId="77777777" w:rsidR="0049393E" w:rsidRPr="00142A55" w:rsidRDefault="0049393E" w:rsidP="0049393E">
      <w:pPr>
        <w:keepNext/>
        <w:numPr>
          <w:ilvl w:val="1"/>
          <w:numId w:val="44"/>
        </w:numPr>
        <w:spacing w:after="120"/>
        <w:jc w:val="both"/>
        <w:outlineLvl w:val="0"/>
        <w:rPr>
          <w:sz w:val="24"/>
        </w:rPr>
      </w:pPr>
      <w:bookmarkStart w:id="121" w:name="_Hlk55188657"/>
      <w:r w:rsidRPr="006962C8">
        <w:rPr>
          <w:sz w:val="24"/>
          <w:shd w:val="clear" w:color="auto" w:fill="FFFFFF"/>
        </w:rPr>
        <w:t>On 09 October 2020, the BoE and HM Treasury provided an update to the market on the Covid Corporate Financing Facility (CCFF). As part of that update, HM Treasury referenced the ongoing review of credit quality of eligible issuers in the CCFF and provided an update on enhancements to that process.</w:t>
      </w:r>
      <w:r>
        <w:rPr>
          <w:sz w:val="24"/>
          <w:shd w:val="clear" w:color="auto" w:fill="FFFFFF"/>
        </w:rPr>
        <w:t xml:space="preserve"> </w:t>
      </w:r>
      <w:r w:rsidRPr="00142A55">
        <w:rPr>
          <w:bCs/>
          <w:sz w:val="24"/>
        </w:rPr>
        <w:t xml:space="preserve">Previously, firms have only had to provide proof of their eligibility to participate in the scheme when they applied to join. </w:t>
      </w:r>
    </w:p>
    <w:p w14:paraId="0F167124" w14:textId="77777777" w:rsidR="0049393E" w:rsidRPr="009A7128" w:rsidRDefault="0049393E" w:rsidP="0049393E">
      <w:pPr>
        <w:keepNext/>
        <w:numPr>
          <w:ilvl w:val="1"/>
          <w:numId w:val="44"/>
        </w:numPr>
        <w:spacing w:after="120"/>
        <w:jc w:val="both"/>
        <w:outlineLvl w:val="0"/>
        <w:rPr>
          <w:sz w:val="24"/>
        </w:rPr>
      </w:pPr>
      <w:r w:rsidRPr="006962C8">
        <w:rPr>
          <w:sz w:val="24"/>
          <w:shd w:val="clear" w:color="auto" w:fill="FFFFFF"/>
        </w:rPr>
        <w:t>Currently, the BoE is using three different types of credit ratings: public ratings, provided by ratings agencies (such as S&amp;P, Moody’s, Fitch, and DBRS); and private bank ratings which are obtained bilaterally from lending banks and the Credit Benchmarks platform.</w:t>
      </w:r>
      <w:r w:rsidRPr="002C671C">
        <w:rPr>
          <w:sz w:val="24"/>
        </w:rPr>
        <w:t xml:space="preserve"> </w:t>
      </w:r>
      <w:r w:rsidRPr="009A7128">
        <w:rPr>
          <w:sz w:val="24"/>
        </w:rPr>
        <w:t>HMG will accept banks’ internal ratings of corporates to assess credit status.</w:t>
      </w:r>
    </w:p>
    <w:p w14:paraId="6AFF3C41" w14:textId="77777777" w:rsidR="0049393E" w:rsidRPr="009A7128" w:rsidRDefault="0049393E" w:rsidP="0049393E">
      <w:pPr>
        <w:keepNext/>
        <w:numPr>
          <w:ilvl w:val="1"/>
          <w:numId w:val="44"/>
        </w:numPr>
        <w:spacing w:after="120"/>
        <w:jc w:val="both"/>
        <w:outlineLvl w:val="0"/>
        <w:rPr>
          <w:sz w:val="24"/>
        </w:rPr>
      </w:pPr>
      <w:r w:rsidRPr="009A7128">
        <w:rPr>
          <w:sz w:val="24"/>
        </w:rPr>
        <w:t>To be considered as having investment grade status based on banks’ internal ratings, and so deemed eligible for the scheme, firms will ordinarily be required to have at least three investment grade bank ratings and no speculative grade bank ratings as at 1 March 2020. To avoid a single bank’s credit view unduly affecting the overall assessment, the BoE will generally not exclude firms with speculative grade ratings provided the average of bank ratings available is at least BBB/Baa2/BBB/BBB. The BoE will only accept two bank ratings as sufficient proof of investment grade status where both view the firm as strongly investment grade (i.e. BBB+/Baa1/BBB+/BBB(High) or above).</w:t>
      </w:r>
      <w:r>
        <w:rPr>
          <w:sz w:val="24"/>
        </w:rPr>
        <w:t xml:space="preserve"> </w:t>
      </w:r>
      <w:r w:rsidRPr="006962C8">
        <w:rPr>
          <w:bCs/>
          <w:sz w:val="24"/>
        </w:rPr>
        <w:t xml:space="preserve">Going forward, firms are required to provide an up to date credit rating, </w:t>
      </w:r>
      <w:r>
        <w:rPr>
          <w:bCs/>
          <w:sz w:val="24"/>
        </w:rPr>
        <w:t>eight</w:t>
      </w:r>
      <w:r w:rsidRPr="006962C8">
        <w:rPr>
          <w:bCs/>
          <w:sz w:val="24"/>
        </w:rPr>
        <w:t xml:space="preserve"> weeks before they plan to draw down new/additional funding or roll over existing drawn debt.</w:t>
      </w:r>
    </w:p>
    <w:p w14:paraId="5CB78312" w14:textId="77777777" w:rsidR="0049393E" w:rsidRPr="00F60791" w:rsidRDefault="0049393E" w:rsidP="0049393E">
      <w:pPr>
        <w:keepNext/>
        <w:numPr>
          <w:ilvl w:val="1"/>
          <w:numId w:val="44"/>
        </w:numPr>
        <w:spacing w:after="120"/>
        <w:jc w:val="both"/>
        <w:outlineLvl w:val="0"/>
        <w:rPr>
          <w:sz w:val="24"/>
        </w:rPr>
      </w:pPr>
      <w:r>
        <w:rPr>
          <w:sz w:val="24"/>
          <w:shd w:val="clear" w:color="auto" w:fill="FFFFFF"/>
        </w:rPr>
        <w:t>P</w:t>
      </w:r>
      <w:r w:rsidRPr="009A7128">
        <w:rPr>
          <w:sz w:val="24"/>
          <w:shd w:val="clear" w:color="auto" w:fill="FFFFFF"/>
        </w:rPr>
        <w:t xml:space="preserve">rivate bank ratings are not available via public sources. </w:t>
      </w:r>
      <w:r w:rsidRPr="009A7128">
        <w:rPr>
          <w:sz w:val="24"/>
        </w:rPr>
        <w:t>For this purpose, Credit Benchmark has provided a credit assessment file to the BoE, which consolidates in aggregate form the corporate credit estimates of a number of the largest UK banks</w:t>
      </w:r>
      <w:r>
        <w:rPr>
          <w:sz w:val="24"/>
        </w:rPr>
        <w:t xml:space="preserve"> </w:t>
      </w:r>
      <w:r w:rsidRPr="009A7128">
        <w:rPr>
          <w:sz w:val="24"/>
          <w:shd w:val="clear" w:color="auto" w:fill="FFFFFF"/>
        </w:rPr>
        <w:t>into an anonymous index</w:t>
      </w:r>
      <w:r w:rsidRPr="009A7128">
        <w:rPr>
          <w:color w:val="000000" w:themeColor="text1"/>
          <w:kern w:val="24"/>
          <w:sz w:val="24"/>
        </w:rPr>
        <w:t xml:space="preserve">. </w:t>
      </w:r>
    </w:p>
    <w:p w14:paraId="072C3451" w14:textId="77777777" w:rsidR="0049393E" w:rsidRPr="009A7128" w:rsidRDefault="0049393E" w:rsidP="0049393E">
      <w:pPr>
        <w:keepNext/>
        <w:numPr>
          <w:ilvl w:val="1"/>
          <w:numId w:val="44"/>
        </w:numPr>
        <w:spacing w:after="120"/>
        <w:jc w:val="both"/>
        <w:outlineLvl w:val="0"/>
        <w:rPr>
          <w:sz w:val="24"/>
        </w:rPr>
      </w:pPr>
      <w:r>
        <w:rPr>
          <w:color w:val="000000" w:themeColor="text1"/>
          <w:kern w:val="24"/>
          <w:sz w:val="24"/>
        </w:rPr>
        <w:t>Banks</w:t>
      </w:r>
      <w:r w:rsidRPr="009A7128">
        <w:rPr>
          <w:color w:val="000000" w:themeColor="text1"/>
          <w:kern w:val="24"/>
          <w:sz w:val="24"/>
        </w:rPr>
        <w:t xml:space="preserve"> provide </w:t>
      </w:r>
      <w:r>
        <w:rPr>
          <w:color w:val="000000" w:themeColor="text1"/>
          <w:kern w:val="24"/>
          <w:sz w:val="24"/>
        </w:rPr>
        <w:t xml:space="preserve">Credit Benchmark with </w:t>
      </w:r>
      <w:r w:rsidRPr="009A7128">
        <w:rPr>
          <w:color w:val="000000" w:themeColor="text1"/>
          <w:kern w:val="24"/>
          <w:sz w:val="24"/>
        </w:rPr>
        <w:t xml:space="preserve">1-year forward looking through-the- cycle Probability of Default (“PD”) estimates. </w:t>
      </w:r>
      <w:r>
        <w:rPr>
          <w:color w:val="000000" w:themeColor="text1"/>
          <w:kern w:val="24"/>
          <w:sz w:val="24"/>
        </w:rPr>
        <w:t>Banks</w:t>
      </w:r>
      <w:r w:rsidRPr="009A7128">
        <w:rPr>
          <w:color w:val="000000" w:themeColor="text1"/>
          <w:kern w:val="24"/>
          <w:sz w:val="24"/>
        </w:rPr>
        <w:t xml:space="preserve"> contribute their estimates on a monthly basis, including historical observations back to May 2015. These are aggregated and anonymised.  Where there are at least 3 separate banks providing estimates for the same entity simple average PD is calculated. Average PD estimates are then mapped to a 21</w:t>
      </w:r>
      <w:r>
        <w:rPr>
          <w:color w:val="000000" w:themeColor="text1"/>
          <w:kern w:val="24"/>
          <w:sz w:val="24"/>
        </w:rPr>
        <w:t>-</w:t>
      </w:r>
      <w:r w:rsidRPr="009A7128">
        <w:rPr>
          <w:color w:val="000000" w:themeColor="text1"/>
          <w:kern w:val="24"/>
          <w:sz w:val="24"/>
        </w:rPr>
        <w:t>category scale that results in the Credit Benchmark Consensus.</w:t>
      </w:r>
    </w:p>
    <w:p w14:paraId="45DFB4AF" w14:textId="77777777" w:rsidR="0049393E" w:rsidRPr="006962C8" w:rsidRDefault="0049393E" w:rsidP="0049393E">
      <w:pPr>
        <w:keepNext/>
        <w:numPr>
          <w:ilvl w:val="1"/>
          <w:numId w:val="44"/>
        </w:numPr>
        <w:spacing w:after="120"/>
        <w:jc w:val="both"/>
        <w:outlineLvl w:val="0"/>
        <w:rPr>
          <w:sz w:val="24"/>
        </w:rPr>
      </w:pPr>
      <w:r w:rsidRPr="006962C8">
        <w:rPr>
          <w:sz w:val="24"/>
        </w:rPr>
        <w:t>Credit Benchmark was initially approach</w:t>
      </w:r>
      <w:r>
        <w:rPr>
          <w:sz w:val="24"/>
        </w:rPr>
        <w:t>ed</w:t>
      </w:r>
      <w:r w:rsidRPr="006962C8">
        <w:rPr>
          <w:sz w:val="24"/>
        </w:rPr>
        <w:t xml:space="preserve"> by the BoE to provide data to help with the CCFF at the beginning of the </w:t>
      </w:r>
      <w:r>
        <w:rPr>
          <w:sz w:val="24"/>
        </w:rPr>
        <w:t>p</w:t>
      </w:r>
      <w:r w:rsidRPr="006962C8">
        <w:rPr>
          <w:sz w:val="24"/>
        </w:rPr>
        <w:t xml:space="preserve">andemic in March 2020. A number of flat files were delivered, with both publishable data and underlying individual bank contributions, focusing on </w:t>
      </w:r>
      <w:r>
        <w:rPr>
          <w:sz w:val="24"/>
        </w:rPr>
        <w:t xml:space="preserve">pre-Covid </w:t>
      </w:r>
      <w:r w:rsidRPr="006962C8">
        <w:rPr>
          <w:sz w:val="24"/>
        </w:rPr>
        <w:t xml:space="preserve">data up until January 2020. This data was used as one input to the process to assess whether companies were eligible to enter into the CCFF scheme. </w:t>
      </w:r>
    </w:p>
    <w:p w14:paraId="32236C53" w14:textId="77777777" w:rsidR="0049393E" w:rsidRPr="006962C8" w:rsidRDefault="0049393E" w:rsidP="0049393E">
      <w:pPr>
        <w:keepNext/>
        <w:numPr>
          <w:ilvl w:val="1"/>
          <w:numId w:val="44"/>
        </w:numPr>
        <w:spacing w:after="120"/>
        <w:jc w:val="both"/>
        <w:outlineLvl w:val="0"/>
        <w:rPr>
          <w:sz w:val="24"/>
        </w:rPr>
      </w:pPr>
      <w:r w:rsidRPr="006962C8">
        <w:rPr>
          <w:sz w:val="24"/>
        </w:rPr>
        <w:t>The BoE is leveraging Credit Benchmark’s Excel Add</w:t>
      </w:r>
      <w:r>
        <w:rPr>
          <w:sz w:val="24"/>
        </w:rPr>
        <w:t>-</w:t>
      </w:r>
      <w:r w:rsidRPr="006962C8">
        <w:rPr>
          <w:sz w:val="24"/>
        </w:rPr>
        <w:t xml:space="preserve">In to pull any data for which </w:t>
      </w:r>
      <w:r>
        <w:rPr>
          <w:sz w:val="24"/>
        </w:rPr>
        <w:t>Credit Benchmark</w:t>
      </w:r>
      <w:r w:rsidRPr="006962C8">
        <w:rPr>
          <w:sz w:val="24"/>
        </w:rPr>
        <w:t xml:space="preserve"> have a published Consensus</w:t>
      </w:r>
      <w:r>
        <w:rPr>
          <w:sz w:val="24"/>
        </w:rPr>
        <w:t xml:space="preserve">. Additional, Credit Benchmark is providing the BoE with bespoke </w:t>
      </w:r>
      <w:r w:rsidRPr="006962C8">
        <w:rPr>
          <w:sz w:val="24"/>
        </w:rPr>
        <w:t xml:space="preserve">underlying/not publishable data available for the subset of the CCFF portfolio where no </w:t>
      </w:r>
      <w:r>
        <w:rPr>
          <w:sz w:val="24"/>
        </w:rPr>
        <w:t>Credit Benchmark</w:t>
      </w:r>
      <w:r w:rsidRPr="006962C8">
        <w:rPr>
          <w:sz w:val="24"/>
        </w:rPr>
        <w:t xml:space="preserve"> Consensus exists.</w:t>
      </w:r>
      <w:r>
        <w:rPr>
          <w:sz w:val="24"/>
        </w:rPr>
        <w:t xml:space="preserve"> Credit Benchmark</w:t>
      </w:r>
      <w:r w:rsidRPr="006962C8">
        <w:rPr>
          <w:sz w:val="24"/>
        </w:rPr>
        <w:t xml:space="preserve"> have</w:t>
      </w:r>
      <w:r>
        <w:rPr>
          <w:sz w:val="24"/>
        </w:rPr>
        <w:t xml:space="preserve"> also</w:t>
      </w:r>
      <w:r w:rsidRPr="006962C8">
        <w:rPr>
          <w:sz w:val="24"/>
        </w:rPr>
        <w:t xml:space="preserve"> been approached by the BoE to provide additional ongoing data to help </w:t>
      </w:r>
      <w:r>
        <w:rPr>
          <w:sz w:val="24"/>
        </w:rPr>
        <w:t>BoE</w:t>
      </w:r>
      <w:r w:rsidRPr="006962C8">
        <w:rPr>
          <w:sz w:val="24"/>
        </w:rPr>
        <w:t xml:space="preserve"> monitor the credit risk of the CCFF portfolio of names on an ongoing basis.</w:t>
      </w:r>
    </w:p>
    <w:p w14:paraId="13FF8253" w14:textId="77777777" w:rsidR="0049393E" w:rsidRPr="00CB7190" w:rsidRDefault="0049393E" w:rsidP="0049393E">
      <w:pPr>
        <w:keepNext/>
        <w:numPr>
          <w:ilvl w:val="1"/>
          <w:numId w:val="44"/>
        </w:numPr>
        <w:spacing w:after="120"/>
        <w:jc w:val="both"/>
        <w:outlineLvl w:val="0"/>
        <w:rPr>
          <w:sz w:val="24"/>
        </w:rPr>
      </w:pPr>
      <w:r w:rsidRPr="00CB7190">
        <w:rPr>
          <w:sz w:val="24"/>
          <w:shd w:val="clear" w:color="auto" w:fill="FFFFFF"/>
        </w:rPr>
        <w:t xml:space="preserve">As part of the recent BoE policy change, understanding the basis of a company’s current credit rating has become mission critical for UKGI’s and its mandate to monitor CCFF assets. As a result, UKGI will need direct access to Credit Benchmark data on equivalent access terms as that of the BoE. It is not proposed that UKGI has </w:t>
      </w:r>
      <w:r w:rsidRPr="00CB7190">
        <w:rPr>
          <w:sz w:val="24"/>
        </w:rPr>
        <w:t>the ability to specify a bespoke flat file for itself – but rather it seeks the exact same cut of the flat file</w:t>
      </w:r>
      <w:r>
        <w:rPr>
          <w:sz w:val="24"/>
        </w:rPr>
        <w:t>s</w:t>
      </w:r>
      <w:r w:rsidRPr="00CB7190">
        <w:rPr>
          <w:sz w:val="24"/>
        </w:rPr>
        <w:t xml:space="preserve"> supplied to BoE.</w:t>
      </w:r>
    </w:p>
    <w:p w14:paraId="4C375948" w14:textId="77777777" w:rsidR="0049393E" w:rsidRPr="006962C8" w:rsidRDefault="0049393E" w:rsidP="0049393E">
      <w:pPr>
        <w:keepNext/>
        <w:numPr>
          <w:ilvl w:val="0"/>
          <w:numId w:val="44"/>
        </w:numPr>
        <w:tabs>
          <w:tab w:val="clear" w:pos="720"/>
        </w:tabs>
        <w:spacing w:after="120"/>
        <w:jc w:val="both"/>
        <w:outlineLvl w:val="0"/>
        <w:rPr>
          <w:rFonts w:eastAsia="STZhongsong"/>
          <w:b/>
          <w:caps/>
          <w:sz w:val="24"/>
        </w:rPr>
      </w:pPr>
      <w:bookmarkStart w:id="122" w:name="_Toc368573030"/>
      <w:bookmarkEnd w:id="121"/>
      <w:r w:rsidRPr="006962C8">
        <w:rPr>
          <w:rFonts w:eastAsia="STZhongsong"/>
          <w:b/>
          <w:sz w:val="24"/>
        </w:rPr>
        <w:t>DEFINITIONS</w:t>
      </w:r>
      <w:r w:rsidRPr="006962C8">
        <w:rPr>
          <w:rFonts w:eastAsia="STZhongsong"/>
          <w:b/>
          <w:caps/>
          <w:sz w:val="24"/>
        </w:rPr>
        <w:t xml:space="preserve"> </w:t>
      </w:r>
    </w:p>
    <w:tbl>
      <w:tblPr>
        <w:tblStyle w:val="TableGrid10"/>
        <w:tblW w:w="0" w:type="auto"/>
        <w:tblInd w:w="720" w:type="dxa"/>
        <w:tblLook w:val="04A0" w:firstRow="1" w:lastRow="0" w:firstColumn="1" w:lastColumn="0" w:noHBand="0" w:noVBand="1"/>
      </w:tblPr>
      <w:tblGrid>
        <w:gridCol w:w="1827"/>
        <w:gridCol w:w="6472"/>
      </w:tblGrid>
      <w:tr w:rsidR="0049393E" w:rsidRPr="006962C8" w14:paraId="0CD0ABFD" w14:textId="77777777" w:rsidTr="000B589B">
        <w:tc>
          <w:tcPr>
            <w:tcW w:w="1827" w:type="dxa"/>
            <w:shd w:val="clear" w:color="auto" w:fill="B8CCE4" w:themeFill="accent1" w:themeFillTint="66"/>
          </w:tcPr>
          <w:p w14:paraId="026902AA" w14:textId="77777777" w:rsidR="0049393E" w:rsidRPr="006962C8" w:rsidRDefault="0049393E" w:rsidP="000B589B">
            <w:pPr>
              <w:spacing w:after="120"/>
              <w:ind w:left="18" w:hanging="18"/>
              <w:outlineLvl w:val="1"/>
              <w:rPr>
                <w:rFonts w:eastAsia="STZhongsong"/>
                <w:sz w:val="24"/>
                <w:highlight w:val="yellow"/>
              </w:rPr>
            </w:pPr>
            <w:r w:rsidRPr="006962C8">
              <w:rPr>
                <w:rFonts w:eastAsia="STZhongsong"/>
                <w:sz w:val="24"/>
              </w:rPr>
              <w:t>Expression or Acronym</w:t>
            </w:r>
          </w:p>
        </w:tc>
        <w:tc>
          <w:tcPr>
            <w:tcW w:w="6472" w:type="dxa"/>
            <w:shd w:val="clear" w:color="auto" w:fill="B8CCE4" w:themeFill="accent1" w:themeFillTint="66"/>
          </w:tcPr>
          <w:p w14:paraId="1197EFA1" w14:textId="77777777" w:rsidR="0049393E" w:rsidRPr="006962C8" w:rsidRDefault="0049393E" w:rsidP="000B589B">
            <w:pPr>
              <w:spacing w:after="120"/>
              <w:ind w:left="720" w:hanging="720"/>
              <w:outlineLvl w:val="1"/>
              <w:rPr>
                <w:rFonts w:eastAsia="STZhongsong"/>
                <w:sz w:val="24"/>
                <w:highlight w:val="yellow"/>
              </w:rPr>
            </w:pPr>
            <w:r w:rsidRPr="006962C8">
              <w:rPr>
                <w:rFonts w:eastAsia="STZhongsong"/>
                <w:sz w:val="24"/>
              </w:rPr>
              <w:t>Definition</w:t>
            </w:r>
          </w:p>
        </w:tc>
      </w:tr>
      <w:tr w:rsidR="0049393E" w:rsidRPr="006962C8" w14:paraId="65B07071" w14:textId="77777777" w:rsidTr="000B589B">
        <w:tc>
          <w:tcPr>
            <w:tcW w:w="1827" w:type="dxa"/>
          </w:tcPr>
          <w:p w14:paraId="3C62D1BE" w14:textId="77777777" w:rsidR="0049393E" w:rsidRPr="006962C8" w:rsidRDefault="0049393E" w:rsidP="000B589B">
            <w:pPr>
              <w:spacing w:after="120"/>
              <w:ind w:left="720" w:hanging="720"/>
              <w:outlineLvl w:val="1"/>
              <w:rPr>
                <w:rFonts w:eastAsia="STZhongsong"/>
                <w:sz w:val="24"/>
                <w:highlight w:val="yellow"/>
              </w:rPr>
            </w:pPr>
            <w:r w:rsidRPr="006962C8">
              <w:rPr>
                <w:rFonts w:eastAsia="STZhongsong"/>
                <w:sz w:val="24"/>
              </w:rPr>
              <w:t>UKGI</w:t>
            </w:r>
          </w:p>
        </w:tc>
        <w:tc>
          <w:tcPr>
            <w:tcW w:w="6472" w:type="dxa"/>
          </w:tcPr>
          <w:p w14:paraId="36152EC8" w14:textId="77777777" w:rsidR="0049393E" w:rsidRPr="006962C8" w:rsidRDefault="0049393E" w:rsidP="000B589B">
            <w:pPr>
              <w:spacing w:after="120"/>
              <w:outlineLvl w:val="1"/>
              <w:rPr>
                <w:rFonts w:eastAsia="STZhongsong"/>
                <w:sz w:val="24"/>
                <w:highlight w:val="yellow"/>
              </w:rPr>
            </w:pPr>
            <w:r w:rsidRPr="006962C8">
              <w:rPr>
                <w:rFonts w:eastAsia="STZhongsong"/>
                <w:sz w:val="24"/>
              </w:rPr>
              <w:t>means UK Government Investments Limited.</w:t>
            </w:r>
          </w:p>
        </w:tc>
      </w:tr>
      <w:tr w:rsidR="0049393E" w:rsidRPr="006962C8" w14:paraId="0F3F8CFF" w14:textId="77777777" w:rsidTr="000B589B">
        <w:tc>
          <w:tcPr>
            <w:tcW w:w="1827" w:type="dxa"/>
          </w:tcPr>
          <w:p w14:paraId="3CD68B53"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HMG</w:t>
            </w:r>
          </w:p>
        </w:tc>
        <w:tc>
          <w:tcPr>
            <w:tcW w:w="6472" w:type="dxa"/>
          </w:tcPr>
          <w:p w14:paraId="0DABB4B0"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means Her Majesty’s Government.</w:t>
            </w:r>
          </w:p>
        </w:tc>
      </w:tr>
      <w:tr w:rsidR="0049393E" w:rsidRPr="006962C8" w14:paraId="51ED9B11" w14:textId="77777777" w:rsidTr="000B589B">
        <w:tc>
          <w:tcPr>
            <w:tcW w:w="1827" w:type="dxa"/>
          </w:tcPr>
          <w:p w14:paraId="1410C9F0"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 xml:space="preserve">HMT </w:t>
            </w:r>
          </w:p>
        </w:tc>
        <w:tc>
          <w:tcPr>
            <w:tcW w:w="6472" w:type="dxa"/>
          </w:tcPr>
          <w:p w14:paraId="631FB19C" w14:textId="77777777" w:rsidR="0049393E" w:rsidRPr="006962C8" w:rsidRDefault="0049393E" w:rsidP="000B589B">
            <w:pPr>
              <w:spacing w:after="120"/>
              <w:outlineLvl w:val="1"/>
              <w:rPr>
                <w:rFonts w:eastAsia="STZhongsong"/>
                <w:sz w:val="24"/>
              </w:rPr>
            </w:pPr>
            <w:r w:rsidRPr="006962C8">
              <w:rPr>
                <w:rFonts w:eastAsia="STZhongsong"/>
                <w:sz w:val="24"/>
              </w:rPr>
              <w:t>means Her Majesty’s Treasury.</w:t>
            </w:r>
          </w:p>
        </w:tc>
      </w:tr>
      <w:tr w:rsidR="0049393E" w:rsidRPr="006962C8" w14:paraId="3375FE15" w14:textId="77777777" w:rsidTr="000B589B">
        <w:tc>
          <w:tcPr>
            <w:tcW w:w="1827" w:type="dxa"/>
          </w:tcPr>
          <w:p w14:paraId="2362BC82"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BoE</w:t>
            </w:r>
          </w:p>
        </w:tc>
        <w:tc>
          <w:tcPr>
            <w:tcW w:w="6472" w:type="dxa"/>
          </w:tcPr>
          <w:p w14:paraId="1DE69F32" w14:textId="77777777" w:rsidR="0049393E" w:rsidRPr="006962C8" w:rsidRDefault="0049393E" w:rsidP="000B589B">
            <w:pPr>
              <w:spacing w:after="120"/>
              <w:outlineLvl w:val="1"/>
              <w:rPr>
                <w:rFonts w:eastAsia="STZhongsong"/>
                <w:sz w:val="24"/>
              </w:rPr>
            </w:pPr>
            <w:r>
              <w:rPr>
                <w:rFonts w:eastAsia="STZhongsong"/>
                <w:sz w:val="24"/>
              </w:rPr>
              <w:t>m</w:t>
            </w:r>
            <w:r w:rsidRPr="006962C8">
              <w:rPr>
                <w:rFonts w:eastAsia="STZhongsong"/>
                <w:sz w:val="24"/>
              </w:rPr>
              <w:t xml:space="preserve">eans </w:t>
            </w:r>
            <w:r>
              <w:rPr>
                <w:rFonts w:eastAsia="STZhongsong"/>
                <w:sz w:val="24"/>
              </w:rPr>
              <w:t xml:space="preserve">the </w:t>
            </w:r>
            <w:r w:rsidRPr="006962C8">
              <w:rPr>
                <w:rFonts w:eastAsia="STZhongsong"/>
                <w:sz w:val="24"/>
              </w:rPr>
              <w:t>Bank of England</w:t>
            </w:r>
          </w:p>
        </w:tc>
      </w:tr>
      <w:tr w:rsidR="0049393E" w:rsidRPr="006962C8" w14:paraId="71569C59" w14:textId="77777777" w:rsidTr="000B589B">
        <w:tc>
          <w:tcPr>
            <w:tcW w:w="1827" w:type="dxa"/>
          </w:tcPr>
          <w:p w14:paraId="50A138F4"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CIRG</w:t>
            </w:r>
          </w:p>
        </w:tc>
        <w:tc>
          <w:tcPr>
            <w:tcW w:w="6472" w:type="dxa"/>
          </w:tcPr>
          <w:p w14:paraId="5412D3DD" w14:textId="77777777" w:rsidR="0049393E" w:rsidRPr="006962C8" w:rsidRDefault="0049393E" w:rsidP="000B589B">
            <w:pPr>
              <w:spacing w:after="120"/>
              <w:outlineLvl w:val="1"/>
              <w:rPr>
                <w:rFonts w:eastAsia="STZhongsong"/>
                <w:sz w:val="24"/>
              </w:rPr>
            </w:pPr>
            <w:r w:rsidRPr="006962C8">
              <w:rPr>
                <w:rFonts w:eastAsia="STZhongsong"/>
                <w:sz w:val="24"/>
              </w:rPr>
              <w:t xml:space="preserve">means COVID Intervention Resolution Group </w:t>
            </w:r>
          </w:p>
        </w:tc>
      </w:tr>
      <w:tr w:rsidR="0049393E" w:rsidRPr="006962C8" w14:paraId="668A9F97" w14:textId="77777777" w:rsidTr="000B589B">
        <w:tc>
          <w:tcPr>
            <w:tcW w:w="1827" w:type="dxa"/>
          </w:tcPr>
          <w:p w14:paraId="22B90516" w14:textId="77777777" w:rsidR="0049393E" w:rsidRPr="006962C8" w:rsidRDefault="0049393E" w:rsidP="000B589B">
            <w:pPr>
              <w:spacing w:after="120"/>
              <w:ind w:left="720" w:hanging="720"/>
              <w:outlineLvl w:val="1"/>
              <w:rPr>
                <w:rFonts w:eastAsia="STZhongsong"/>
                <w:sz w:val="24"/>
              </w:rPr>
            </w:pPr>
            <w:r w:rsidRPr="006962C8">
              <w:rPr>
                <w:rFonts w:eastAsia="STZhongsong"/>
                <w:sz w:val="24"/>
              </w:rPr>
              <w:t>CCFF</w:t>
            </w:r>
          </w:p>
        </w:tc>
        <w:tc>
          <w:tcPr>
            <w:tcW w:w="6472" w:type="dxa"/>
          </w:tcPr>
          <w:p w14:paraId="2F04CF1F" w14:textId="77777777" w:rsidR="0049393E" w:rsidRPr="006962C8" w:rsidRDefault="0049393E" w:rsidP="000B589B">
            <w:pPr>
              <w:spacing w:after="120"/>
              <w:outlineLvl w:val="1"/>
              <w:rPr>
                <w:rFonts w:eastAsia="STZhongsong"/>
                <w:sz w:val="24"/>
              </w:rPr>
            </w:pPr>
            <w:r w:rsidRPr="006962C8">
              <w:rPr>
                <w:rFonts w:eastAsia="STZhongsong"/>
                <w:sz w:val="24"/>
              </w:rPr>
              <w:t xml:space="preserve">means </w:t>
            </w:r>
            <w:r w:rsidRPr="006962C8">
              <w:rPr>
                <w:color w:val="1E1E1E"/>
                <w:sz w:val="24"/>
              </w:rPr>
              <w:t>Covid Corporate Financing Facility</w:t>
            </w:r>
          </w:p>
        </w:tc>
      </w:tr>
    </w:tbl>
    <w:p w14:paraId="6F19610F" w14:textId="77777777" w:rsidR="0049393E" w:rsidRPr="006962C8" w:rsidRDefault="0049393E" w:rsidP="0049393E">
      <w:pPr>
        <w:keepNext/>
        <w:spacing w:after="120"/>
        <w:outlineLvl w:val="0"/>
        <w:rPr>
          <w:rFonts w:eastAsia="STZhongsong"/>
          <w:bCs/>
          <w:sz w:val="24"/>
        </w:rPr>
      </w:pPr>
      <w:bookmarkStart w:id="123" w:name="_Ref37233069"/>
      <w:bookmarkStart w:id="124" w:name="_Toc38349511"/>
    </w:p>
    <w:p w14:paraId="3BAD6A4B" w14:textId="77777777" w:rsidR="0049393E" w:rsidRPr="006962C8" w:rsidRDefault="0049393E" w:rsidP="0049393E">
      <w:pPr>
        <w:keepNext/>
        <w:numPr>
          <w:ilvl w:val="0"/>
          <w:numId w:val="44"/>
        </w:numPr>
        <w:tabs>
          <w:tab w:val="clear" w:pos="720"/>
        </w:tabs>
        <w:spacing w:after="120"/>
        <w:jc w:val="both"/>
        <w:outlineLvl w:val="0"/>
        <w:rPr>
          <w:rFonts w:eastAsia="STZhongsong"/>
          <w:b/>
          <w:caps/>
          <w:sz w:val="24"/>
        </w:rPr>
      </w:pPr>
      <w:r w:rsidRPr="006962C8">
        <w:rPr>
          <w:rFonts w:eastAsia="STZhongsong"/>
          <w:b/>
          <w:sz w:val="24"/>
        </w:rPr>
        <w:t>SCOPE</w:t>
      </w:r>
      <w:r w:rsidRPr="006962C8">
        <w:rPr>
          <w:rFonts w:eastAsia="STZhongsong"/>
          <w:b/>
          <w:caps/>
          <w:sz w:val="24"/>
        </w:rPr>
        <w:t xml:space="preserve"> of the requirement</w:t>
      </w:r>
      <w:bookmarkEnd w:id="120"/>
      <w:bookmarkEnd w:id="122"/>
      <w:bookmarkEnd w:id="123"/>
      <w:bookmarkEnd w:id="124"/>
      <w:r w:rsidRPr="006962C8">
        <w:rPr>
          <w:rFonts w:eastAsia="STZhongsong"/>
          <w:b/>
          <w:caps/>
          <w:sz w:val="24"/>
        </w:rPr>
        <w:t xml:space="preserve"> </w:t>
      </w:r>
    </w:p>
    <w:bookmarkEnd w:id="117"/>
    <w:p w14:paraId="06D3A42E" w14:textId="6BFBCE20" w:rsidR="0049393E" w:rsidRPr="0049393E" w:rsidRDefault="0049393E" w:rsidP="0049393E">
      <w:pPr>
        <w:keepNext/>
        <w:numPr>
          <w:ilvl w:val="1"/>
          <w:numId w:val="44"/>
        </w:numPr>
        <w:spacing w:after="120"/>
        <w:jc w:val="both"/>
        <w:outlineLvl w:val="0"/>
        <w:rPr>
          <w:rFonts w:eastAsia="STZhongsong"/>
          <w:sz w:val="24"/>
        </w:rPr>
      </w:pPr>
      <w:r w:rsidRPr="006962C8">
        <w:rPr>
          <w:rFonts w:eastAsia="STZhongsong"/>
          <w:sz w:val="24"/>
        </w:rPr>
        <w:t>To support HMG in handling individual cases, U</w:t>
      </w:r>
      <w:r w:rsidRPr="006962C8">
        <w:rPr>
          <w:sz w:val="24"/>
          <w:shd w:val="clear" w:color="auto" w:fill="FFFFFF"/>
        </w:rPr>
        <w:t xml:space="preserve">KGI </w:t>
      </w:r>
      <w:r>
        <w:rPr>
          <w:sz w:val="24"/>
          <w:shd w:val="clear" w:color="auto" w:fill="FFFFFF"/>
        </w:rPr>
        <w:t>will n</w:t>
      </w:r>
      <w:r w:rsidRPr="006962C8">
        <w:rPr>
          <w:sz w:val="24"/>
          <w:shd w:val="clear" w:color="auto" w:fill="FFFFFF"/>
        </w:rPr>
        <w:t>eed direct access to the Credit Benchmark</w:t>
      </w:r>
      <w:r>
        <w:rPr>
          <w:sz w:val="24"/>
          <w:shd w:val="clear" w:color="auto" w:fill="FFFFFF"/>
        </w:rPr>
        <w:t>’</w:t>
      </w:r>
      <w:r w:rsidRPr="006962C8">
        <w:rPr>
          <w:sz w:val="24"/>
          <w:shd w:val="clear" w:color="auto" w:fill="FFFFFF"/>
        </w:rPr>
        <w:t>s database</w:t>
      </w:r>
      <w:r>
        <w:rPr>
          <w:sz w:val="24"/>
          <w:shd w:val="clear" w:color="auto" w:fill="FFFFFF"/>
        </w:rPr>
        <w:t>, Excel Add-In</w:t>
      </w:r>
      <w:r w:rsidRPr="006962C8">
        <w:rPr>
          <w:sz w:val="24"/>
          <w:shd w:val="clear" w:color="auto" w:fill="FFFFFF"/>
        </w:rPr>
        <w:t xml:space="preserve"> and underlying </w:t>
      </w:r>
      <w:r>
        <w:rPr>
          <w:sz w:val="24"/>
          <w:shd w:val="clear" w:color="auto" w:fill="FFFFFF"/>
        </w:rPr>
        <w:t xml:space="preserve">flat files on equivalent terms to BoE, </w:t>
      </w:r>
      <w:r w:rsidRPr="006962C8">
        <w:rPr>
          <w:sz w:val="24"/>
          <w:shd w:val="clear" w:color="auto" w:fill="FFFFFF"/>
        </w:rPr>
        <w:t xml:space="preserve">given the operational challenges of obtaining real time information directly from the </w:t>
      </w:r>
      <w:bookmarkStart w:id="125" w:name="_Hlk55202593"/>
      <w:r>
        <w:rPr>
          <w:sz w:val="24"/>
          <w:shd w:val="clear" w:color="auto" w:fill="FFFFFF"/>
        </w:rPr>
        <w:t>BoE who are subject to NDA obligations with respect to the disclosure of the relevant data.</w:t>
      </w:r>
      <w:bookmarkEnd w:id="125"/>
    </w:p>
    <w:p w14:paraId="361F8C19" w14:textId="43214176" w:rsidR="0049393E" w:rsidRDefault="0049393E" w:rsidP="0049393E">
      <w:pPr>
        <w:keepNext/>
        <w:spacing w:after="120"/>
        <w:ind w:left="720"/>
        <w:jc w:val="both"/>
        <w:outlineLvl w:val="0"/>
        <w:rPr>
          <w:sz w:val="24"/>
          <w:shd w:val="clear" w:color="auto" w:fill="FFFFFF"/>
        </w:rPr>
      </w:pPr>
    </w:p>
    <w:p w14:paraId="6DD91BBD" w14:textId="5997F9CF" w:rsidR="0049393E" w:rsidRDefault="0049393E" w:rsidP="0049393E">
      <w:pPr>
        <w:keepNext/>
        <w:spacing w:after="120"/>
        <w:ind w:left="720"/>
        <w:jc w:val="both"/>
        <w:outlineLvl w:val="0"/>
        <w:rPr>
          <w:sz w:val="24"/>
          <w:shd w:val="clear" w:color="auto" w:fill="FFFFFF"/>
        </w:rPr>
      </w:pPr>
    </w:p>
    <w:p w14:paraId="365765DF" w14:textId="1F6840AA" w:rsidR="0049393E" w:rsidRDefault="0049393E" w:rsidP="0049393E">
      <w:pPr>
        <w:keepNext/>
        <w:spacing w:after="120"/>
        <w:ind w:left="720"/>
        <w:jc w:val="both"/>
        <w:outlineLvl w:val="0"/>
        <w:rPr>
          <w:sz w:val="24"/>
          <w:shd w:val="clear" w:color="auto" w:fill="FFFFFF"/>
        </w:rPr>
      </w:pPr>
    </w:p>
    <w:p w14:paraId="7D858A01" w14:textId="515963DE" w:rsidR="0049393E" w:rsidRDefault="0049393E" w:rsidP="0049393E">
      <w:pPr>
        <w:keepNext/>
        <w:spacing w:after="120"/>
        <w:ind w:left="720"/>
        <w:jc w:val="both"/>
        <w:outlineLvl w:val="0"/>
        <w:rPr>
          <w:sz w:val="24"/>
          <w:shd w:val="clear" w:color="auto" w:fill="FFFFFF"/>
        </w:rPr>
      </w:pPr>
    </w:p>
    <w:p w14:paraId="6D5927C4" w14:textId="626B7FC8" w:rsidR="0049393E" w:rsidRDefault="0049393E" w:rsidP="0049393E">
      <w:pPr>
        <w:keepNext/>
        <w:spacing w:after="120"/>
        <w:ind w:left="720"/>
        <w:jc w:val="both"/>
        <w:outlineLvl w:val="0"/>
        <w:rPr>
          <w:sz w:val="24"/>
          <w:shd w:val="clear" w:color="auto" w:fill="FFFFFF"/>
        </w:rPr>
      </w:pPr>
    </w:p>
    <w:p w14:paraId="5111F6FE" w14:textId="19134317" w:rsidR="0049393E" w:rsidRDefault="0049393E" w:rsidP="0049393E">
      <w:pPr>
        <w:keepNext/>
        <w:spacing w:after="120"/>
        <w:ind w:left="720"/>
        <w:jc w:val="both"/>
        <w:outlineLvl w:val="0"/>
        <w:rPr>
          <w:sz w:val="24"/>
          <w:shd w:val="clear" w:color="auto" w:fill="FFFFFF"/>
        </w:rPr>
      </w:pPr>
    </w:p>
    <w:p w14:paraId="130181DB" w14:textId="15A613E9" w:rsidR="0049393E" w:rsidRDefault="0049393E" w:rsidP="0049393E">
      <w:pPr>
        <w:keepNext/>
        <w:spacing w:after="120"/>
        <w:ind w:left="720"/>
        <w:jc w:val="both"/>
        <w:outlineLvl w:val="0"/>
        <w:rPr>
          <w:sz w:val="24"/>
          <w:shd w:val="clear" w:color="auto" w:fill="FFFFFF"/>
        </w:rPr>
      </w:pPr>
    </w:p>
    <w:p w14:paraId="1F568E30" w14:textId="6614CBF5" w:rsidR="0049393E" w:rsidRDefault="0049393E" w:rsidP="0049393E">
      <w:pPr>
        <w:keepNext/>
        <w:spacing w:after="120"/>
        <w:ind w:left="720"/>
        <w:jc w:val="both"/>
        <w:outlineLvl w:val="0"/>
        <w:rPr>
          <w:sz w:val="24"/>
          <w:shd w:val="clear" w:color="auto" w:fill="FFFFFF"/>
        </w:rPr>
      </w:pPr>
    </w:p>
    <w:p w14:paraId="46E15F5A" w14:textId="0D53663F" w:rsidR="0049393E" w:rsidRDefault="0049393E" w:rsidP="0049393E">
      <w:pPr>
        <w:keepNext/>
        <w:spacing w:after="120"/>
        <w:ind w:left="720"/>
        <w:jc w:val="both"/>
        <w:outlineLvl w:val="0"/>
        <w:rPr>
          <w:sz w:val="24"/>
          <w:shd w:val="clear" w:color="auto" w:fill="FFFFFF"/>
        </w:rPr>
      </w:pPr>
    </w:p>
    <w:p w14:paraId="538643F8" w14:textId="0BAA4C1F" w:rsidR="0049393E" w:rsidRDefault="0049393E" w:rsidP="0049393E">
      <w:pPr>
        <w:keepNext/>
        <w:spacing w:after="120"/>
        <w:ind w:left="720"/>
        <w:jc w:val="both"/>
        <w:outlineLvl w:val="0"/>
        <w:rPr>
          <w:sz w:val="24"/>
          <w:shd w:val="clear" w:color="auto" w:fill="FFFFFF"/>
        </w:rPr>
      </w:pPr>
    </w:p>
    <w:p w14:paraId="1F36E7A1" w14:textId="381F6719" w:rsidR="0049393E" w:rsidRDefault="0049393E" w:rsidP="0049393E">
      <w:pPr>
        <w:keepNext/>
        <w:spacing w:after="120"/>
        <w:ind w:left="720"/>
        <w:jc w:val="both"/>
        <w:outlineLvl w:val="0"/>
        <w:rPr>
          <w:sz w:val="24"/>
          <w:shd w:val="clear" w:color="auto" w:fill="FFFFFF"/>
        </w:rPr>
      </w:pPr>
    </w:p>
    <w:p w14:paraId="27C30AE4" w14:textId="09C3D281" w:rsidR="0049393E" w:rsidRDefault="0049393E" w:rsidP="0049393E">
      <w:pPr>
        <w:keepNext/>
        <w:spacing w:after="120"/>
        <w:ind w:left="720"/>
        <w:jc w:val="both"/>
        <w:outlineLvl w:val="0"/>
        <w:rPr>
          <w:sz w:val="24"/>
          <w:shd w:val="clear" w:color="auto" w:fill="FFFFFF"/>
        </w:rPr>
      </w:pPr>
    </w:p>
    <w:p w14:paraId="386F47B3" w14:textId="4D48DC76" w:rsidR="0049393E" w:rsidRDefault="0049393E" w:rsidP="0049393E">
      <w:pPr>
        <w:keepNext/>
        <w:spacing w:after="120"/>
        <w:ind w:left="720"/>
        <w:jc w:val="both"/>
        <w:outlineLvl w:val="0"/>
        <w:rPr>
          <w:sz w:val="24"/>
          <w:shd w:val="clear" w:color="auto" w:fill="FFFFFF"/>
        </w:rPr>
      </w:pPr>
    </w:p>
    <w:p w14:paraId="7F3E7DFE" w14:textId="25C3CCCE" w:rsidR="0049393E" w:rsidRDefault="0049393E" w:rsidP="0049393E">
      <w:pPr>
        <w:keepNext/>
        <w:spacing w:after="120"/>
        <w:ind w:left="720"/>
        <w:jc w:val="both"/>
        <w:outlineLvl w:val="0"/>
        <w:rPr>
          <w:sz w:val="24"/>
          <w:shd w:val="clear" w:color="auto" w:fill="FFFFFF"/>
        </w:rPr>
      </w:pPr>
    </w:p>
    <w:p w14:paraId="6394C371" w14:textId="33767556" w:rsidR="0049393E" w:rsidRDefault="0049393E" w:rsidP="0049393E">
      <w:pPr>
        <w:keepNext/>
        <w:spacing w:after="120"/>
        <w:ind w:left="720"/>
        <w:jc w:val="both"/>
        <w:outlineLvl w:val="0"/>
        <w:rPr>
          <w:sz w:val="24"/>
          <w:shd w:val="clear" w:color="auto" w:fill="FFFFFF"/>
        </w:rPr>
      </w:pPr>
    </w:p>
    <w:p w14:paraId="62802F2C" w14:textId="29D0C3ED" w:rsidR="0049393E" w:rsidRDefault="0049393E" w:rsidP="0049393E">
      <w:pPr>
        <w:keepNext/>
        <w:spacing w:after="120"/>
        <w:ind w:left="720"/>
        <w:jc w:val="both"/>
        <w:outlineLvl w:val="0"/>
        <w:rPr>
          <w:sz w:val="24"/>
          <w:shd w:val="clear" w:color="auto" w:fill="FFFFFF"/>
        </w:rPr>
      </w:pPr>
    </w:p>
    <w:p w14:paraId="48F92520" w14:textId="5B6263F7" w:rsidR="0049393E" w:rsidRDefault="0049393E" w:rsidP="0049393E">
      <w:pPr>
        <w:keepNext/>
        <w:spacing w:after="120"/>
        <w:ind w:left="720"/>
        <w:jc w:val="both"/>
        <w:outlineLvl w:val="0"/>
        <w:rPr>
          <w:sz w:val="24"/>
          <w:shd w:val="clear" w:color="auto" w:fill="FFFFFF"/>
        </w:rPr>
      </w:pPr>
    </w:p>
    <w:p w14:paraId="68A1D850" w14:textId="1085B478" w:rsidR="0049393E" w:rsidRDefault="0049393E" w:rsidP="0049393E">
      <w:pPr>
        <w:keepNext/>
        <w:spacing w:after="120"/>
        <w:ind w:left="720"/>
        <w:jc w:val="both"/>
        <w:outlineLvl w:val="0"/>
        <w:rPr>
          <w:sz w:val="24"/>
          <w:shd w:val="clear" w:color="auto" w:fill="FFFFFF"/>
        </w:rPr>
      </w:pPr>
    </w:p>
    <w:p w14:paraId="746928B9" w14:textId="7084EB62" w:rsidR="0049393E" w:rsidRDefault="0049393E" w:rsidP="0049393E">
      <w:pPr>
        <w:keepNext/>
        <w:spacing w:after="120"/>
        <w:ind w:left="720"/>
        <w:jc w:val="both"/>
        <w:outlineLvl w:val="0"/>
        <w:rPr>
          <w:sz w:val="24"/>
          <w:shd w:val="clear" w:color="auto" w:fill="FFFFFF"/>
        </w:rPr>
      </w:pPr>
    </w:p>
    <w:p w14:paraId="3646FBB3" w14:textId="4E4E0524" w:rsidR="0049393E" w:rsidRDefault="0049393E" w:rsidP="0049393E">
      <w:pPr>
        <w:keepNext/>
        <w:spacing w:after="120"/>
        <w:ind w:left="720"/>
        <w:jc w:val="both"/>
        <w:outlineLvl w:val="0"/>
        <w:rPr>
          <w:sz w:val="24"/>
          <w:shd w:val="clear" w:color="auto" w:fill="FFFFFF"/>
        </w:rPr>
      </w:pPr>
    </w:p>
    <w:p w14:paraId="22280607" w14:textId="790D82EA" w:rsidR="0049393E" w:rsidRDefault="0049393E" w:rsidP="0049393E">
      <w:pPr>
        <w:keepNext/>
        <w:spacing w:after="120"/>
        <w:ind w:left="720"/>
        <w:jc w:val="both"/>
        <w:outlineLvl w:val="0"/>
        <w:rPr>
          <w:sz w:val="24"/>
          <w:shd w:val="clear" w:color="auto" w:fill="FFFFFF"/>
        </w:rPr>
      </w:pPr>
    </w:p>
    <w:p w14:paraId="166441EC" w14:textId="2B82C504" w:rsidR="0049393E" w:rsidRDefault="0049393E" w:rsidP="0049393E">
      <w:pPr>
        <w:keepNext/>
        <w:spacing w:after="120"/>
        <w:ind w:left="720"/>
        <w:jc w:val="both"/>
        <w:outlineLvl w:val="0"/>
        <w:rPr>
          <w:sz w:val="24"/>
          <w:shd w:val="clear" w:color="auto" w:fill="FFFFFF"/>
        </w:rPr>
      </w:pPr>
    </w:p>
    <w:p w14:paraId="52CCF694" w14:textId="3FEA40E4" w:rsidR="0049393E" w:rsidRDefault="0049393E" w:rsidP="0049393E">
      <w:pPr>
        <w:keepNext/>
        <w:spacing w:after="120"/>
        <w:ind w:left="720"/>
        <w:jc w:val="both"/>
        <w:outlineLvl w:val="0"/>
        <w:rPr>
          <w:sz w:val="24"/>
          <w:shd w:val="clear" w:color="auto" w:fill="FFFFFF"/>
        </w:rPr>
      </w:pPr>
    </w:p>
    <w:p w14:paraId="18C83D67" w14:textId="2494DFC1" w:rsidR="0049393E" w:rsidRDefault="0049393E" w:rsidP="0049393E">
      <w:pPr>
        <w:keepNext/>
        <w:spacing w:after="120"/>
        <w:ind w:left="720"/>
        <w:jc w:val="both"/>
        <w:outlineLvl w:val="0"/>
        <w:rPr>
          <w:sz w:val="24"/>
          <w:shd w:val="clear" w:color="auto" w:fill="FFFFFF"/>
        </w:rPr>
      </w:pPr>
    </w:p>
    <w:p w14:paraId="7E58B94A" w14:textId="1658C655" w:rsidR="0049393E" w:rsidRDefault="0049393E" w:rsidP="0049393E">
      <w:pPr>
        <w:keepNext/>
        <w:spacing w:after="120"/>
        <w:ind w:left="720"/>
        <w:jc w:val="both"/>
        <w:outlineLvl w:val="0"/>
        <w:rPr>
          <w:sz w:val="24"/>
          <w:shd w:val="clear" w:color="auto" w:fill="FFFFFF"/>
        </w:rPr>
      </w:pPr>
    </w:p>
    <w:p w14:paraId="66BD5549" w14:textId="7B13925B" w:rsidR="0049393E" w:rsidRDefault="0049393E" w:rsidP="0049393E">
      <w:pPr>
        <w:keepNext/>
        <w:spacing w:after="120"/>
        <w:ind w:left="720"/>
        <w:jc w:val="both"/>
        <w:outlineLvl w:val="0"/>
        <w:rPr>
          <w:sz w:val="24"/>
          <w:shd w:val="clear" w:color="auto" w:fill="FFFFFF"/>
        </w:rPr>
      </w:pPr>
    </w:p>
    <w:p w14:paraId="38E29450" w14:textId="43B5E993" w:rsidR="0049393E" w:rsidRDefault="0049393E" w:rsidP="0049393E">
      <w:pPr>
        <w:keepNext/>
        <w:spacing w:after="120"/>
        <w:ind w:left="720"/>
        <w:jc w:val="both"/>
        <w:outlineLvl w:val="0"/>
        <w:rPr>
          <w:sz w:val="24"/>
          <w:shd w:val="clear" w:color="auto" w:fill="FFFFFF"/>
        </w:rPr>
      </w:pPr>
    </w:p>
    <w:p w14:paraId="34CE83D8" w14:textId="43547F71" w:rsidR="0049393E" w:rsidRDefault="0049393E" w:rsidP="0049393E">
      <w:pPr>
        <w:keepNext/>
        <w:spacing w:after="120"/>
        <w:ind w:left="720"/>
        <w:jc w:val="both"/>
        <w:outlineLvl w:val="0"/>
        <w:rPr>
          <w:sz w:val="24"/>
          <w:shd w:val="clear" w:color="auto" w:fill="FFFFFF"/>
        </w:rPr>
      </w:pPr>
    </w:p>
    <w:p w14:paraId="1BA9D87C" w14:textId="4139E6B0" w:rsidR="0049393E" w:rsidRDefault="0049393E" w:rsidP="0049393E">
      <w:pPr>
        <w:keepNext/>
        <w:spacing w:after="120"/>
        <w:ind w:left="720"/>
        <w:jc w:val="both"/>
        <w:outlineLvl w:val="0"/>
        <w:rPr>
          <w:sz w:val="24"/>
          <w:shd w:val="clear" w:color="auto" w:fill="FFFFFF"/>
        </w:rPr>
      </w:pPr>
    </w:p>
    <w:p w14:paraId="6553C873" w14:textId="161623F9" w:rsidR="0049393E" w:rsidRDefault="0049393E" w:rsidP="0049393E">
      <w:pPr>
        <w:keepNext/>
        <w:spacing w:after="120"/>
        <w:ind w:left="720"/>
        <w:jc w:val="both"/>
        <w:outlineLvl w:val="0"/>
        <w:rPr>
          <w:sz w:val="24"/>
          <w:shd w:val="clear" w:color="auto" w:fill="FFFFFF"/>
        </w:rPr>
      </w:pPr>
    </w:p>
    <w:p w14:paraId="6A6EB1B7" w14:textId="496C13F8" w:rsidR="0049393E" w:rsidRDefault="0049393E" w:rsidP="0049393E">
      <w:pPr>
        <w:keepNext/>
        <w:spacing w:after="120"/>
        <w:ind w:left="720"/>
        <w:jc w:val="both"/>
        <w:outlineLvl w:val="0"/>
        <w:rPr>
          <w:sz w:val="24"/>
          <w:shd w:val="clear" w:color="auto" w:fill="FFFFFF"/>
        </w:rPr>
      </w:pPr>
    </w:p>
    <w:p w14:paraId="5246E384" w14:textId="77777777" w:rsidR="0049393E" w:rsidRPr="006962C8" w:rsidRDefault="0049393E" w:rsidP="0049393E">
      <w:pPr>
        <w:keepNext/>
        <w:spacing w:after="120"/>
        <w:ind w:left="720"/>
        <w:jc w:val="both"/>
        <w:outlineLvl w:val="0"/>
        <w:rPr>
          <w:rFonts w:eastAsia="STZhongsong"/>
          <w:sz w:val="24"/>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4 – SUPPLIERS RESPONSE</w:t>
      </w:r>
      <w:bookmarkEnd w:id="111"/>
    </w:p>
    <w:p w14:paraId="1C6DD9E8" w14:textId="77777777" w:rsidR="00ED37EB" w:rsidRPr="00ED37EB" w:rsidRDefault="00ED37EB" w:rsidP="00ED37EB">
      <w:pPr>
        <w:rPr>
          <w:rFonts w:eastAsia="Times New Roman" w:cs="Arial"/>
          <w:b/>
          <w:szCs w:val="22"/>
          <w:lang w:eastAsia="en-US"/>
        </w:rPr>
      </w:pPr>
      <w:bookmarkStart w:id="126" w:name="_Toc437243999"/>
      <w:r w:rsidRPr="00ED37EB">
        <w:rPr>
          <w:rFonts w:cs="Arial"/>
          <w:b/>
          <w:color w:val="222222"/>
          <w:shd w:val="clear" w:color="auto" w:fill="FFFFFF"/>
        </w:rPr>
        <w:t>REDACTED</w:t>
      </w:r>
    </w:p>
    <w:p w14:paraId="160CA3BA" w14:textId="68211694"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586C2945" w14:textId="413642B7"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59AA2C76" w14:textId="30EFC2BB"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790E5FD7" w14:textId="2FCDF4EF"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0B3A5077" w14:textId="7F3DE623"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04B2DAB5" w14:textId="083B2CB9"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612F5A85" w14:textId="4992FDB3"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271B9438" w14:textId="560EFB96"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17D68788" w14:textId="268A9975"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2E2DF433" w14:textId="74979766"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76982959" w14:textId="0EC8EB52"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4CF85778" w14:textId="3D5D3A0B"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3C889CDA" w14:textId="18321E54"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55C244F8" w14:textId="15D2A1B7"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4C929A8F" w14:textId="35F10AF7"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7B3E78F9" w14:textId="1C1E30DB"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4D45018C" w14:textId="428E2112"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61977B24" w14:textId="10E773DE"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1A54C50C" w14:textId="7C62D89E"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771D27FF" w14:textId="540E28E4"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3E439C41" w14:textId="4CB90BCD"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720695A8" w14:textId="66DFCE11"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32F15E55" w14:textId="72DE9D10" w:rsidR="0049393E" w:rsidRDefault="0049393E" w:rsidP="00174DC0">
      <w:pPr>
        <w:widowControl w:val="0"/>
        <w:tabs>
          <w:tab w:val="num" w:pos="540"/>
        </w:tabs>
        <w:spacing w:after="100" w:afterAutospacing="1"/>
        <w:ind w:left="851" w:hanging="851"/>
        <w:jc w:val="center"/>
        <w:outlineLvl w:val="0"/>
        <w:rPr>
          <w:rFonts w:eastAsia="Times New Roman"/>
          <w:b/>
          <w:szCs w:val="22"/>
          <w:lang w:eastAsia="en-US"/>
        </w:rPr>
      </w:pPr>
    </w:p>
    <w:p w14:paraId="613C7442" w14:textId="77777777" w:rsidR="00ED37EB" w:rsidRDefault="00ED37EB"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27" w:name="_Toc444688625"/>
      <w:r w:rsidRPr="00506046">
        <w:rPr>
          <w:rFonts w:eastAsia="Times New Roman"/>
          <w:b/>
          <w:szCs w:val="22"/>
          <w:lang w:eastAsia="en-US"/>
        </w:rPr>
        <w:t>ANNEX 5 – CLARIFICATIONS</w:t>
      </w:r>
      <w:bookmarkEnd w:id="126"/>
      <w:bookmarkEnd w:id="127"/>
    </w:p>
    <w:p w14:paraId="4416EF89" w14:textId="59494E57" w:rsidR="00174DC0" w:rsidRPr="0049393E" w:rsidRDefault="000049C2" w:rsidP="00174DC0">
      <w:pPr>
        <w:pStyle w:val="ScheduleLevel1"/>
        <w:numPr>
          <w:ilvl w:val="0"/>
          <w:numId w:val="0"/>
        </w:numPr>
        <w:spacing w:after="120"/>
        <w:jc w:val="center"/>
        <w:rPr>
          <w:rFonts w:cs="Arial"/>
          <w:szCs w:val="22"/>
        </w:rPr>
      </w:pPr>
      <w:r w:rsidRPr="0049393E">
        <w:rPr>
          <w:rFonts w:cs="Arial"/>
          <w:szCs w:val="22"/>
        </w:rPr>
        <w:t>Not A</w:t>
      </w:r>
      <w:r w:rsidR="0049393E" w:rsidRPr="0049393E">
        <w:rPr>
          <w:rFonts w:cs="Arial"/>
          <w:szCs w:val="22"/>
        </w:rPr>
        <w:t>pplicable</w:t>
      </w:r>
    </w:p>
    <w:p w14:paraId="519D1D55" w14:textId="137B3839" w:rsidR="004B1AF8" w:rsidRPr="0049393E" w:rsidRDefault="004B1AF8">
      <w:pPr>
        <w:rPr>
          <w:rFonts w:eastAsia="Times New Roman" w:cs="Arial"/>
          <w:szCs w:val="22"/>
          <w:lang w:eastAsia="en-US"/>
        </w:rPr>
      </w:pPr>
      <w:r w:rsidRPr="0049393E">
        <w:rPr>
          <w:rFonts w:cs="Arial"/>
          <w:szCs w:val="22"/>
        </w:rPr>
        <w:br w:type="page"/>
      </w:r>
    </w:p>
    <w:p w14:paraId="69AAD0A4" w14:textId="7BD3DE8D" w:rsidR="00865B8F" w:rsidRPr="0049393E" w:rsidRDefault="004B1AF8" w:rsidP="0049393E">
      <w:pPr>
        <w:widowControl w:val="0"/>
        <w:tabs>
          <w:tab w:val="num" w:pos="540"/>
        </w:tabs>
        <w:spacing w:after="100" w:afterAutospacing="1"/>
        <w:ind w:left="851" w:hanging="851"/>
        <w:jc w:val="center"/>
        <w:outlineLvl w:val="0"/>
        <w:rPr>
          <w:rFonts w:eastAsia="Times New Roman"/>
          <w:b/>
          <w:szCs w:val="22"/>
          <w:lang w:eastAsia="en-US"/>
        </w:rPr>
      </w:pPr>
      <w:bookmarkStart w:id="128" w:name="_Toc439318929"/>
      <w:bookmarkStart w:id="129" w:name="_Toc444688626"/>
      <w:r w:rsidRPr="000F5FE2">
        <w:rPr>
          <w:rFonts w:eastAsia="Times New Roman"/>
          <w:b/>
          <w:szCs w:val="22"/>
          <w:lang w:eastAsia="en-US"/>
        </w:rPr>
        <w:t>ANNEX 6 – ADDITIONAL TERMS &amp; CONDITIONS</w:t>
      </w:r>
      <w:bookmarkEnd w:id="128"/>
      <w:bookmarkEnd w:id="129"/>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30" w:name="2et92p0" w:colFirst="0" w:colLast="0"/>
      <w:bookmarkEnd w:id="130"/>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1" w:name="tyjcwt" w:colFirst="0" w:colLast="0"/>
      <w:bookmarkEnd w:id="131"/>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2" w:name="3dy6vkm" w:colFirst="0" w:colLast="0"/>
      <w:bookmarkEnd w:id="132"/>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33" w:name="1t3h5sf" w:colFirst="0" w:colLast="0"/>
      <w:bookmarkEnd w:id="133"/>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4" w:name="4d34og8" w:colFirst="0" w:colLast="0"/>
      <w:bookmarkEnd w:id="134"/>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5" w:name="2s8eyo1" w:colFirst="0" w:colLast="0"/>
      <w:bookmarkEnd w:id="135"/>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36" w:name="17dp8vu" w:colFirst="0" w:colLast="0"/>
      <w:bookmarkEnd w:id="136"/>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37" w:name="3rdcrjn" w:colFirst="0" w:colLast="0"/>
      <w:bookmarkEnd w:id="137"/>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38" w:name="26in1rg" w:colFirst="0" w:colLast="0"/>
      <w:bookmarkEnd w:id="138"/>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39" w:name="lnxbz9" w:colFirst="0" w:colLast="0"/>
      <w:bookmarkEnd w:id="139"/>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0" w:name="35nkun2" w:colFirst="0" w:colLast="0"/>
      <w:bookmarkEnd w:id="140"/>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41" w:name="1ksv4uv" w:colFirst="0" w:colLast="0"/>
      <w:bookmarkEnd w:id="141"/>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42" w:name="44sinio" w:colFirst="0" w:colLast="0"/>
      <w:bookmarkEnd w:id="142"/>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43" w:name="2jxsxqh" w:colFirst="0" w:colLast="0"/>
      <w:bookmarkEnd w:id="143"/>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79C41E16" w14:textId="7966EDE8"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44" w:name="_Toc440457130"/>
      <w:bookmarkStart w:id="145" w:name="_Toc444688627"/>
      <w:r w:rsidRPr="00D66848">
        <w:rPr>
          <w:rFonts w:eastAsia="Times New Roman"/>
          <w:b/>
          <w:szCs w:val="22"/>
          <w:lang w:eastAsia="en-US"/>
        </w:rPr>
        <w:t xml:space="preserve">ANNEX 7 – </w:t>
      </w:r>
      <w:bookmarkEnd w:id="144"/>
      <w:bookmarkEnd w:id="145"/>
      <w:r w:rsidR="000B589B">
        <w:rPr>
          <w:rFonts w:eastAsia="Times New Roman"/>
          <w:b/>
          <w:szCs w:val="22"/>
          <w:lang w:eastAsia="en-US"/>
        </w:rPr>
        <w:t xml:space="preserve">FURTHER TERMS &amp; CONDITIONS </w:t>
      </w:r>
    </w:p>
    <w:p w14:paraId="17767EEC" w14:textId="77777777" w:rsidR="00B40533" w:rsidRPr="000B589B" w:rsidRDefault="00B40533" w:rsidP="000B589B">
      <w:pPr>
        <w:widowControl w:val="0"/>
        <w:tabs>
          <w:tab w:val="num" w:pos="540"/>
        </w:tabs>
        <w:spacing w:after="100" w:afterAutospacing="1" w:line="360" w:lineRule="auto"/>
        <w:ind w:left="851" w:hanging="851"/>
        <w:jc w:val="center"/>
        <w:outlineLvl w:val="0"/>
        <w:rPr>
          <w:rFonts w:cs="Arial"/>
        </w:rPr>
      </w:pPr>
    </w:p>
    <w:p w14:paraId="2CEB0C09" w14:textId="77777777" w:rsidR="00ED37EB" w:rsidRPr="00ED37EB" w:rsidRDefault="00ED37EB" w:rsidP="00ED37EB">
      <w:pPr>
        <w:rPr>
          <w:rFonts w:eastAsia="Times New Roman" w:cs="Arial"/>
          <w:b/>
          <w:szCs w:val="22"/>
          <w:lang w:eastAsia="en-US"/>
        </w:rPr>
      </w:pPr>
      <w:r w:rsidRPr="00ED37EB">
        <w:rPr>
          <w:rFonts w:cs="Arial"/>
          <w:b/>
          <w:color w:val="222222"/>
          <w:shd w:val="clear" w:color="auto" w:fill="FFFFFF"/>
        </w:rPr>
        <w:t>REDACTED</w:t>
      </w:r>
    </w:p>
    <w:p w14:paraId="730778F9" w14:textId="77777777" w:rsidR="00B40533" w:rsidRDefault="00B40533" w:rsidP="00B40533"/>
    <w:p w14:paraId="1FB442D4" w14:textId="77777777" w:rsidR="00B40533" w:rsidRPr="00864179" w:rsidRDefault="00B40533" w:rsidP="00B40533">
      <w:pPr>
        <w:tabs>
          <w:tab w:val="left" w:pos="3856"/>
          <w:tab w:val="left" w:pos="5120"/>
        </w:tabs>
      </w:pPr>
      <w:r>
        <w:tab/>
      </w:r>
      <w:r>
        <w:tab/>
      </w:r>
    </w:p>
    <w:p w14:paraId="385D040A" w14:textId="77777777" w:rsidR="005739FD" w:rsidRDefault="005739FD" w:rsidP="005739FD">
      <w:pPr>
        <w:spacing w:after="100"/>
        <w:rPr>
          <w:rFonts w:eastAsia="Arial" w:cs="Arial"/>
        </w:rPr>
      </w:pPr>
      <w:r>
        <w:rPr>
          <w:rFonts w:eastAsia="Arial" w:cs="Arial"/>
          <w:b/>
          <w:sz w:val="20"/>
          <w:szCs w:val="20"/>
        </w:rPr>
        <w:t>FORMATION OF CONTRACT</w:t>
      </w:r>
    </w:p>
    <w:p w14:paraId="6370B62B" w14:textId="6300734C" w:rsidR="005739FD" w:rsidRDefault="005739FD" w:rsidP="005739FD">
      <w:pPr>
        <w:spacing w:after="100"/>
        <w:rPr>
          <w:rFonts w:eastAsia="Arial" w:cs="Arial"/>
        </w:rPr>
      </w:pPr>
      <w:bookmarkStart w:id="146" w:name="4kx3h1s" w:colFirst="0" w:colLast="0"/>
      <w:bookmarkEnd w:id="146"/>
      <w:r>
        <w:rPr>
          <w:rFonts w:eastAsia="Arial" w:cs="Arial"/>
          <w:b/>
          <w:sz w:val="20"/>
          <w:szCs w:val="20"/>
        </w:rPr>
        <w:t>BY SIGNING AND RETURNING THIS ATTACHMENT 5 – TERMS AND CONDITIONS (which may be done by electronic means) the Supplier agrees to enter a Contract with the Customer to provide the Services in accordance with the terms of this letter and the Contract Terms.</w:t>
      </w:r>
    </w:p>
    <w:p w14:paraId="760974D9" w14:textId="653E032B" w:rsidR="005739FD" w:rsidRDefault="005739FD" w:rsidP="005739FD">
      <w:pPr>
        <w:spacing w:after="100"/>
        <w:rPr>
          <w:rFonts w:eastAsia="Arial" w:cs="Arial"/>
          <w:b/>
          <w:sz w:val="20"/>
          <w:szCs w:val="20"/>
        </w:rPr>
      </w:pPr>
      <w:bookmarkStart w:id="147" w:name="302dr9l" w:colFirst="0" w:colLast="0"/>
      <w:bookmarkEnd w:id="147"/>
      <w:r>
        <w:rPr>
          <w:rFonts w:eastAsia="Arial" w:cs="Arial"/>
          <w:b/>
          <w:sz w:val="20"/>
          <w:szCs w:val="20"/>
        </w:rPr>
        <w:t>The Parties hereby acknowledge and agree that they have read this letter and the Contract Terms.</w:t>
      </w:r>
    </w:p>
    <w:p w14:paraId="1A6A94E5" w14:textId="7E38796E" w:rsidR="005739FD" w:rsidRDefault="005739FD" w:rsidP="005739FD">
      <w:pPr>
        <w:spacing w:after="40"/>
        <w:rPr>
          <w:rFonts w:eastAsia="Arial" w:cs="Arial"/>
          <w:b/>
          <w:sz w:val="20"/>
          <w:szCs w:val="20"/>
        </w:rPr>
      </w:pPr>
      <w:r>
        <w:rPr>
          <w:rFonts w:eastAsia="Arial" w:cs="Arial"/>
          <w:b/>
          <w:sz w:val="20"/>
          <w:szCs w:val="20"/>
        </w:rPr>
        <w:t>For and on behalf of the Supplier:                            For and on behalf of the Customer:</w:t>
      </w:r>
    </w:p>
    <w:p w14:paraId="57976134" w14:textId="63F275DA" w:rsidR="005739FD" w:rsidRDefault="005739FD" w:rsidP="005739FD">
      <w:pPr>
        <w:spacing w:after="40"/>
        <w:rPr>
          <w:rFonts w:eastAsia="Arial" w:cs="Arial"/>
          <w:b/>
          <w:sz w:val="20"/>
          <w:szCs w:val="20"/>
        </w:rPr>
      </w:pPr>
    </w:p>
    <w:tbl>
      <w:tblPr>
        <w:tblStyle w:val="TableGrid"/>
        <w:tblW w:w="0" w:type="auto"/>
        <w:tblLook w:val="04A0" w:firstRow="1" w:lastRow="0" w:firstColumn="1" w:lastColumn="0" w:noHBand="0" w:noVBand="1"/>
      </w:tblPr>
      <w:tblGrid>
        <w:gridCol w:w="4509"/>
        <w:gridCol w:w="4510"/>
      </w:tblGrid>
      <w:tr w:rsidR="005739FD" w14:paraId="5EF00D14" w14:textId="77777777" w:rsidTr="005739FD">
        <w:tc>
          <w:tcPr>
            <w:tcW w:w="4509" w:type="dxa"/>
          </w:tcPr>
          <w:p w14:paraId="2F67D85C" w14:textId="77777777" w:rsidR="00ED37EB" w:rsidRPr="00ED37EB" w:rsidRDefault="005739FD" w:rsidP="00ED37EB">
            <w:pPr>
              <w:rPr>
                <w:rFonts w:eastAsia="Times New Roman" w:cs="Arial"/>
                <w:b/>
                <w:szCs w:val="22"/>
                <w:lang w:eastAsia="en-US"/>
              </w:rPr>
            </w:pPr>
            <w:r>
              <w:rPr>
                <w:rFonts w:eastAsia="Arial" w:cs="Arial"/>
              </w:rPr>
              <w:t xml:space="preserve">Name and Title: </w:t>
            </w:r>
            <w:r w:rsidR="00ED37EB" w:rsidRPr="00ED37EB">
              <w:rPr>
                <w:rFonts w:cs="Arial"/>
                <w:b/>
                <w:color w:val="222222"/>
                <w:shd w:val="clear" w:color="auto" w:fill="FFFFFF"/>
              </w:rPr>
              <w:t>REDACTED</w:t>
            </w:r>
          </w:p>
          <w:p w14:paraId="524C2094" w14:textId="6586CC77" w:rsidR="005739FD" w:rsidRDefault="005739FD" w:rsidP="005739FD">
            <w:pPr>
              <w:spacing w:after="40"/>
              <w:rPr>
                <w:rFonts w:eastAsia="Arial" w:cs="Arial"/>
              </w:rPr>
            </w:pPr>
          </w:p>
        </w:tc>
        <w:tc>
          <w:tcPr>
            <w:tcW w:w="4510" w:type="dxa"/>
          </w:tcPr>
          <w:p w14:paraId="1D017A97" w14:textId="5CC8AF9F" w:rsidR="00ED37EB" w:rsidRPr="00ED37EB" w:rsidRDefault="005739FD" w:rsidP="00ED37EB">
            <w:pPr>
              <w:rPr>
                <w:rFonts w:eastAsia="Times New Roman" w:cs="Arial"/>
                <w:b/>
                <w:szCs w:val="22"/>
                <w:lang w:eastAsia="en-US"/>
              </w:rPr>
            </w:pPr>
            <w:r>
              <w:rPr>
                <w:rFonts w:eastAsia="Arial" w:cs="Arial"/>
              </w:rPr>
              <w:t>Name and Title:</w:t>
            </w:r>
            <w:r w:rsidR="00ED37EB" w:rsidRPr="00ED37EB">
              <w:rPr>
                <w:rFonts w:cs="Arial"/>
                <w:b/>
                <w:color w:val="222222"/>
                <w:shd w:val="clear" w:color="auto" w:fill="FFFFFF"/>
              </w:rPr>
              <w:t xml:space="preserve"> </w:t>
            </w:r>
            <w:r w:rsidR="00ED37EB" w:rsidRPr="00ED37EB">
              <w:rPr>
                <w:rFonts w:cs="Arial"/>
                <w:b/>
                <w:color w:val="222222"/>
                <w:shd w:val="clear" w:color="auto" w:fill="FFFFFF"/>
              </w:rPr>
              <w:t>REDACTED</w:t>
            </w:r>
          </w:p>
          <w:p w14:paraId="4D8ABFE2" w14:textId="72C00D2A" w:rsidR="005739FD" w:rsidRDefault="005739FD" w:rsidP="005739FD">
            <w:pPr>
              <w:spacing w:after="40"/>
              <w:rPr>
                <w:rFonts w:eastAsia="Arial" w:cs="Arial"/>
              </w:rPr>
            </w:pPr>
            <w:bookmarkStart w:id="148" w:name="_GoBack"/>
            <w:bookmarkEnd w:id="148"/>
          </w:p>
        </w:tc>
      </w:tr>
      <w:tr w:rsidR="005739FD" w14:paraId="646714CB" w14:textId="77777777" w:rsidTr="005739FD">
        <w:tc>
          <w:tcPr>
            <w:tcW w:w="4509" w:type="dxa"/>
          </w:tcPr>
          <w:p w14:paraId="7760146D" w14:textId="3BFC91DC" w:rsidR="00ED37EB" w:rsidRPr="00ED37EB" w:rsidRDefault="005739FD" w:rsidP="00ED37EB">
            <w:pPr>
              <w:rPr>
                <w:rFonts w:eastAsia="Times New Roman" w:cs="Arial"/>
                <w:b/>
                <w:szCs w:val="22"/>
                <w:lang w:eastAsia="en-US"/>
              </w:rPr>
            </w:pPr>
            <w:r>
              <w:rPr>
                <w:rFonts w:eastAsia="Arial" w:cs="Arial"/>
              </w:rPr>
              <w:t>Signature:</w:t>
            </w:r>
            <w:r w:rsidR="00ED37EB" w:rsidRPr="00ED37EB">
              <w:rPr>
                <w:rFonts w:cs="Arial"/>
                <w:b/>
                <w:color w:val="222222"/>
                <w:shd w:val="clear" w:color="auto" w:fill="FFFFFF"/>
              </w:rPr>
              <w:t xml:space="preserve"> </w:t>
            </w:r>
            <w:r w:rsidR="00ED37EB" w:rsidRPr="00ED37EB">
              <w:rPr>
                <w:rFonts w:cs="Arial"/>
                <w:b/>
                <w:color w:val="222222"/>
                <w:shd w:val="clear" w:color="auto" w:fill="FFFFFF"/>
              </w:rPr>
              <w:t>REDACTED</w:t>
            </w:r>
          </w:p>
          <w:p w14:paraId="3A329926" w14:textId="12179EC1" w:rsidR="005739FD" w:rsidRDefault="005739FD" w:rsidP="005739FD">
            <w:pPr>
              <w:spacing w:after="40"/>
              <w:rPr>
                <w:rFonts w:eastAsia="Arial" w:cs="Arial"/>
              </w:rPr>
            </w:pPr>
          </w:p>
        </w:tc>
        <w:tc>
          <w:tcPr>
            <w:tcW w:w="4510" w:type="dxa"/>
          </w:tcPr>
          <w:p w14:paraId="0ED20494" w14:textId="77777777" w:rsidR="00ED37EB" w:rsidRPr="00ED37EB" w:rsidRDefault="005739FD" w:rsidP="00ED37EB">
            <w:pPr>
              <w:rPr>
                <w:rFonts w:eastAsia="Times New Roman" w:cs="Arial"/>
                <w:b/>
                <w:szCs w:val="22"/>
                <w:lang w:eastAsia="en-US"/>
              </w:rPr>
            </w:pPr>
            <w:r>
              <w:rPr>
                <w:rFonts w:eastAsia="Arial" w:cs="Arial"/>
              </w:rPr>
              <w:t xml:space="preserve">Signature: </w:t>
            </w:r>
            <w:r w:rsidR="00ED37EB" w:rsidRPr="00ED37EB">
              <w:rPr>
                <w:rFonts w:cs="Arial"/>
                <w:b/>
                <w:color w:val="222222"/>
                <w:shd w:val="clear" w:color="auto" w:fill="FFFFFF"/>
              </w:rPr>
              <w:t>REDACTED</w:t>
            </w:r>
          </w:p>
          <w:p w14:paraId="422A1B53" w14:textId="34C694AB" w:rsidR="005739FD" w:rsidRDefault="005739FD" w:rsidP="005739FD">
            <w:pPr>
              <w:spacing w:after="40"/>
              <w:rPr>
                <w:rFonts w:eastAsia="Arial" w:cs="Arial"/>
              </w:rPr>
            </w:pPr>
          </w:p>
        </w:tc>
      </w:tr>
      <w:tr w:rsidR="005739FD" w14:paraId="205F9D35" w14:textId="77777777" w:rsidTr="005739FD">
        <w:tc>
          <w:tcPr>
            <w:tcW w:w="4509" w:type="dxa"/>
          </w:tcPr>
          <w:p w14:paraId="6AA3BA43" w14:textId="262D9F2B" w:rsidR="00ED37EB" w:rsidRPr="00ED37EB" w:rsidRDefault="005739FD" w:rsidP="00ED37EB">
            <w:pPr>
              <w:rPr>
                <w:rFonts w:eastAsia="Times New Roman" w:cs="Arial"/>
                <w:b/>
                <w:szCs w:val="22"/>
                <w:lang w:eastAsia="en-US"/>
              </w:rPr>
            </w:pPr>
            <w:r>
              <w:rPr>
                <w:rFonts w:eastAsia="Arial" w:cs="Arial"/>
              </w:rPr>
              <w:t>Date:</w:t>
            </w:r>
            <w:r w:rsidR="00ED37EB" w:rsidRPr="00ED37EB">
              <w:rPr>
                <w:rFonts w:cs="Arial"/>
                <w:b/>
                <w:color w:val="222222"/>
                <w:shd w:val="clear" w:color="auto" w:fill="FFFFFF"/>
              </w:rPr>
              <w:t xml:space="preserve"> </w:t>
            </w:r>
            <w:r w:rsidR="00ED37EB" w:rsidRPr="00ED37EB">
              <w:rPr>
                <w:rFonts w:cs="Arial"/>
                <w:b/>
                <w:color w:val="222222"/>
                <w:shd w:val="clear" w:color="auto" w:fill="FFFFFF"/>
              </w:rPr>
              <w:t>REDACTED</w:t>
            </w:r>
          </w:p>
          <w:p w14:paraId="6195A130" w14:textId="18481D6F" w:rsidR="005739FD" w:rsidRDefault="005739FD" w:rsidP="005739FD">
            <w:pPr>
              <w:spacing w:after="40"/>
              <w:rPr>
                <w:rFonts w:eastAsia="Arial" w:cs="Arial"/>
              </w:rPr>
            </w:pPr>
          </w:p>
        </w:tc>
        <w:tc>
          <w:tcPr>
            <w:tcW w:w="4510" w:type="dxa"/>
          </w:tcPr>
          <w:p w14:paraId="4A501A4E" w14:textId="7E0E02D7" w:rsidR="00ED37EB" w:rsidRPr="00ED37EB" w:rsidRDefault="005739FD" w:rsidP="00ED37EB">
            <w:pPr>
              <w:rPr>
                <w:rFonts w:eastAsia="Times New Roman" w:cs="Arial"/>
                <w:b/>
                <w:szCs w:val="22"/>
                <w:lang w:eastAsia="en-US"/>
              </w:rPr>
            </w:pPr>
            <w:r>
              <w:rPr>
                <w:rFonts w:eastAsia="Arial" w:cs="Arial"/>
              </w:rPr>
              <w:t>Date:</w:t>
            </w:r>
            <w:r w:rsidR="00ED37EB" w:rsidRPr="00ED37EB">
              <w:rPr>
                <w:rFonts w:cs="Arial"/>
                <w:b/>
                <w:color w:val="222222"/>
                <w:shd w:val="clear" w:color="auto" w:fill="FFFFFF"/>
              </w:rPr>
              <w:t xml:space="preserve"> </w:t>
            </w:r>
            <w:r w:rsidR="00ED37EB" w:rsidRPr="00ED37EB">
              <w:rPr>
                <w:rFonts w:cs="Arial"/>
                <w:b/>
                <w:color w:val="222222"/>
                <w:shd w:val="clear" w:color="auto" w:fill="FFFFFF"/>
              </w:rPr>
              <w:t>REDACTED</w:t>
            </w:r>
          </w:p>
          <w:p w14:paraId="4455886D" w14:textId="36B05C6E" w:rsidR="005739FD" w:rsidRDefault="005739FD" w:rsidP="005739FD">
            <w:pPr>
              <w:spacing w:after="40"/>
              <w:rPr>
                <w:rFonts w:eastAsia="Arial" w:cs="Arial"/>
              </w:rPr>
            </w:pPr>
          </w:p>
        </w:tc>
      </w:tr>
    </w:tbl>
    <w:p w14:paraId="67A028F3" w14:textId="77777777" w:rsidR="005739FD" w:rsidRDefault="005739FD" w:rsidP="005739FD">
      <w:pPr>
        <w:spacing w:after="40"/>
        <w:rPr>
          <w:rFonts w:eastAsia="Arial" w:cs="Arial"/>
        </w:rPr>
      </w:pP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0B589B" w:rsidRDefault="000B589B">
      <w:pPr>
        <w:spacing w:line="20" w:lineRule="exact"/>
      </w:pPr>
    </w:p>
  </w:endnote>
  <w:endnote w:type="continuationSeparator" w:id="0">
    <w:p w14:paraId="0DA0E19E" w14:textId="77777777" w:rsidR="000B589B" w:rsidRDefault="000B589B">
      <w:pPr>
        <w:spacing w:line="20" w:lineRule="exact"/>
      </w:pPr>
      <w:r>
        <w:t xml:space="preserve"> </w:t>
      </w:r>
    </w:p>
  </w:endnote>
  <w:endnote w:type="continuationNotice" w:id="1">
    <w:p w14:paraId="397CC4BC" w14:textId="77777777" w:rsidR="000B589B" w:rsidRDefault="000B589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0B589B" w:rsidRDefault="000B589B"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B589B" w:rsidRDefault="000B589B"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B589B" w:rsidRDefault="000B589B"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0B589B" w:rsidRPr="00C34E12" w:rsidRDefault="000B589B"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B589B" w:rsidRDefault="000B589B"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0B589B" w:rsidRPr="00A65391" w:rsidRDefault="000B589B"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0B589B" w:rsidRPr="00CE50FE" w:rsidRDefault="000B589B" w:rsidP="00F70073">
        <w:pPr>
          <w:pStyle w:val="Footer"/>
          <w:pBdr>
            <w:top w:val="single" w:sz="4" w:space="1" w:color="auto"/>
          </w:pBdr>
          <w:jc w:val="center"/>
          <w:rPr>
            <w:sz w:val="20"/>
            <w:szCs w:val="20"/>
          </w:rPr>
        </w:pPr>
        <w:r w:rsidRPr="00CE50FE">
          <w:rPr>
            <w:sz w:val="20"/>
            <w:szCs w:val="20"/>
          </w:rPr>
          <w:t>OFFICIAL</w:t>
        </w:r>
      </w:p>
      <w:p w14:paraId="6369C02F" w14:textId="77777777" w:rsidR="000B589B" w:rsidRPr="00CE50FE" w:rsidRDefault="000B589B"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0B589B" w:rsidRPr="00CE50FE" w:rsidRDefault="000B589B"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CF0C7A7" w:rsidR="000B589B" w:rsidRPr="00CE50FE" w:rsidRDefault="000B589B" w:rsidP="00F70073">
        <w:pPr>
          <w:pStyle w:val="Footer"/>
          <w:pBdr>
            <w:top w:val="single" w:sz="4" w:space="1" w:color="auto"/>
          </w:pBdr>
          <w:jc w:val="right"/>
          <w:rPr>
            <w:sz w:val="20"/>
            <w:szCs w:val="20"/>
          </w:rPr>
        </w:pPr>
        <w:r>
          <w:rPr>
            <w:sz w:val="20"/>
            <w:szCs w:val="20"/>
          </w:rPr>
          <w:t>V1.0 14/12/2020</w:t>
        </w:r>
      </w:p>
      <w:p w14:paraId="3085C604" w14:textId="70863CBA" w:rsidR="000B589B" w:rsidRDefault="000B589B"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73DCD">
          <w:rPr>
            <w:noProof/>
            <w:sz w:val="20"/>
            <w:szCs w:val="20"/>
          </w:rPr>
          <w:t>30</w:t>
        </w:r>
        <w:r w:rsidRPr="00CE50FE">
          <w:rPr>
            <w:noProof/>
            <w:sz w:val="20"/>
            <w:szCs w:val="20"/>
          </w:rPr>
          <w:fldChar w:fldCharType="end"/>
        </w:r>
      </w:p>
    </w:sdtContent>
  </w:sdt>
  <w:p w14:paraId="170A480B" w14:textId="77777777" w:rsidR="000B589B" w:rsidRPr="00360755" w:rsidRDefault="000B589B"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0B589B" w:rsidRDefault="000B589B">
      <w:r>
        <w:separator/>
      </w:r>
    </w:p>
  </w:footnote>
  <w:footnote w:type="continuationSeparator" w:id="0">
    <w:p w14:paraId="29CDF82A" w14:textId="77777777" w:rsidR="000B589B" w:rsidRDefault="000B589B">
      <w:r>
        <w:continuationSeparator/>
      </w:r>
    </w:p>
  </w:footnote>
  <w:footnote w:type="continuationNotice" w:id="1">
    <w:p w14:paraId="3158D084" w14:textId="77777777" w:rsidR="000B589B" w:rsidRDefault="000B58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0B589B" w:rsidRDefault="000B589B"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0B589B" w:rsidRDefault="000B589B" w:rsidP="00F3190B">
    <w:pPr>
      <w:pStyle w:val="Header"/>
      <w:jc w:val="center"/>
      <w:rPr>
        <w:b/>
      </w:rPr>
    </w:pPr>
  </w:p>
  <w:p w14:paraId="64559850" w14:textId="77777777" w:rsidR="000B589B" w:rsidRDefault="000B589B"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2E192EC3" w:rsidR="000B589B" w:rsidRDefault="000B589B"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0B589B" w:rsidRDefault="000B589B"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1FED4DA" w14:textId="6A25D345" w:rsidR="000B589B" w:rsidRDefault="000B589B" w:rsidP="00084F7C">
    <w:pPr>
      <w:shd w:val="clear" w:color="auto" w:fill="FFFFFF"/>
      <w:jc w:val="center"/>
      <w:rPr>
        <w:rFonts w:cs="Arial"/>
        <w:sz w:val="20"/>
        <w:szCs w:val="20"/>
      </w:rPr>
    </w:pPr>
    <w:r w:rsidRPr="00084F7C">
      <w:rPr>
        <w:rFonts w:cs="Arial"/>
        <w:sz w:val="20"/>
        <w:szCs w:val="20"/>
      </w:rPr>
      <w:t>The Provision of Credit Benchmark's data for UKGI</w:t>
    </w:r>
  </w:p>
  <w:p w14:paraId="4826E59E" w14:textId="0F74586A" w:rsidR="000B589B" w:rsidRPr="00084F7C" w:rsidRDefault="000B589B" w:rsidP="00084F7C">
    <w:pPr>
      <w:shd w:val="clear" w:color="auto" w:fill="FFFFFF"/>
      <w:jc w:val="center"/>
      <w:rPr>
        <w:rFonts w:cs="Arial"/>
        <w:sz w:val="20"/>
        <w:szCs w:val="20"/>
      </w:rPr>
    </w:pPr>
    <w:r>
      <w:rPr>
        <w:rFonts w:cs="Arial"/>
        <w:sz w:val="20"/>
        <w:szCs w:val="20"/>
      </w:rPr>
      <w:t>CCFI20A18</w:t>
    </w:r>
  </w:p>
  <w:p w14:paraId="68388EBA" w14:textId="77777777" w:rsidR="000B589B" w:rsidRDefault="000B589B"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10767C2"/>
    <w:multiLevelType w:val="multilevel"/>
    <w:tmpl w:val="9C9A3F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24F0DDE"/>
    <w:multiLevelType w:val="multilevel"/>
    <w:tmpl w:val="43185F1A"/>
    <w:lvl w:ilvl="0">
      <w:start w:val="1"/>
      <w:numFmt w:val="lowerLetter"/>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43F71CA4"/>
    <w:multiLevelType w:val="multilevel"/>
    <w:tmpl w:val="1332CCD4"/>
    <w:numStyleLink w:val="111111"/>
  </w:abstractNum>
  <w:abstractNum w:abstractNumId="2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7A41DEC"/>
    <w:multiLevelType w:val="multilevel"/>
    <w:tmpl w:val="4008E552"/>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4"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18"/>
  </w:num>
  <w:num w:numId="4">
    <w:abstractNumId w:val="19"/>
  </w:num>
  <w:num w:numId="5">
    <w:abstractNumId w:val="5"/>
  </w:num>
  <w:num w:numId="6">
    <w:abstractNumId w:val="31"/>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40"/>
  </w:num>
  <w:num w:numId="17">
    <w:abstractNumId w:val="9"/>
  </w:num>
  <w:num w:numId="18">
    <w:abstractNumId w:val="24"/>
  </w:num>
  <w:num w:numId="19">
    <w:abstractNumId w:val="21"/>
  </w:num>
  <w:num w:numId="20">
    <w:abstractNumId w:val="36"/>
  </w:num>
  <w:num w:numId="21">
    <w:abstractNumId w:val="14"/>
  </w:num>
  <w:num w:numId="22">
    <w:abstractNumId w:val="43"/>
  </w:num>
  <w:num w:numId="23">
    <w:abstractNumId w:val="16"/>
  </w:num>
  <w:num w:numId="24">
    <w:abstractNumId w:val="35"/>
  </w:num>
  <w:num w:numId="25">
    <w:abstractNumId w:val="23"/>
  </w:num>
  <w:num w:numId="26">
    <w:abstractNumId w:val="27"/>
  </w:num>
  <w:num w:numId="27">
    <w:abstractNumId w:val="42"/>
  </w:num>
  <w:num w:numId="28">
    <w:abstractNumId w:val="47"/>
  </w:num>
  <w:num w:numId="29">
    <w:abstractNumId w:val="20"/>
  </w:num>
  <w:num w:numId="30">
    <w:abstractNumId w:val="28"/>
  </w:num>
  <w:num w:numId="31">
    <w:abstractNumId w:val="38"/>
  </w:num>
  <w:num w:numId="32">
    <w:abstractNumId w:val="37"/>
  </w:num>
  <w:num w:numId="33">
    <w:abstractNumId w:val="46"/>
  </w:num>
  <w:num w:numId="34">
    <w:abstractNumId w:val="17"/>
  </w:num>
  <w:num w:numId="35">
    <w:abstractNumId w:val="34"/>
  </w:num>
  <w:num w:numId="36">
    <w:abstractNumId w:val="25"/>
  </w:num>
  <w:num w:numId="37">
    <w:abstractNumId w:val="8"/>
  </w:num>
  <w:num w:numId="38">
    <w:abstractNumId w:val="30"/>
  </w:num>
  <w:num w:numId="39">
    <w:abstractNumId w:val="39"/>
  </w:num>
  <w:num w:numId="40">
    <w:abstractNumId w:val="13"/>
  </w:num>
  <w:num w:numId="41">
    <w:abstractNumId w:val="41"/>
  </w:num>
  <w:num w:numId="42">
    <w:abstractNumId w:val="44"/>
  </w:num>
  <w:num w:numId="43">
    <w:abstractNumId w:val="29"/>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84F7C"/>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89B"/>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410A"/>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393E"/>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39FD"/>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122F"/>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3DCD"/>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7EB"/>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5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216503574">
      <w:bodyDiv w:val="1"/>
      <w:marLeft w:val="0"/>
      <w:marRight w:val="0"/>
      <w:marTop w:val="0"/>
      <w:marBottom w:val="0"/>
      <w:divBdr>
        <w:top w:val="none" w:sz="0" w:space="0" w:color="auto"/>
        <w:left w:val="none" w:sz="0" w:space="0" w:color="auto"/>
        <w:bottom w:val="none" w:sz="0" w:space="0" w:color="auto"/>
        <w:right w:val="none" w:sz="0" w:space="0" w:color="auto"/>
      </w:divBdr>
      <w:divsChild>
        <w:div w:id="1906985669">
          <w:marLeft w:val="0"/>
          <w:marRight w:val="0"/>
          <w:marTop w:val="0"/>
          <w:marBottom w:val="0"/>
          <w:divBdr>
            <w:top w:val="none" w:sz="0" w:space="0" w:color="auto"/>
            <w:left w:val="none" w:sz="0" w:space="0" w:color="auto"/>
            <w:bottom w:val="none" w:sz="0" w:space="0" w:color="auto"/>
            <w:right w:val="none" w:sz="0" w:space="0" w:color="auto"/>
          </w:divBdr>
        </w:div>
      </w:divsChild>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D7DEDF5-5483-4E54-9E62-F134DBD7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30</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63501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Tjay Singh</cp:lastModifiedBy>
  <cp:revision>2</cp:revision>
  <cp:lastPrinted>2012-12-10T12:26:00Z</cp:lastPrinted>
  <dcterms:created xsi:type="dcterms:W3CDTF">2020-12-23T12:09:00Z</dcterms:created>
  <dcterms:modified xsi:type="dcterms:W3CDTF">2020-12-23T12:09:00Z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