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8A53" w14:textId="44E4F66E" w:rsidR="000607F7" w:rsidRDefault="00646781" w:rsidP="0047546E">
      <w:pPr>
        <w:pStyle w:val="Coverandsuperheadline"/>
      </w:pPr>
      <w:r>
        <w:t xml:space="preserve">Request for </w:t>
      </w:r>
      <w:r w:rsidR="001E226F">
        <w:t>Expression of Interest</w:t>
      </w:r>
      <w:r>
        <w:t xml:space="preserve"> </w:t>
      </w:r>
      <w:r w:rsidR="00E22D5E">
        <w:t xml:space="preserve"> for Electoral Commission Board effectiveness review</w:t>
      </w:r>
      <w:r w:rsidR="00351665">
        <w:t xml:space="preserve"> 2023/24</w:t>
      </w:r>
    </w:p>
    <w:p w14:paraId="4C0B9028" w14:textId="733250C5" w:rsidR="001E226F" w:rsidRDefault="001E226F" w:rsidP="001E226F">
      <w:pPr>
        <w:rPr>
          <w:sz w:val="36"/>
          <w:szCs w:val="36"/>
        </w:rPr>
      </w:pPr>
      <w:r w:rsidRPr="00C65E73">
        <w:rPr>
          <w:sz w:val="36"/>
          <w:szCs w:val="36"/>
        </w:rPr>
        <w:t>Contract reference: C0145-MP-AX</w:t>
      </w:r>
    </w:p>
    <w:p w14:paraId="6FD58564" w14:textId="66EB7128" w:rsidR="00FF505C" w:rsidRDefault="00FF505C" w:rsidP="001E226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1610942" w14:textId="77777777" w:rsidR="001E226F" w:rsidRDefault="001E226F" w:rsidP="001E226F">
      <w:pPr>
        <w:rPr>
          <w:sz w:val="36"/>
          <w:szCs w:val="36"/>
        </w:rPr>
      </w:pPr>
    </w:p>
    <w:p w14:paraId="4C634309" w14:textId="2F9EE4E8" w:rsidR="008607EF" w:rsidRPr="00C65E73" w:rsidRDefault="008607EF" w:rsidP="008607EF">
      <w:pPr>
        <w:rPr>
          <w:b/>
          <w:sz w:val="32"/>
          <w:szCs w:val="32"/>
        </w:rPr>
      </w:pPr>
      <w:r w:rsidRPr="00C65E73">
        <w:rPr>
          <w:b/>
          <w:sz w:val="32"/>
          <w:szCs w:val="32"/>
          <w:u w:val="single"/>
        </w:rPr>
        <w:t>PLEASE NOTE:</w:t>
      </w:r>
      <w:r w:rsidRPr="00C65E73">
        <w:rPr>
          <w:b/>
          <w:sz w:val="32"/>
          <w:szCs w:val="32"/>
        </w:rPr>
        <w:t xml:space="preserve">  No formal tender response is required</w:t>
      </w:r>
      <w:r w:rsidR="008A776B">
        <w:rPr>
          <w:b/>
          <w:sz w:val="32"/>
          <w:szCs w:val="32"/>
        </w:rPr>
        <w:t xml:space="preserve"> </w:t>
      </w:r>
      <w:r w:rsidR="004278E5" w:rsidRPr="00EB1F84">
        <w:rPr>
          <w:b/>
          <w:sz w:val="32"/>
          <w:szCs w:val="32"/>
        </w:rPr>
        <w:t>for this request for an Expression of Interest (EOI)</w:t>
      </w:r>
      <w:r w:rsidRPr="00C65E73">
        <w:rPr>
          <w:b/>
          <w:sz w:val="32"/>
          <w:szCs w:val="32"/>
        </w:rPr>
        <w:t>, either as a Technical proposal or as a price submission.</w:t>
      </w:r>
    </w:p>
    <w:p w14:paraId="170F8FBB" w14:textId="5A8A06D4" w:rsidR="008607EF" w:rsidRPr="00C65E73" w:rsidRDefault="008607EF" w:rsidP="008607EF">
      <w:pPr>
        <w:rPr>
          <w:b/>
          <w:sz w:val="32"/>
          <w:szCs w:val="32"/>
        </w:rPr>
      </w:pPr>
      <w:r w:rsidRPr="00C65E73">
        <w:rPr>
          <w:b/>
          <w:sz w:val="32"/>
          <w:szCs w:val="32"/>
        </w:rPr>
        <w:t xml:space="preserve">PLEASE </w:t>
      </w:r>
      <w:r w:rsidR="00C91138">
        <w:rPr>
          <w:b/>
          <w:sz w:val="32"/>
          <w:szCs w:val="32"/>
        </w:rPr>
        <w:t xml:space="preserve">JUST </w:t>
      </w:r>
      <w:r w:rsidRPr="00C65E73">
        <w:rPr>
          <w:b/>
          <w:sz w:val="32"/>
          <w:szCs w:val="32"/>
        </w:rPr>
        <w:t xml:space="preserve">CONFIRM INTEREST </w:t>
      </w:r>
      <w:r w:rsidR="00D57F22" w:rsidRPr="00C65E73">
        <w:rPr>
          <w:b/>
          <w:sz w:val="32"/>
          <w:szCs w:val="32"/>
        </w:rPr>
        <w:t xml:space="preserve">IN </w:t>
      </w:r>
      <w:r w:rsidR="00AA3BB5" w:rsidRPr="00C65E73">
        <w:rPr>
          <w:b/>
          <w:sz w:val="32"/>
          <w:szCs w:val="32"/>
        </w:rPr>
        <w:t xml:space="preserve">BEING CONSIDERED FOR ANY </w:t>
      </w:r>
      <w:r w:rsidR="00612B19" w:rsidRPr="00EB1F84">
        <w:rPr>
          <w:b/>
          <w:sz w:val="32"/>
          <w:szCs w:val="32"/>
        </w:rPr>
        <w:t xml:space="preserve">POTENTIAL </w:t>
      </w:r>
      <w:r w:rsidR="007D3A5E" w:rsidRPr="00EB1F84">
        <w:rPr>
          <w:b/>
          <w:sz w:val="32"/>
          <w:szCs w:val="32"/>
        </w:rPr>
        <w:t xml:space="preserve">SUBSEQUENT </w:t>
      </w:r>
      <w:r w:rsidR="00612B19" w:rsidRPr="00EB1F84">
        <w:rPr>
          <w:b/>
          <w:sz w:val="32"/>
          <w:szCs w:val="32"/>
        </w:rPr>
        <w:t>INVITATION TO</w:t>
      </w:r>
      <w:r w:rsidR="00AA3BB5" w:rsidRPr="00C65E73">
        <w:rPr>
          <w:b/>
          <w:sz w:val="32"/>
          <w:szCs w:val="32"/>
        </w:rPr>
        <w:t xml:space="preserve"> </w:t>
      </w:r>
      <w:r w:rsidR="00C21B62" w:rsidRPr="00C65E73">
        <w:rPr>
          <w:b/>
          <w:sz w:val="32"/>
          <w:szCs w:val="32"/>
        </w:rPr>
        <w:t xml:space="preserve">TENDER </w:t>
      </w:r>
      <w:r w:rsidRPr="00C65E73">
        <w:rPr>
          <w:b/>
          <w:sz w:val="32"/>
          <w:szCs w:val="32"/>
        </w:rPr>
        <w:t xml:space="preserve">TO THE CUSTOMER CONTACT ON PAGE </w:t>
      </w:r>
      <w:r w:rsidR="00AC7600" w:rsidRPr="00EB1F84">
        <w:rPr>
          <w:b/>
          <w:sz w:val="32"/>
          <w:szCs w:val="32"/>
        </w:rPr>
        <w:t>6</w:t>
      </w:r>
      <w:r w:rsidR="00372276">
        <w:rPr>
          <w:b/>
          <w:sz w:val="32"/>
          <w:szCs w:val="32"/>
        </w:rPr>
        <w:t>, by</w:t>
      </w:r>
      <w:r w:rsidR="00094D48">
        <w:rPr>
          <w:b/>
          <w:sz w:val="32"/>
          <w:szCs w:val="32"/>
        </w:rPr>
        <w:t xml:space="preserve"> </w:t>
      </w:r>
      <w:r w:rsidR="00333BDC">
        <w:rPr>
          <w:b/>
          <w:sz w:val="32"/>
          <w:szCs w:val="32"/>
        </w:rPr>
        <w:t>18/05/2023</w:t>
      </w:r>
      <w:r w:rsidR="00094D48">
        <w:rPr>
          <w:b/>
          <w:sz w:val="32"/>
          <w:szCs w:val="32"/>
        </w:rPr>
        <w:t>.</w:t>
      </w:r>
      <w:r w:rsidRPr="00C65E73">
        <w:rPr>
          <w:b/>
          <w:sz w:val="32"/>
          <w:szCs w:val="32"/>
        </w:rPr>
        <w:t xml:space="preserve"> </w:t>
      </w:r>
    </w:p>
    <w:p w14:paraId="1EC17895" w14:textId="77777777" w:rsidR="00815844" w:rsidRPr="00C65E73" w:rsidRDefault="00815844" w:rsidP="00C65E73">
      <w:pPr>
        <w:rPr>
          <w:sz w:val="36"/>
          <w:szCs w:val="36"/>
        </w:rPr>
      </w:pPr>
    </w:p>
    <w:p w14:paraId="60038B4F" w14:textId="77777777" w:rsidR="00096741" w:rsidRPr="001D2541" w:rsidRDefault="00096741" w:rsidP="00096741">
      <w:pPr>
        <w:pStyle w:val="B-head"/>
      </w:pPr>
      <w:r>
        <w:t>Who we are and what we do</w:t>
      </w:r>
    </w:p>
    <w:p w14:paraId="03044AF7" w14:textId="5E58A53E" w:rsidR="00096741" w:rsidRDefault="00096741" w:rsidP="00096741">
      <w:pPr>
        <w:pStyle w:val="Body"/>
      </w:pPr>
      <w:r w:rsidRPr="00C763E8">
        <w:t>The Commission is the independent body which oversees elections and regulates political finance in the UK. We work to promote public confidence in the democratic process and ensure its integrity.</w:t>
      </w:r>
    </w:p>
    <w:p w14:paraId="56BCA378" w14:textId="40F61635" w:rsidR="00EE5743" w:rsidRDefault="00EE5743" w:rsidP="00541CC2">
      <w:pPr>
        <w:pStyle w:val="Body"/>
        <w:ind w:left="70"/>
      </w:pPr>
      <w:r>
        <w:t xml:space="preserve">The Commission Board is comprised of ten commissioners who are nominated with different interests </w:t>
      </w:r>
      <w:r w:rsidR="0072227E">
        <w:t xml:space="preserve">which </w:t>
      </w:r>
      <w:r>
        <w:t xml:space="preserve">include the nations of the UK and </w:t>
      </w:r>
      <w:r w:rsidR="0072227E">
        <w:t xml:space="preserve">nominations from </w:t>
      </w:r>
      <w:r>
        <w:t>political parties. The Board meet</w:t>
      </w:r>
      <w:r w:rsidR="00351665">
        <w:t>s</w:t>
      </w:r>
      <w:r>
        <w:t xml:space="preserve"> ten times a year, with the</w:t>
      </w:r>
      <w:r w:rsidR="00F32B4F">
        <w:t xml:space="preserve"> </w:t>
      </w:r>
      <w:r>
        <w:t>Executive Team</w:t>
      </w:r>
      <w:r w:rsidR="00F32B4F">
        <w:t>,</w:t>
      </w:r>
      <w:r>
        <w:t xml:space="preserve"> in attendance and an </w:t>
      </w:r>
      <w:r w:rsidR="004C0359">
        <w:t xml:space="preserve">Independent </w:t>
      </w:r>
      <w:r>
        <w:t xml:space="preserve">Adviser </w:t>
      </w:r>
      <w:r w:rsidR="00F32B4F">
        <w:t xml:space="preserve">to the Board on Equality Diversity and Inclusion. The Board holds more informal events across the country </w:t>
      </w:r>
      <w:r w:rsidR="000443F4">
        <w:t xml:space="preserve">for </w:t>
      </w:r>
      <w:r w:rsidR="00F32B4F">
        <w:t>in</w:t>
      </w:r>
      <w:r w:rsidR="00541CC2">
        <w:t>-</w:t>
      </w:r>
      <w:r w:rsidR="00F32B4F">
        <w:t>depth</w:t>
      </w:r>
      <w:r w:rsidR="00351665" w:rsidRPr="00351665">
        <w:t xml:space="preserve"> </w:t>
      </w:r>
      <w:r w:rsidR="000443F4">
        <w:t xml:space="preserve">focus </w:t>
      </w:r>
      <w:r w:rsidR="00351665">
        <w:t xml:space="preserve">on </w:t>
      </w:r>
      <w:r w:rsidR="0072227E">
        <w:t xml:space="preserve">relevant </w:t>
      </w:r>
      <w:r w:rsidR="00351665">
        <w:t>issues</w:t>
      </w:r>
      <w:r w:rsidR="00F32B4F">
        <w:t>.</w:t>
      </w:r>
    </w:p>
    <w:p w14:paraId="46253A46" w14:textId="333DD30B" w:rsidR="00877060" w:rsidRDefault="00D72933" w:rsidP="00877060">
      <w:pPr>
        <w:pStyle w:val="Body"/>
      </w:pPr>
      <w:r>
        <w:t>The</w:t>
      </w:r>
      <w:r w:rsidR="00877060">
        <w:t>re are</w:t>
      </w:r>
      <w:r>
        <w:t xml:space="preserve"> two committees</w:t>
      </w:r>
      <w:r w:rsidR="00877060">
        <w:t xml:space="preserve"> of the Board</w:t>
      </w:r>
      <w:r>
        <w:t>, The Audit and Risk</w:t>
      </w:r>
      <w:r w:rsidR="004C0359">
        <w:t xml:space="preserve"> Assurance</w:t>
      </w:r>
      <w:r>
        <w:t xml:space="preserve"> Committee, (AR</w:t>
      </w:r>
      <w:r w:rsidR="00C04C45">
        <w:t>A</w:t>
      </w:r>
      <w:r>
        <w:t xml:space="preserve">C) and the </w:t>
      </w:r>
      <w:r w:rsidR="002E4B72">
        <w:t>Remuneration and Human Resources Committee, (</w:t>
      </w:r>
      <w:proofErr w:type="spellStart"/>
      <w:r w:rsidR="002E4B72">
        <w:t>RemCo</w:t>
      </w:r>
      <w:proofErr w:type="spellEnd"/>
      <w:r w:rsidR="002E4B72">
        <w:t>), each</w:t>
      </w:r>
      <w:r>
        <w:t xml:space="preserve"> Chaired by a commissioner</w:t>
      </w:r>
      <w:r w:rsidR="002E4B72">
        <w:t>.</w:t>
      </w:r>
      <w:r w:rsidR="00877060" w:rsidRPr="00877060">
        <w:t xml:space="preserve"> </w:t>
      </w:r>
    </w:p>
    <w:p w14:paraId="1DD82636" w14:textId="7DCCD85F" w:rsidR="00D72933" w:rsidRDefault="00877060" w:rsidP="001D0C04">
      <w:pPr>
        <w:pStyle w:val="Body"/>
      </w:pPr>
      <w:r>
        <w:t>The Executive Team consists of the Chief Executive and four Directors, plus the General Council, (Board Secretary), in attendance.</w:t>
      </w:r>
    </w:p>
    <w:p w14:paraId="698605B6" w14:textId="56237043" w:rsidR="00E22D5E" w:rsidRDefault="00E22D5E" w:rsidP="00C763E8">
      <w:pPr>
        <w:pStyle w:val="B-head"/>
      </w:pPr>
      <w:r>
        <w:t>Period of this review</w:t>
      </w:r>
    </w:p>
    <w:p w14:paraId="5595F3F4" w14:textId="4929A76A" w:rsidR="00D72933" w:rsidRDefault="00D72933" w:rsidP="00D72933">
      <w:pPr>
        <w:pStyle w:val="Body"/>
      </w:pPr>
      <w:r>
        <w:t>It is the intention to begin the</w:t>
      </w:r>
      <w:r w:rsidR="00C65E73">
        <w:t xml:space="preserve"> review</w:t>
      </w:r>
      <w:r>
        <w:t xml:space="preserve"> in </w:t>
      </w:r>
      <w:r w:rsidR="000443F4">
        <w:t xml:space="preserve">early summer </w:t>
      </w:r>
      <w:r>
        <w:t>2023 with a</w:t>
      </w:r>
      <w:r w:rsidR="004C0359">
        <w:t>n interim report in October, and</w:t>
      </w:r>
      <w:r>
        <w:t xml:space="preserve"> final report in March 2024</w:t>
      </w:r>
    </w:p>
    <w:p w14:paraId="74BCB380" w14:textId="77777777" w:rsidR="00E22D5E" w:rsidRPr="00D72933" w:rsidRDefault="00E22D5E" w:rsidP="00D72933">
      <w:pPr>
        <w:pStyle w:val="Body"/>
        <w:rPr>
          <w:b/>
          <w:bCs/>
        </w:rPr>
      </w:pPr>
      <w:r w:rsidRPr="00D72933">
        <w:rPr>
          <w:b/>
          <w:bCs/>
        </w:rPr>
        <w:t>Basis for this Review</w:t>
      </w:r>
    </w:p>
    <w:p w14:paraId="063F29DE" w14:textId="76B26861" w:rsidR="00333194" w:rsidRDefault="002E4B72" w:rsidP="00333194">
      <w:pPr>
        <w:pStyle w:val="Body"/>
      </w:pPr>
      <w:r>
        <w:t>The Electoral Commission has an ongoing commitment to improvement</w:t>
      </w:r>
      <w:r w:rsidR="0072227E">
        <w:t>,</w:t>
      </w:r>
      <w:r>
        <w:t xml:space="preserve"> as part of this we annually undertake an internal review of performance</w:t>
      </w:r>
      <w:r w:rsidR="00541CC2">
        <w:t xml:space="preserve"> and </w:t>
      </w:r>
      <w:r w:rsidR="0072227E">
        <w:t>a commissioner skills</w:t>
      </w:r>
      <w:r w:rsidR="00541CC2">
        <w:t xml:space="preserve"> </w:t>
      </w:r>
      <w:r w:rsidR="0072227E">
        <w:t xml:space="preserve">and interests </w:t>
      </w:r>
      <w:r w:rsidR="00541CC2">
        <w:t>audit</w:t>
      </w:r>
      <w:r>
        <w:t>. This provides us with the opportunity</w:t>
      </w:r>
      <w:r w:rsidR="0072227E">
        <w:t xml:space="preserve"> to</w:t>
      </w:r>
      <w:r>
        <w:t xml:space="preserve"> identify areas of improvement.</w:t>
      </w:r>
    </w:p>
    <w:p w14:paraId="4035E092" w14:textId="77777777" w:rsidR="00C763E8" w:rsidRPr="001D2541" w:rsidRDefault="00C763E8" w:rsidP="001D0C04">
      <w:pPr>
        <w:pStyle w:val="B-head"/>
        <w:keepNext/>
      </w:pPr>
      <w:r>
        <w:lastRenderedPageBreak/>
        <w:t>Scope of work</w:t>
      </w:r>
    </w:p>
    <w:p w14:paraId="6DF52058" w14:textId="3C5B2817" w:rsidR="00333194" w:rsidRDefault="00333194" w:rsidP="001D0C04">
      <w:pPr>
        <w:pStyle w:val="Body"/>
        <w:keepNext/>
      </w:pPr>
      <w:r>
        <w:t>To enable the Commission to gain a greater understanding of our strengths, weaknesses and how we can do better the Board ha</w:t>
      </w:r>
      <w:r w:rsidR="00C131F3">
        <w:t>s</w:t>
      </w:r>
      <w:r>
        <w:t xml:space="preserve"> </w:t>
      </w:r>
      <w:r w:rsidR="002B5075">
        <w:t xml:space="preserve">agreed </w:t>
      </w:r>
      <w:r>
        <w:t xml:space="preserve">that an </w:t>
      </w:r>
      <w:r w:rsidR="00790B4F">
        <w:t xml:space="preserve">independent </w:t>
      </w:r>
      <w:r>
        <w:t xml:space="preserve">external Board effectiveness review be undertaken. </w:t>
      </w:r>
    </w:p>
    <w:p w14:paraId="6FE6D1F7" w14:textId="30AA2819" w:rsidR="00333194" w:rsidRDefault="00333194" w:rsidP="00096741">
      <w:pPr>
        <w:pStyle w:val="Body"/>
        <w:keepNext/>
      </w:pPr>
      <w:r>
        <w:t xml:space="preserve">Both the Chair and the Chief Executive have a </w:t>
      </w:r>
      <w:r w:rsidR="004C0359">
        <w:t>“</w:t>
      </w:r>
      <w:r w:rsidR="00541CC2">
        <w:t>o</w:t>
      </w:r>
      <w:r>
        <w:t xml:space="preserve">ne </w:t>
      </w:r>
      <w:r w:rsidR="00541CC2">
        <w:t>t</w:t>
      </w:r>
      <w:r>
        <w:t>eam</w:t>
      </w:r>
      <w:r w:rsidR="004C0359">
        <w:t>”</w:t>
      </w:r>
      <w:r>
        <w:t xml:space="preserve"> vision for the Commission to </w:t>
      </w:r>
      <w:r w:rsidR="00B23372">
        <w:t xml:space="preserve">include </w:t>
      </w:r>
      <w:r>
        <w:t xml:space="preserve">the Board, the Executive Team and staff. </w:t>
      </w:r>
    </w:p>
    <w:p w14:paraId="0511F6A2" w14:textId="77777777" w:rsidR="00C763E8" w:rsidRDefault="00C763E8" w:rsidP="00096741">
      <w:pPr>
        <w:pStyle w:val="Body"/>
        <w:keepNext/>
      </w:pPr>
      <w:r>
        <w:t xml:space="preserve">We anticipate that this </w:t>
      </w:r>
      <w:r w:rsidR="00B23372">
        <w:t xml:space="preserve">effectiveness </w:t>
      </w:r>
      <w:r>
        <w:t>review will</w:t>
      </w:r>
      <w:r w:rsidR="00B23372">
        <w:t xml:space="preserve"> focus on</w:t>
      </w:r>
      <w:r>
        <w:t xml:space="preserve">: </w:t>
      </w:r>
    </w:p>
    <w:p w14:paraId="72159561" w14:textId="298BA0DE" w:rsidR="00C131F3" w:rsidRDefault="009850E2" w:rsidP="00C131F3">
      <w:pPr>
        <w:pStyle w:val="Body"/>
        <w:keepNext/>
        <w:numPr>
          <w:ilvl w:val="0"/>
          <w:numId w:val="36"/>
        </w:numPr>
      </w:pPr>
      <w:r>
        <w:t xml:space="preserve">The Board’s understanding of the organisation and its </w:t>
      </w:r>
      <w:r w:rsidR="00C131F3">
        <w:t xml:space="preserve">diverse </w:t>
      </w:r>
      <w:r>
        <w:t xml:space="preserve">stakeholders, strategic direction and operational environment </w:t>
      </w:r>
    </w:p>
    <w:p w14:paraId="703F745D" w14:textId="6E31EBF9" w:rsidR="009850E2" w:rsidRDefault="003D20A1" w:rsidP="00C131F3">
      <w:pPr>
        <w:pStyle w:val="Body"/>
        <w:keepNext/>
        <w:numPr>
          <w:ilvl w:val="0"/>
          <w:numId w:val="36"/>
        </w:numPr>
      </w:pPr>
      <w:r>
        <w:t>T</w:t>
      </w:r>
      <w:r w:rsidR="00C131F3">
        <w:t>he Board’s ability to set clear strategic objectives and measure the organisation’s performance against those objectives,</w:t>
      </w:r>
      <w:r w:rsidR="00C131F3" w:rsidRPr="00541CC2">
        <w:t xml:space="preserve"> </w:t>
      </w:r>
      <w:r w:rsidR="00C131F3">
        <w:t>including</w:t>
      </w:r>
      <w:r w:rsidR="00C131F3" w:rsidRPr="00C131F3">
        <w:t xml:space="preserve"> </w:t>
      </w:r>
      <w:r w:rsidR="00C131F3">
        <w:t xml:space="preserve">the Board’s ability to horizon scan and manage </w:t>
      </w:r>
      <w:r w:rsidR="00FC7FF7">
        <w:t xml:space="preserve">risk </w:t>
      </w:r>
      <w:r w:rsidR="00541CC2">
        <w:t xml:space="preserve">Board’s ability to work </w:t>
      </w:r>
      <w:r w:rsidR="006D715A">
        <w:t xml:space="preserve">together and </w:t>
      </w:r>
      <w:r w:rsidR="00541CC2">
        <w:t>as one team with</w:t>
      </w:r>
      <w:r w:rsidR="0072227E">
        <w:t xml:space="preserve"> the </w:t>
      </w:r>
      <w:r w:rsidR="00541CC2">
        <w:t>Executive Team</w:t>
      </w:r>
      <w:r w:rsidR="005C3858">
        <w:t xml:space="preserve"> and staff</w:t>
      </w:r>
      <w:r w:rsidR="00C131F3">
        <w:t>,</w:t>
      </w:r>
      <w:r w:rsidR="009850E2">
        <w:t xml:space="preserve"> including the ability of the Board to draw the best out of the Executive Team and the Executive Team’s ability to support the Board</w:t>
      </w:r>
      <w:r w:rsidR="00C131F3">
        <w:t xml:space="preserve"> effectively</w:t>
      </w:r>
    </w:p>
    <w:p w14:paraId="74566B10" w14:textId="394CF68D" w:rsidR="00B23372" w:rsidRDefault="00FA2A81" w:rsidP="00B23372">
      <w:pPr>
        <w:pStyle w:val="Body"/>
        <w:keepNext/>
        <w:numPr>
          <w:ilvl w:val="0"/>
          <w:numId w:val="36"/>
        </w:numPr>
      </w:pPr>
      <w:r>
        <w:t>The behaviours of</w:t>
      </w:r>
      <w:r w:rsidR="00BC4FBD">
        <w:t xml:space="preserve"> </w:t>
      </w:r>
      <w:r w:rsidR="00B23372">
        <w:t>Commissioner’s to express views and hear the views of others</w:t>
      </w:r>
    </w:p>
    <w:p w14:paraId="32563A87" w14:textId="77777777" w:rsidR="00B23372" w:rsidRDefault="00B23372" w:rsidP="00B23372">
      <w:pPr>
        <w:pStyle w:val="Body"/>
        <w:keepNext/>
        <w:numPr>
          <w:ilvl w:val="0"/>
          <w:numId w:val="36"/>
        </w:numPr>
      </w:pPr>
      <w:r>
        <w:t>Commissioner’s commitment to the best interests of the organisation, such as its core values and behaviours</w:t>
      </w:r>
    </w:p>
    <w:p w14:paraId="6A9E422E" w14:textId="77777777" w:rsidR="00C763E8" w:rsidRDefault="00C763E8" w:rsidP="00096741">
      <w:pPr>
        <w:pStyle w:val="B-head"/>
      </w:pPr>
      <w:r>
        <w:t>Review work methodology</w:t>
      </w:r>
    </w:p>
    <w:p w14:paraId="545DCB82" w14:textId="77777777" w:rsidR="00C763E8" w:rsidRDefault="00C763E8" w:rsidP="00C763E8">
      <w:pPr>
        <w:pStyle w:val="Body"/>
      </w:pPr>
      <w:r>
        <w:t xml:space="preserve">The </w:t>
      </w:r>
      <w:r w:rsidR="00ED3165">
        <w:t xml:space="preserve">Board effectiveness </w:t>
      </w:r>
      <w:r>
        <w:t>review’s methodology is expected to include the following:</w:t>
      </w:r>
    </w:p>
    <w:p w14:paraId="2D550A2D" w14:textId="1A715A6A" w:rsidR="00C763E8" w:rsidRDefault="00C763E8" w:rsidP="00790B4F">
      <w:pPr>
        <w:pStyle w:val="Body"/>
        <w:numPr>
          <w:ilvl w:val="0"/>
          <w:numId w:val="37"/>
        </w:numPr>
      </w:pPr>
      <w:r>
        <w:t xml:space="preserve">Subject to </w:t>
      </w:r>
      <w:r w:rsidR="00790B4F">
        <w:t xml:space="preserve">nondisclosure </w:t>
      </w:r>
      <w:r>
        <w:t xml:space="preserve">requirements: Examination of </w:t>
      </w:r>
      <w:r w:rsidR="00DF74D4">
        <w:t xml:space="preserve">governance </w:t>
      </w:r>
      <w:r>
        <w:t xml:space="preserve">documentation, records and </w:t>
      </w:r>
      <w:r w:rsidR="00DF74D4">
        <w:t xml:space="preserve">Board and Committee </w:t>
      </w:r>
      <w:r>
        <w:t>reports.</w:t>
      </w:r>
    </w:p>
    <w:p w14:paraId="327432EB" w14:textId="09A659D2" w:rsidR="00C763E8" w:rsidRDefault="00C763E8" w:rsidP="00790B4F">
      <w:pPr>
        <w:pStyle w:val="Body"/>
        <w:numPr>
          <w:ilvl w:val="0"/>
          <w:numId w:val="37"/>
        </w:numPr>
      </w:pPr>
      <w:r>
        <w:t xml:space="preserve">Subject to </w:t>
      </w:r>
      <w:r w:rsidR="00790B4F">
        <w:t xml:space="preserve">nondisclosure </w:t>
      </w:r>
      <w:r>
        <w:t>requirements: Observation of proceedings of Commission Board and committee meetings.</w:t>
      </w:r>
    </w:p>
    <w:p w14:paraId="2ED241A8" w14:textId="522F4A3F" w:rsidR="00C763E8" w:rsidRDefault="00C763E8" w:rsidP="00790B4F">
      <w:pPr>
        <w:pStyle w:val="Body"/>
        <w:numPr>
          <w:ilvl w:val="0"/>
          <w:numId w:val="37"/>
        </w:numPr>
      </w:pPr>
      <w:r>
        <w:t xml:space="preserve">Interviews (group and/or individual) with </w:t>
      </w:r>
      <w:r w:rsidR="0072227E">
        <w:t>B</w:t>
      </w:r>
      <w:r>
        <w:t xml:space="preserve">oard members, </w:t>
      </w:r>
      <w:r w:rsidR="009C0DF2">
        <w:t xml:space="preserve">Executive </w:t>
      </w:r>
      <w:r w:rsidR="00541CC2">
        <w:t>T</w:t>
      </w:r>
      <w:r w:rsidR="009C0DF2">
        <w:t xml:space="preserve">eam members </w:t>
      </w:r>
      <w:r>
        <w:t>and wider Commission staff</w:t>
      </w:r>
    </w:p>
    <w:p w14:paraId="3B91B985" w14:textId="2241DA5E" w:rsidR="00541CC2" w:rsidRDefault="0072227E" w:rsidP="00096741">
      <w:pPr>
        <w:pStyle w:val="C-head"/>
      </w:pPr>
      <w:r>
        <w:t>O</w:t>
      </w:r>
      <w:r w:rsidR="00DA58A5">
        <w:t xml:space="preserve">ther activity </w:t>
      </w:r>
      <w:r>
        <w:t xml:space="preserve">as agreed </w:t>
      </w:r>
      <w:r w:rsidR="00DA58A5">
        <w:t xml:space="preserve">necessary to produce a </w:t>
      </w:r>
      <w:r>
        <w:t xml:space="preserve">meaningful </w:t>
      </w:r>
      <w:r w:rsidR="00DA58A5">
        <w:t>assessment</w:t>
      </w:r>
    </w:p>
    <w:p w14:paraId="6086E806" w14:textId="2521C5F7" w:rsidR="00096741" w:rsidRDefault="00096741" w:rsidP="00096741">
      <w:pPr>
        <w:pStyle w:val="C-head"/>
      </w:pPr>
      <w:r>
        <w:t>Structure of reports</w:t>
      </w:r>
    </w:p>
    <w:p w14:paraId="32801DAD" w14:textId="0C91B9CB" w:rsidR="00541CC2" w:rsidRDefault="00790B4F" w:rsidP="00096741">
      <w:pPr>
        <w:pStyle w:val="Body"/>
      </w:pPr>
      <w:r>
        <w:t xml:space="preserve">The expectation of the Board is that there </w:t>
      </w:r>
      <w:r w:rsidR="00E43A32">
        <w:t xml:space="preserve">will be an interim internal </w:t>
      </w:r>
      <w:r>
        <w:t xml:space="preserve">Board effectiveness review </w:t>
      </w:r>
      <w:r w:rsidR="00E43A32">
        <w:t xml:space="preserve">report made available to the Chair and the Chief Executive. This will provide an opportunity to provide feedback to report authors and clarifications as required.  </w:t>
      </w:r>
    </w:p>
    <w:p w14:paraId="77FF341C" w14:textId="77777777" w:rsidR="00096741" w:rsidRDefault="00096741" w:rsidP="00096741">
      <w:pPr>
        <w:pStyle w:val="Body"/>
      </w:pPr>
      <w:r>
        <w:t xml:space="preserve">The </w:t>
      </w:r>
      <w:r w:rsidR="00ED3165">
        <w:t xml:space="preserve">interim report </w:t>
      </w:r>
      <w:r>
        <w:t>should have the following main sections:</w:t>
      </w:r>
    </w:p>
    <w:p w14:paraId="147F1434" w14:textId="5ECE82E0" w:rsidR="00096741" w:rsidRDefault="00096741" w:rsidP="000443F4">
      <w:pPr>
        <w:pStyle w:val="Body"/>
        <w:numPr>
          <w:ilvl w:val="0"/>
          <w:numId w:val="38"/>
        </w:numPr>
      </w:pPr>
      <w:r>
        <w:lastRenderedPageBreak/>
        <w:t xml:space="preserve">Executive Summary: </w:t>
      </w:r>
      <w:r w:rsidR="000447B9">
        <w:t xml:space="preserve">There is a requirement that this section </w:t>
      </w:r>
      <w:r>
        <w:t xml:space="preserve">provide a clear and </w:t>
      </w:r>
      <w:r w:rsidR="001C7162">
        <w:t xml:space="preserve">accessible </w:t>
      </w:r>
      <w:r>
        <w:t>summary of findings and recommendations</w:t>
      </w:r>
    </w:p>
    <w:p w14:paraId="6A36D672" w14:textId="2C95DED1" w:rsidR="00096741" w:rsidRDefault="00096741" w:rsidP="000443F4">
      <w:pPr>
        <w:pStyle w:val="Body"/>
        <w:numPr>
          <w:ilvl w:val="0"/>
          <w:numId w:val="38"/>
        </w:numPr>
      </w:pPr>
      <w:r>
        <w:t xml:space="preserve">Facts: </w:t>
      </w:r>
      <w:r w:rsidR="000447B9">
        <w:t xml:space="preserve">There is a requirement that this section </w:t>
      </w:r>
      <w:r>
        <w:t>provide data on all aspects as described in the Scope of Work</w:t>
      </w:r>
    </w:p>
    <w:p w14:paraId="54CDBF29" w14:textId="546413D3" w:rsidR="00096741" w:rsidRDefault="00096741" w:rsidP="000443F4">
      <w:pPr>
        <w:pStyle w:val="Body"/>
        <w:numPr>
          <w:ilvl w:val="0"/>
          <w:numId w:val="38"/>
        </w:numPr>
      </w:pPr>
      <w:r>
        <w:t xml:space="preserve">Analysis: </w:t>
      </w:r>
      <w:bookmarkStart w:id="0" w:name="_Hlk129261569"/>
      <w:r w:rsidR="000447B9">
        <w:t>There is a requirement that t</w:t>
      </w:r>
      <w:r>
        <w:t xml:space="preserve">his section </w:t>
      </w:r>
      <w:bookmarkEnd w:id="0"/>
      <w:r>
        <w:t>provide an in-depth analysis of the data collected and show correlations amongst the various data sets</w:t>
      </w:r>
    </w:p>
    <w:p w14:paraId="742B6960" w14:textId="3B16AA6F" w:rsidR="00096741" w:rsidRDefault="00096741" w:rsidP="000443F4">
      <w:pPr>
        <w:pStyle w:val="Body"/>
        <w:numPr>
          <w:ilvl w:val="0"/>
          <w:numId w:val="38"/>
        </w:numPr>
      </w:pPr>
      <w:r>
        <w:t xml:space="preserve">Assessment: </w:t>
      </w:r>
      <w:r w:rsidR="000447B9">
        <w:t xml:space="preserve">There is a requirement that this section </w:t>
      </w:r>
      <w:r>
        <w:t>provide an overview of what processes work well and where</w:t>
      </w:r>
      <w:r w:rsidR="00B70659">
        <w:t xml:space="preserve"> </w:t>
      </w:r>
      <w:r w:rsidR="002129B8">
        <w:t>there is scope for development</w:t>
      </w:r>
      <w:r>
        <w:t xml:space="preserve">; the assessment </w:t>
      </w:r>
      <w:r w:rsidR="00ED3165">
        <w:t xml:space="preserve">should </w:t>
      </w:r>
      <w:r>
        <w:t>be based on and refer to the ‘Facts’ and ‘Analysis’ sections</w:t>
      </w:r>
    </w:p>
    <w:p w14:paraId="40766DC7" w14:textId="3F246221" w:rsidR="000B6E97" w:rsidRDefault="000B6E97" w:rsidP="000443F4">
      <w:pPr>
        <w:pStyle w:val="Body"/>
        <w:numPr>
          <w:ilvl w:val="0"/>
          <w:numId w:val="38"/>
        </w:numPr>
      </w:pPr>
      <w:r w:rsidRPr="000B6E97">
        <w:t xml:space="preserve">Recommendations: </w:t>
      </w:r>
      <w:r w:rsidR="000447B9">
        <w:t>There is a requirement that t</w:t>
      </w:r>
      <w:r w:rsidRPr="000B6E97">
        <w:t xml:space="preserve">he </w:t>
      </w:r>
      <w:r w:rsidR="00C025EE">
        <w:t>r</w:t>
      </w:r>
      <w:r w:rsidRPr="000B6E97">
        <w:t>eport provide specific, measurable, achievable, relevant, and time-sensitive</w:t>
      </w:r>
      <w:r w:rsidR="00ED3165">
        <w:t>, (SMART),</w:t>
      </w:r>
      <w:r w:rsidRPr="000B6E97">
        <w:t xml:space="preserve"> recommendations on ways to improve effectiveness of the </w:t>
      </w:r>
      <w:r w:rsidR="00C025EE">
        <w:t>c</w:t>
      </w:r>
      <w:r w:rsidRPr="000B6E97">
        <w:t>ommission Board</w:t>
      </w:r>
    </w:p>
    <w:p w14:paraId="1A5E4655" w14:textId="77777777" w:rsidR="00ED3165" w:rsidRDefault="00096741" w:rsidP="000443F4">
      <w:pPr>
        <w:pStyle w:val="Body"/>
        <w:numPr>
          <w:ilvl w:val="0"/>
          <w:numId w:val="38"/>
        </w:numPr>
      </w:pPr>
      <w:r>
        <w:t xml:space="preserve">The Final Report is the concluding work product of </w:t>
      </w:r>
      <w:r w:rsidR="00ED3165">
        <w:t xml:space="preserve">the </w:t>
      </w:r>
      <w:r w:rsidR="005F5D40">
        <w:t xml:space="preserve">Board </w:t>
      </w:r>
      <w:r w:rsidR="00ED3165">
        <w:t xml:space="preserve">effectiveness </w:t>
      </w:r>
      <w:r>
        <w:t xml:space="preserve">review, containing the Assessment Report’s findings and analysis and providing </w:t>
      </w:r>
      <w:r w:rsidR="005F5D40">
        <w:t xml:space="preserve">SMART </w:t>
      </w:r>
      <w:r>
        <w:t xml:space="preserve">recommendations </w:t>
      </w:r>
    </w:p>
    <w:p w14:paraId="2DBCF8F5" w14:textId="5D33AD02" w:rsidR="00096741" w:rsidRDefault="00096741" w:rsidP="000443F4">
      <w:pPr>
        <w:pStyle w:val="Body"/>
        <w:numPr>
          <w:ilvl w:val="0"/>
          <w:numId w:val="38"/>
        </w:numPr>
      </w:pPr>
      <w:r>
        <w:t xml:space="preserve">Executive Summary: </w:t>
      </w:r>
      <w:r w:rsidR="00C025EE">
        <w:t>There is a requirement that t</w:t>
      </w:r>
      <w:r>
        <w:t>his section provide a clear and easy to understand summary of findings and recommendations</w:t>
      </w:r>
    </w:p>
    <w:p w14:paraId="45A78CD2" w14:textId="24BF6287" w:rsidR="00096741" w:rsidRDefault="00096741" w:rsidP="000443F4">
      <w:pPr>
        <w:pStyle w:val="Body"/>
        <w:numPr>
          <w:ilvl w:val="0"/>
          <w:numId w:val="38"/>
        </w:numPr>
      </w:pPr>
      <w:r>
        <w:t xml:space="preserve">Facts: </w:t>
      </w:r>
      <w:r w:rsidR="00C025EE">
        <w:t>There is a requirement that t</w:t>
      </w:r>
      <w:r>
        <w:t>his section provide data on all aspects as described in the Scope of Work section above</w:t>
      </w:r>
    </w:p>
    <w:p w14:paraId="47D22882" w14:textId="1CACEF57" w:rsidR="00096741" w:rsidRDefault="00096741" w:rsidP="000443F4">
      <w:pPr>
        <w:pStyle w:val="Body"/>
        <w:numPr>
          <w:ilvl w:val="0"/>
          <w:numId w:val="38"/>
        </w:numPr>
      </w:pPr>
      <w:r>
        <w:t xml:space="preserve">Analysis: </w:t>
      </w:r>
      <w:r w:rsidR="00C025EE">
        <w:t>There is a requirement that t</w:t>
      </w:r>
      <w:r>
        <w:t>his section provide an in-depth analysis of the data collected, and show correlations amongst the various data sets</w:t>
      </w:r>
      <w:r w:rsidR="000B6E97">
        <w:t xml:space="preserve"> and refer back to the </w:t>
      </w:r>
      <w:r w:rsidR="00A5427B">
        <w:t>interim r</w:t>
      </w:r>
      <w:r w:rsidR="000B6E97">
        <w:t>eport as required</w:t>
      </w:r>
    </w:p>
    <w:p w14:paraId="6468E35C" w14:textId="7B6F9D90" w:rsidR="00096741" w:rsidRDefault="00096741" w:rsidP="000443F4">
      <w:pPr>
        <w:pStyle w:val="Body"/>
        <w:numPr>
          <w:ilvl w:val="0"/>
          <w:numId w:val="38"/>
        </w:numPr>
      </w:pPr>
      <w:r>
        <w:t xml:space="preserve">Assessment: This section </w:t>
      </w:r>
      <w:r w:rsidR="002240CC">
        <w:t xml:space="preserve">must </w:t>
      </w:r>
      <w:r>
        <w:t xml:space="preserve">provide an overview of what </w:t>
      </w:r>
      <w:r w:rsidR="00C20723">
        <w:t xml:space="preserve">aspects of the Board </w:t>
      </w:r>
      <w:r>
        <w:t>work well</w:t>
      </w:r>
      <w:r w:rsidR="00C20723">
        <w:t xml:space="preserve">, within the </w:t>
      </w:r>
      <w:r w:rsidR="00877060">
        <w:t xml:space="preserve">vision </w:t>
      </w:r>
      <w:r w:rsidR="00C20723">
        <w:t>of one team,</w:t>
      </w:r>
      <w:r>
        <w:t xml:space="preserve"> and where</w:t>
      </w:r>
      <w:r w:rsidR="002129B8">
        <w:t xml:space="preserve"> there is </w:t>
      </w:r>
      <w:r w:rsidR="00877060">
        <w:t xml:space="preserve">scope </w:t>
      </w:r>
      <w:r w:rsidR="00B70659">
        <w:t>f</w:t>
      </w:r>
      <w:r w:rsidR="002129B8">
        <w:t>or development</w:t>
      </w:r>
      <w:r w:rsidR="00C20723">
        <w:t>.</w:t>
      </w:r>
      <w:r>
        <w:t xml:space="preserve"> </w:t>
      </w:r>
      <w:r w:rsidR="00C20723">
        <w:t>T</w:t>
      </w:r>
      <w:r>
        <w:t xml:space="preserve">he assessment </w:t>
      </w:r>
      <w:r w:rsidR="00A5427B">
        <w:t xml:space="preserve">should </w:t>
      </w:r>
      <w:r>
        <w:t>be based on and refer to the ‘Facts’ and ‘Analysis’ sections</w:t>
      </w:r>
      <w:r w:rsidR="000B6E97">
        <w:t xml:space="preserve"> and refer back to the </w:t>
      </w:r>
      <w:r w:rsidR="00A5427B">
        <w:t xml:space="preserve">interim report </w:t>
      </w:r>
      <w:r w:rsidR="000B6E97">
        <w:t>as required</w:t>
      </w:r>
    </w:p>
    <w:p w14:paraId="26E71BFC" w14:textId="325FB832" w:rsidR="00096741" w:rsidRDefault="00096741" w:rsidP="000443F4">
      <w:pPr>
        <w:pStyle w:val="Body"/>
        <w:numPr>
          <w:ilvl w:val="0"/>
          <w:numId w:val="38"/>
        </w:numPr>
      </w:pPr>
      <w:r>
        <w:t xml:space="preserve">Recommendations: </w:t>
      </w:r>
      <w:r w:rsidR="00C025EE">
        <w:t>There is a requirement that t</w:t>
      </w:r>
      <w:r>
        <w:t xml:space="preserve">he </w:t>
      </w:r>
      <w:r w:rsidR="00C025EE">
        <w:t>r</w:t>
      </w:r>
      <w:r>
        <w:t xml:space="preserve">eport should provide </w:t>
      </w:r>
      <w:r w:rsidR="00A5427B">
        <w:t xml:space="preserve">SMART </w:t>
      </w:r>
      <w:r>
        <w:t>recommendations on ways to improve</w:t>
      </w:r>
      <w:r w:rsidR="000443F4">
        <w:t xml:space="preserve"> the</w:t>
      </w:r>
      <w:r>
        <w:t xml:space="preserve"> effectiveness of the C</w:t>
      </w:r>
      <w:r w:rsidR="001D0C04">
        <w:t>ommission Board</w:t>
      </w:r>
      <w:r w:rsidR="00C20723">
        <w:t>, within the vision of developing one team</w:t>
      </w:r>
    </w:p>
    <w:p w14:paraId="0B296B0A" w14:textId="77777777" w:rsidR="00096741" w:rsidRDefault="00096741" w:rsidP="001D0C04">
      <w:pPr>
        <w:pStyle w:val="B-head"/>
        <w:keepNext/>
      </w:pPr>
      <w:bookmarkStart w:id="1" w:name="_Hlk132640967"/>
      <w:r>
        <w:lastRenderedPageBreak/>
        <w:t>Project Timeline</w:t>
      </w:r>
    </w:p>
    <w:bookmarkEnd w:id="1"/>
    <w:p w14:paraId="4EFC25F7" w14:textId="7DA347D0" w:rsidR="00C763E8" w:rsidRDefault="00096741" w:rsidP="001D0C04">
      <w:pPr>
        <w:pStyle w:val="Body"/>
        <w:keepNext/>
      </w:pPr>
      <w:r>
        <w:t xml:space="preserve">The following dates have been established as </w:t>
      </w:r>
      <w:r w:rsidR="00D31FD5">
        <w:t xml:space="preserve">potential </w:t>
      </w:r>
      <w:r>
        <w:t xml:space="preserve">milestones for </w:t>
      </w:r>
      <w:r w:rsidR="0075477B">
        <w:t xml:space="preserve">the </w:t>
      </w:r>
      <w:r w:rsidR="00CE6A5A">
        <w:t>project timeline</w:t>
      </w:r>
      <w:r>
        <w:t xml:space="preserve">. </w:t>
      </w:r>
      <w:r w:rsidR="001D0C04">
        <w:t xml:space="preserve">The Commission </w:t>
      </w:r>
      <w:r w:rsidR="002129B8">
        <w:t xml:space="preserve">may </w:t>
      </w:r>
      <w:r>
        <w:t>modify or change this timeline at any time as necessary.</w:t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4793"/>
        <w:gridCol w:w="4794"/>
      </w:tblGrid>
      <w:tr w:rsidR="00096741" w14:paraId="76527BE1" w14:textId="77777777" w:rsidTr="00096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3" w:type="dxa"/>
          </w:tcPr>
          <w:p w14:paraId="3A494B93" w14:textId="77777777" w:rsidR="00096741" w:rsidRDefault="00096741" w:rsidP="001D0C04">
            <w:pPr>
              <w:pStyle w:val="Body"/>
              <w:keepNext/>
              <w:jc w:val="center"/>
            </w:pPr>
            <w:r>
              <w:t>Event</w:t>
            </w:r>
          </w:p>
        </w:tc>
        <w:tc>
          <w:tcPr>
            <w:tcW w:w="4794" w:type="dxa"/>
          </w:tcPr>
          <w:p w14:paraId="28E50DE3" w14:textId="77777777" w:rsidR="00096741" w:rsidRDefault="00096741" w:rsidP="001D0C04">
            <w:pPr>
              <w:pStyle w:val="Body"/>
              <w:keepNext/>
              <w:jc w:val="center"/>
            </w:pPr>
            <w:r>
              <w:t>Date</w:t>
            </w:r>
          </w:p>
        </w:tc>
      </w:tr>
      <w:tr w:rsidR="00096741" w14:paraId="522E75E9" w14:textId="77777777" w:rsidTr="00096741">
        <w:tc>
          <w:tcPr>
            <w:tcW w:w="4793" w:type="dxa"/>
          </w:tcPr>
          <w:p w14:paraId="55674C57" w14:textId="77777777" w:rsidR="00096741" w:rsidRDefault="001D0C04" w:rsidP="001D0C04">
            <w:pPr>
              <w:pStyle w:val="Body"/>
              <w:keepNext/>
            </w:pPr>
            <w:r>
              <w:t>Observing Commission Board meeting</w:t>
            </w:r>
          </w:p>
        </w:tc>
        <w:tc>
          <w:tcPr>
            <w:tcW w:w="4794" w:type="dxa"/>
          </w:tcPr>
          <w:p w14:paraId="76E88B21" w14:textId="5DA94F6C" w:rsidR="00096741" w:rsidRDefault="00A5427B" w:rsidP="001D0C04">
            <w:pPr>
              <w:pStyle w:val="Body"/>
              <w:keepNext/>
            </w:pPr>
            <w:r>
              <w:t>26 September 2023</w:t>
            </w:r>
          </w:p>
        </w:tc>
      </w:tr>
      <w:tr w:rsidR="00096741" w14:paraId="7D3B4A1C" w14:textId="77777777" w:rsidTr="00096741">
        <w:tc>
          <w:tcPr>
            <w:tcW w:w="4793" w:type="dxa"/>
          </w:tcPr>
          <w:p w14:paraId="5B6E4E79" w14:textId="5EE0F9DD" w:rsidR="00096741" w:rsidRDefault="001D0C04" w:rsidP="001D0C04">
            <w:pPr>
              <w:pStyle w:val="Body"/>
              <w:keepNext/>
            </w:pPr>
            <w:r>
              <w:t>Observing Audit</w:t>
            </w:r>
            <w:r w:rsidR="00A5427B">
              <w:t xml:space="preserve"> </w:t>
            </w:r>
            <w:r w:rsidR="009A441B">
              <w:t xml:space="preserve">and </w:t>
            </w:r>
            <w:r w:rsidR="00A5427B">
              <w:t>Risk</w:t>
            </w:r>
            <w:r>
              <w:t xml:space="preserve"> </w:t>
            </w:r>
            <w:r w:rsidR="00FB7CA1">
              <w:t>Assurance</w:t>
            </w:r>
            <w:r w:rsidR="009A441B">
              <w:t xml:space="preserve"> </w:t>
            </w:r>
            <w:r>
              <w:t>Committee meeting</w:t>
            </w:r>
          </w:p>
        </w:tc>
        <w:tc>
          <w:tcPr>
            <w:tcW w:w="4794" w:type="dxa"/>
          </w:tcPr>
          <w:p w14:paraId="31C56833" w14:textId="77777777" w:rsidR="00096741" w:rsidRDefault="00351665" w:rsidP="001D0C04">
            <w:pPr>
              <w:pStyle w:val="Body"/>
              <w:keepNext/>
            </w:pPr>
            <w:r>
              <w:t>25 September 2023</w:t>
            </w:r>
          </w:p>
        </w:tc>
      </w:tr>
      <w:tr w:rsidR="00096741" w14:paraId="23B0B594" w14:textId="77777777" w:rsidTr="00096741">
        <w:tc>
          <w:tcPr>
            <w:tcW w:w="4793" w:type="dxa"/>
          </w:tcPr>
          <w:p w14:paraId="66970F5A" w14:textId="77777777" w:rsidR="00096741" w:rsidRDefault="001D0C04" w:rsidP="001D0C04">
            <w:pPr>
              <w:pStyle w:val="Body"/>
              <w:keepNext/>
            </w:pPr>
            <w:r>
              <w:t>Observing Remuneration and Human Resources Committee meeting</w:t>
            </w:r>
          </w:p>
        </w:tc>
        <w:tc>
          <w:tcPr>
            <w:tcW w:w="4794" w:type="dxa"/>
          </w:tcPr>
          <w:p w14:paraId="4C34E136" w14:textId="77777777" w:rsidR="00096741" w:rsidRDefault="00A5427B" w:rsidP="009C4C24">
            <w:pPr>
              <w:pStyle w:val="Body"/>
              <w:keepNext/>
            </w:pPr>
            <w:r>
              <w:t>21 September 2023</w:t>
            </w:r>
          </w:p>
        </w:tc>
      </w:tr>
      <w:tr w:rsidR="00096741" w14:paraId="10ACCF27" w14:textId="77777777" w:rsidTr="00096741">
        <w:tc>
          <w:tcPr>
            <w:tcW w:w="4793" w:type="dxa"/>
          </w:tcPr>
          <w:p w14:paraId="4D32A3E4" w14:textId="77777777" w:rsidR="00096741" w:rsidRDefault="00096741" w:rsidP="001D0C04">
            <w:pPr>
              <w:pStyle w:val="Body"/>
              <w:keepNext/>
            </w:pPr>
          </w:p>
        </w:tc>
        <w:tc>
          <w:tcPr>
            <w:tcW w:w="4794" w:type="dxa"/>
          </w:tcPr>
          <w:p w14:paraId="2AC6335A" w14:textId="77777777" w:rsidR="00096741" w:rsidRDefault="00096741" w:rsidP="001D0C04">
            <w:pPr>
              <w:pStyle w:val="Body"/>
              <w:keepNext/>
            </w:pPr>
          </w:p>
        </w:tc>
      </w:tr>
    </w:tbl>
    <w:p w14:paraId="5093BB45" w14:textId="77777777" w:rsidR="00096741" w:rsidRPr="0047546E" w:rsidRDefault="00096741" w:rsidP="00096741">
      <w:pPr>
        <w:pStyle w:val="Body"/>
      </w:pP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4793"/>
        <w:gridCol w:w="4794"/>
      </w:tblGrid>
      <w:tr w:rsidR="00096741" w14:paraId="1F95C3B3" w14:textId="77777777" w:rsidTr="00096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3" w:type="dxa"/>
          </w:tcPr>
          <w:p w14:paraId="4E84376F" w14:textId="77777777" w:rsidR="00096741" w:rsidRDefault="00096741" w:rsidP="00351665">
            <w:pPr>
              <w:pStyle w:val="Body"/>
            </w:pPr>
            <w:r>
              <w:t>Deliverable</w:t>
            </w:r>
          </w:p>
        </w:tc>
        <w:tc>
          <w:tcPr>
            <w:tcW w:w="4794" w:type="dxa"/>
          </w:tcPr>
          <w:p w14:paraId="414F7058" w14:textId="77777777" w:rsidR="00096741" w:rsidRDefault="00096741" w:rsidP="00351665">
            <w:pPr>
              <w:pStyle w:val="Body"/>
            </w:pPr>
            <w:r>
              <w:t>Date</w:t>
            </w:r>
          </w:p>
        </w:tc>
      </w:tr>
      <w:tr w:rsidR="00096741" w14:paraId="7A39EF68" w14:textId="77777777" w:rsidTr="00096741">
        <w:tc>
          <w:tcPr>
            <w:tcW w:w="4793" w:type="dxa"/>
          </w:tcPr>
          <w:p w14:paraId="4F817ACD" w14:textId="77777777" w:rsidR="00096741" w:rsidRDefault="007860A4" w:rsidP="0047546E">
            <w:pPr>
              <w:pStyle w:val="Body"/>
            </w:pPr>
            <w:r>
              <w:t>The Interim Report</w:t>
            </w:r>
          </w:p>
        </w:tc>
        <w:tc>
          <w:tcPr>
            <w:tcW w:w="4794" w:type="dxa"/>
          </w:tcPr>
          <w:p w14:paraId="3550DCF8" w14:textId="170796AD" w:rsidR="00096741" w:rsidRDefault="004C0359" w:rsidP="00FF1AC8">
            <w:pPr>
              <w:pStyle w:val="Body"/>
            </w:pPr>
            <w:r>
              <w:t>October</w:t>
            </w:r>
            <w:r w:rsidR="00351665">
              <w:t xml:space="preserve"> 2023</w:t>
            </w:r>
          </w:p>
        </w:tc>
      </w:tr>
      <w:tr w:rsidR="00096741" w14:paraId="5BAB51B8" w14:textId="77777777" w:rsidTr="00096741">
        <w:tc>
          <w:tcPr>
            <w:tcW w:w="4793" w:type="dxa"/>
          </w:tcPr>
          <w:p w14:paraId="1BA25667" w14:textId="77777777" w:rsidR="00096741" w:rsidRDefault="007860A4" w:rsidP="0047546E">
            <w:pPr>
              <w:pStyle w:val="Body"/>
            </w:pPr>
            <w:r>
              <w:t>The Final Report</w:t>
            </w:r>
          </w:p>
        </w:tc>
        <w:tc>
          <w:tcPr>
            <w:tcW w:w="4794" w:type="dxa"/>
          </w:tcPr>
          <w:p w14:paraId="3DD97D5E" w14:textId="77777777" w:rsidR="00096741" w:rsidRDefault="00351665" w:rsidP="00FF1AC8">
            <w:pPr>
              <w:pStyle w:val="Body"/>
            </w:pPr>
            <w:r>
              <w:t>March 2024</w:t>
            </w:r>
          </w:p>
        </w:tc>
      </w:tr>
      <w:tr w:rsidR="00096741" w14:paraId="72A83CDF" w14:textId="77777777" w:rsidTr="00096741">
        <w:tc>
          <w:tcPr>
            <w:tcW w:w="4793" w:type="dxa"/>
          </w:tcPr>
          <w:p w14:paraId="566AE020" w14:textId="77777777" w:rsidR="00096741" w:rsidRDefault="00096741" w:rsidP="0047546E">
            <w:pPr>
              <w:pStyle w:val="Body"/>
            </w:pPr>
          </w:p>
        </w:tc>
        <w:tc>
          <w:tcPr>
            <w:tcW w:w="4794" w:type="dxa"/>
          </w:tcPr>
          <w:p w14:paraId="5D25151F" w14:textId="77777777" w:rsidR="00096741" w:rsidRDefault="00096741" w:rsidP="0047546E">
            <w:pPr>
              <w:pStyle w:val="Body"/>
            </w:pPr>
          </w:p>
        </w:tc>
      </w:tr>
    </w:tbl>
    <w:p w14:paraId="3B342575" w14:textId="77777777" w:rsidR="00C763E8" w:rsidRDefault="00C763E8" w:rsidP="0047546E">
      <w:pPr>
        <w:pStyle w:val="Body"/>
      </w:pPr>
    </w:p>
    <w:p w14:paraId="13AD6484" w14:textId="73A7FD87" w:rsidR="00906B64" w:rsidRPr="00395E29" w:rsidRDefault="006A7EB2" w:rsidP="00C65E73">
      <w:pPr>
        <w:pStyle w:val="B-head"/>
        <w:keepNext/>
      </w:pPr>
      <w:r w:rsidRPr="00395E29">
        <w:t>EOI response guidance</w:t>
      </w:r>
    </w:p>
    <w:p w14:paraId="65D73C13" w14:textId="2200CA55" w:rsidR="00832D08" w:rsidRPr="00832D08" w:rsidRDefault="00832D08" w:rsidP="00C65E73">
      <w:pPr>
        <w:pStyle w:val="Body"/>
      </w:pPr>
      <w:r w:rsidRPr="00832D08">
        <w:t xml:space="preserve">Please note that the above criteria is subject to change during the development of </w:t>
      </w:r>
      <w:r w:rsidR="00513DA3">
        <w:t>any potential</w:t>
      </w:r>
      <w:r w:rsidRPr="00832D08">
        <w:t xml:space="preserve"> Invitation to Tender.</w:t>
      </w:r>
    </w:p>
    <w:p w14:paraId="0D2897FF" w14:textId="1A1DD7A2" w:rsidR="00832D08" w:rsidRPr="00395E29" w:rsidRDefault="001B2E31" w:rsidP="00832D08">
      <w:pPr>
        <w:pStyle w:val="Body"/>
        <w:rPr>
          <w:b/>
          <w:bCs/>
          <w:color w:val="0099C3" w:themeColor="background2"/>
        </w:rPr>
      </w:pPr>
      <w:r w:rsidRPr="00395E29">
        <w:rPr>
          <w:b/>
          <w:bCs/>
          <w:color w:val="0099C3" w:themeColor="background2"/>
        </w:rPr>
        <w:t xml:space="preserve">Right to </w:t>
      </w:r>
      <w:r w:rsidR="00FF7A7E" w:rsidRPr="00395E29">
        <w:rPr>
          <w:b/>
          <w:bCs/>
          <w:color w:val="0099C3" w:themeColor="background2"/>
        </w:rPr>
        <w:t>cancel or vary this E</w:t>
      </w:r>
      <w:r w:rsidR="006A7EB2" w:rsidRPr="00395E29">
        <w:rPr>
          <w:b/>
          <w:bCs/>
          <w:color w:val="0099C3" w:themeColor="background2"/>
        </w:rPr>
        <w:t>OI</w:t>
      </w:r>
      <w:r w:rsidR="00832D08" w:rsidRPr="00395E29">
        <w:rPr>
          <w:b/>
          <w:bCs/>
          <w:color w:val="0099C3" w:themeColor="background2"/>
        </w:rPr>
        <w:t xml:space="preserve"> </w:t>
      </w:r>
    </w:p>
    <w:p w14:paraId="00A5BB36" w14:textId="77777777" w:rsidR="00832D08" w:rsidRPr="00832D08" w:rsidRDefault="00832D08" w:rsidP="00C65E73">
      <w:pPr>
        <w:pStyle w:val="Body"/>
      </w:pPr>
      <w:bookmarkStart w:id="2" w:name="_1t3h5sf" w:colFirst="0" w:colLast="0"/>
      <w:bookmarkEnd w:id="2"/>
      <w:r w:rsidRPr="00832D08">
        <w:t>The Authority reserves the right to:</w:t>
      </w:r>
    </w:p>
    <w:p w14:paraId="710BB9A4" w14:textId="4A8E0A2D" w:rsidR="00832D08" w:rsidRPr="00832D08" w:rsidRDefault="00832D08" w:rsidP="00C65E73">
      <w:pPr>
        <w:pStyle w:val="Body"/>
        <w:numPr>
          <w:ilvl w:val="0"/>
          <w:numId w:val="40"/>
        </w:numPr>
      </w:pPr>
      <w:r w:rsidRPr="00832D08">
        <w:t>Cancel all or part of this EOI at any stage and at any time;</w:t>
      </w:r>
    </w:p>
    <w:p w14:paraId="69DDBD2A" w14:textId="45AE0EF5" w:rsidR="00832D08" w:rsidRPr="00832D08" w:rsidRDefault="00832D08" w:rsidP="00C65E73">
      <w:pPr>
        <w:pStyle w:val="Body"/>
        <w:numPr>
          <w:ilvl w:val="0"/>
          <w:numId w:val="40"/>
        </w:numPr>
      </w:pPr>
      <w:r w:rsidRPr="00832D08">
        <w:t>Amend, clarify, add to or withdraw all or any part of the EOI at any time.</w:t>
      </w:r>
    </w:p>
    <w:p w14:paraId="248368F0" w14:textId="18F3868E" w:rsidR="00832D08" w:rsidRPr="00395E29" w:rsidRDefault="00683362" w:rsidP="00C65E73">
      <w:pPr>
        <w:pStyle w:val="B-head"/>
        <w:keepNext/>
      </w:pPr>
      <w:r w:rsidRPr="00395E29">
        <w:lastRenderedPageBreak/>
        <w:t>EOI customer contact</w:t>
      </w:r>
      <w:bookmarkStart w:id="3" w:name="_4d34og8" w:colFirst="0" w:colLast="0"/>
      <w:bookmarkEnd w:id="3"/>
    </w:p>
    <w:tbl>
      <w:tblPr>
        <w:tblW w:w="9188" w:type="dxa"/>
        <w:tblInd w:w="-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786"/>
      </w:tblGrid>
      <w:tr w:rsidR="00832D08" w:rsidRPr="00832D08" w14:paraId="25E8C27D" w14:textId="77777777" w:rsidTr="00C65E7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8B3D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rPr>
                <w:b/>
              </w:rPr>
              <w:t>Name: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8B02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t>Paul Stringer, Senior Procurement Adviser</w:t>
            </w:r>
          </w:p>
        </w:tc>
      </w:tr>
      <w:tr w:rsidR="00832D08" w:rsidRPr="00832D08" w14:paraId="7EEC1796" w14:textId="77777777" w:rsidTr="00C65E7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A0B80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rPr>
                <w:b/>
              </w:rPr>
              <w:t>Telephone Number: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2262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t>020 7271 0698</w:t>
            </w:r>
          </w:p>
        </w:tc>
      </w:tr>
      <w:tr w:rsidR="00832D08" w:rsidRPr="00832D08" w14:paraId="425F4BB2" w14:textId="77777777" w:rsidTr="00C65E7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DDC9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rPr>
                <w:b/>
              </w:rPr>
              <w:t>Email Address: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5171" w14:textId="77777777" w:rsidR="00832D08" w:rsidRPr="00832D08" w:rsidRDefault="00832D08" w:rsidP="00832D08">
            <w:pPr>
              <w:pStyle w:val="Body"/>
              <w:rPr>
                <w:b/>
              </w:rPr>
            </w:pPr>
            <w:r w:rsidRPr="00832D08">
              <w:t>Procurement@electoralcommission.org.uk</w:t>
            </w:r>
          </w:p>
        </w:tc>
      </w:tr>
    </w:tbl>
    <w:p w14:paraId="5CE7B7DD" w14:textId="77777777" w:rsidR="00832D08" w:rsidRPr="00832D08" w:rsidRDefault="00832D08" w:rsidP="00832D08">
      <w:pPr>
        <w:pStyle w:val="Body"/>
        <w:rPr>
          <w:b/>
        </w:rPr>
      </w:pPr>
      <w:bookmarkStart w:id="4" w:name="_2s8eyo1" w:colFirst="0" w:colLast="0"/>
      <w:bookmarkEnd w:id="4"/>
    </w:p>
    <w:p w14:paraId="3A5CC418" w14:textId="77777777" w:rsidR="00EF2779" w:rsidRPr="0047546E" w:rsidRDefault="00EF2779" w:rsidP="0047546E">
      <w:pPr>
        <w:pStyle w:val="Body"/>
      </w:pPr>
    </w:p>
    <w:sectPr w:rsidR="00EF2779" w:rsidRPr="0047546E" w:rsidSect="00481897">
      <w:footerReference w:type="default" r:id="rId13"/>
      <w:headerReference w:type="first" r:id="rId14"/>
      <w:footerReference w:type="first" r:id="rId15"/>
      <w:pgSz w:w="11906" w:h="16838" w:code="9"/>
      <w:pgMar w:top="1928" w:right="714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3452" w14:textId="77777777" w:rsidR="00141E59" w:rsidRDefault="00141E59" w:rsidP="006275AD">
      <w:pPr>
        <w:spacing w:after="0" w:line="240" w:lineRule="auto"/>
      </w:pPr>
      <w:r>
        <w:separator/>
      </w:r>
    </w:p>
    <w:p w14:paraId="3EF0E8C2" w14:textId="77777777" w:rsidR="00141E59" w:rsidRDefault="00141E59"/>
  </w:endnote>
  <w:endnote w:type="continuationSeparator" w:id="0">
    <w:p w14:paraId="1081FC56" w14:textId="77777777" w:rsidR="00141E59" w:rsidRDefault="00141E59" w:rsidP="006275AD">
      <w:pPr>
        <w:spacing w:after="0" w:line="240" w:lineRule="auto"/>
      </w:pPr>
      <w:r>
        <w:continuationSeparator/>
      </w:r>
    </w:p>
    <w:p w14:paraId="65BA1634" w14:textId="77777777" w:rsidR="00141E59" w:rsidRDefault="00141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D6E4" w14:textId="77777777" w:rsidR="00BE0CB3" w:rsidRPr="00CF0FE9" w:rsidRDefault="00BE0CB3" w:rsidP="004D4C25">
    <w:pPr>
      <w:pStyle w:val="Footer"/>
    </w:pPr>
    <w:r w:rsidRPr="00F55F91">
      <w:fldChar w:fldCharType="begin"/>
    </w:r>
    <w:r w:rsidRPr="00F55F91">
      <w:instrText xml:space="preserve"> PAGE   \* MERGEFORMAT </w:instrText>
    </w:r>
    <w:r w:rsidRPr="00F55F91">
      <w:fldChar w:fldCharType="separate"/>
    </w:r>
    <w:r w:rsidR="006B7312">
      <w:rPr>
        <w:noProof/>
      </w:rPr>
      <w:t>4</w:t>
    </w:r>
    <w:r w:rsidRPr="00F55F9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E13A" w14:textId="77777777" w:rsidR="00BE0CB3" w:rsidRPr="00CF0FE9" w:rsidRDefault="00BE0CB3" w:rsidP="00E758D4">
    <w:pPr>
      <w:pStyle w:val="Footer"/>
    </w:pPr>
    <w:r w:rsidRPr="00F55F91">
      <w:fldChar w:fldCharType="begin"/>
    </w:r>
    <w:r w:rsidRPr="00F55F91">
      <w:instrText xml:space="preserve"> PAGE   \* MERGEFORMAT </w:instrText>
    </w:r>
    <w:r w:rsidRPr="00F55F91">
      <w:fldChar w:fldCharType="separate"/>
    </w:r>
    <w:r w:rsidR="006B7312">
      <w:rPr>
        <w:noProof/>
      </w:rPr>
      <w:t>1</w:t>
    </w:r>
    <w:r w:rsidRPr="00F55F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248D" w14:textId="77777777" w:rsidR="00141E59" w:rsidRDefault="00141E59" w:rsidP="006275AD">
      <w:pPr>
        <w:spacing w:after="0" w:line="240" w:lineRule="auto"/>
      </w:pPr>
      <w:r>
        <w:separator/>
      </w:r>
    </w:p>
    <w:p w14:paraId="40CC2BAF" w14:textId="77777777" w:rsidR="00141E59" w:rsidRDefault="00141E59"/>
  </w:footnote>
  <w:footnote w:type="continuationSeparator" w:id="0">
    <w:p w14:paraId="7730128A" w14:textId="77777777" w:rsidR="00141E59" w:rsidRDefault="00141E59" w:rsidP="006275AD">
      <w:pPr>
        <w:spacing w:after="0" w:line="240" w:lineRule="auto"/>
      </w:pPr>
      <w:r>
        <w:continuationSeparator/>
      </w:r>
    </w:p>
    <w:p w14:paraId="0A441E44" w14:textId="77777777" w:rsidR="00141E59" w:rsidRDefault="00141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6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481897" w14:paraId="6CA94E38" w14:textId="77777777" w:rsidTr="009A7D61">
      <w:trPr>
        <w:cantSplit/>
        <w:trHeight w:hRule="exact" w:val="2041"/>
      </w:trPr>
      <w:tc>
        <w:tcPr>
          <w:tcW w:w="2773" w:type="dxa"/>
          <w:tcMar>
            <w:bottom w:w="85" w:type="dxa"/>
          </w:tcMar>
          <w:vAlign w:val="bottom"/>
        </w:tcPr>
        <w:p w14:paraId="554C29DE" w14:textId="77777777" w:rsidR="00481897" w:rsidRDefault="00481897" w:rsidP="00481897">
          <w:pPr>
            <w:pStyle w:val="Logo"/>
          </w:pPr>
          <w:r>
            <w:rPr>
              <w:lang w:eastAsia="en-GB"/>
            </w:rPr>
            <w:drawing>
              <wp:inline distT="0" distB="0" distL="0" distR="0" wp14:anchorId="0A219F0B" wp14:editId="46DF31C0">
                <wp:extent cx="1663065" cy="8705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14:paraId="65EF189E" w14:textId="77777777" w:rsidR="00481897" w:rsidRDefault="00481897" w:rsidP="00481897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14:paraId="20903F9D" w14:textId="77777777" w:rsidR="00481897" w:rsidRDefault="00481897" w:rsidP="00481897">
          <w:pPr>
            <w:pStyle w:val="Addressheader"/>
          </w:pPr>
        </w:p>
        <w:p w14:paraId="58E5382F" w14:textId="77777777" w:rsidR="00481897" w:rsidRDefault="00481897" w:rsidP="00481897">
          <w:pPr>
            <w:pStyle w:val="Contactheader"/>
          </w:pPr>
        </w:p>
      </w:tc>
    </w:tr>
    <w:tr w:rsidR="00481897" w14:paraId="1ECDAF6C" w14:textId="77777777" w:rsidTr="009A7D61">
      <w:trPr>
        <w:cantSplit/>
        <w:trHeight w:hRule="exact" w:val="420"/>
      </w:trPr>
      <w:tc>
        <w:tcPr>
          <w:tcW w:w="9767" w:type="dxa"/>
          <w:gridSpan w:val="3"/>
        </w:tcPr>
        <w:p w14:paraId="362AB0CE" w14:textId="77777777" w:rsidR="00481897" w:rsidRDefault="00481897" w:rsidP="00481897">
          <w:pPr>
            <w:pStyle w:val="Header"/>
            <w:jc w:val="left"/>
          </w:pPr>
        </w:p>
      </w:tc>
    </w:tr>
  </w:tbl>
  <w:p w14:paraId="53CF7AE1" w14:textId="77777777" w:rsidR="00481897" w:rsidRPr="00992931" w:rsidRDefault="00481897" w:rsidP="0099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12711"/>
    <w:multiLevelType w:val="multilevel"/>
    <w:tmpl w:val="892862A0"/>
    <w:numStyleLink w:val="ECList"/>
  </w:abstractNum>
  <w:abstractNum w:abstractNumId="11" w15:restartNumberingAfterBreak="0">
    <w:nsid w:val="1008360E"/>
    <w:multiLevelType w:val="hybridMultilevel"/>
    <w:tmpl w:val="B252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67AE4"/>
    <w:multiLevelType w:val="multilevel"/>
    <w:tmpl w:val="6E54FB4A"/>
    <w:styleLink w:val="ECNumbered"/>
    <w:lvl w:ilvl="0">
      <w:start w:val="1"/>
      <w:numFmt w:val="decimal"/>
      <w:pStyle w:val="Numberedbod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1FC6239D"/>
    <w:multiLevelType w:val="hybridMultilevel"/>
    <w:tmpl w:val="D6123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4249"/>
    <w:multiLevelType w:val="multilevel"/>
    <w:tmpl w:val="B45C9D8A"/>
    <w:numStyleLink w:val="ECAppendix"/>
  </w:abstractNum>
  <w:abstractNum w:abstractNumId="15" w15:restartNumberingAfterBreak="0">
    <w:nsid w:val="26775375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2B03498D"/>
    <w:multiLevelType w:val="multilevel"/>
    <w:tmpl w:val="6E54FB4A"/>
    <w:numStyleLink w:val="ECNumbered"/>
  </w:abstractNum>
  <w:abstractNum w:abstractNumId="17" w15:restartNumberingAfterBreak="0">
    <w:nsid w:val="2CF918E2"/>
    <w:multiLevelType w:val="hybridMultilevel"/>
    <w:tmpl w:val="5E321358"/>
    <w:lvl w:ilvl="0" w:tplc="B202AC46">
      <w:start w:val="1"/>
      <w:numFmt w:val="bullet"/>
      <w:pStyle w:val="Boxspaced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5D327CB"/>
    <w:multiLevelType w:val="multilevel"/>
    <w:tmpl w:val="892862A0"/>
    <w:numStyleLink w:val="ECList"/>
  </w:abstractNum>
  <w:abstractNum w:abstractNumId="19" w15:restartNumberingAfterBreak="0">
    <w:nsid w:val="46F5664A"/>
    <w:multiLevelType w:val="multilevel"/>
    <w:tmpl w:val="892862A0"/>
    <w:styleLink w:val="ECList"/>
    <w:lvl w:ilvl="0">
      <w:start w:val="1"/>
      <w:numFmt w:val="decimal"/>
      <w:pStyle w:val="Chapterhead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165067"/>
    <w:multiLevelType w:val="hybridMultilevel"/>
    <w:tmpl w:val="739A5F1C"/>
    <w:lvl w:ilvl="0" w:tplc="4F283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64"/>
    <w:multiLevelType w:val="hybridMultilevel"/>
    <w:tmpl w:val="7AFA348A"/>
    <w:lvl w:ilvl="0" w:tplc="D8CEF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63D1E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B7A0F7F"/>
    <w:multiLevelType w:val="hybridMultilevel"/>
    <w:tmpl w:val="2BDCFD12"/>
    <w:lvl w:ilvl="0" w:tplc="F7B0E58E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997125"/>
    <w:multiLevelType w:val="multilevel"/>
    <w:tmpl w:val="801C4886"/>
    <w:styleLink w:val="ECBullets"/>
    <w:lvl w:ilvl="0">
      <w:start w:val="1"/>
      <w:numFmt w:val="bullet"/>
      <w:pStyle w:val="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5" w15:restartNumberingAfterBreak="0">
    <w:nsid w:val="64735F34"/>
    <w:multiLevelType w:val="hybridMultilevel"/>
    <w:tmpl w:val="3B28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72CFB"/>
    <w:multiLevelType w:val="hybridMultilevel"/>
    <w:tmpl w:val="8652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5EFB"/>
    <w:multiLevelType w:val="hybridMultilevel"/>
    <w:tmpl w:val="FE48A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68B5"/>
    <w:multiLevelType w:val="hybridMultilevel"/>
    <w:tmpl w:val="EADECE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715E56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71D54FDE"/>
    <w:multiLevelType w:val="multilevel"/>
    <w:tmpl w:val="892862A0"/>
    <w:numStyleLink w:val="ECList"/>
  </w:abstractNum>
  <w:abstractNum w:abstractNumId="31" w15:restartNumberingAfterBreak="0">
    <w:nsid w:val="76265F0A"/>
    <w:multiLevelType w:val="multilevel"/>
    <w:tmpl w:val="B48C0D12"/>
    <w:lvl w:ilvl="0">
      <w:start w:val="1"/>
      <w:numFmt w:val="decimal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smallCaps w:val="0"/>
      </w:rPr>
    </w:lvl>
    <w:lvl w:ilvl="2">
      <w:start w:val="1"/>
      <w:numFmt w:val="decimal"/>
      <w:lvlText w:val="%1.%2.%3"/>
      <w:lvlJc w:val="left"/>
      <w:pPr>
        <w:ind w:left="2357" w:hanging="1080"/>
      </w:pPr>
      <w:rPr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32" w15:restartNumberingAfterBreak="0">
    <w:nsid w:val="79DF3317"/>
    <w:multiLevelType w:val="multilevel"/>
    <w:tmpl w:val="9BEC3CF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7A741818"/>
    <w:multiLevelType w:val="hybridMultilevel"/>
    <w:tmpl w:val="1CA4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F1BBC"/>
    <w:multiLevelType w:val="multilevel"/>
    <w:tmpl w:val="D05E65D6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25395389">
    <w:abstractNumId w:val="32"/>
  </w:num>
  <w:num w:numId="2" w16cid:durableId="1802918353">
    <w:abstractNumId w:val="19"/>
  </w:num>
  <w:num w:numId="3" w16cid:durableId="1160996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789659">
    <w:abstractNumId w:val="18"/>
  </w:num>
  <w:num w:numId="5" w16cid:durableId="1666467672">
    <w:abstractNumId w:val="10"/>
  </w:num>
  <w:num w:numId="6" w16cid:durableId="677385950">
    <w:abstractNumId w:val="30"/>
  </w:num>
  <w:num w:numId="7" w16cid:durableId="1927422679">
    <w:abstractNumId w:val="22"/>
  </w:num>
  <w:num w:numId="8" w16cid:durableId="262995970">
    <w:abstractNumId w:val="14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9" w16cid:durableId="765542341">
    <w:abstractNumId w:val="17"/>
  </w:num>
  <w:num w:numId="10" w16cid:durableId="1607422242">
    <w:abstractNumId w:val="17"/>
    <w:lvlOverride w:ilvl="0">
      <w:startOverride w:val="1"/>
    </w:lvlOverride>
  </w:num>
  <w:num w:numId="11" w16cid:durableId="973559539">
    <w:abstractNumId w:val="17"/>
    <w:lvlOverride w:ilvl="0">
      <w:startOverride w:val="1"/>
    </w:lvlOverride>
  </w:num>
  <w:num w:numId="12" w16cid:durableId="381175714">
    <w:abstractNumId w:val="34"/>
  </w:num>
  <w:num w:numId="13" w16cid:durableId="1451700687">
    <w:abstractNumId w:val="29"/>
  </w:num>
  <w:num w:numId="14" w16cid:durableId="3760063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1548835">
    <w:abstractNumId w:val="20"/>
  </w:num>
  <w:num w:numId="16" w16cid:durableId="1348603595">
    <w:abstractNumId w:val="13"/>
  </w:num>
  <w:num w:numId="17" w16cid:durableId="1948848509">
    <w:abstractNumId w:val="28"/>
  </w:num>
  <w:num w:numId="18" w16cid:durableId="726153071">
    <w:abstractNumId w:val="24"/>
  </w:num>
  <w:num w:numId="19" w16cid:durableId="1070540554">
    <w:abstractNumId w:val="12"/>
  </w:num>
  <w:num w:numId="20" w16cid:durableId="1455637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5377975">
    <w:abstractNumId w:val="15"/>
  </w:num>
  <w:num w:numId="22" w16cid:durableId="1248928692">
    <w:abstractNumId w:val="16"/>
  </w:num>
  <w:num w:numId="23" w16cid:durableId="1560704444">
    <w:abstractNumId w:val="9"/>
  </w:num>
  <w:num w:numId="24" w16cid:durableId="169948186">
    <w:abstractNumId w:val="7"/>
  </w:num>
  <w:num w:numId="25" w16cid:durableId="662700662">
    <w:abstractNumId w:val="6"/>
  </w:num>
  <w:num w:numId="26" w16cid:durableId="887229670">
    <w:abstractNumId w:val="5"/>
  </w:num>
  <w:num w:numId="27" w16cid:durableId="239759741">
    <w:abstractNumId w:val="4"/>
  </w:num>
  <w:num w:numId="28" w16cid:durableId="976757654">
    <w:abstractNumId w:val="8"/>
  </w:num>
  <w:num w:numId="29" w16cid:durableId="1150904974">
    <w:abstractNumId w:val="3"/>
  </w:num>
  <w:num w:numId="30" w16cid:durableId="571739379">
    <w:abstractNumId w:val="2"/>
  </w:num>
  <w:num w:numId="31" w16cid:durableId="1471437540">
    <w:abstractNumId w:val="1"/>
  </w:num>
  <w:num w:numId="32" w16cid:durableId="1699163127">
    <w:abstractNumId w:val="0"/>
  </w:num>
  <w:num w:numId="33" w16cid:durableId="1206136471">
    <w:abstractNumId w:val="11"/>
  </w:num>
  <w:num w:numId="34" w16cid:durableId="1895241303">
    <w:abstractNumId w:val="26"/>
  </w:num>
  <w:num w:numId="35" w16cid:durableId="728304317">
    <w:abstractNumId w:val="23"/>
  </w:num>
  <w:num w:numId="36" w16cid:durableId="1441071186">
    <w:abstractNumId w:val="33"/>
  </w:num>
  <w:num w:numId="37" w16cid:durableId="1511988071">
    <w:abstractNumId w:val="27"/>
  </w:num>
  <w:num w:numId="38" w16cid:durableId="196549435">
    <w:abstractNumId w:val="25"/>
  </w:num>
  <w:num w:numId="39" w16cid:durableId="943608143">
    <w:abstractNumId w:val="31"/>
  </w:num>
  <w:num w:numId="40" w16cid:durableId="296841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7E"/>
    <w:rsid w:val="00014B8B"/>
    <w:rsid w:val="00020A6C"/>
    <w:rsid w:val="00040DF1"/>
    <w:rsid w:val="000443F4"/>
    <w:rsid w:val="000447B9"/>
    <w:rsid w:val="000507BC"/>
    <w:rsid w:val="000607F7"/>
    <w:rsid w:val="00065C9C"/>
    <w:rsid w:val="00065D1A"/>
    <w:rsid w:val="000713EC"/>
    <w:rsid w:val="00075004"/>
    <w:rsid w:val="00081DF8"/>
    <w:rsid w:val="0008292E"/>
    <w:rsid w:val="00085658"/>
    <w:rsid w:val="00087668"/>
    <w:rsid w:val="000947C5"/>
    <w:rsid w:val="00094D48"/>
    <w:rsid w:val="0009546F"/>
    <w:rsid w:val="0009647D"/>
    <w:rsid w:val="00096741"/>
    <w:rsid w:val="000A0076"/>
    <w:rsid w:val="000A5D32"/>
    <w:rsid w:val="000B241C"/>
    <w:rsid w:val="000B50A6"/>
    <w:rsid w:val="000B525B"/>
    <w:rsid w:val="000B60AE"/>
    <w:rsid w:val="000B6E97"/>
    <w:rsid w:val="000C70E9"/>
    <w:rsid w:val="000F1E30"/>
    <w:rsid w:val="000F464E"/>
    <w:rsid w:val="00117E68"/>
    <w:rsid w:val="00122DCC"/>
    <w:rsid w:val="001235DD"/>
    <w:rsid w:val="00141E59"/>
    <w:rsid w:val="00151093"/>
    <w:rsid w:val="001538F6"/>
    <w:rsid w:val="0018102F"/>
    <w:rsid w:val="00190185"/>
    <w:rsid w:val="00190405"/>
    <w:rsid w:val="001B2E31"/>
    <w:rsid w:val="001B4740"/>
    <w:rsid w:val="001C6B26"/>
    <w:rsid w:val="001C7162"/>
    <w:rsid w:val="001D0C04"/>
    <w:rsid w:val="001D2D27"/>
    <w:rsid w:val="001E226F"/>
    <w:rsid w:val="001E4FA3"/>
    <w:rsid w:val="001E5AE6"/>
    <w:rsid w:val="001F0AF0"/>
    <w:rsid w:val="002129B8"/>
    <w:rsid w:val="002216ED"/>
    <w:rsid w:val="002240CC"/>
    <w:rsid w:val="00243A5C"/>
    <w:rsid w:val="0024419D"/>
    <w:rsid w:val="0026462A"/>
    <w:rsid w:val="002665B8"/>
    <w:rsid w:val="002671C8"/>
    <w:rsid w:val="00272715"/>
    <w:rsid w:val="0027412F"/>
    <w:rsid w:val="00294873"/>
    <w:rsid w:val="002975E4"/>
    <w:rsid w:val="002B5075"/>
    <w:rsid w:val="002B5317"/>
    <w:rsid w:val="002C3872"/>
    <w:rsid w:val="002C502B"/>
    <w:rsid w:val="002D74B1"/>
    <w:rsid w:val="002E4674"/>
    <w:rsid w:val="002E4B72"/>
    <w:rsid w:val="0033246B"/>
    <w:rsid w:val="00333194"/>
    <w:rsid w:val="00333BDC"/>
    <w:rsid w:val="00351665"/>
    <w:rsid w:val="00354A41"/>
    <w:rsid w:val="00360F33"/>
    <w:rsid w:val="0036572F"/>
    <w:rsid w:val="00366302"/>
    <w:rsid w:val="00366388"/>
    <w:rsid w:val="00370BE9"/>
    <w:rsid w:val="00372276"/>
    <w:rsid w:val="003749A7"/>
    <w:rsid w:val="00381BFE"/>
    <w:rsid w:val="003874CA"/>
    <w:rsid w:val="00395E29"/>
    <w:rsid w:val="003D20A1"/>
    <w:rsid w:val="003D6AAB"/>
    <w:rsid w:val="004041FC"/>
    <w:rsid w:val="004073DA"/>
    <w:rsid w:val="004130FD"/>
    <w:rsid w:val="00416AB3"/>
    <w:rsid w:val="00422F75"/>
    <w:rsid w:val="004278E5"/>
    <w:rsid w:val="004558ED"/>
    <w:rsid w:val="0047546E"/>
    <w:rsid w:val="00480ACF"/>
    <w:rsid w:val="00481897"/>
    <w:rsid w:val="004879DC"/>
    <w:rsid w:val="00491714"/>
    <w:rsid w:val="00491C21"/>
    <w:rsid w:val="004A4F65"/>
    <w:rsid w:val="004A522C"/>
    <w:rsid w:val="004B5C43"/>
    <w:rsid w:val="004C0359"/>
    <w:rsid w:val="004D1E79"/>
    <w:rsid w:val="004D4C25"/>
    <w:rsid w:val="004E52FC"/>
    <w:rsid w:val="004F43DF"/>
    <w:rsid w:val="004F6AB2"/>
    <w:rsid w:val="004F70A3"/>
    <w:rsid w:val="00502013"/>
    <w:rsid w:val="00510BA9"/>
    <w:rsid w:val="005124E7"/>
    <w:rsid w:val="00513DA3"/>
    <w:rsid w:val="00537224"/>
    <w:rsid w:val="00541CC2"/>
    <w:rsid w:val="005439CF"/>
    <w:rsid w:val="00545889"/>
    <w:rsid w:val="00550265"/>
    <w:rsid w:val="00550CE4"/>
    <w:rsid w:val="00551B72"/>
    <w:rsid w:val="0055245E"/>
    <w:rsid w:val="00566DD1"/>
    <w:rsid w:val="00580CA1"/>
    <w:rsid w:val="00582CD7"/>
    <w:rsid w:val="005872B4"/>
    <w:rsid w:val="005B2011"/>
    <w:rsid w:val="005B2610"/>
    <w:rsid w:val="005C3858"/>
    <w:rsid w:val="005C724E"/>
    <w:rsid w:val="005D4F06"/>
    <w:rsid w:val="005F5D40"/>
    <w:rsid w:val="005F6554"/>
    <w:rsid w:val="00601C33"/>
    <w:rsid w:val="0060395C"/>
    <w:rsid w:val="00612B19"/>
    <w:rsid w:val="006275AD"/>
    <w:rsid w:val="006305C7"/>
    <w:rsid w:val="00633C01"/>
    <w:rsid w:val="00636A89"/>
    <w:rsid w:val="006408DC"/>
    <w:rsid w:val="00646781"/>
    <w:rsid w:val="00646E2A"/>
    <w:rsid w:val="00681A09"/>
    <w:rsid w:val="00683362"/>
    <w:rsid w:val="006907C9"/>
    <w:rsid w:val="006A2642"/>
    <w:rsid w:val="006A7EB2"/>
    <w:rsid w:val="006B26A1"/>
    <w:rsid w:val="006B7312"/>
    <w:rsid w:val="006C1395"/>
    <w:rsid w:val="006D206B"/>
    <w:rsid w:val="006D7107"/>
    <w:rsid w:val="006D715A"/>
    <w:rsid w:val="006E7558"/>
    <w:rsid w:val="006F039B"/>
    <w:rsid w:val="00704FB2"/>
    <w:rsid w:val="0071722A"/>
    <w:rsid w:val="0072207D"/>
    <w:rsid w:val="0072227E"/>
    <w:rsid w:val="00725F23"/>
    <w:rsid w:val="00726004"/>
    <w:rsid w:val="007304BB"/>
    <w:rsid w:val="00731E72"/>
    <w:rsid w:val="007406D4"/>
    <w:rsid w:val="00746BF5"/>
    <w:rsid w:val="00752F2B"/>
    <w:rsid w:val="0075477B"/>
    <w:rsid w:val="007638C4"/>
    <w:rsid w:val="007643C8"/>
    <w:rsid w:val="00785167"/>
    <w:rsid w:val="00785E91"/>
    <w:rsid w:val="007860A4"/>
    <w:rsid w:val="00790B4F"/>
    <w:rsid w:val="007D3A5E"/>
    <w:rsid w:val="007D7402"/>
    <w:rsid w:val="007F1589"/>
    <w:rsid w:val="00806FA8"/>
    <w:rsid w:val="00807324"/>
    <w:rsid w:val="00815844"/>
    <w:rsid w:val="008217EC"/>
    <w:rsid w:val="008238CE"/>
    <w:rsid w:val="00832D08"/>
    <w:rsid w:val="00853A1F"/>
    <w:rsid w:val="00854F47"/>
    <w:rsid w:val="00857BB1"/>
    <w:rsid w:val="008607EF"/>
    <w:rsid w:val="00861146"/>
    <w:rsid w:val="008636B7"/>
    <w:rsid w:val="008675FD"/>
    <w:rsid w:val="00877060"/>
    <w:rsid w:val="008A049A"/>
    <w:rsid w:val="008A1C59"/>
    <w:rsid w:val="008A6484"/>
    <w:rsid w:val="008A776B"/>
    <w:rsid w:val="008B3C03"/>
    <w:rsid w:val="008C4754"/>
    <w:rsid w:val="008D1F9F"/>
    <w:rsid w:val="008D3BE5"/>
    <w:rsid w:val="008D4A66"/>
    <w:rsid w:val="008F3933"/>
    <w:rsid w:val="008F5169"/>
    <w:rsid w:val="008F70AF"/>
    <w:rsid w:val="009039A6"/>
    <w:rsid w:val="00906107"/>
    <w:rsid w:val="00906B64"/>
    <w:rsid w:val="00907DB4"/>
    <w:rsid w:val="00910821"/>
    <w:rsid w:val="00926872"/>
    <w:rsid w:val="00956CFA"/>
    <w:rsid w:val="00961F3A"/>
    <w:rsid w:val="009628E4"/>
    <w:rsid w:val="00966843"/>
    <w:rsid w:val="009850E2"/>
    <w:rsid w:val="00992931"/>
    <w:rsid w:val="00997B2D"/>
    <w:rsid w:val="009A42AF"/>
    <w:rsid w:val="009A441B"/>
    <w:rsid w:val="009B7043"/>
    <w:rsid w:val="009C0DF2"/>
    <w:rsid w:val="009C4C24"/>
    <w:rsid w:val="009C7F5A"/>
    <w:rsid w:val="009E566D"/>
    <w:rsid w:val="009E5B6C"/>
    <w:rsid w:val="009F274F"/>
    <w:rsid w:val="009F71E6"/>
    <w:rsid w:val="00A15BCF"/>
    <w:rsid w:val="00A248B8"/>
    <w:rsid w:val="00A3157D"/>
    <w:rsid w:val="00A53307"/>
    <w:rsid w:val="00A5427B"/>
    <w:rsid w:val="00A60321"/>
    <w:rsid w:val="00A646D1"/>
    <w:rsid w:val="00A700B1"/>
    <w:rsid w:val="00A70952"/>
    <w:rsid w:val="00A91C48"/>
    <w:rsid w:val="00A9779B"/>
    <w:rsid w:val="00AA011F"/>
    <w:rsid w:val="00AA3BB5"/>
    <w:rsid w:val="00AA5BB7"/>
    <w:rsid w:val="00AB4A37"/>
    <w:rsid w:val="00AC7600"/>
    <w:rsid w:val="00AD1356"/>
    <w:rsid w:val="00AF24C7"/>
    <w:rsid w:val="00B0509A"/>
    <w:rsid w:val="00B111CE"/>
    <w:rsid w:val="00B152B0"/>
    <w:rsid w:val="00B21D35"/>
    <w:rsid w:val="00B228D3"/>
    <w:rsid w:val="00B23372"/>
    <w:rsid w:val="00B2604C"/>
    <w:rsid w:val="00B31C96"/>
    <w:rsid w:val="00B34DEF"/>
    <w:rsid w:val="00B35CA5"/>
    <w:rsid w:val="00B508F7"/>
    <w:rsid w:val="00B576D5"/>
    <w:rsid w:val="00B70659"/>
    <w:rsid w:val="00B77FDA"/>
    <w:rsid w:val="00B81ADA"/>
    <w:rsid w:val="00B933A6"/>
    <w:rsid w:val="00B970A6"/>
    <w:rsid w:val="00BC4FBD"/>
    <w:rsid w:val="00BE0CB3"/>
    <w:rsid w:val="00C025EE"/>
    <w:rsid w:val="00C03F31"/>
    <w:rsid w:val="00C04C45"/>
    <w:rsid w:val="00C07045"/>
    <w:rsid w:val="00C103CC"/>
    <w:rsid w:val="00C11050"/>
    <w:rsid w:val="00C131F3"/>
    <w:rsid w:val="00C144B0"/>
    <w:rsid w:val="00C20723"/>
    <w:rsid w:val="00C209F3"/>
    <w:rsid w:val="00C210AE"/>
    <w:rsid w:val="00C21B62"/>
    <w:rsid w:val="00C404AC"/>
    <w:rsid w:val="00C65E73"/>
    <w:rsid w:val="00C66077"/>
    <w:rsid w:val="00C744D5"/>
    <w:rsid w:val="00C763E8"/>
    <w:rsid w:val="00C91138"/>
    <w:rsid w:val="00CA1178"/>
    <w:rsid w:val="00CA7E29"/>
    <w:rsid w:val="00CC28BC"/>
    <w:rsid w:val="00CC2BDE"/>
    <w:rsid w:val="00CD7354"/>
    <w:rsid w:val="00CE6A5A"/>
    <w:rsid w:val="00CF0FE9"/>
    <w:rsid w:val="00CF6676"/>
    <w:rsid w:val="00D0171D"/>
    <w:rsid w:val="00D02909"/>
    <w:rsid w:val="00D059A8"/>
    <w:rsid w:val="00D25109"/>
    <w:rsid w:val="00D27C8F"/>
    <w:rsid w:val="00D31FD5"/>
    <w:rsid w:val="00D3364F"/>
    <w:rsid w:val="00D356E1"/>
    <w:rsid w:val="00D53273"/>
    <w:rsid w:val="00D57F22"/>
    <w:rsid w:val="00D64D58"/>
    <w:rsid w:val="00D71C14"/>
    <w:rsid w:val="00D72933"/>
    <w:rsid w:val="00D85EE8"/>
    <w:rsid w:val="00D868A7"/>
    <w:rsid w:val="00D9374A"/>
    <w:rsid w:val="00D94783"/>
    <w:rsid w:val="00DA5783"/>
    <w:rsid w:val="00DA58A5"/>
    <w:rsid w:val="00DB47D4"/>
    <w:rsid w:val="00DC1530"/>
    <w:rsid w:val="00DD4B2F"/>
    <w:rsid w:val="00DF2227"/>
    <w:rsid w:val="00DF74D4"/>
    <w:rsid w:val="00E03CF0"/>
    <w:rsid w:val="00E0683F"/>
    <w:rsid w:val="00E069AF"/>
    <w:rsid w:val="00E118DD"/>
    <w:rsid w:val="00E13316"/>
    <w:rsid w:val="00E22D5E"/>
    <w:rsid w:val="00E249FE"/>
    <w:rsid w:val="00E34003"/>
    <w:rsid w:val="00E36ECF"/>
    <w:rsid w:val="00E43A32"/>
    <w:rsid w:val="00E71602"/>
    <w:rsid w:val="00E758D4"/>
    <w:rsid w:val="00E76114"/>
    <w:rsid w:val="00E9396F"/>
    <w:rsid w:val="00EA1F77"/>
    <w:rsid w:val="00EA6A19"/>
    <w:rsid w:val="00EB1F84"/>
    <w:rsid w:val="00EC476F"/>
    <w:rsid w:val="00EC6F30"/>
    <w:rsid w:val="00ED3165"/>
    <w:rsid w:val="00EE5743"/>
    <w:rsid w:val="00EF2779"/>
    <w:rsid w:val="00EF3318"/>
    <w:rsid w:val="00EF3F66"/>
    <w:rsid w:val="00EF4DED"/>
    <w:rsid w:val="00EF63E8"/>
    <w:rsid w:val="00F03A5D"/>
    <w:rsid w:val="00F20C70"/>
    <w:rsid w:val="00F32B4F"/>
    <w:rsid w:val="00F33243"/>
    <w:rsid w:val="00F34F8E"/>
    <w:rsid w:val="00F3509A"/>
    <w:rsid w:val="00F35B81"/>
    <w:rsid w:val="00F502A7"/>
    <w:rsid w:val="00F5343F"/>
    <w:rsid w:val="00F55F91"/>
    <w:rsid w:val="00F654C0"/>
    <w:rsid w:val="00F655F5"/>
    <w:rsid w:val="00F66056"/>
    <w:rsid w:val="00F67354"/>
    <w:rsid w:val="00F81B1D"/>
    <w:rsid w:val="00FA2A81"/>
    <w:rsid w:val="00FA4EEF"/>
    <w:rsid w:val="00FA53DD"/>
    <w:rsid w:val="00FB28BD"/>
    <w:rsid w:val="00FB7CA1"/>
    <w:rsid w:val="00FC7FF7"/>
    <w:rsid w:val="00FF1AC8"/>
    <w:rsid w:val="00FF3110"/>
    <w:rsid w:val="00FF505C"/>
    <w:rsid w:val="00FF6BFC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B5D4"/>
  <w15:chartTrackingRefBased/>
  <w15:docId w15:val="{680183EA-1A29-4EEA-8B8A-8C69A5C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09647D"/>
    <w:pPr>
      <w:spacing w:before="240" w:after="240" w:line="288" w:lineRule="atLeast"/>
    </w:pPr>
  </w:style>
  <w:style w:type="paragraph" w:styleId="Heading1">
    <w:name w:val="heading 1"/>
    <w:basedOn w:val="A-head"/>
    <w:next w:val="Normal"/>
    <w:link w:val="Heading1Char"/>
    <w:uiPriority w:val="30"/>
    <w:semiHidden/>
    <w:rsid w:val="00545889"/>
    <w:pPr>
      <w:outlineLvl w:val="0"/>
    </w:pPr>
  </w:style>
  <w:style w:type="paragraph" w:styleId="Heading2">
    <w:name w:val="heading 2"/>
    <w:basedOn w:val="B-head"/>
    <w:next w:val="Normal"/>
    <w:link w:val="Heading2Char"/>
    <w:uiPriority w:val="30"/>
    <w:semiHidden/>
    <w:rsid w:val="00545889"/>
    <w:pPr>
      <w:outlineLvl w:val="1"/>
    </w:pPr>
  </w:style>
  <w:style w:type="paragraph" w:styleId="Heading3">
    <w:name w:val="heading 3"/>
    <w:basedOn w:val="C-head"/>
    <w:next w:val="Normal"/>
    <w:link w:val="Heading3Char"/>
    <w:uiPriority w:val="30"/>
    <w:semiHidden/>
    <w:rsid w:val="0054588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30"/>
    <w:semiHidden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6"/>
    <w:qFormat/>
    <w:rsid w:val="00085658"/>
  </w:style>
  <w:style w:type="paragraph" w:styleId="Header">
    <w:name w:val="header"/>
    <w:basedOn w:val="Normal"/>
    <w:link w:val="HeaderChar"/>
    <w:uiPriority w:val="99"/>
    <w:semiHidden/>
    <w:rsid w:val="0009647D"/>
    <w:pPr>
      <w:spacing w:before="0"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647D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481897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1897"/>
    <w:rPr>
      <w:color w:val="003057" w:themeColor="text1"/>
      <w:szCs w:val="20"/>
    </w:rPr>
  </w:style>
  <w:style w:type="paragraph" w:styleId="Title">
    <w:name w:val="Title"/>
    <w:next w:val="Subtitle"/>
    <w:link w:val="TitleChar"/>
    <w:uiPriority w:val="99"/>
    <w:semiHidden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A-head"/>
    <w:next w:val="Date"/>
    <w:link w:val="SubtitleChar"/>
    <w:uiPriority w:val="99"/>
    <w:semiHidden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B-head"/>
    <w:next w:val="Body"/>
    <w:link w:val="DateChar"/>
    <w:uiPriority w:val="99"/>
    <w:semiHidden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4"/>
    <w:qFormat/>
    <w:rsid w:val="0047546E"/>
    <w:pPr>
      <w:spacing w:after="560" w:line="240" w:lineRule="auto"/>
      <w:ind w:right="941"/>
    </w:pPr>
    <w:rPr>
      <w:b/>
      <w:sz w:val="50"/>
      <w:szCs w:val="50"/>
    </w:rPr>
  </w:style>
  <w:style w:type="paragraph" w:customStyle="1" w:styleId="Coversubtitle">
    <w:name w:val="Cover subtitle"/>
    <w:basedOn w:val="A-head"/>
    <w:next w:val="Coverdate"/>
    <w:uiPriority w:val="24"/>
    <w:qFormat/>
    <w:rsid w:val="00F20C70"/>
    <w:pPr>
      <w:outlineLvl w:val="9"/>
    </w:pPr>
  </w:style>
  <w:style w:type="paragraph" w:customStyle="1" w:styleId="Coverdate">
    <w:name w:val="Cover date"/>
    <w:basedOn w:val="B-head"/>
    <w:next w:val="Body"/>
    <w:uiPriority w:val="25"/>
    <w:qFormat/>
    <w:rsid w:val="00F20C70"/>
    <w:pPr>
      <w:outlineLvl w:val="9"/>
    </w:pPr>
  </w:style>
  <w:style w:type="paragraph" w:customStyle="1" w:styleId="Chapterheadnumber">
    <w:name w:val="Chapter head number"/>
    <w:next w:val="Body"/>
    <w:uiPriority w:val="4"/>
    <w:qFormat/>
    <w:rsid w:val="000A0076"/>
    <w:pPr>
      <w:pageBreakBefore/>
      <w:numPr>
        <w:numId w:val="6"/>
      </w:numPr>
      <w:spacing w:after="560" w:line="680" w:lineRule="atLeast"/>
      <w:outlineLvl w:val="0"/>
    </w:pPr>
    <w:rPr>
      <w:b/>
      <w:sz w:val="60"/>
      <w:szCs w:val="60"/>
    </w:rPr>
  </w:style>
  <w:style w:type="paragraph" w:customStyle="1" w:styleId="A-head">
    <w:name w:val="A-head"/>
    <w:basedOn w:val="Normal"/>
    <w:next w:val="Body"/>
    <w:qFormat/>
    <w:rsid w:val="00F3509A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F3509A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633C01"/>
    <w:pPr>
      <w:spacing w:line="320" w:lineRule="atLeast"/>
      <w:outlineLvl w:val="3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A-head"/>
    <w:next w:val="Body"/>
    <w:uiPriority w:val="23"/>
    <w:qFormat/>
    <w:rsid w:val="00481897"/>
    <w:pPr>
      <w:keepNext/>
      <w:pageBreakBefore/>
      <w:outlineLvl w:val="9"/>
    </w:pPr>
  </w:style>
  <w:style w:type="paragraph" w:customStyle="1" w:styleId="Paranumber">
    <w:name w:val="Para number"/>
    <w:basedOn w:val="Body"/>
    <w:uiPriority w:val="8"/>
    <w:qFormat/>
    <w:rsid w:val="00EA6A19"/>
    <w:pPr>
      <w:numPr>
        <w:ilvl w:val="1"/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Paranonumber">
    <w:name w:val="Para no number"/>
    <w:basedOn w:val="Body"/>
    <w:uiPriority w:val="7"/>
    <w:qFormat/>
    <w:rsid w:val="00EA6A19"/>
  </w:style>
  <w:style w:type="paragraph" w:customStyle="1" w:styleId="Bulletspaced">
    <w:name w:val="Bullet spaced"/>
    <w:basedOn w:val="Body"/>
    <w:uiPriority w:val="6"/>
    <w:qFormat/>
    <w:rsid w:val="00081DF8"/>
    <w:pPr>
      <w:numPr>
        <w:numId w:val="18"/>
      </w:numPr>
      <w:spacing w:before="120" w:after="120"/>
    </w:pPr>
  </w:style>
  <w:style w:type="numbering" w:customStyle="1" w:styleId="ECList">
    <w:name w:val="ECList"/>
    <w:uiPriority w:val="99"/>
    <w:rsid w:val="000A0076"/>
    <w:pPr>
      <w:numPr>
        <w:numId w:val="2"/>
      </w:numPr>
    </w:pPr>
  </w:style>
  <w:style w:type="paragraph" w:styleId="TOC1">
    <w:name w:val="toc 1"/>
    <w:basedOn w:val="Normal"/>
    <w:next w:val="Normal"/>
    <w:uiPriority w:val="39"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39"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Chapterheadnumber"/>
    <w:next w:val="Body"/>
    <w:uiPriority w:val="28"/>
    <w:qFormat/>
    <w:rsid w:val="000B60AE"/>
    <w:pPr>
      <w:numPr>
        <w:numId w:val="8"/>
      </w:numPr>
    </w:pPr>
  </w:style>
  <w:style w:type="paragraph" w:customStyle="1" w:styleId="Appendixparanumber">
    <w:name w:val="Appendix para number"/>
    <w:basedOn w:val="Paranumber"/>
    <w:uiPriority w:val="27"/>
    <w:qFormat/>
    <w:rsid w:val="000B60AE"/>
    <w:pPr>
      <w:numPr>
        <w:numId w:val="8"/>
      </w:numPr>
    </w:pPr>
  </w:style>
  <w:style w:type="numbering" w:customStyle="1" w:styleId="ECAppendix">
    <w:name w:val="ECAppendix"/>
    <w:uiPriority w:val="99"/>
    <w:rsid w:val="000B60AE"/>
    <w:pPr>
      <w:numPr>
        <w:numId w:val="7"/>
      </w:numPr>
    </w:pPr>
  </w:style>
  <w:style w:type="paragraph" w:customStyle="1" w:styleId="Boxtext">
    <w:name w:val="Box text"/>
    <w:basedOn w:val="Body"/>
    <w:uiPriority w:val="17"/>
    <w:qFormat/>
    <w:rsid w:val="00F33243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spacedbullet">
    <w:name w:val="Box spaced bullet"/>
    <w:basedOn w:val="Normal"/>
    <w:uiPriority w:val="18"/>
    <w:qFormat/>
    <w:rsid w:val="00633C01"/>
    <w:pPr>
      <w:numPr>
        <w:numId w:val="9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709" w:right="142"/>
    </w:pPr>
  </w:style>
  <w:style w:type="paragraph" w:customStyle="1" w:styleId="Boxtextheading">
    <w:name w:val="Box text heading"/>
    <w:basedOn w:val="Boxtext"/>
    <w:uiPriority w:val="16"/>
    <w:qFormat/>
    <w:rsid w:val="00F33243"/>
    <w:rPr>
      <w:b/>
    </w:rPr>
  </w:style>
  <w:style w:type="paragraph" w:customStyle="1" w:styleId="Extract">
    <w:name w:val="Extract"/>
    <w:basedOn w:val="Body"/>
    <w:uiPriority w:val="20"/>
    <w:qFormat/>
    <w:rsid w:val="004F43DF"/>
    <w:pPr>
      <w:ind w:left="567"/>
      <w:contextualSpacing/>
    </w:pPr>
  </w:style>
  <w:style w:type="paragraph" w:customStyle="1" w:styleId="Source">
    <w:name w:val="Source"/>
    <w:basedOn w:val="Body"/>
    <w:uiPriority w:val="20"/>
    <w:qFormat/>
    <w:rsid w:val="004F43DF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B241C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single" w:sz="8" w:space="0" w:color="0099C3" w:themeColor="background2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TableBody">
    <w:name w:val="Table Body"/>
    <w:basedOn w:val="Body"/>
    <w:uiPriority w:val="11"/>
    <w:qFormat/>
    <w:rsid w:val="00243A5C"/>
    <w:pPr>
      <w:spacing w:before="120" w:after="120"/>
    </w:pPr>
  </w:style>
  <w:style w:type="paragraph" w:customStyle="1" w:styleId="Tablecolumnheading">
    <w:name w:val="Table column heading"/>
    <w:basedOn w:val="TableBody"/>
    <w:uiPriority w:val="10"/>
    <w:qFormat/>
    <w:rsid w:val="00F33243"/>
    <w:rPr>
      <w:b/>
      <w:color w:val="0099C3" w:themeColor="background2"/>
    </w:rPr>
  </w:style>
  <w:style w:type="paragraph" w:customStyle="1" w:styleId="Nospacebody">
    <w:name w:val="No space body"/>
    <w:basedOn w:val="Body"/>
    <w:uiPriority w:val="6"/>
    <w:qFormat/>
    <w:rsid w:val="001E5AE6"/>
    <w:pPr>
      <w:spacing w:after="0"/>
    </w:pPr>
  </w:style>
  <w:style w:type="table" w:customStyle="1" w:styleId="ECTablenoborders">
    <w:name w:val="EC Table no borders"/>
    <w:basedOn w:val="ECTablewithborders"/>
    <w:uiPriority w:val="99"/>
    <w:rsid w:val="000507BC"/>
    <w:tblPr>
      <w:tblBorders>
        <w:bottom w:val="none" w:sz="0" w:space="0" w:color="auto"/>
        <w:insideH w:val="none" w:sz="0" w:space="0" w:color="auto"/>
      </w:tblBorders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Charttitle">
    <w:name w:val="Chart title"/>
    <w:basedOn w:val="C-head"/>
    <w:next w:val="Charttext"/>
    <w:uiPriority w:val="19"/>
    <w:qFormat/>
    <w:rsid w:val="00633C01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atLeast"/>
      <w:ind w:left="142" w:right="142"/>
    </w:pPr>
  </w:style>
  <w:style w:type="paragraph" w:customStyle="1" w:styleId="Charttext">
    <w:name w:val="Chart text"/>
    <w:basedOn w:val="Charttitle"/>
    <w:uiPriority w:val="20"/>
    <w:qFormat/>
    <w:rsid w:val="008F3933"/>
    <w:rPr>
      <w:b w:val="0"/>
    </w:rPr>
  </w:style>
  <w:style w:type="paragraph" w:customStyle="1" w:styleId="Chapterhead">
    <w:name w:val="Chapter head"/>
    <w:basedOn w:val="Chapterheadnumber"/>
    <w:next w:val="Body"/>
    <w:uiPriority w:val="3"/>
    <w:qFormat/>
    <w:rsid w:val="001E4FA3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9"/>
    <w:qFormat/>
    <w:rsid w:val="004073DA"/>
    <w:pPr>
      <w:numPr>
        <w:numId w:val="0"/>
      </w:numPr>
    </w:pPr>
  </w:style>
  <w:style w:type="paragraph" w:customStyle="1" w:styleId="Numberedbody">
    <w:name w:val="Numbered body"/>
    <w:basedOn w:val="Body"/>
    <w:uiPriority w:val="8"/>
    <w:qFormat/>
    <w:rsid w:val="00081DF8"/>
    <w:pPr>
      <w:numPr>
        <w:numId w:val="19"/>
      </w:numPr>
      <w:spacing w:before="120" w:after="120"/>
    </w:pPr>
  </w:style>
  <w:style w:type="paragraph" w:customStyle="1" w:styleId="Addressfooter">
    <w:name w:val="Address footer"/>
    <w:basedOn w:val="Normal"/>
    <w:uiPriority w:val="29"/>
    <w:semiHidden/>
    <w:qFormat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29"/>
    <w:rsid w:val="00926872"/>
    <w:pPr>
      <w:spacing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18"/>
      </w:numPr>
    </w:pPr>
  </w:style>
  <w:style w:type="numbering" w:customStyle="1" w:styleId="ECNumbered">
    <w:name w:val="EC Numbered"/>
    <w:uiPriority w:val="99"/>
    <w:rsid w:val="00510BA9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rsid w:val="007406D4"/>
  </w:style>
  <w:style w:type="paragraph" w:styleId="BlockText">
    <w:name w:val="Block Text"/>
    <w:basedOn w:val="Normal"/>
    <w:uiPriority w:val="99"/>
    <w:semiHidden/>
    <w:unhideWhenUs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06D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06D4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06D4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06D4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06D4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06D4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06D4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06D4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06D4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06D4"/>
    <w:pPr>
      <w:numPr>
        <w:numId w:val="32"/>
      </w:numPr>
      <w:contextualSpacing/>
    </w:pPr>
  </w:style>
  <w:style w:type="paragraph" w:styleId="ListParagraph">
    <w:name w:val="List Paragraph"/>
    <w:basedOn w:val="Normal"/>
    <w:uiPriority w:val="44"/>
    <w:semiHidden/>
    <w:rsid w:val="00633C0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rsid w:val="007406D4"/>
    <w:pPr>
      <w:keepNext/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unhideWhenUsed/>
    <w:rsid w:val="00F3509A"/>
    <w:rPr>
      <w:color w:val="705191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6E97"/>
    <w:rPr>
      <w:sz w:val="16"/>
      <w:szCs w:val="16"/>
    </w:rPr>
  </w:style>
  <w:style w:type="paragraph" w:styleId="Revision">
    <w:name w:val="Revision"/>
    <w:hidden/>
    <w:uiPriority w:val="99"/>
    <w:semiHidden/>
    <w:rsid w:val="004C0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ledger\OneDrive%20-%20The%20Electoral%20Commission\Projects\Procurment%20Board%20Effectiveness\Draft%202%20%20RFP%20for%20Board%20effectiveness%20review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2db2267-da8a-4033-a749-d2c12989898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6170F144E2E43A16585ED5693DCE3" ma:contentTypeVersion="1" ma:contentTypeDescription="Create a new document." ma:contentTypeScope="" ma:versionID="84f28fa86a6ada1bd4889a0f55b58434">
  <xsd:schema xmlns:xsd="http://www.w3.org/2001/XMLSchema" xmlns:xs="http://www.w3.org/2001/XMLSchema" xmlns:p="http://schemas.microsoft.com/office/2006/metadata/properties" xmlns:ns2="0b644c8d-8442-43d3-b70d-a766ab8538c3" xmlns:ns3="c0973202-7c92-449b-a95a-8ec26691ea65" targetNamespace="http://schemas.microsoft.com/office/2006/metadata/properties" ma:root="true" ma:fieldsID="939b8029f6ccf04527f0b548fcb03fca" ns2:_="" ns3:_="">
    <xsd:import namespace="0b644c8d-8442-43d3-b70d-a766ab8538c3"/>
    <xsd:import namespace="c0973202-7c92-449b-a95a-8ec26691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rticle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rticleName" ma:index="11" nillable="true" ma:displayName="Name" ma:internalName="Article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0b644c8d-8442-43d3-b70d-a766ab8538c3" xsi:nil="true"/>
    <_dlc_DocId xmlns="0b644c8d-8442-43d3-b70d-a766ab8538c3">TX6SW6SUV4E4-1123894727-7</_dlc_DocId>
    <_dlc_DocIdUrl xmlns="0b644c8d-8442-43d3-b70d-a766ab8538c3">
      <Url>http://skynet/dm/Functions/Sec/_layouts/15/DocIdRedir.aspx?ID=TX6SW6SUV4E4-1123894727-7</Url>
      <Description>TX6SW6SUV4E4-1123894727-7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98BF-9387-4018-91CD-73456D5F00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4165B3-C135-4130-986C-B3F8C4C24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6EC2-5480-44BB-9D26-2BABB5A3B3E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F3AF0C-D121-4342-8E08-621536AC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E58763-D22F-40C5-B5D9-A92B53FB1E61}">
  <ds:schemaRefs>
    <ds:schemaRef ds:uri="http://schemas.microsoft.com/office/2006/metadata/properties"/>
    <ds:schemaRef ds:uri="http://schemas.microsoft.com/office/infopath/2007/PartnerControls"/>
    <ds:schemaRef ds:uri="0b644c8d-8442-43d3-b70d-a766ab8538c3"/>
  </ds:schemaRefs>
</ds:datastoreItem>
</file>

<file path=customXml/itemProps6.xml><?xml version="1.0" encoding="utf-8"?>
<ds:datastoreItem xmlns:ds="http://schemas.openxmlformats.org/officeDocument/2006/customXml" ds:itemID="{000ECA8F-75BF-462E-A037-51CE70D6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  RFP for Board effectiveness review</Template>
  <TotalTime>1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Pledger</dc:creator>
  <cp:keywords/>
  <dc:description/>
  <cp:lastModifiedBy>Paul Stringer</cp:lastModifiedBy>
  <cp:revision>2</cp:revision>
  <dcterms:created xsi:type="dcterms:W3CDTF">2023-05-04T12:26:00Z</dcterms:created>
  <dcterms:modified xsi:type="dcterms:W3CDTF">2023-05-04T12:26:00Z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0x010100B096170F144E2E43A16585ED5693DCE3</vt:lpwstr>
  </property>
  <property fmtid="{D5CDD505-2E9C-101B-9397-08002B2CF9AE}" pid="3" name="_dlc_DocIdItemGuid">
    <vt:lpwstr>f93d0a7e-4f97-48c2-82a2-8c3deb1a750d</vt:lpwstr>
  </property>
  <property fmtid="{D5CDD505-2E9C-101B-9397-08002B2CF9AE}" pid="4" name="Directorate">
    <vt:lpwstr/>
  </property>
  <property fmtid="{D5CDD505-2E9C-101B-9397-08002B2CF9AE}" pid="5" name="Team">
    <vt:lpwstr/>
  </property>
  <property fmtid="{D5CDD505-2E9C-101B-9397-08002B2CF9AE}" pid="6" name="Audience1">
    <vt:lpwstr>2;#All staff|1a1e0e6e-8d96-4235-ac5f-9f1dcc3600b0</vt:lpwstr>
  </property>
  <property fmtid="{D5CDD505-2E9C-101B-9397-08002B2CF9AE}" pid="7" name="TaxKeyword">
    <vt:lpwstr/>
  </property>
  <property fmtid="{D5CDD505-2E9C-101B-9397-08002B2CF9AE}" pid="8" name="d7e05c9ad6914a3c91fc7c6d52d321c1">
    <vt:lpwstr/>
  </property>
  <property fmtid="{D5CDD505-2E9C-101B-9397-08002B2CF9AE}" pid="9" name="Countries">
    <vt:lpwstr>3;#UK wide|6834a7d2-fb91-47b3-99a3-3181df52306f</vt:lpwstr>
  </property>
  <property fmtid="{D5CDD505-2E9C-101B-9397-08002B2CF9AE}" pid="10" name="Board Paper Subject">
    <vt:lpwstr/>
  </property>
  <property fmtid="{D5CDD505-2E9C-101B-9397-08002B2CF9AE}" pid="11" name="ECSubject">
    <vt:lpwstr>66;#Commission sectretariat|069d53d4-2829-4927-bd9e-40152ea98c04</vt:lpwstr>
  </property>
  <property fmtid="{D5CDD505-2E9C-101B-9397-08002B2CF9AE}" pid="12" name="Month">
    <vt:lpwstr/>
  </property>
  <property fmtid="{D5CDD505-2E9C-101B-9397-08002B2CF9AE}" pid="13" name="Electoral Event">
    <vt:lpwstr/>
  </property>
  <property fmtid="{D5CDD505-2E9C-101B-9397-08002B2CF9AE}" pid="14" name="Calendar Year">
    <vt:lpwstr>2922;#2019|80477d04-240e-41a1-9358-3be7e2b4268f</vt:lpwstr>
  </property>
  <property fmtid="{D5CDD505-2E9C-101B-9397-08002B2CF9AE}" pid="15" name="GPMS marking">
    <vt:lpwstr>1;#Official|77462fb2-11a1-4cd5-8628-4e6081b9477e</vt:lpwstr>
  </property>
  <property fmtid="{D5CDD505-2E9C-101B-9397-08002B2CF9AE}" pid="16" name="TaxKeywordTaxHTField">
    <vt:lpwstr/>
  </property>
  <property fmtid="{D5CDD505-2E9C-101B-9397-08002B2CF9AE}" pid="17" name="Financial year">
    <vt:lpwstr>3063;#2019-20|4626c6c9-7bdf-4651-b4a9-be50bf81f87d</vt:lpwstr>
  </property>
  <property fmtid="{D5CDD505-2E9C-101B-9397-08002B2CF9AE}" pid="18" name="f9169cbde8cd43d083a6796edf077c19">
    <vt:lpwstr/>
  </property>
  <property fmtid="{D5CDD505-2E9C-101B-9397-08002B2CF9AE}" pid="19" name="n0ecf30723e04ad4a18670a4e17a3129">
    <vt:lpwstr/>
  </property>
</Properties>
</file>