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A7ECF" w14:textId="77777777" w:rsidR="00E929CC" w:rsidRDefault="00E929CC" w:rsidP="00E929CC">
      <w:pPr>
        <w:spacing w:line="252" w:lineRule="auto"/>
        <w:ind w:left="360"/>
        <w:rPr>
          <w:rFonts w:ascii="Verdana" w:hAnsi="Verdana"/>
          <w:sz w:val="20"/>
          <w:szCs w:val="20"/>
          <w:u w:val="single"/>
        </w:rPr>
      </w:pPr>
    </w:p>
    <w:p w14:paraId="24EFB091" w14:textId="2D2D44F0" w:rsidR="00E929CC" w:rsidRDefault="00E929CC" w:rsidP="00E929CC">
      <w:pPr>
        <w:spacing w:line="252" w:lineRule="auto"/>
        <w:ind w:left="360"/>
        <w:rPr>
          <w:rFonts w:ascii="Verdana" w:hAnsi="Verdana"/>
          <w:sz w:val="20"/>
          <w:szCs w:val="20"/>
          <w:u w:val="single"/>
        </w:rPr>
      </w:pPr>
      <w:bookmarkStart w:id="0" w:name="_GoBack"/>
      <w:r>
        <w:rPr>
          <w:rFonts w:ascii="Verdana" w:hAnsi="Verdana"/>
          <w:sz w:val="20"/>
          <w:szCs w:val="20"/>
          <w:u w:val="single"/>
        </w:rPr>
        <w:t>Responses to questions relating to ‘UK WIDE TALENT AND PERFORAMACNE INCLUSION RESEARCH PROJECT’</w:t>
      </w:r>
      <w:bookmarkEnd w:id="0"/>
      <w:r>
        <w:rPr>
          <w:rFonts w:ascii="Verdana" w:hAnsi="Verdana"/>
          <w:sz w:val="20"/>
          <w:szCs w:val="20"/>
          <w:u w:val="single"/>
        </w:rPr>
        <w:t xml:space="preserve"> - 14 October 2020 </w:t>
      </w:r>
    </w:p>
    <w:p w14:paraId="1A55626D" w14:textId="77777777" w:rsidR="00E929CC" w:rsidRDefault="00E929CC" w:rsidP="00E929CC">
      <w:pPr>
        <w:spacing w:line="252" w:lineRule="auto"/>
        <w:ind w:left="360"/>
        <w:rPr>
          <w:rFonts w:ascii="Verdana" w:hAnsi="Verdana"/>
          <w:sz w:val="20"/>
          <w:szCs w:val="20"/>
        </w:rPr>
      </w:pPr>
    </w:p>
    <w:p w14:paraId="7AEB4C83" w14:textId="587CF9FA" w:rsidR="00E929CC" w:rsidRDefault="00E929CC" w:rsidP="00E929CC">
      <w:pPr>
        <w:pStyle w:val="ListParagraph"/>
        <w:numPr>
          <w:ilvl w:val="0"/>
          <w:numId w:val="1"/>
        </w:numPr>
        <w:spacing w:after="0"/>
        <w:rPr>
          <w:rFonts w:ascii="Verdana" w:eastAsia="Times New Roman" w:hAnsi="Verdana"/>
          <w:sz w:val="20"/>
          <w:szCs w:val="20"/>
        </w:rPr>
      </w:pPr>
      <w:r>
        <w:rPr>
          <w:rFonts w:ascii="Verdana" w:eastAsia="Times New Roman" w:hAnsi="Verdana"/>
          <w:sz w:val="20"/>
          <w:szCs w:val="20"/>
        </w:rPr>
        <w:t>Q. The ITT refers to the previous study commissioned by Sport England in 2018. Can I just check whether this report is publicly available or can be shared with potential tenderers?</w:t>
      </w:r>
      <w:r>
        <w:rPr>
          <w:rFonts w:ascii="Verdana" w:eastAsia="Times New Roman" w:hAnsi="Verdana"/>
          <w:sz w:val="20"/>
          <w:szCs w:val="20"/>
        </w:rPr>
        <w:t xml:space="preserve"> </w:t>
      </w:r>
    </w:p>
    <w:p w14:paraId="4D8EE2F5" w14:textId="2A78BF1B" w:rsidR="00E929CC" w:rsidRPr="00E929CC" w:rsidRDefault="00E929CC" w:rsidP="00E929CC">
      <w:pPr>
        <w:pStyle w:val="ListParagraph"/>
        <w:numPr>
          <w:ilvl w:val="0"/>
          <w:numId w:val="10"/>
        </w:numPr>
        <w:rPr>
          <w:rFonts w:ascii="Verdana" w:eastAsia="Times New Roman" w:hAnsi="Verdana"/>
          <w:color w:val="FF0000"/>
          <w:sz w:val="20"/>
          <w:szCs w:val="20"/>
        </w:rPr>
      </w:pPr>
      <w:r>
        <w:rPr>
          <w:rFonts w:ascii="Verdana" w:eastAsia="Times New Roman" w:hAnsi="Verdana"/>
          <w:color w:val="FF0000"/>
          <w:sz w:val="20"/>
          <w:szCs w:val="20"/>
        </w:rPr>
        <w:t>See answer 5</w:t>
      </w:r>
    </w:p>
    <w:p w14:paraId="77A7B362" w14:textId="77777777" w:rsidR="00E929CC" w:rsidRDefault="00E929CC" w:rsidP="00E929CC">
      <w:pPr>
        <w:pStyle w:val="ListParagraph"/>
        <w:numPr>
          <w:ilvl w:val="0"/>
          <w:numId w:val="1"/>
        </w:numPr>
        <w:rPr>
          <w:rFonts w:ascii="Verdana" w:eastAsia="Times New Roman" w:hAnsi="Verdana"/>
          <w:sz w:val="20"/>
          <w:szCs w:val="20"/>
        </w:rPr>
      </w:pPr>
      <w:r>
        <w:rPr>
          <w:rFonts w:ascii="Verdana" w:eastAsia="Times New Roman" w:hAnsi="Verdana"/>
          <w:sz w:val="20"/>
          <w:szCs w:val="20"/>
        </w:rPr>
        <w:t>Q. As the approach and results would need to be comparable, would you be able to provide any more information on the previous research study commissioned by Sport England in 2018 (highlighted on p.14 of the ITT)? Would you be able to share a copy of the report and/or let us know who carried out the study?</w:t>
      </w:r>
    </w:p>
    <w:p w14:paraId="01F87DCD" w14:textId="4DCC2482" w:rsidR="00E929CC" w:rsidRPr="00E929CC" w:rsidRDefault="00E929CC" w:rsidP="00E929CC">
      <w:pPr>
        <w:pStyle w:val="ListParagraph"/>
        <w:numPr>
          <w:ilvl w:val="0"/>
          <w:numId w:val="11"/>
        </w:numPr>
        <w:rPr>
          <w:rFonts w:ascii="Verdana" w:eastAsia="Times New Roman" w:hAnsi="Verdana"/>
          <w:sz w:val="20"/>
          <w:szCs w:val="20"/>
        </w:rPr>
      </w:pPr>
      <w:r w:rsidRPr="00E929CC">
        <w:rPr>
          <w:rFonts w:ascii="Verdana" w:eastAsia="Times New Roman" w:hAnsi="Verdana"/>
          <w:color w:val="FF0000"/>
          <w:sz w:val="20"/>
          <w:szCs w:val="20"/>
        </w:rPr>
        <w:t>See answer 5</w:t>
      </w:r>
    </w:p>
    <w:p w14:paraId="358965EC" w14:textId="728B4DAC" w:rsidR="00E929CC" w:rsidRDefault="00E929CC" w:rsidP="00E929CC">
      <w:pPr>
        <w:pStyle w:val="ListParagraph"/>
        <w:numPr>
          <w:ilvl w:val="0"/>
          <w:numId w:val="1"/>
        </w:numPr>
        <w:rPr>
          <w:rFonts w:ascii="Verdana" w:eastAsia="Times New Roman" w:hAnsi="Verdana"/>
          <w:sz w:val="20"/>
          <w:szCs w:val="20"/>
        </w:rPr>
      </w:pPr>
      <w:r>
        <w:rPr>
          <w:rFonts w:ascii="Verdana" w:eastAsia="Times New Roman" w:hAnsi="Verdana"/>
          <w:sz w:val="20"/>
          <w:szCs w:val="20"/>
        </w:rPr>
        <w:t>Q. Are you able to share the outputs of the 2018 Sport England research?</w:t>
      </w:r>
    </w:p>
    <w:p w14:paraId="652FB6FE" w14:textId="68F43C4A" w:rsidR="00E929CC" w:rsidRPr="00E929CC" w:rsidRDefault="00E929CC" w:rsidP="00E929CC">
      <w:pPr>
        <w:pStyle w:val="ListParagraph"/>
        <w:numPr>
          <w:ilvl w:val="0"/>
          <w:numId w:val="12"/>
        </w:numPr>
        <w:rPr>
          <w:rFonts w:ascii="Verdana" w:eastAsia="Times New Roman" w:hAnsi="Verdana"/>
          <w:color w:val="FF0000"/>
          <w:sz w:val="20"/>
          <w:szCs w:val="20"/>
        </w:rPr>
      </w:pPr>
      <w:r w:rsidRPr="00E929CC">
        <w:rPr>
          <w:rFonts w:ascii="Verdana" w:eastAsia="Times New Roman" w:hAnsi="Verdana"/>
          <w:color w:val="FF0000"/>
          <w:sz w:val="20"/>
          <w:szCs w:val="20"/>
        </w:rPr>
        <w:t>See answer 5</w:t>
      </w:r>
    </w:p>
    <w:p w14:paraId="7317D191" w14:textId="7CB9C3D6" w:rsidR="00E929CC" w:rsidRDefault="00E929CC" w:rsidP="00E929CC">
      <w:pPr>
        <w:pStyle w:val="ListParagraph"/>
        <w:numPr>
          <w:ilvl w:val="0"/>
          <w:numId w:val="1"/>
        </w:numPr>
        <w:spacing w:after="0" w:line="240" w:lineRule="auto"/>
        <w:rPr>
          <w:rFonts w:ascii="Verdana" w:eastAsia="Times New Roman" w:hAnsi="Verdana"/>
          <w:sz w:val="20"/>
          <w:szCs w:val="20"/>
        </w:rPr>
      </w:pPr>
      <w:r>
        <w:rPr>
          <w:rFonts w:ascii="Verdana" w:eastAsia="Times New Roman" w:hAnsi="Verdana"/>
          <w:sz w:val="20"/>
          <w:szCs w:val="20"/>
        </w:rPr>
        <w:t>Q. As the research is expected to be comparable with the 2018 Sport England research, is the previous report available and/or were there any key learnings from this previous project.</w:t>
      </w:r>
    </w:p>
    <w:p w14:paraId="7D9AEA97" w14:textId="594C31B4" w:rsidR="00E929CC" w:rsidRPr="00E929CC" w:rsidRDefault="00E929CC" w:rsidP="00E929CC">
      <w:pPr>
        <w:pStyle w:val="ListParagraph"/>
        <w:numPr>
          <w:ilvl w:val="0"/>
          <w:numId w:val="13"/>
        </w:numPr>
        <w:spacing w:after="0" w:line="240" w:lineRule="auto"/>
        <w:rPr>
          <w:rFonts w:ascii="Verdana" w:eastAsia="Times New Roman" w:hAnsi="Verdana"/>
          <w:color w:val="FF0000"/>
          <w:sz w:val="20"/>
          <w:szCs w:val="20"/>
        </w:rPr>
      </w:pPr>
      <w:r w:rsidRPr="00E929CC">
        <w:rPr>
          <w:rFonts w:ascii="Verdana" w:eastAsia="Times New Roman" w:hAnsi="Verdana"/>
          <w:color w:val="FF0000"/>
          <w:sz w:val="20"/>
          <w:szCs w:val="20"/>
        </w:rPr>
        <w:t>See answer 5</w:t>
      </w:r>
    </w:p>
    <w:p w14:paraId="73CFA8C6" w14:textId="77777777" w:rsidR="00E929CC" w:rsidRDefault="00E929CC" w:rsidP="00E929CC">
      <w:pPr>
        <w:pStyle w:val="ListParagraph"/>
        <w:numPr>
          <w:ilvl w:val="0"/>
          <w:numId w:val="1"/>
        </w:numPr>
        <w:rPr>
          <w:rFonts w:ascii="Verdana" w:eastAsia="Times New Roman" w:hAnsi="Verdana"/>
          <w:sz w:val="20"/>
          <w:szCs w:val="20"/>
        </w:rPr>
      </w:pPr>
      <w:r>
        <w:rPr>
          <w:rFonts w:ascii="Verdana" w:eastAsia="Times New Roman" w:hAnsi="Verdana"/>
          <w:sz w:val="20"/>
          <w:szCs w:val="20"/>
        </w:rPr>
        <w:t>Q. Are you able to share the outputs of the 2018 Sport England research?</w:t>
      </w:r>
    </w:p>
    <w:p w14:paraId="008AB2F0" w14:textId="77777777" w:rsidR="00E929CC" w:rsidRDefault="00E929CC" w:rsidP="00E929CC">
      <w:pPr>
        <w:pStyle w:val="ListParagraph"/>
        <w:numPr>
          <w:ilvl w:val="0"/>
          <w:numId w:val="2"/>
        </w:numPr>
        <w:rPr>
          <w:rFonts w:eastAsia="Times New Roman"/>
          <w:color w:val="FF0000"/>
        </w:rPr>
      </w:pPr>
      <w:r>
        <w:rPr>
          <w:rFonts w:ascii="Verdana" w:eastAsia="Times New Roman" w:hAnsi="Verdana"/>
          <w:color w:val="FF0000"/>
          <w:sz w:val="20"/>
          <w:szCs w:val="20"/>
        </w:rPr>
        <w:t xml:space="preserve">Answer to Q1-5 above: The report is not publicly available and cannot be shared with potential tenderers due to previous agreements. The 2018 Sport England study will be shared with the successful tenderer under NDA. Please be assured that the specifications and deliverables of this tender mirror, and build on, the previous study. The successful tenderer will receive a full briefing on the 2018 study and lessons learned. </w:t>
      </w:r>
    </w:p>
    <w:p w14:paraId="63FF502A" w14:textId="77777777" w:rsidR="00E929CC" w:rsidRDefault="00E929CC" w:rsidP="00E929CC">
      <w:pPr>
        <w:pStyle w:val="ListParagraph"/>
        <w:rPr>
          <w:rFonts w:ascii="Verdana" w:hAnsi="Verdana"/>
          <w:sz w:val="20"/>
          <w:szCs w:val="20"/>
        </w:rPr>
      </w:pPr>
    </w:p>
    <w:p w14:paraId="54B35730" w14:textId="77777777" w:rsidR="00E929CC" w:rsidRDefault="00E929CC" w:rsidP="00E929CC">
      <w:pPr>
        <w:pStyle w:val="ListParagraph"/>
        <w:numPr>
          <w:ilvl w:val="0"/>
          <w:numId w:val="1"/>
        </w:numPr>
        <w:rPr>
          <w:rFonts w:ascii="Verdana" w:eastAsia="Times New Roman" w:hAnsi="Verdana"/>
          <w:sz w:val="20"/>
          <w:szCs w:val="20"/>
        </w:rPr>
      </w:pPr>
      <w:r>
        <w:rPr>
          <w:rFonts w:ascii="Verdana" w:eastAsia="Times New Roman" w:hAnsi="Verdana"/>
          <w:sz w:val="20"/>
          <w:szCs w:val="20"/>
        </w:rPr>
        <w:t xml:space="preserve">Q. Will UK Sport be providing contact details for the stakeholders and potential sources from whom we will be collecting the demographic data? </w:t>
      </w:r>
    </w:p>
    <w:p w14:paraId="7F24C25F" w14:textId="77777777" w:rsidR="00E929CC" w:rsidRDefault="00E929CC" w:rsidP="00E929CC">
      <w:pPr>
        <w:pStyle w:val="ListParagraph"/>
        <w:numPr>
          <w:ilvl w:val="0"/>
          <w:numId w:val="3"/>
        </w:numPr>
        <w:rPr>
          <w:rFonts w:ascii="Verdana" w:eastAsia="Times New Roman" w:hAnsi="Verdana"/>
          <w:color w:val="FF0000"/>
          <w:sz w:val="20"/>
          <w:szCs w:val="20"/>
        </w:rPr>
      </w:pPr>
      <w:r>
        <w:rPr>
          <w:rFonts w:ascii="Verdana" w:eastAsia="Times New Roman" w:hAnsi="Verdana"/>
          <w:color w:val="FF0000"/>
          <w:sz w:val="20"/>
          <w:szCs w:val="20"/>
        </w:rPr>
        <w:t>UK Sport and the HCSCs will be providing contact details for the stakeholders and potential sources.</w:t>
      </w:r>
    </w:p>
    <w:p w14:paraId="4041B2F8" w14:textId="77777777" w:rsidR="00E929CC" w:rsidRDefault="00E929CC" w:rsidP="00E929CC">
      <w:pPr>
        <w:pStyle w:val="ListParagraph"/>
        <w:rPr>
          <w:rFonts w:ascii="Verdana" w:hAnsi="Verdana"/>
          <w:sz w:val="20"/>
          <w:szCs w:val="20"/>
        </w:rPr>
      </w:pPr>
    </w:p>
    <w:p w14:paraId="337BA2B2" w14:textId="77777777" w:rsidR="00E929CC" w:rsidRDefault="00E929CC" w:rsidP="00E929CC">
      <w:pPr>
        <w:pStyle w:val="ListParagraph"/>
        <w:numPr>
          <w:ilvl w:val="0"/>
          <w:numId w:val="1"/>
        </w:numPr>
        <w:spacing w:after="0" w:line="240" w:lineRule="auto"/>
        <w:rPr>
          <w:rFonts w:ascii="Verdana" w:eastAsia="Times New Roman" w:hAnsi="Verdana"/>
          <w:sz w:val="20"/>
          <w:szCs w:val="20"/>
        </w:rPr>
      </w:pPr>
      <w:r>
        <w:rPr>
          <w:rFonts w:ascii="Verdana" w:eastAsia="Times New Roman" w:hAnsi="Verdana"/>
          <w:sz w:val="20"/>
          <w:szCs w:val="20"/>
        </w:rPr>
        <w:t>Q. Can we confirm that when the brief states ‘the supplier will be responsible for collecting the data’ this refers solely to liaison/data collection from the NGBs/SGBs on their athletes/coaches/workforce and does not require any interaction between the supplier and these individuals to obtain the data.</w:t>
      </w:r>
    </w:p>
    <w:p w14:paraId="291D4EE6" w14:textId="77777777" w:rsidR="00E929CC" w:rsidRDefault="00E929CC" w:rsidP="00E929CC">
      <w:pPr>
        <w:pStyle w:val="ListParagraph"/>
        <w:numPr>
          <w:ilvl w:val="0"/>
          <w:numId w:val="4"/>
        </w:numPr>
        <w:spacing w:after="0" w:line="240" w:lineRule="auto"/>
        <w:rPr>
          <w:rFonts w:ascii="Verdana" w:eastAsia="Times New Roman" w:hAnsi="Verdana"/>
          <w:color w:val="FF0000"/>
          <w:sz w:val="20"/>
          <w:szCs w:val="20"/>
        </w:rPr>
      </w:pPr>
      <w:r>
        <w:rPr>
          <w:rFonts w:ascii="Verdana" w:eastAsia="Times New Roman" w:hAnsi="Verdana"/>
          <w:color w:val="FF0000"/>
          <w:sz w:val="20"/>
          <w:szCs w:val="20"/>
        </w:rPr>
        <w:t xml:space="preserve">That is correct, the supplier will not be required to collect data directly from Athletes/coaches/workforce. </w:t>
      </w:r>
    </w:p>
    <w:p w14:paraId="646884ED" w14:textId="77777777" w:rsidR="00E929CC" w:rsidRDefault="00E929CC" w:rsidP="00E929CC">
      <w:pPr>
        <w:pStyle w:val="ListParagraph"/>
        <w:rPr>
          <w:rFonts w:ascii="Verdana" w:hAnsi="Verdana"/>
          <w:sz w:val="20"/>
          <w:szCs w:val="20"/>
        </w:rPr>
      </w:pPr>
    </w:p>
    <w:p w14:paraId="18C05ADB" w14:textId="77777777" w:rsidR="00E929CC" w:rsidRDefault="00E929CC" w:rsidP="00E929CC">
      <w:pPr>
        <w:pStyle w:val="ListParagraph"/>
        <w:numPr>
          <w:ilvl w:val="0"/>
          <w:numId w:val="1"/>
        </w:numPr>
        <w:spacing w:after="0" w:line="240" w:lineRule="auto"/>
        <w:rPr>
          <w:rFonts w:ascii="Verdana" w:eastAsia="Times New Roman" w:hAnsi="Verdana"/>
          <w:sz w:val="20"/>
          <w:szCs w:val="20"/>
        </w:rPr>
      </w:pPr>
      <w:r>
        <w:rPr>
          <w:rFonts w:ascii="Verdana" w:eastAsia="Times New Roman" w:hAnsi="Verdana"/>
          <w:sz w:val="20"/>
          <w:szCs w:val="20"/>
        </w:rPr>
        <w:t>Q. There are 2 aspects to be covered in the research, i) analysing the data held and ii) analysing the quality of the data held. Do UKS/HCSCs expect the  NGBs/SGBs to hold all categories of data required (as specified in Section 4 of the brief) and if they do not, is this to be logged as a gap in data or will the NGBs/SGBs be expected to obtain it for the purpose of the project?</w:t>
      </w:r>
    </w:p>
    <w:p w14:paraId="266A4679" w14:textId="77777777" w:rsidR="00E929CC" w:rsidRDefault="00E929CC" w:rsidP="00E929CC">
      <w:pPr>
        <w:pStyle w:val="ListParagraph"/>
        <w:numPr>
          <w:ilvl w:val="0"/>
          <w:numId w:val="5"/>
        </w:numPr>
        <w:spacing w:after="0" w:line="240" w:lineRule="auto"/>
        <w:rPr>
          <w:rFonts w:ascii="Verdana" w:eastAsia="Times New Roman" w:hAnsi="Verdana"/>
          <w:color w:val="FF0000"/>
          <w:sz w:val="20"/>
          <w:szCs w:val="20"/>
        </w:rPr>
      </w:pPr>
      <w:r>
        <w:rPr>
          <w:rFonts w:ascii="Verdana" w:eastAsia="Times New Roman" w:hAnsi="Verdana"/>
          <w:color w:val="FF0000"/>
          <w:sz w:val="20"/>
          <w:szCs w:val="20"/>
        </w:rPr>
        <w:t xml:space="preserve">We anticipate that the supplier will log this as a gap in the data, however NGBs may do some additional data collection prior to the suppliers collection, there may be some small overlap between the timing of the two. </w:t>
      </w:r>
    </w:p>
    <w:p w14:paraId="561E4B4D" w14:textId="77777777" w:rsidR="00E929CC" w:rsidRDefault="00E929CC" w:rsidP="00E929CC">
      <w:pPr>
        <w:pStyle w:val="ListParagraph"/>
        <w:rPr>
          <w:rFonts w:ascii="Verdana" w:hAnsi="Verdana"/>
          <w:sz w:val="20"/>
          <w:szCs w:val="20"/>
        </w:rPr>
      </w:pPr>
    </w:p>
    <w:p w14:paraId="633B9D6A" w14:textId="5B1B9FDB" w:rsidR="00E929CC" w:rsidRDefault="00E929CC" w:rsidP="00E929CC">
      <w:pPr>
        <w:pStyle w:val="ListParagraph"/>
        <w:numPr>
          <w:ilvl w:val="0"/>
          <w:numId w:val="1"/>
        </w:numPr>
        <w:spacing w:after="0" w:line="240" w:lineRule="auto"/>
        <w:rPr>
          <w:rFonts w:ascii="Verdana" w:eastAsia="Times New Roman" w:hAnsi="Verdana"/>
          <w:sz w:val="20"/>
          <w:szCs w:val="20"/>
        </w:rPr>
      </w:pPr>
      <w:r>
        <w:rPr>
          <w:rFonts w:ascii="Verdana" w:eastAsia="Times New Roman" w:hAnsi="Verdana"/>
          <w:sz w:val="20"/>
          <w:szCs w:val="20"/>
        </w:rPr>
        <w:t>Q. Page 9, 16.2.2 suggests that there is no word count limit on the information that tenderers are required to provide, while 16.2.6 refers to word limits against each tender requirement. The table on page 10 makes no reference to word limits however.  Should we therefore assume that there is no word limit?</w:t>
      </w:r>
    </w:p>
    <w:p w14:paraId="4DD069C0" w14:textId="38D3EFC9" w:rsidR="00E929CC" w:rsidRPr="00E929CC" w:rsidRDefault="00E929CC" w:rsidP="00E929CC">
      <w:pPr>
        <w:pStyle w:val="ListParagraph"/>
        <w:numPr>
          <w:ilvl w:val="0"/>
          <w:numId w:val="14"/>
        </w:numPr>
        <w:spacing w:after="0" w:line="240" w:lineRule="auto"/>
        <w:rPr>
          <w:rFonts w:ascii="Verdana" w:eastAsia="Times New Roman" w:hAnsi="Verdana"/>
          <w:color w:val="FF0000"/>
          <w:sz w:val="20"/>
          <w:szCs w:val="20"/>
        </w:rPr>
      </w:pPr>
      <w:r w:rsidRPr="00E929CC">
        <w:rPr>
          <w:rFonts w:ascii="Verdana" w:eastAsia="Times New Roman" w:hAnsi="Verdana"/>
          <w:color w:val="FF0000"/>
          <w:sz w:val="20"/>
          <w:szCs w:val="20"/>
        </w:rPr>
        <w:t>See answer 11</w:t>
      </w:r>
    </w:p>
    <w:p w14:paraId="0112E08D" w14:textId="35A2B588" w:rsidR="00E929CC" w:rsidRDefault="00E929CC" w:rsidP="00E929CC">
      <w:pPr>
        <w:pStyle w:val="ListParagraph"/>
        <w:numPr>
          <w:ilvl w:val="0"/>
          <w:numId w:val="1"/>
        </w:numPr>
        <w:spacing w:after="0" w:line="240" w:lineRule="auto"/>
        <w:rPr>
          <w:rFonts w:ascii="Verdana" w:eastAsia="Times New Roman" w:hAnsi="Verdana"/>
          <w:sz w:val="20"/>
          <w:szCs w:val="20"/>
        </w:rPr>
      </w:pPr>
      <w:r>
        <w:rPr>
          <w:rFonts w:ascii="Verdana" w:eastAsia="Times New Roman" w:hAnsi="Verdana"/>
          <w:sz w:val="20"/>
          <w:szCs w:val="20"/>
        </w:rPr>
        <w:lastRenderedPageBreak/>
        <w:t>I was also wondering if you could clarify the word count specifications? 16.2.6. states “The word counts against each tender requirement are maximum word limits.” But I can only see weighting?</w:t>
      </w:r>
    </w:p>
    <w:p w14:paraId="3E1AEF22" w14:textId="26360AA6" w:rsidR="00E929CC" w:rsidRPr="00E929CC" w:rsidRDefault="00E929CC" w:rsidP="00E929CC">
      <w:pPr>
        <w:pStyle w:val="ListParagraph"/>
        <w:numPr>
          <w:ilvl w:val="0"/>
          <w:numId w:val="15"/>
        </w:numPr>
        <w:spacing w:after="0" w:line="240" w:lineRule="auto"/>
        <w:rPr>
          <w:rFonts w:ascii="Verdana" w:eastAsia="Times New Roman" w:hAnsi="Verdana"/>
          <w:color w:val="FF0000"/>
          <w:sz w:val="20"/>
          <w:szCs w:val="20"/>
        </w:rPr>
      </w:pPr>
      <w:r w:rsidRPr="00E929CC">
        <w:rPr>
          <w:rFonts w:ascii="Verdana" w:eastAsia="Times New Roman" w:hAnsi="Verdana"/>
          <w:color w:val="FF0000"/>
          <w:sz w:val="20"/>
          <w:szCs w:val="20"/>
        </w:rPr>
        <w:t>See answer 11</w:t>
      </w:r>
    </w:p>
    <w:p w14:paraId="4C3D2A0F" w14:textId="77777777" w:rsidR="00E929CC" w:rsidRDefault="00E929CC" w:rsidP="00E929CC">
      <w:pPr>
        <w:pStyle w:val="ListParagraph"/>
        <w:numPr>
          <w:ilvl w:val="0"/>
          <w:numId w:val="1"/>
        </w:numPr>
        <w:rPr>
          <w:rFonts w:ascii="Verdana" w:eastAsia="Times New Roman" w:hAnsi="Verdana"/>
          <w:sz w:val="20"/>
          <w:szCs w:val="20"/>
        </w:rPr>
      </w:pPr>
      <w:r>
        <w:rPr>
          <w:rFonts w:ascii="Verdana" w:eastAsia="Times New Roman" w:hAnsi="Verdana"/>
          <w:sz w:val="20"/>
          <w:szCs w:val="20"/>
        </w:rPr>
        <w:t>On p.9 it states that the word counts against each tender requirement are maximum word limits. Could you clarify if there are any word limits as we couldn’t see find any specific word limits in the rest of the ITT?</w:t>
      </w:r>
    </w:p>
    <w:p w14:paraId="61835B10" w14:textId="77777777" w:rsidR="00E929CC" w:rsidRDefault="00E929CC" w:rsidP="00E929CC">
      <w:pPr>
        <w:pStyle w:val="ListParagraph"/>
        <w:numPr>
          <w:ilvl w:val="0"/>
          <w:numId w:val="6"/>
        </w:numPr>
        <w:spacing w:after="0" w:line="240" w:lineRule="auto"/>
        <w:rPr>
          <w:rFonts w:ascii="Verdana" w:eastAsia="Times New Roman" w:hAnsi="Verdana"/>
          <w:color w:val="FF0000"/>
          <w:sz w:val="20"/>
          <w:szCs w:val="20"/>
        </w:rPr>
      </w:pPr>
      <w:r>
        <w:rPr>
          <w:rFonts w:ascii="Verdana" w:eastAsia="Times New Roman" w:hAnsi="Verdana"/>
          <w:color w:val="FF0000"/>
          <w:sz w:val="20"/>
          <w:szCs w:val="20"/>
        </w:rPr>
        <w:t>Answer to Q9-Q11: There is no word limit.</w:t>
      </w:r>
    </w:p>
    <w:p w14:paraId="07496369" w14:textId="77777777" w:rsidR="00E929CC" w:rsidRDefault="00E929CC" w:rsidP="00E929CC">
      <w:pPr>
        <w:rPr>
          <w:rFonts w:ascii="Verdana" w:hAnsi="Verdana"/>
          <w:sz w:val="20"/>
          <w:szCs w:val="20"/>
        </w:rPr>
      </w:pPr>
    </w:p>
    <w:p w14:paraId="25776A85" w14:textId="77777777" w:rsidR="00E929CC" w:rsidRDefault="00E929CC" w:rsidP="00E929CC">
      <w:pPr>
        <w:pStyle w:val="ListParagraph"/>
        <w:rPr>
          <w:rFonts w:ascii="Verdana" w:hAnsi="Verdana"/>
          <w:sz w:val="20"/>
          <w:szCs w:val="20"/>
        </w:rPr>
      </w:pPr>
    </w:p>
    <w:p w14:paraId="713E2CB5" w14:textId="77777777" w:rsidR="00E929CC" w:rsidRDefault="00E929CC" w:rsidP="00E929CC">
      <w:pPr>
        <w:pStyle w:val="ListParagraph"/>
        <w:numPr>
          <w:ilvl w:val="0"/>
          <w:numId w:val="1"/>
        </w:numPr>
        <w:spacing w:after="0" w:line="240" w:lineRule="auto"/>
        <w:rPr>
          <w:rFonts w:ascii="Verdana" w:eastAsia="Times New Roman" w:hAnsi="Verdana"/>
          <w:sz w:val="20"/>
          <w:szCs w:val="20"/>
        </w:rPr>
      </w:pPr>
      <w:r>
        <w:rPr>
          <w:rFonts w:ascii="Verdana" w:eastAsia="Times New Roman" w:hAnsi="Verdana"/>
          <w:sz w:val="20"/>
          <w:szCs w:val="20"/>
        </w:rPr>
        <w:t>Q. In the “Tenderers Statement in Relation to the Freedom of Information Act 2000”, the second paragraph refers to a ‘tender for redevelopment of the Site for UK Sport’. We have found no other reference to ‘the Site’ within the document – could you please clarify what this refers to, and how it relates to the completion of the statement?</w:t>
      </w:r>
    </w:p>
    <w:p w14:paraId="79460506" w14:textId="77777777" w:rsidR="00E929CC" w:rsidRDefault="00E929CC" w:rsidP="00E929CC">
      <w:pPr>
        <w:pStyle w:val="ListParagraph"/>
        <w:numPr>
          <w:ilvl w:val="0"/>
          <w:numId w:val="7"/>
        </w:numPr>
        <w:rPr>
          <w:rFonts w:eastAsia="Times New Roman"/>
          <w:color w:val="FF0000"/>
        </w:rPr>
      </w:pPr>
      <w:r>
        <w:rPr>
          <w:rFonts w:eastAsia="Times New Roman"/>
          <w:color w:val="FF0000"/>
        </w:rPr>
        <w:t xml:space="preserve">This is an error in the ITT. The paragraph should read: </w:t>
      </w:r>
    </w:p>
    <w:p w14:paraId="0E3BBF54" w14:textId="77777777" w:rsidR="00E929CC" w:rsidRDefault="00E929CC" w:rsidP="00E929CC">
      <w:pPr>
        <w:pStyle w:val="ListParagraph"/>
        <w:ind w:left="1080"/>
        <w:rPr>
          <w:color w:val="FF0000"/>
        </w:rPr>
      </w:pPr>
      <w:r>
        <w:rPr>
          <w:rFonts w:ascii="Verdana" w:hAnsi="Verdana"/>
          <w:i/>
          <w:iCs/>
          <w:color w:val="FF0000"/>
          <w:sz w:val="20"/>
          <w:szCs w:val="20"/>
        </w:rPr>
        <w:t>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the provision of a UK-wide Talent and Performance Inclusion research project.</w:t>
      </w:r>
    </w:p>
    <w:p w14:paraId="2527AEA4" w14:textId="77777777" w:rsidR="00E929CC" w:rsidRDefault="00E929CC" w:rsidP="00E929CC">
      <w:pPr>
        <w:pStyle w:val="ListParagraph"/>
        <w:rPr>
          <w:rFonts w:ascii="Verdana" w:hAnsi="Verdana"/>
          <w:sz w:val="20"/>
          <w:szCs w:val="20"/>
        </w:rPr>
      </w:pPr>
    </w:p>
    <w:p w14:paraId="7E639B19" w14:textId="77777777" w:rsidR="00E929CC" w:rsidRDefault="00E929CC" w:rsidP="00E929CC">
      <w:pPr>
        <w:pStyle w:val="ListParagraph"/>
        <w:numPr>
          <w:ilvl w:val="0"/>
          <w:numId w:val="1"/>
        </w:numPr>
        <w:rPr>
          <w:rFonts w:ascii="Verdana" w:eastAsia="Times New Roman" w:hAnsi="Verdana"/>
          <w:sz w:val="20"/>
          <w:szCs w:val="20"/>
        </w:rPr>
      </w:pPr>
      <w:r>
        <w:rPr>
          <w:rFonts w:ascii="Verdana" w:eastAsia="Times New Roman" w:hAnsi="Verdana"/>
          <w:sz w:val="20"/>
          <w:szCs w:val="20"/>
        </w:rPr>
        <w:t>Q. On p.9 it states that the word counts against each tender requirement are maximum word limits. Could you clarify if there are any word limits as we couldn’t see find any specific word limits in the rest of the ITT?</w:t>
      </w:r>
    </w:p>
    <w:p w14:paraId="4E41FFE6" w14:textId="77777777" w:rsidR="00E929CC" w:rsidRDefault="00E929CC" w:rsidP="00E929CC">
      <w:pPr>
        <w:pStyle w:val="ListParagraph"/>
        <w:numPr>
          <w:ilvl w:val="0"/>
          <w:numId w:val="8"/>
        </w:numPr>
        <w:rPr>
          <w:rFonts w:ascii="Verdana" w:eastAsia="Times New Roman" w:hAnsi="Verdana"/>
          <w:color w:val="FF0000"/>
          <w:sz w:val="20"/>
          <w:szCs w:val="20"/>
        </w:rPr>
      </w:pPr>
      <w:r>
        <w:rPr>
          <w:rFonts w:ascii="Verdana" w:eastAsia="Times New Roman" w:hAnsi="Verdana"/>
          <w:color w:val="FF0000"/>
          <w:sz w:val="20"/>
          <w:szCs w:val="20"/>
        </w:rPr>
        <w:t>There is no word limit.</w:t>
      </w:r>
    </w:p>
    <w:p w14:paraId="5502F119" w14:textId="77777777" w:rsidR="00E929CC" w:rsidRDefault="00E929CC" w:rsidP="00E929CC">
      <w:pPr>
        <w:pStyle w:val="ListParagraph"/>
        <w:rPr>
          <w:rFonts w:ascii="Verdana" w:hAnsi="Verdana"/>
          <w:sz w:val="20"/>
          <w:szCs w:val="20"/>
        </w:rPr>
      </w:pPr>
    </w:p>
    <w:p w14:paraId="6CE81E0D" w14:textId="77777777" w:rsidR="00E929CC" w:rsidRDefault="00E929CC" w:rsidP="00E929CC">
      <w:pPr>
        <w:pStyle w:val="ListParagraph"/>
        <w:numPr>
          <w:ilvl w:val="0"/>
          <w:numId w:val="1"/>
        </w:numPr>
        <w:rPr>
          <w:rFonts w:ascii="Verdana" w:eastAsia="Times New Roman" w:hAnsi="Verdana"/>
          <w:sz w:val="20"/>
          <w:szCs w:val="20"/>
        </w:rPr>
      </w:pPr>
      <w:r>
        <w:rPr>
          <w:rFonts w:ascii="Verdana" w:eastAsia="Times New Roman" w:hAnsi="Verdana"/>
          <w:sz w:val="20"/>
          <w:szCs w:val="20"/>
        </w:rPr>
        <w:t>Q. Is there any requirement for primary data collection where gaps are identified?</w:t>
      </w:r>
    </w:p>
    <w:p w14:paraId="1FD5CDFD" w14:textId="77777777" w:rsidR="00E929CC" w:rsidRDefault="00E929CC" w:rsidP="00E929CC">
      <w:pPr>
        <w:pStyle w:val="ListParagraph"/>
        <w:numPr>
          <w:ilvl w:val="0"/>
          <w:numId w:val="9"/>
        </w:numPr>
        <w:rPr>
          <w:rFonts w:ascii="Verdana" w:eastAsia="Times New Roman" w:hAnsi="Verdana"/>
          <w:color w:val="FF0000"/>
          <w:sz w:val="20"/>
          <w:szCs w:val="20"/>
        </w:rPr>
      </w:pPr>
      <w:r>
        <w:rPr>
          <w:rFonts w:ascii="Verdana" w:eastAsia="Times New Roman" w:hAnsi="Verdana"/>
          <w:color w:val="FF0000"/>
          <w:sz w:val="20"/>
          <w:szCs w:val="20"/>
        </w:rPr>
        <w:t>No, there is no requirement for primary data collection from Athletes/Coaches/Workforce.</w:t>
      </w:r>
    </w:p>
    <w:p w14:paraId="31BA7CB4" w14:textId="77777777" w:rsidR="00E0088E" w:rsidRDefault="00E0088E"/>
    <w:sectPr w:rsidR="00E008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08C72" w14:textId="77777777" w:rsidR="00E929CC" w:rsidRDefault="00E929CC" w:rsidP="00E929CC">
      <w:r>
        <w:separator/>
      </w:r>
    </w:p>
  </w:endnote>
  <w:endnote w:type="continuationSeparator" w:id="0">
    <w:p w14:paraId="6FCA567C" w14:textId="77777777" w:rsidR="00E929CC" w:rsidRDefault="00E929CC" w:rsidP="00E9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8691B" w14:textId="77777777" w:rsidR="00E929CC" w:rsidRDefault="00E92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6D4AF" w14:textId="77777777" w:rsidR="00E929CC" w:rsidRDefault="00E92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C8014" w14:textId="77777777" w:rsidR="00E929CC" w:rsidRDefault="00E92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F5B80" w14:textId="77777777" w:rsidR="00E929CC" w:rsidRDefault="00E929CC" w:rsidP="00E929CC">
      <w:r>
        <w:separator/>
      </w:r>
    </w:p>
  </w:footnote>
  <w:footnote w:type="continuationSeparator" w:id="0">
    <w:p w14:paraId="2C6EB61C" w14:textId="77777777" w:rsidR="00E929CC" w:rsidRDefault="00E929CC" w:rsidP="00E9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AE6C9" w14:textId="77777777" w:rsidR="00E929CC" w:rsidRDefault="00E92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A953A" w14:textId="4474881E" w:rsidR="00E929CC" w:rsidRDefault="00E929CC">
    <w:pPr>
      <w:pStyle w:val="Header"/>
    </w:pPr>
    <w:r>
      <w:rPr>
        <w:i/>
        <w:noProof/>
        <w:sz w:val="32"/>
        <w:lang w:eastAsia="en-GB"/>
      </w:rPr>
      <w:drawing>
        <wp:anchor distT="0" distB="0" distL="114300" distR="114300" simplePos="0" relativeHeight="251659264" behindDoc="1" locked="0" layoutInCell="1" allowOverlap="1" wp14:anchorId="4596CA7A" wp14:editId="23B68C33">
          <wp:simplePos x="0" y="0"/>
          <wp:positionH relativeFrom="margin">
            <wp:posOffset>5075555</wp:posOffset>
          </wp:positionH>
          <wp:positionV relativeFrom="paragraph">
            <wp:posOffset>-243205</wp:posOffset>
          </wp:positionV>
          <wp:extent cx="1319530" cy="897255"/>
          <wp:effectExtent l="0" t="0" r="0" b="0"/>
          <wp:wrapTight wrapText="bothSides">
            <wp:wrapPolygon edited="0">
              <wp:start x="15904" y="0"/>
              <wp:lineTo x="7796" y="4586"/>
              <wp:lineTo x="7796" y="6420"/>
              <wp:lineTo x="16839" y="7796"/>
              <wp:lineTo x="4054" y="9631"/>
              <wp:lineTo x="624" y="11006"/>
              <wp:lineTo x="312" y="17427"/>
              <wp:lineTo x="936" y="18344"/>
              <wp:lineTo x="3118" y="19261"/>
              <wp:lineTo x="4678" y="19261"/>
              <wp:lineTo x="18398" y="18344"/>
              <wp:lineTo x="18398" y="15134"/>
              <wp:lineTo x="19958" y="13758"/>
              <wp:lineTo x="19022" y="7796"/>
              <wp:lineTo x="21205" y="1376"/>
              <wp:lineTo x="20893" y="917"/>
              <wp:lineTo x="17151" y="0"/>
              <wp:lineTo x="1590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9530" cy="89725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20E18" w14:textId="77777777" w:rsidR="00E929CC" w:rsidRDefault="00E9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061F"/>
    <w:multiLevelType w:val="hybridMultilevel"/>
    <w:tmpl w:val="6674F9BA"/>
    <w:lvl w:ilvl="0" w:tplc="EEE08A04">
      <w:start w:val="1"/>
      <w:numFmt w:val="decimal"/>
      <w:lvlText w:val="%1."/>
      <w:lvlJc w:val="left"/>
      <w:pPr>
        <w:ind w:left="720" w:hanging="360"/>
      </w:pPr>
      <w:rPr>
        <w:rFonts w:ascii="Verdana" w:eastAsia="Times New Roman" w:hAnsi="Verdana"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535545"/>
    <w:multiLevelType w:val="hybridMultilevel"/>
    <w:tmpl w:val="B69C239C"/>
    <w:lvl w:ilvl="0" w:tplc="84820F8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CE5769"/>
    <w:multiLevelType w:val="hybridMultilevel"/>
    <w:tmpl w:val="48DA4058"/>
    <w:lvl w:ilvl="0" w:tplc="299475EC">
      <w:start w:val="1"/>
      <w:numFmt w:val="upperLetter"/>
      <w:lvlText w:val="%1."/>
      <w:lvlJc w:val="left"/>
      <w:pPr>
        <w:ind w:left="1080" w:hanging="360"/>
      </w:pPr>
      <w:rPr>
        <w:rFonts w:ascii="Verdana" w:hAnsi="Verdana" w:hint="default"/>
        <w:sz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1494FDB"/>
    <w:multiLevelType w:val="hybridMultilevel"/>
    <w:tmpl w:val="6ABAC51C"/>
    <w:lvl w:ilvl="0" w:tplc="F2DA38EE">
      <w:start w:val="1"/>
      <w:numFmt w:val="upp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4" w15:restartNumberingAfterBreak="0">
    <w:nsid w:val="29CC3943"/>
    <w:multiLevelType w:val="hybridMultilevel"/>
    <w:tmpl w:val="6E2861A0"/>
    <w:lvl w:ilvl="0" w:tplc="DF788ED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A16C24"/>
    <w:multiLevelType w:val="hybridMultilevel"/>
    <w:tmpl w:val="80C0DF98"/>
    <w:lvl w:ilvl="0" w:tplc="663441E8">
      <w:start w:val="1"/>
      <w:numFmt w:val="upp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21526A"/>
    <w:multiLevelType w:val="hybridMultilevel"/>
    <w:tmpl w:val="A2B68F44"/>
    <w:lvl w:ilvl="0" w:tplc="536A62E6">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465A3E7B"/>
    <w:multiLevelType w:val="hybridMultilevel"/>
    <w:tmpl w:val="4F5AAB68"/>
    <w:lvl w:ilvl="0" w:tplc="08090015">
      <w:start w:val="1"/>
      <w:numFmt w:val="upp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8" w15:restartNumberingAfterBreak="0">
    <w:nsid w:val="4D1B3CD4"/>
    <w:multiLevelType w:val="hybridMultilevel"/>
    <w:tmpl w:val="2A08FCB0"/>
    <w:lvl w:ilvl="0" w:tplc="08090015">
      <w:start w:val="1"/>
      <w:numFmt w:val="upp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9" w15:restartNumberingAfterBreak="0">
    <w:nsid w:val="4E98712B"/>
    <w:multiLevelType w:val="hybridMultilevel"/>
    <w:tmpl w:val="EC484DF6"/>
    <w:lvl w:ilvl="0" w:tplc="08090015">
      <w:start w:val="1"/>
      <w:numFmt w:val="upp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15:restartNumberingAfterBreak="0">
    <w:nsid w:val="5C404F7E"/>
    <w:multiLevelType w:val="hybridMultilevel"/>
    <w:tmpl w:val="6A0CB778"/>
    <w:lvl w:ilvl="0" w:tplc="F68606B4">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5D4B47C8"/>
    <w:multiLevelType w:val="hybridMultilevel"/>
    <w:tmpl w:val="80547BC8"/>
    <w:lvl w:ilvl="0" w:tplc="1ABAD02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F94F64"/>
    <w:multiLevelType w:val="hybridMultilevel"/>
    <w:tmpl w:val="5CBACA24"/>
    <w:lvl w:ilvl="0" w:tplc="2EF836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75B4947"/>
    <w:multiLevelType w:val="hybridMultilevel"/>
    <w:tmpl w:val="7FEAD374"/>
    <w:lvl w:ilvl="0" w:tplc="512EC5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76E45EF"/>
    <w:multiLevelType w:val="hybridMultilevel"/>
    <w:tmpl w:val="A28A12A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4"/>
  </w:num>
  <w:num w:numId="13">
    <w:abstractNumId w:val="1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CC"/>
    <w:rsid w:val="00E0088E"/>
    <w:rsid w:val="00E9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BA901"/>
  <w15:chartTrackingRefBased/>
  <w15:docId w15:val="{6C28B6DC-E736-49F9-AD4C-2CCB8FD7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9CC"/>
    <w:pPr>
      <w:spacing w:after="160" w:line="252" w:lineRule="auto"/>
      <w:ind w:left="720"/>
      <w:contextualSpacing/>
    </w:pPr>
  </w:style>
  <w:style w:type="paragraph" w:styleId="Header">
    <w:name w:val="header"/>
    <w:basedOn w:val="Normal"/>
    <w:link w:val="HeaderChar"/>
    <w:uiPriority w:val="99"/>
    <w:unhideWhenUsed/>
    <w:rsid w:val="00E929CC"/>
    <w:pPr>
      <w:tabs>
        <w:tab w:val="center" w:pos="4513"/>
        <w:tab w:val="right" w:pos="9026"/>
      </w:tabs>
    </w:pPr>
  </w:style>
  <w:style w:type="character" w:customStyle="1" w:styleId="HeaderChar">
    <w:name w:val="Header Char"/>
    <w:basedOn w:val="DefaultParagraphFont"/>
    <w:link w:val="Header"/>
    <w:uiPriority w:val="99"/>
    <w:rsid w:val="00E929CC"/>
    <w:rPr>
      <w:rFonts w:ascii="Calibri" w:hAnsi="Calibri" w:cs="Calibri"/>
    </w:rPr>
  </w:style>
  <w:style w:type="paragraph" w:styleId="Footer">
    <w:name w:val="footer"/>
    <w:basedOn w:val="Normal"/>
    <w:link w:val="FooterChar"/>
    <w:uiPriority w:val="99"/>
    <w:unhideWhenUsed/>
    <w:rsid w:val="00E929CC"/>
    <w:pPr>
      <w:tabs>
        <w:tab w:val="center" w:pos="4513"/>
        <w:tab w:val="right" w:pos="9026"/>
      </w:tabs>
    </w:pPr>
  </w:style>
  <w:style w:type="character" w:customStyle="1" w:styleId="FooterChar">
    <w:name w:val="Footer Char"/>
    <w:basedOn w:val="DefaultParagraphFont"/>
    <w:link w:val="Footer"/>
    <w:uiPriority w:val="99"/>
    <w:rsid w:val="00E929C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0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Warren</dc:creator>
  <cp:keywords/>
  <dc:description/>
  <cp:lastModifiedBy>Oliver Warren</cp:lastModifiedBy>
  <cp:revision>1</cp:revision>
  <dcterms:created xsi:type="dcterms:W3CDTF">2020-10-14T10:37:00Z</dcterms:created>
  <dcterms:modified xsi:type="dcterms:W3CDTF">2020-10-14T10:43:00Z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iteId">
    <vt:lpwstr>94b7d505-59ab-494c-949b-bb1d8c5720e7</vt:lpwstr>
  </property>
  <property fmtid="{D5CDD505-2E9C-101B-9397-08002B2CF9AE}" pid="4" name="MSIP_Label_c40def80-c9a9-41fa-b9ce-8169c3f62998_Owner">
    <vt:lpwstr>Oliver.Warren@uksport.gov.uk</vt:lpwstr>
  </property>
  <property fmtid="{D5CDD505-2E9C-101B-9397-08002B2CF9AE}" pid="5" name="MSIP_Label_c40def80-c9a9-41fa-b9ce-8169c3f62998_SetDate">
    <vt:lpwstr>2020-10-14T10:42:35.3739580Z</vt:lpwstr>
  </property>
  <property fmtid="{D5CDD505-2E9C-101B-9397-08002B2CF9AE}" pid="6" name="MSIP_Label_c40def80-c9a9-41fa-b9ce-8169c3f62998_Name">
    <vt:lpwstr>Official</vt:lpwstr>
  </property>
  <property fmtid="{D5CDD505-2E9C-101B-9397-08002B2CF9AE}" pid="7" name="MSIP_Label_c40def80-c9a9-41fa-b9ce-8169c3f62998_Application">
    <vt:lpwstr>Microsoft Azure Information Protection</vt:lpwstr>
  </property>
  <property fmtid="{D5CDD505-2E9C-101B-9397-08002B2CF9AE}" pid="8" name="MSIP_Label_c40def80-c9a9-41fa-b9ce-8169c3f62998_ActionId">
    <vt:lpwstr>171fa5a6-4d94-4e20-8fe0-f1376a8aa4ed</vt:lpwstr>
  </property>
  <property fmtid="{D5CDD505-2E9C-101B-9397-08002B2CF9AE}" pid="9" name="MSIP_Label_c40def80-c9a9-41fa-b9ce-8169c3f62998_Extended_MSFT_Method">
    <vt:lpwstr>Automatic</vt:lpwstr>
  </property>
  <property fmtid="{D5CDD505-2E9C-101B-9397-08002B2CF9AE}" pid="10" name="Sensitivity">
    <vt:lpwstr>Official</vt:lpwstr>
  </property>
</Properties>
</file>