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C737F6" w14:textId="2F739CA4" w:rsidR="00CF60B2" w:rsidRDefault="00CF60B2">
      <w:pPr>
        <w:spacing w:after="240"/>
        <w:jc w:val="left"/>
        <w:rPr>
          <w:rFonts w:eastAsia="Times New Roman" w:cs="Times New Roman"/>
          <w:color w:val="000000" w:themeColor="text1"/>
          <w:lang w:eastAsia="en-GB"/>
        </w:rPr>
      </w:pPr>
    </w:p>
    <w:p w14:paraId="20C737F8" w14:textId="06855FC6" w:rsidR="00200E60" w:rsidRDefault="00C1403F" w:rsidP="00C1403F">
      <w:pPr>
        <w:pStyle w:val="Heading2"/>
        <w:numPr>
          <w:ilvl w:val="0"/>
          <w:numId w:val="0"/>
        </w:numPr>
        <w:jc w:val="right"/>
      </w:pPr>
      <w:r>
        <w:rPr>
          <w:noProof/>
        </w:rPr>
        <w:drawing>
          <wp:inline distT="0" distB="0" distL="0" distR="0" wp14:anchorId="45B7F1C4" wp14:editId="6E5CCD82">
            <wp:extent cx="2906172" cy="391645"/>
            <wp:effectExtent l="0" t="0" r="0" b="889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Torbay and South Devon NHS Foundation Trust CO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4799" cy="400893"/>
                    </a:xfrm>
                    <a:prstGeom prst="rect">
                      <a:avLst/>
                    </a:prstGeom>
                  </pic:spPr>
                </pic:pic>
              </a:graphicData>
            </a:graphic>
          </wp:inline>
        </w:drawing>
      </w:r>
    </w:p>
    <w:p w14:paraId="20C737F9" w14:textId="77777777" w:rsidR="00200E60" w:rsidRDefault="00200E60" w:rsidP="00200E60">
      <w:pPr>
        <w:pStyle w:val="Heading2"/>
        <w:numPr>
          <w:ilvl w:val="0"/>
          <w:numId w:val="0"/>
        </w:numPr>
        <w:jc w:val="center"/>
      </w:pPr>
    </w:p>
    <w:p w14:paraId="20C737FB" w14:textId="77777777" w:rsidR="00200E60" w:rsidRDefault="00200E60" w:rsidP="00200E60">
      <w:pPr>
        <w:pStyle w:val="Heading2"/>
        <w:numPr>
          <w:ilvl w:val="0"/>
          <w:numId w:val="0"/>
        </w:numPr>
        <w:jc w:val="center"/>
      </w:pPr>
    </w:p>
    <w:p w14:paraId="20C737FC" w14:textId="77777777" w:rsidR="00B45130" w:rsidRPr="007000CF" w:rsidRDefault="00B45130" w:rsidP="00200E60">
      <w:pPr>
        <w:pStyle w:val="Heading2"/>
        <w:numPr>
          <w:ilvl w:val="0"/>
          <w:numId w:val="0"/>
        </w:numPr>
        <w:jc w:val="center"/>
        <w:rPr>
          <w:b/>
        </w:rPr>
      </w:pPr>
    </w:p>
    <w:p w14:paraId="20C737FD" w14:textId="47740A81" w:rsidR="00200E60" w:rsidRPr="007000CF" w:rsidRDefault="00FC39E4" w:rsidP="007000CF">
      <w:pPr>
        <w:pStyle w:val="Heading2"/>
        <w:numPr>
          <w:ilvl w:val="0"/>
          <w:numId w:val="0"/>
        </w:numPr>
        <w:ind w:left="850" w:hanging="850"/>
        <w:jc w:val="center"/>
        <w:rPr>
          <w:b/>
        </w:rPr>
      </w:pPr>
      <w:r w:rsidRPr="007000CF">
        <w:rPr>
          <w:b/>
        </w:rPr>
        <w:t>Invitation to tender for</w:t>
      </w:r>
      <w:r w:rsidR="00200E60" w:rsidRPr="007000CF">
        <w:rPr>
          <w:b/>
        </w:rPr>
        <w:t xml:space="preserve"> the </w:t>
      </w:r>
      <w:r w:rsidR="000F106A">
        <w:rPr>
          <w:b/>
        </w:rPr>
        <w:t>p</w:t>
      </w:r>
      <w:r w:rsidR="007000CF" w:rsidRPr="007000CF">
        <w:rPr>
          <w:b/>
        </w:rPr>
        <w:t>rovisi</w:t>
      </w:r>
      <w:r w:rsidR="007000CF" w:rsidRPr="00C31C00">
        <w:rPr>
          <w:b/>
        </w:rPr>
        <w:t xml:space="preserve">on </w:t>
      </w:r>
      <w:r w:rsidR="000F106A" w:rsidRPr="00C31C00">
        <w:rPr>
          <w:b/>
        </w:rPr>
        <w:t xml:space="preserve">of </w:t>
      </w:r>
      <w:bookmarkStart w:id="0" w:name="_Hlk149296532"/>
      <w:r w:rsidR="00C94594" w:rsidRPr="00C31C00">
        <w:rPr>
          <w:b/>
        </w:rPr>
        <w:t>Urgent Community Response South Devon Roaming Night Service</w:t>
      </w:r>
      <w:r w:rsidR="00235EDA" w:rsidRPr="00C31C00">
        <w:rPr>
          <w:b/>
        </w:rPr>
        <w:t xml:space="preserve"> </w:t>
      </w:r>
      <w:r w:rsidR="007000CF" w:rsidRPr="00C31C00">
        <w:rPr>
          <w:b/>
        </w:rPr>
        <w:t>to</w:t>
      </w:r>
      <w:r w:rsidR="007000CF" w:rsidRPr="007000CF">
        <w:rPr>
          <w:b/>
        </w:rPr>
        <w:t xml:space="preserve"> Torbay and South Devon NHS Foundation Trust</w:t>
      </w:r>
      <w:bookmarkEnd w:id="0"/>
    </w:p>
    <w:p w14:paraId="20C737FE" w14:textId="77777777" w:rsidR="00200E60" w:rsidRDefault="00200E60" w:rsidP="00200E60">
      <w:pPr>
        <w:pStyle w:val="Heading2"/>
        <w:numPr>
          <w:ilvl w:val="0"/>
          <w:numId w:val="0"/>
        </w:numPr>
        <w:jc w:val="center"/>
      </w:pPr>
    </w:p>
    <w:p w14:paraId="20C737FF" w14:textId="77777777" w:rsidR="00B45130" w:rsidRDefault="00B45130" w:rsidP="00200E60">
      <w:pPr>
        <w:pStyle w:val="Heading2"/>
        <w:numPr>
          <w:ilvl w:val="0"/>
          <w:numId w:val="0"/>
        </w:numPr>
        <w:jc w:val="center"/>
      </w:pPr>
    </w:p>
    <w:p w14:paraId="20C73800" w14:textId="2D81F9E7" w:rsidR="00200E60" w:rsidRDefault="003F1B1F" w:rsidP="00200E60">
      <w:pPr>
        <w:pStyle w:val="Heading2"/>
        <w:numPr>
          <w:ilvl w:val="0"/>
          <w:numId w:val="0"/>
        </w:numPr>
        <w:jc w:val="center"/>
      </w:pPr>
      <w:r>
        <w:t>Atamis Ref. No.</w:t>
      </w:r>
      <w:r w:rsidR="00844E05">
        <w:t xml:space="preserve"> </w:t>
      </w:r>
      <w:r w:rsidR="00200E60">
        <w:t>:</w:t>
      </w:r>
      <w:r w:rsidR="00BA1B00">
        <w:t xml:space="preserve"> </w:t>
      </w:r>
      <w:r w:rsidR="00844E05">
        <w:rPr>
          <w:b/>
        </w:rPr>
        <w:t>C</w:t>
      </w:r>
      <w:r w:rsidR="00C31C00">
        <w:rPr>
          <w:b/>
        </w:rPr>
        <w:t>2</w:t>
      </w:r>
      <w:r w:rsidR="0024400B">
        <w:rPr>
          <w:b/>
        </w:rPr>
        <w:t>32015</w:t>
      </w:r>
    </w:p>
    <w:p w14:paraId="20C73801" w14:textId="61E572F3" w:rsidR="00200E60" w:rsidRDefault="00C1403F" w:rsidP="00200E60">
      <w:pPr>
        <w:pStyle w:val="Heading2"/>
        <w:numPr>
          <w:ilvl w:val="0"/>
          <w:numId w:val="0"/>
        </w:numPr>
        <w:jc w:val="center"/>
      </w:pPr>
      <w:r>
        <w:t xml:space="preserve">Reference Number: </w:t>
      </w:r>
      <w:r w:rsidRPr="0040543D">
        <w:rPr>
          <w:b/>
        </w:rPr>
        <w:t>TSDF</w:t>
      </w:r>
      <w:r w:rsidR="0040543D" w:rsidRPr="005049C1">
        <w:rPr>
          <w:b/>
        </w:rPr>
        <w:t>T</w:t>
      </w:r>
      <w:r w:rsidR="00C94594" w:rsidRPr="005049C1">
        <w:rPr>
          <w:b/>
        </w:rPr>
        <w:t>320</w:t>
      </w:r>
    </w:p>
    <w:p w14:paraId="20C73802" w14:textId="77777777" w:rsidR="00B45130" w:rsidRDefault="00B45130" w:rsidP="00200E60">
      <w:pPr>
        <w:pStyle w:val="Heading2"/>
        <w:numPr>
          <w:ilvl w:val="0"/>
          <w:numId w:val="0"/>
        </w:numPr>
        <w:jc w:val="center"/>
      </w:pPr>
    </w:p>
    <w:p w14:paraId="20C73803" w14:textId="75ADF3B4" w:rsidR="00200E60" w:rsidRDefault="00200E60" w:rsidP="00200E60">
      <w:pPr>
        <w:pStyle w:val="Heading2"/>
        <w:numPr>
          <w:ilvl w:val="0"/>
          <w:numId w:val="0"/>
        </w:numPr>
        <w:jc w:val="center"/>
      </w:pPr>
      <w:r>
        <w:t xml:space="preserve">Deadline for </w:t>
      </w:r>
      <w:r w:rsidR="005D7098">
        <w:t>Tenders</w:t>
      </w:r>
      <w:r w:rsidR="004E51D1">
        <w:t xml:space="preserve"> to be received: </w:t>
      </w:r>
      <w:r w:rsidR="007325DB">
        <w:rPr>
          <w:b/>
        </w:rPr>
        <w:t>:</w:t>
      </w:r>
      <w:r w:rsidR="006A4011">
        <w:rPr>
          <w:b/>
        </w:rPr>
        <w:t xml:space="preserve">  </w:t>
      </w:r>
      <w:r w:rsidR="00D21BF8">
        <w:rPr>
          <w:b/>
        </w:rPr>
        <w:t>12</w:t>
      </w:r>
      <w:r w:rsidR="007000CF" w:rsidRPr="007000CF">
        <w:rPr>
          <w:b/>
        </w:rPr>
        <w:t>p</w:t>
      </w:r>
      <w:r w:rsidR="009F36AB">
        <w:rPr>
          <w:b/>
        </w:rPr>
        <w:t xml:space="preserve">m </w:t>
      </w:r>
      <w:r w:rsidR="00C31C00">
        <w:rPr>
          <w:b/>
        </w:rPr>
        <w:t>11</w:t>
      </w:r>
      <w:r w:rsidR="00805C92" w:rsidRPr="00805C92">
        <w:rPr>
          <w:b/>
          <w:vertAlign w:val="superscript"/>
        </w:rPr>
        <w:t>th</w:t>
      </w:r>
      <w:r w:rsidR="00805C92">
        <w:rPr>
          <w:b/>
        </w:rPr>
        <w:t xml:space="preserve"> </w:t>
      </w:r>
      <w:r w:rsidR="00C31C00">
        <w:rPr>
          <w:b/>
        </w:rPr>
        <w:t>January</w:t>
      </w:r>
      <w:r w:rsidR="00CB4D1B">
        <w:rPr>
          <w:b/>
        </w:rPr>
        <w:t xml:space="preserve"> </w:t>
      </w:r>
      <w:r w:rsidR="007000CF" w:rsidRPr="007000CF">
        <w:rPr>
          <w:b/>
        </w:rPr>
        <w:t>202</w:t>
      </w:r>
      <w:r w:rsidR="00C31C00">
        <w:rPr>
          <w:b/>
        </w:rPr>
        <w:t>4</w:t>
      </w:r>
    </w:p>
    <w:p w14:paraId="20C73804" w14:textId="77777777" w:rsidR="00B45130" w:rsidRDefault="00B45130" w:rsidP="00200E60">
      <w:pPr>
        <w:pStyle w:val="Heading2"/>
        <w:numPr>
          <w:ilvl w:val="0"/>
          <w:numId w:val="0"/>
        </w:numPr>
        <w:jc w:val="center"/>
      </w:pPr>
    </w:p>
    <w:p w14:paraId="20C73805" w14:textId="77777777" w:rsidR="00B45130" w:rsidRDefault="00B45130" w:rsidP="00200E60">
      <w:pPr>
        <w:pStyle w:val="Heading2"/>
        <w:numPr>
          <w:ilvl w:val="0"/>
          <w:numId w:val="0"/>
        </w:numPr>
        <w:jc w:val="center"/>
      </w:pPr>
    </w:p>
    <w:p w14:paraId="20C73806" w14:textId="77777777" w:rsidR="00B45130" w:rsidRPr="00B45130" w:rsidRDefault="00AD0C96" w:rsidP="00200E60">
      <w:pPr>
        <w:pStyle w:val="Heading2"/>
        <w:numPr>
          <w:ilvl w:val="0"/>
          <w:numId w:val="0"/>
        </w:numPr>
        <w:jc w:val="center"/>
        <w:rPr>
          <w:b/>
        </w:rPr>
      </w:pPr>
      <w:r>
        <w:rPr>
          <w:b/>
        </w:rPr>
        <w:t>SECTION</w:t>
      </w:r>
      <w:r w:rsidR="00B45130">
        <w:rPr>
          <w:b/>
        </w:rPr>
        <w:t xml:space="preserve"> A – INSTRUCTIONS </w:t>
      </w:r>
      <w:r w:rsidR="00647144">
        <w:rPr>
          <w:b/>
        </w:rPr>
        <w:t>AND INFORMATION</w:t>
      </w:r>
    </w:p>
    <w:p w14:paraId="20C73807" w14:textId="77777777" w:rsidR="00B45130" w:rsidRDefault="00B45130" w:rsidP="00200E60">
      <w:pPr>
        <w:pStyle w:val="Heading2"/>
        <w:numPr>
          <w:ilvl w:val="0"/>
          <w:numId w:val="0"/>
        </w:numPr>
        <w:jc w:val="center"/>
      </w:pPr>
    </w:p>
    <w:p w14:paraId="20C73808" w14:textId="77777777" w:rsidR="000F79D6" w:rsidRDefault="000F79D6">
      <w:pPr>
        <w:spacing w:after="240"/>
        <w:jc w:val="left"/>
        <w:rPr>
          <w:rFonts w:eastAsia="Times New Roman" w:cs="Times New Roman"/>
          <w:color w:val="000000" w:themeColor="text1"/>
          <w:lang w:eastAsia="en-GB"/>
        </w:rPr>
      </w:pPr>
      <w:r>
        <w:br w:type="page"/>
      </w:r>
    </w:p>
    <w:p w14:paraId="20C73809" w14:textId="77777777" w:rsidR="005B59B7" w:rsidRDefault="005B59B7" w:rsidP="004270D9">
      <w:pPr>
        <w:pStyle w:val="TOC1"/>
      </w:pPr>
      <w:r w:rsidRPr="005B59B7">
        <w:lastRenderedPageBreak/>
        <w:t>TABLE OF CONTENTS</w:t>
      </w:r>
    </w:p>
    <w:p w14:paraId="20C7380A" w14:textId="7867D571" w:rsidR="00520787" w:rsidRPr="00520787" w:rsidRDefault="00520787" w:rsidP="008A00B3">
      <w:pPr>
        <w:pStyle w:val="TOC1"/>
        <w:spacing w:line="240" w:lineRule="atLeast"/>
        <w:rPr>
          <w:rFonts w:asciiTheme="minorHAnsi" w:eastAsiaTheme="minorEastAsia" w:hAnsiTheme="minorHAnsi" w:cstheme="minorBidi"/>
          <w:b w:val="0"/>
          <w:noProof/>
          <w:color w:val="auto"/>
          <w:sz w:val="22"/>
          <w:szCs w:val="22"/>
        </w:rPr>
      </w:pPr>
      <w:r w:rsidRPr="00520787">
        <w:rPr>
          <w:b w:val="0"/>
        </w:rPr>
        <w:fldChar w:fldCharType="begin"/>
      </w:r>
      <w:r w:rsidRPr="00520787">
        <w:rPr>
          <w:b w:val="0"/>
        </w:rPr>
        <w:instrText xml:space="preserve"> TOC \h \z \t "Main Heading,1,M&amp;R Numbered Heading 1,1" </w:instrText>
      </w:r>
      <w:r w:rsidRPr="00520787">
        <w:rPr>
          <w:b w:val="0"/>
        </w:rPr>
        <w:fldChar w:fldCharType="separate"/>
      </w:r>
      <w:hyperlink w:anchor="_Toc412715221" w:history="1">
        <w:r w:rsidRPr="00520787">
          <w:rPr>
            <w:rStyle w:val="Hyperlink"/>
            <w:b w:val="0"/>
            <w:noProof/>
            <w14:scene3d>
              <w14:camera w14:prst="orthographicFront"/>
              <w14:lightRig w14:rig="threePt" w14:dir="t">
                <w14:rot w14:lat="0" w14:lon="0" w14:rev="0"/>
              </w14:lightRig>
            </w14:scene3d>
          </w:rPr>
          <w:t>1</w:t>
        </w:r>
        <w:r w:rsidRPr="00520787">
          <w:rPr>
            <w:rFonts w:asciiTheme="minorHAnsi" w:eastAsiaTheme="minorEastAsia" w:hAnsiTheme="minorHAnsi" w:cstheme="minorBidi"/>
            <w:b w:val="0"/>
            <w:noProof/>
            <w:color w:val="auto"/>
            <w:sz w:val="22"/>
            <w:szCs w:val="22"/>
          </w:rPr>
          <w:tab/>
        </w:r>
        <w:r w:rsidRPr="00520787">
          <w:rPr>
            <w:rStyle w:val="Hyperlink"/>
            <w:b w:val="0"/>
            <w:noProof/>
          </w:rPr>
          <w:t>INTRODUCTION AND BACKGROUND</w:t>
        </w:r>
        <w:r w:rsidRPr="00520787">
          <w:rPr>
            <w:b w:val="0"/>
            <w:noProof/>
            <w:webHidden/>
          </w:rPr>
          <w:tab/>
        </w:r>
        <w:r w:rsidRPr="00520787">
          <w:rPr>
            <w:b w:val="0"/>
            <w:noProof/>
            <w:webHidden/>
          </w:rPr>
          <w:fldChar w:fldCharType="begin"/>
        </w:r>
        <w:r w:rsidRPr="00520787">
          <w:rPr>
            <w:b w:val="0"/>
            <w:noProof/>
            <w:webHidden/>
          </w:rPr>
          <w:instrText xml:space="preserve"> PAGEREF _Toc412715221 \h </w:instrText>
        </w:r>
        <w:r w:rsidRPr="00520787">
          <w:rPr>
            <w:b w:val="0"/>
            <w:noProof/>
            <w:webHidden/>
          </w:rPr>
        </w:r>
        <w:r w:rsidRPr="00520787">
          <w:rPr>
            <w:b w:val="0"/>
            <w:noProof/>
            <w:webHidden/>
          </w:rPr>
          <w:fldChar w:fldCharType="separate"/>
        </w:r>
        <w:r w:rsidR="00B76C31">
          <w:rPr>
            <w:b w:val="0"/>
            <w:noProof/>
            <w:webHidden/>
          </w:rPr>
          <w:t>1</w:t>
        </w:r>
        <w:r w:rsidRPr="00520787">
          <w:rPr>
            <w:b w:val="0"/>
            <w:noProof/>
            <w:webHidden/>
          </w:rPr>
          <w:fldChar w:fldCharType="end"/>
        </w:r>
      </w:hyperlink>
    </w:p>
    <w:p w14:paraId="20C7380B" w14:textId="7F522C28" w:rsidR="00520787" w:rsidRPr="00520787" w:rsidRDefault="009E27B6" w:rsidP="008A00B3">
      <w:pPr>
        <w:pStyle w:val="TOC1"/>
        <w:spacing w:line="240" w:lineRule="atLeast"/>
        <w:rPr>
          <w:rFonts w:asciiTheme="minorHAnsi" w:eastAsiaTheme="minorEastAsia" w:hAnsiTheme="minorHAnsi" w:cstheme="minorBidi"/>
          <w:b w:val="0"/>
          <w:noProof/>
          <w:color w:val="auto"/>
          <w:sz w:val="22"/>
          <w:szCs w:val="22"/>
        </w:rPr>
      </w:pPr>
      <w:hyperlink w:anchor="_Toc412715222" w:history="1">
        <w:r w:rsidR="00520787" w:rsidRPr="00520787">
          <w:rPr>
            <w:rStyle w:val="Hyperlink"/>
            <w:b w:val="0"/>
            <w:noProof/>
            <w14:scene3d>
              <w14:camera w14:prst="orthographicFront"/>
              <w14:lightRig w14:rig="threePt" w14:dir="t">
                <w14:rot w14:lat="0" w14:lon="0" w14:rev="0"/>
              </w14:lightRig>
            </w14:scene3d>
          </w:rPr>
          <w:t>2</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TIMETABLE</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_Toc412715222 \h </w:instrText>
        </w:r>
        <w:r w:rsidR="00520787" w:rsidRPr="00520787">
          <w:rPr>
            <w:b w:val="0"/>
            <w:noProof/>
            <w:webHidden/>
          </w:rPr>
        </w:r>
        <w:r w:rsidR="00520787" w:rsidRPr="00520787">
          <w:rPr>
            <w:b w:val="0"/>
            <w:noProof/>
            <w:webHidden/>
          </w:rPr>
          <w:fldChar w:fldCharType="separate"/>
        </w:r>
        <w:r w:rsidR="00B76C31">
          <w:rPr>
            <w:b w:val="0"/>
            <w:noProof/>
            <w:webHidden/>
          </w:rPr>
          <w:t>3</w:t>
        </w:r>
        <w:r w:rsidR="00520787" w:rsidRPr="00520787">
          <w:rPr>
            <w:b w:val="0"/>
            <w:noProof/>
            <w:webHidden/>
          </w:rPr>
          <w:fldChar w:fldCharType="end"/>
        </w:r>
      </w:hyperlink>
    </w:p>
    <w:p w14:paraId="20C7380C" w14:textId="3A47DEA9" w:rsidR="00520787" w:rsidRPr="00520787" w:rsidRDefault="009E27B6" w:rsidP="008A00B3">
      <w:pPr>
        <w:pStyle w:val="TOC1"/>
        <w:spacing w:line="240" w:lineRule="atLeast"/>
        <w:rPr>
          <w:rFonts w:asciiTheme="minorHAnsi" w:eastAsiaTheme="minorEastAsia" w:hAnsiTheme="minorHAnsi" w:cstheme="minorBidi"/>
          <w:b w:val="0"/>
          <w:noProof/>
          <w:color w:val="auto"/>
          <w:sz w:val="22"/>
          <w:szCs w:val="22"/>
        </w:rPr>
      </w:pPr>
      <w:hyperlink w:anchor="_Toc412715223" w:history="1">
        <w:r w:rsidR="00520787" w:rsidRPr="00520787">
          <w:rPr>
            <w:rStyle w:val="Hyperlink"/>
            <w:b w:val="0"/>
            <w:noProof/>
            <w14:scene3d>
              <w14:camera w14:prst="orthographicFront"/>
              <w14:lightRig w14:rig="threePt" w14:dir="t">
                <w14:rot w14:lat="0" w14:lon="0" w14:rev="0"/>
              </w14:lightRig>
            </w14:scene3d>
          </w:rPr>
          <w:t>3</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INSTRUCTIONS TO BIDDERS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_Toc412715223 \h </w:instrText>
        </w:r>
        <w:r w:rsidR="00520787" w:rsidRPr="00520787">
          <w:rPr>
            <w:b w:val="0"/>
            <w:noProof/>
            <w:webHidden/>
          </w:rPr>
        </w:r>
        <w:r w:rsidR="00520787" w:rsidRPr="00520787">
          <w:rPr>
            <w:b w:val="0"/>
            <w:noProof/>
            <w:webHidden/>
          </w:rPr>
          <w:fldChar w:fldCharType="separate"/>
        </w:r>
        <w:r w:rsidR="00B76C31">
          <w:rPr>
            <w:b w:val="0"/>
            <w:noProof/>
            <w:webHidden/>
          </w:rPr>
          <w:t>5</w:t>
        </w:r>
        <w:r w:rsidR="00520787" w:rsidRPr="00520787">
          <w:rPr>
            <w:b w:val="0"/>
            <w:noProof/>
            <w:webHidden/>
          </w:rPr>
          <w:fldChar w:fldCharType="end"/>
        </w:r>
      </w:hyperlink>
    </w:p>
    <w:p w14:paraId="20C7380D" w14:textId="1518206E" w:rsidR="00520787" w:rsidRPr="00520787" w:rsidRDefault="009E27B6" w:rsidP="008A00B3">
      <w:pPr>
        <w:pStyle w:val="TOC1"/>
        <w:spacing w:line="240" w:lineRule="atLeast"/>
        <w:rPr>
          <w:rFonts w:asciiTheme="minorHAnsi" w:eastAsiaTheme="minorEastAsia" w:hAnsiTheme="minorHAnsi" w:cstheme="minorBidi"/>
          <w:b w:val="0"/>
          <w:noProof/>
          <w:color w:val="auto"/>
          <w:sz w:val="22"/>
          <w:szCs w:val="22"/>
        </w:rPr>
      </w:pPr>
      <w:hyperlink w:anchor="_Toc412715224" w:history="1">
        <w:r w:rsidR="00520787" w:rsidRPr="00520787">
          <w:rPr>
            <w:rStyle w:val="Hyperlink"/>
            <w:b w:val="0"/>
            <w:noProof/>
            <w14:scene3d>
              <w14:camera w14:prst="orthographicFront"/>
              <w14:lightRig w14:rig="threePt" w14:dir="t">
                <w14:rot w14:lat="0" w14:lon="0" w14:rev="0"/>
              </w14:lightRig>
            </w14:scene3d>
          </w:rPr>
          <w:t>4</w:t>
        </w:r>
        <w:r w:rsidR="00520787" w:rsidRPr="00520787">
          <w:rPr>
            <w:rFonts w:asciiTheme="minorHAnsi" w:eastAsiaTheme="minorEastAsia" w:hAnsiTheme="minorHAnsi" w:cstheme="minorBidi"/>
            <w:b w:val="0"/>
            <w:noProof/>
            <w:color w:val="auto"/>
            <w:sz w:val="22"/>
            <w:szCs w:val="22"/>
          </w:rPr>
          <w:tab/>
        </w:r>
        <w:r w:rsidR="00520787" w:rsidRPr="00520787">
          <w:rPr>
            <w:rStyle w:val="Hyperlink"/>
            <w:b w:val="0"/>
            <w:noProof/>
          </w:rPr>
          <w:t>TENDER EVALUATION METHODOLOGY AND CRITERIA</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_Toc412715224 \h </w:instrText>
        </w:r>
        <w:r w:rsidR="00520787" w:rsidRPr="00520787">
          <w:rPr>
            <w:b w:val="0"/>
            <w:noProof/>
            <w:webHidden/>
          </w:rPr>
        </w:r>
        <w:r w:rsidR="00520787" w:rsidRPr="00520787">
          <w:rPr>
            <w:b w:val="0"/>
            <w:noProof/>
            <w:webHidden/>
          </w:rPr>
          <w:fldChar w:fldCharType="separate"/>
        </w:r>
        <w:r w:rsidR="00B76C31">
          <w:rPr>
            <w:b w:val="0"/>
            <w:noProof/>
            <w:webHidden/>
          </w:rPr>
          <w:t>10</w:t>
        </w:r>
        <w:r w:rsidR="00520787" w:rsidRPr="00520787">
          <w:rPr>
            <w:b w:val="0"/>
            <w:noProof/>
            <w:webHidden/>
          </w:rPr>
          <w:fldChar w:fldCharType="end"/>
        </w:r>
      </w:hyperlink>
    </w:p>
    <w:p w14:paraId="20C7380E" w14:textId="0AC3FC09" w:rsidR="00520787" w:rsidRPr="00520787" w:rsidRDefault="009E27B6" w:rsidP="008A00B3">
      <w:pPr>
        <w:pStyle w:val="TOC1"/>
        <w:spacing w:line="240" w:lineRule="atLeast"/>
        <w:rPr>
          <w:rFonts w:asciiTheme="minorHAnsi" w:eastAsiaTheme="minorEastAsia" w:hAnsiTheme="minorHAnsi" w:cstheme="minorBidi"/>
          <w:b w:val="0"/>
          <w:noProof/>
          <w:color w:val="auto"/>
          <w:sz w:val="22"/>
          <w:szCs w:val="22"/>
        </w:rPr>
      </w:pPr>
      <w:hyperlink w:anchor="_Toc412715225" w:history="1">
        <w:r w:rsidR="00520787" w:rsidRPr="00520787">
          <w:rPr>
            <w:rStyle w:val="Hyperlink"/>
            <w:b w:val="0"/>
            <w:noProof/>
            <w14:scene3d>
              <w14:camera w14:prst="orthographicFront"/>
              <w14:lightRig w14:rig="threePt" w14:dir="t">
                <w14:rot w14:lat="0" w14:lon="0" w14:rev="0"/>
              </w14:lightRig>
            </w14:scene3d>
          </w:rPr>
          <w:t>5</w:t>
        </w:r>
        <w:r w:rsidR="009F3AF8">
          <w:rPr>
            <w:rFonts w:asciiTheme="minorHAnsi" w:eastAsiaTheme="minorEastAsia" w:hAnsiTheme="minorHAnsi" w:cstheme="minorBidi"/>
            <w:b w:val="0"/>
            <w:noProof/>
            <w:color w:val="auto"/>
            <w:sz w:val="22"/>
            <w:szCs w:val="22"/>
          </w:rPr>
          <w:tab/>
          <w:t>STAFF</w:t>
        </w:r>
        <w:r w:rsidR="00520787" w:rsidRPr="00520787">
          <w:rPr>
            <w:rStyle w:val="Hyperlink"/>
            <w:b w:val="0"/>
            <w:noProof/>
          </w:rPr>
          <w:t xml:space="preserve">  </w:t>
        </w:r>
        <w:r w:rsidR="009F3AF8">
          <w:rPr>
            <w:rStyle w:val="Hyperlink"/>
            <w:b w:val="0"/>
            <w:noProof/>
          </w:rPr>
          <w:t>….</w:t>
        </w:r>
        <w:r w:rsidR="007000CF">
          <w:rPr>
            <w:rStyle w:val="Hyperlink"/>
            <w:b w:val="0"/>
            <w:noProof/>
          </w:rPr>
          <w:t>.</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_Toc412715225 \h </w:instrText>
        </w:r>
        <w:r w:rsidR="00520787" w:rsidRPr="00520787">
          <w:rPr>
            <w:b w:val="0"/>
            <w:noProof/>
            <w:webHidden/>
          </w:rPr>
        </w:r>
        <w:r w:rsidR="00520787" w:rsidRPr="00520787">
          <w:rPr>
            <w:b w:val="0"/>
            <w:noProof/>
            <w:webHidden/>
          </w:rPr>
          <w:fldChar w:fldCharType="separate"/>
        </w:r>
        <w:r w:rsidR="00B76C31">
          <w:rPr>
            <w:b w:val="0"/>
            <w:noProof/>
            <w:webHidden/>
          </w:rPr>
          <w:t>14</w:t>
        </w:r>
        <w:r w:rsidR="00520787" w:rsidRPr="00520787">
          <w:rPr>
            <w:b w:val="0"/>
            <w:noProof/>
            <w:webHidden/>
          </w:rPr>
          <w:fldChar w:fldCharType="end"/>
        </w:r>
      </w:hyperlink>
    </w:p>
    <w:p w14:paraId="20C7380F" w14:textId="2BA2C3F6" w:rsidR="00520787" w:rsidRDefault="009E27B6" w:rsidP="008A00B3">
      <w:pPr>
        <w:pStyle w:val="TOC1"/>
        <w:spacing w:line="240" w:lineRule="atLeast"/>
        <w:rPr>
          <w:b w:val="0"/>
          <w:noProof/>
        </w:rPr>
      </w:pPr>
      <w:hyperlink w:anchor="_Toc412715226" w:history="1">
        <w:r w:rsidR="00520787" w:rsidRPr="00520787">
          <w:rPr>
            <w:rStyle w:val="Hyperlink"/>
            <w:b w:val="0"/>
            <w:noProof/>
          </w:rPr>
          <w:t>ANNEX A1 NHS TERMS AND CONDITIONS</w:t>
        </w:r>
        <w:r w:rsidR="00520787" w:rsidRPr="00520787">
          <w:rPr>
            <w:b w:val="0"/>
            <w:noProof/>
            <w:webHidden/>
          </w:rPr>
          <w:tab/>
        </w:r>
        <w:r w:rsidR="00520787" w:rsidRPr="00520787">
          <w:rPr>
            <w:b w:val="0"/>
            <w:noProof/>
            <w:webHidden/>
          </w:rPr>
          <w:fldChar w:fldCharType="begin"/>
        </w:r>
        <w:r w:rsidR="00520787" w:rsidRPr="00520787">
          <w:rPr>
            <w:b w:val="0"/>
            <w:noProof/>
            <w:webHidden/>
          </w:rPr>
          <w:instrText xml:space="preserve"> PAGEREF _Toc412715226 \h </w:instrText>
        </w:r>
        <w:r w:rsidR="00520787" w:rsidRPr="00520787">
          <w:rPr>
            <w:b w:val="0"/>
            <w:noProof/>
            <w:webHidden/>
          </w:rPr>
        </w:r>
        <w:r w:rsidR="00520787" w:rsidRPr="00520787">
          <w:rPr>
            <w:b w:val="0"/>
            <w:noProof/>
            <w:webHidden/>
          </w:rPr>
          <w:fldChar w:fldCharType="separate"/>
        </w:r>
        <w:r w:rsidR="00B76C31">
          <w:rPr>
            <w:b w:val="0"/>
            <w:noProof/>
            <w:webHidden/>
          </w:rPr>
          <w:t>15</w:t>
        </w:r>
        <w:r w:rsidR="00520787" w:rsidRPr="00520787">
          <w:rPr>
            <w:b w:val="0"/>
            <w:noProof/>
            <w:webHidden/>
          </w:rPr>
          <w:fldChar w:fldCharType="end"/>
        </w:r>
      </w:hyperlink>
    </w:p>
    <w:p w14:paraId="20C73810" w14:textId="50414B32" w:rsidR="00520787" w:rsidRPr="00E03FBF" w:rsidRDefault="00E03FBF" w:rsidP="00E03FBF">
      <w:pPr>
        <w:rPr>
          <w:rFonts w:asciiTheme="minorHAnsi" w:eastAsiaTheme="minorEastAsia" w:hAnsiTheme="minorHAnsi"/>
          <w:b/>
          <w:noProof/>
          <w:sz w:val="22"/>
          <w:szCs w:val="22"/>
        </w:rPr>
      </w:pPr>
      <w:r>
        <w:rPr>
          <w:noProof/>
          <w:lang w:eastAsia="en-GB"/>
        </w:rPr>
        <w:t xml:space="preserve">ANNEX A2 </w:t>
      </w:r>
      <w:r w:rsidR="00B76C31">
        <w:rPr>
          <w:noProof/>
          <w:lang w:eastAsia="en-GB"/>
        </w:rPr>
        <w:t xml:space="preserve">CONFIDENTIALITY AGREEMENT </w:t>
      </w:r>
      <w:r>
        <w:rPr>
          <w:rFonts w:eastAsia="Times New Roman" w:cs="Times New Roman"/>
          <w:b/>
          <w:noProof/>
          <w:color w:val="000000" w:themeColor="text1"/>
          <w:u w:val="dotted"/>
          <w:lang w:eastAsia="en-GB"/>
        </w:rPr>
        <w:t xml:space="preserve">                                                </w:t>
      </w:r>
      <w:r w:rsidRPr="00E03FBF">
        <w:rPr>
          <w:rFonts w:eastAsia="Times New Roman" w:cs="Times New Roman"/>
          <w:noProof/>
          <w:color w:val="000000" w:themeColor="text1"/>
          <w:u w:val="dotted"/>
          <w:lang w:eastAsia="en-GB"/>
        </w:rPr>
        <w:t xml:space="preserve"> </w:t>
      </w:r>
      <w:r w:rsidR="00B76C31">
        <w:rPr>
          <w:rFonts w:eastAsia="Times New Roman" w:cs="Times New Roman"/>
          <w:noProof/>
          <w:color w:val="000000" w:themeColor="text1"/>
          <w:u w:val="dotted"/>
          <w:lang w:eastAsia="en-GB"/>
        </w:rPr>
        <w:t xml:space="preserve">                                   </w:t>
      </w:r>
      <w:r w:rsidRPr="00E03FBF">
        <w:rPr>
          <w:rFonts w:eastAsia="Times New Roman" w:cs="Times New Roman"/>
          <w:noProof/>
          <w:color w:val="000000" w:themeColor="text1"/>
          <w:lang w:eastAsia="en-GB"/>
        </w:rPr>
        <w:t>1</w:t>
      </w:r>
      <w:r w:rsidR="00B76C31">
        <w:rPr>
          <w:rFonts w:eastAsia="Times New Roman" w:cs="Times New Roman"/>
          <w:noProof/>
          <w:color w:val="000000" w:themeColor="text1"/>
          <w:lang w:eastAsia="en-GB"/>
        </w:rPr>
        <w:t>6</w:t>
      </w:r>
    </w:p>
    <w:p w14:paraId="20C73811" w14:textId="77777777" w:rsidR="00AD0C96" w:rsidRPr="001F110F" w:rsidRDefault="00520787" w:rsidP="008A00B3">
      <w:pPr>
        <w:pStyle w:val="Heading2"/>
        <w:numPr>
          <w:ilvl w:val="0"/>
          <w:numId w:val="0"/>
        </w:numPr>
        <w:spacing w:line="240" w:lineRule="atLeast"/>
      </w:pPr>
      <w:r w:rsidRPr="00520787">
        <w:fldChar w:fldCharType="end"/>
      </w:r>
    </w:p>
    <w:p w14:paraId="20C73812" w14:textId="77777777" w:rsidR="008306CC" w:rsidRDefault="008306CC" w:rsidP="008306CC">
      <w:pPr>
        <w:pStyle w:val="TOC3"/>
        <w:ind w:left="0"/>
      </w:pPr>
    </w:p>
    <w:p w14:paraId="20C73813" w14:textId="77777777" w:rsidR="00897556" w:rsidRDefault="00897556" w:rsidP="00AD0C96">
      <w:pPr>
        <w:pStyle w:val="Heading2"/>
        <w:numPr>
          <w:ilvl w:val="0"/>
          <w:numId w:val="0"/>
        </w:numPr>
        <w:jc w:val="center"/>
        <w:rPr>
          <w:i/>
          <w:shd w:val="clear" w:color="auto" w:fill="FFFF66"/>
        </w:rPr>
      </w:pPr>
    </w:p>
    <w:p w14:paraId="20C73814" w14:textId="77777777" w:rsidR="00897556" w:rsidRDefault="00897556" w:rsidP="00897556">
      <w:pPr>
        <w:rPr>
          <w:shd w:val="clear" w:color="auto" w:fill="FFFF66"/>
        </w:rPr>
      </w:pPr>
    </w:p>
    <w:p w14:paraId="20C73815" w14:textId="77777777" w:rsidR="00ED0968" w:rsidRDefault="00ED0968" w:rsidP="00200E60">
      <w:pPr>
        <w:pStyle w:val="Heading2"/>
        <w:numPr>
          <w:ilvl w:val="0"/>
          <w:numId w:val="0"/>
        </w:numPr>
        <w:jc w:val="center"/>
      </w:pPr>
    </w:p>
    <w:p w14:paraId="20C73816" w14:textId="77777777" w:rsidR="00ED0968" w:rsidRDefault="00ED0968" w:rsidP="00200E60">
      <w:pPr>
        <w:pStyle w:val="Heading2"/>
        <w:numPr>
          <w:ilvl w:val="0"/>
          <w:numId w:val="0"/>
        </w:numPr>
        <w:jc w:val="center"/>
      </w:pPr>
    </w:p>
    <w:p w14:paraId="20C73817" w14:textId="77777777" w:rsidR="00B02442" w:rsidRDefault="00727643">
      <w:pPr>
        <w:spacing w:after="240"/>
        <w:jc w:val="left"/>
        <w:sectPr w:rsidR="00B02442" w:rsidSect="00B02442">
          <w:footerReference w:type="default" r:id="rId13"/>
          <w:footerReference w:type="first" r:id="rId14"/>
          <w:type w:val="continuous"/>
          <w:pgSz w:w="11907" w:h="16840" w:code="9"/>
          <w:pgMar w:top="1418" w:right="1418" w:bottom="1418" w:left="1418" w:header="709" w:footer="567" w:gutter="0"/>
          <w:pgNumType w:start="1"/>
          <w:cols w:space="708"/>
          <w:titlePg/>
          <w:docGrid w:linePitch="360"/>
        </w:sectPr>
      </w:pPr>
      <w:r>
        <w:br w:type="page"/>
      </w:r>
    </w:p>
    <w:p w14:paraId="20C73818" w14:textId="77777777" w:rsidR="003E3276" w:rsidRPr="008F3D2C" w:rsidRDefault="003E3276" w:rsidP="004270D9">
      <w:pPr>
        <w:pStyle w:val="MRNumberedHeading1"/>
        <w:numPr>
          <w:ilvl w:val="0"/>
          <w:numId w:val="24"/>
        </w:numPr>
        <w:ind w:hanging="798"/>
        <w:jc w:val="both"/>
        <w:rPr>
          <w:sz w:val="20"/>
          <w:szCs w:val="20"/>
        </w:rPr>
      </w:pPr>
      <w:bookmarkStart w:id="3" w:name="_Toc403556501"/>
      <w:bookmarkStart w:id="4" w:name="_Toc403556506"/>
      <w:bookmarkStart w:id="5" w:name="_Toc406674969"/>
      <w:bookmarkStart w:id="6" w:name="_Toc412621211"/>
      <w:bookmarkStart w:id="7" w:name="_Toc412715221"/>
      <w:r w:rsidRPr="008F3D2C">
        <w:rPr>
          <w:sz w:val="20"/>
          <w:szCs w:val="20"/>
        </w:rPr>
        <w:lastRenderedPageBreak/>
        <w:t>INTRODUCTION AND BACKGROUND</w:t>
      </w:r>
      <w:bookmarkEnd w:id="3"/>
      <w:bookmarkEnd w:id="4"/>
      <w:bookmarkEnd w:id="5"/>
      <w:bookmarkEnd w:id="6"/>
      <w:bookmarkEnd w:id="7"/>
    </w:p>
    <w:p w14:paraId="20C73819" w14:textId="182323FA" w:rsidR="003E3276" w:rsidRPr="007724D1" w:rsidRDefault="00FC6237" w:rsidP="004270D9">
      <w:pPr>
        <w:pStyle w:val="MRNumberedHeading2"/>
      </w:pPr>
      <w:bookmarkStart w:id="8" w:name="_Toc403555077"/>
      <w:r>
        <w:t>Torbay and South Devon NHS Foundation Trust</w:t>
      </w:r>
      <w:r w:rsidR="003E3276" w:rsidRPr="007724D1">
        <w:t xml:space="preserve"> (the "</w:t>
      </w:r>
      <w:r w:rsidR="003E3276" w:rsidRPr="007724D1">
        <w:rPr>
          <w:b/>
        </w:rPr>
        <w:t>Authority</w:t>
      </w:r>
      <w:r w:rsidR="004F02F9">
        <w:t>") is issuing this invitation to t</w:t>
      </w:r>
      <w:r w:rsidR="003E3276" w:rsidRPr="007724D1">
        <w:t>ender ("</w:t>
      </w:r>
      <w:r w:rsidR="003E3276" w:rsidRPr="007724D1">
        <w:rPr>
          <w:b/>
        </w:rPr>
        <w:t>ITT</w:t>
      </w:r>
      <w:r w:rsidR="003E3276" w:rsidRPr="007724D1">
        <w:t>") in connection with the competitive procurement o</w:t>
      </w:r>
      <w:r w:rsidR="003E3276" w:rsidRPr="00C31C00">
        <w:t xml:space="preserve">f </w:t>
      </w:r>
      <w:r w:rsidR="006A4011" w:rsidRPr="00C31C00">
        <w:t>a</w:t>
      </w:r>
      <w:r w:rsidR="00E32CF2" w:rsidRPr="00C31C00">
        <w:t xml:space="preserve"> Roaming Night Service</w:t>
      </w:r>
      <w:r w:rsidR="006A4011" w:rsidRPr="00C31C00">
        <w:t xml:space="preserve"> for</w:t>
      </w:r>
      <w:r w:rsidR="0030158B" w:rsidRPr="00C31C00">
        <w:t xml:space="preserve"> </w:t>
      </w:r>
      <w:r w:rsidR="00E32CF2" w:rsidRPr="00C31C00">
        <w:rPr>
          <w:rFonts w:cs="Arial"/>
        </w:rPr>
        <w:t>Urgent Community Response South Devon Roaming Night Service</w:t>
      </w:r>
      <w:r w:rsidR="006A4011" w:rsidRPr="00C31C00">
        <w:t>.</w:t>
      </w:r>
      <w:r w:rsidR="006A4011">
        <w:t xml:space="preserve"> The tender process will be carried out under the rules for the Light Touch Regime under the EU regulations.</w:t>
      </w:r>
      <w:r w:rsidR="003E3276" w:rsidRPr="007724D1">
        <w:t xml:space="preserve"> </w:t>
      </w:r>
      <w:bookmarkEnd w:id="8"/>
    </w:p>
    <w:p w14:paraId="20C7381A" w14:textId="77777777" w:rsidR="003E3276" w:rsidRPr="007724D1" w:rsidRDefault="003E3276" w:rsidP="004270D9">
      <w:pPr>
        <w:pStyle w:val="MRNumberedHeading2"/>
      </w:pPr>
      <w:bookmarkStart w:id="9" w:name="_Toc403555078"/>
      <w:r w:rsidRPr="007724D1">
        <w:t xml:space="preserve">This ITT Section A contains further </w:t>
      </w:r>
      <w:r w:rsidRPr="003E3276">
        <w:t>information</w:t>
      </w:r>
      <w:r w:rsidRPr="007724D1">
        <w:t xml:space="preserve"> about the procurement process.</w:t>
      </w:r>
      <w:bookmarkEnd w:id="9"/>
      <w:r w:rsidRPr="007724D1">
        <w:t xml:space="preserve">  </w:t>
      </w:r>
    </w:p>
    <w:p w14:paraId="20C7381B" w14:textId="2A17D71D" w:rsidR="003E3276" w:rsidRDefault="00C516F4" w:rsidP="004270D9">
      <w:pPr>
        <w:pStyle w:val="MRNumberedHeading2"/>
      </w:pPr>
      <w:bookmarkStart w:id="10" w:name="_Toc403555079"/>
      <w:r>
        <w:t>Bidders must complete the Eligibility Questions (as referred to in section 3 of this Section A of the ITT) and the questions contained in</w:t>
      </w:r>
      <w:r w:rsidR="003E3276">
        <w:t xml:space="preserve"> Section B</w:t>
      </w:r>
      <w:r>
        <w:t xml:space="preserve"> of the ITT</w:t>
      </w:r>
      <w:r w:rsidR="003E3276">
        <w:t>. Each Bidder's response ("</w:t>
      </w:r>
      <w:r w:rsidR="003E3276" w:rsidRPr="00951656">
        <w:rPr>
          <w:b/>
          <w:bCs/>
        </w:rPr>
        <w:t>Tender</w:t>
      </w:r>
      <w:r w:rsidR="003E3276">
        <w:rPr>
          <w:bCs/>
        </w:rPr>
        <w:t>"</w:t>
      </w:r>
      <w:r w:rsidR="003E3276">
        <w:t>) should be detailed enough to allow the Authority to make an informed award decision.</w:t>
      </w:r>
      <w:bookmarkEnd w:id="10"/>
    </w:p>
    <w:p w14:paraId="20C7381C" w14:textId="5A2DBD14" w:rsidR="003E3276" w:rsidRPr="00FB2FE9" w:rsidRDefault="0034181A" w:rsidP="004270D9">
      <w:pPr>
        <w:pStyle w:val="MRNumberedHeading2"/>
      </w:pPr>
      <w:bookmarkStart w:id="11" w:name="_Toc403555080"/>
      <w:r>
        <w:t>All T</w:t>
      </w:r>
      <w:r w:rsidR="003E3276">
        <w:t>enders must be returned no later tha</w:t>
      </w:r>
      <w:r>
        <w:t>n the deadline for receipt of T</w:t>
      </w:r>
      <w:r w:rsidR="003E3276">
        <w:t>ender</w:t>
      </w:r>
      <w:r w:rsidR="00BD5DCC">
        <w:t>s</w:t>
      </w:r>
      <w:r w:rsidR="003E3276">
        <w:t xml:space="preserve"> specified on the front cover of this ITT.</w:t>
      </w:r>
      <w:bookmarkEnd w:id="11"/>
    </w:p>
    <w:p w14:paraId="20C7381E" w14:textId="77777777" w:rsidR="00247F0F" w:rsidRPr="003E3276" w:rsidRDefault="00247F0F" w:rsidP="004270D9">
      <w:pPr>
        <w:pStyle w:val="Heading1"/>
        <w:spacing w:before="240" w:after="0"/>
        <w:ind w:left="851"/>
        <w:rPr>
          <w:rFonts w:eastAsiaTheme="minorHAnsi"/>
        </w:rPr>
      </w:pPr>
      <w:bookmarkStart w:id="12" w:name="_Toc403555082"/>
      <w:r w:rsidRPr="003E3276">
        <w:rPr>
          <w:rFonts w:eastAsiaTheme="minorHAnsi"/>
        </w:rPr>
        <w:t>Contents of the ITT</w:t>
      </w:r>
      <w:bookmarkEnd w:id="12"/>
      <w:r w:rsidRPr="003E3276">
        <w:rPr>
          <w:rFonts w:eastAsiaTheme="minorHAnsi"/>
        </w:rPr>
        <w:t xml:space="preserve"> </w:t>
      </w:r>
    </w:p>
    <w:p w14:paraId="20C7381F" w14:textId="77777777" w:rsidR="00AD3446" w:rsidRPr="003E3276" w:rsidRDefault="00AD3446" w:rsidP="004270D9">
      <w:pPr>
        <w:pStyle w:val="MRNumberedHeading2"/>
        <w:rPr>
          <w:b/>
        </w:rPr>
      </w:pPr>
      <w:bookmarkStart w:id="13" w:name="_Toc403555083"/>
      <w:bookmarkStart w:id="14" w:name="_Ref405452631"/>
      <w:r>
        <w:t>This ITT document consists of:</w:t>
      </w:r>
      <w:bookmarkEnd w:id="13"/>
      <w:bookmarkEnd w:id="14"/>
    </w:p>
    <w:p w14:paraId="20C73820" w14:textId="77777777" w:rsidR="003E3276" w:rsidRPr="00951656" w:rsidRDefault="003E3276" w:rsidP="006B54D6">
      <w:pPr>
        <w:pStyle w:val="MRNumberedHeading2"/>
        <w:numPr>
          <w:ilvl w:val="0"/>
          <w:numId w:val="0"/>
        </w:numPr>
        <w:ind w:left="720"/>
      </w:pPr>
    </w:p>
    <w:tbl>
      <w:tblPr>
        <w:tblStyle w:val="TableGrid"/>
        <w:tblW w:w="6974" w:type="dxa"/>
        <w:tblInd w:w="1101" w:type="dxa"/>
        <w:tblLook w:val="04A0" w:firstRow="1" w:lastRow="0" w:firstColumn="1" w:lastColumn="0" w:noHBand="0" w:noVBand="1"/>
      </w:tblPr>
      <w:tblGrid>
        <w:gridCol w:w="1588"/>
        <w:gridCol w:w="5386"/>
      </w:tblGrid>
      <w:tr w:rsidR="0067402D" w14:paraId="20C73822" w14:textId="77777777" w:rsidTr="0067402D">
        <w:tc>
          <w:tcPr>
            <w:tcW w:w="6974" w:type="dxa"/>
            <w:gridSpan w:val="2"/>
            <w:shd w:val="clear" w:color="auto" w:fill="BFBFBF" w:themeFill="background1" w:themeFillShade="BF"/>
          </w:tcPr>
          <w:p w14:paraId="20C73821" w14:textId="77777777" w:rsidR="0067402D" w:rsidRPr="00953B6C" w:rsidRDefault="0067402D" w:rsidP="00AD3446">
            <w:pPr>
              <w:pStyle w:val="Heading2"/>
              <w:numPr>
                <w:ilvl w:val="0"/>
                <w:numId w:val="0"/>
              </w:numPr>
              <w:rPr>
                <w:b/>
              </w:rPr>
            </w:pPr>
            <w:r>
              <w:rPr>
                <w:b/>
              </w:rPr>
              <w:t>Section</w:t>
            </w:r>
            <w:r w:rsidRPr="00953B6C">
              <w:rPr>
                <w:b/>
              </w:rPr>
              <w:t xml:space="preserve"> A – Instructions and information</w:t>
            </w:r>
          </w:p>
        </w:tc>
      </w:tr>
      <w:tr w:rsidR="0067402D" w14:paraId="20C73826" w14:textId="77777777" w:rsidTr="0067402D">
        <w:tc>
          <w:tcPr>
            <w:tcW w:w="1588" w:type="dxa"/>
          </w:tcPr>
          <w:p w14:paraId="20C73823" w14:textId="77777777" w:rsidR="0067402D" w:rsidRDefault="0067402D" w:rsidP="0067402D">
            <w:pPr>
              <w:pStyle w:val="Heading2"/>
              <w:numPr>
                <w:ilvl w:val="0"/>
                <w:numId w:val="0"/>
              </w:numPr>
              <w:jc w:val="center"/>
            </w:pPr>
            <w:r>
              <w:t>1</w:t>
            </w:r>
          </w:p>
        </w:tc>
        <w:tc>
          <w:tcPr>
            <w:tcW w:w="5386" w:type="dxa"/>
          </w:tcPr>
          <w:p w14:paraId="457E038F" w14:textId="77777777" w:rsidR="0067402D" w:rsidRDefault="0067402D" w:rsidP="0067402D">
            <w:pPr>
              <w:pStyle w:val="Heading2"/>
              <w:numPr>
                <w:ilvl w:val="0"/>
                <w:numId w:val="0"/>
              </w:numPr>
            </w:pPr>
            <w:r>
              <w:t>Introduction and background</w:t>
            </w:r>
          </w:p>
          <w:p w14:paraId="20C73825" w14:textId="08B93DA1" w:rsidR="0067402D" w:rsidRDefault="0067402D" w:rsidP="0067402D">
            <w:pPr>
              <w:pStyle w:val="Heading2"/>
              <w:numPr>
                <w:ilvl w:val="0"/>
                <w:numId w:val="0"/>
              </w:numPr>
            </w:pPr>
          </w:p>
        </w:tc>
      </w:tr>
      <w:tr w:rsidR="0067402D" w14:paraId="20C7382A" w14:textId="77777777" w:rsidTr="0067402D">
        <w:tc>
          <w:tcPr>
            <w:tcW w:w="1588" w:type="dxa"/>
          </w:tcPr>
          <w:p w14:paraId="20C73827" w14:textId="77777777" w:rsidR="0067402D" w:rsidRDefault="0067402D" w:rsidP="0067402D">
            <w:pPr>
              <w:pStyle w:val="Heading2"/>
              <w:numPr>
                <w:ilvl w:val="0"/>
                <w:numId w:val="0"/>
              </w:numPr>
              <w:jc w:val="center"/>
            </w:pPr>
            <w:r>
              <w:t>2</w:t>
            </w:r>
          </w:p>
        </w:tc>
        <w:tc>
          <w:tcPr>
            <w:tcW w:w="5386" w:type="dxa"/>
          </w:tcPr>
          <w:p w14:paraId="60FFEC2F" w14:textId="77777777" w:rsidR="0067402D" w:rsidRDefault="0067402D" w:rsidP="0067402D">
            <w:pPr>
              <w:pStyle w:val="Heading2"/>
              <w:numPr>
                <w:ilvl w:val="0"/>
                <w:numId w:val="0"/>
              </w:numPr>
            </w:pPr>
            <w:r>
              <w:t xml:space="preserve">Tender timetable </w:t>
            </w:r>
          </w:p>
          <w:p w14:paraId="20C73829" w14:textId="0E5B5606" w:rsidR="0067402D" w:rsidRDefault="0067402D" w:rsidP="0067402D">
            <w:pPr>
              <w:pStyle w:val="Heading2"/>
              <w:numPr>
                <w:ilvl w:val="0"/>
                <w:numId w:val="0"/>
              </w:numPr>
            </w:pPr>
          </w:p>
        </w:tc>
      </w:tr>
      <w:tr w:rsidR="0067402D" w14:paraId="20C7382E" w14:textId="77777777" w:rsidTr="0067402D">
        <w:tc>
          <w:tcPr>
            <w:tcW w:w="1588" w:type="dxa"/>
          </w:tcPr>
          <w:p w14:paraId="20C7382B" w14:textId="77777777" w:rsidR="0067402D" w:rsidRDefault="0067402D" w:rsidP="0067402D">
            <w:pPr>
              <w:pStyle w:val="Heading2"/>
              <w:numPr>
                <w:ilvl w:val="0"/>
                <w:numId w:val="0"/>
              </w:numPr>
              <w:jc w:val="center"/>
            </w:pPr>
            <w:r>
              <w:t>3</w:t>
            </w:r>
          </w:p>
        </w:tc>
        <w:tc>
          <w:tcPr>
            <w:tcW w:w="5386" w:type="dxa"/>
          </w:tcPr>
          <w:p w14:paraId="16A13DD3" w14:textId="77777777" w:rsidR="0067402D" w:rsidRDefault="0067402D" w:rsidP="0067402D">
            <w:pPr>
              <w:pStyle w:val="Heading2"/>
              <w:numPr>
                <w:ilvl w:val="0"/>
                <w:numId w:val="0"/>
              </w:numPr>
            </w:pPr>
            <w:r>
              <w:t xml:space="preserve">Instructions to Bidders </w:t>
            </w:r>
          </w:p>
          <w:p w14:paraId="20C7382D" w14:textId="5514B644" w:rsidR="0067402D" w:rsidRDefault="0067402D" w:rsidP="0067402D">
            <w:pPr>
              <w:pStyle w:val="Heading2"/>
              <w:numPr>
                <w:ilvl w:val="0"/>
                <w:numId w:val="0"/>
              </w:numPr>
            </w:pPr>
          </w:p>
        </w:tc>
      </w:tr>
      <w:tr w:rsidR="0067402D" w14:paraId="20C73832" w14:textId="77777777" w:rsidTr="0067402D">
        <w:tc>
          <w:tcPr>
            <w:tcW w:w="1588" w:type="dxa"/>
          </w:tcPr>
          <w:p w14:paraId="20C7382F" w14:textId="77777777" w:rsidR="0067402D" w:rsidRDefault="0067402D" w:rsidP="0067402D">
            <w:pPr>
              <w:pStyle w:val="Heading2"/>
              <w:numPr>
                <w:ilvl w:val="0"/>
                <w:numId w:val="0"/>
              </w:numPr>
              <w:jc w:val="center"/>
            </w:pPr>
            <w:r>
              <w:t>4</w:t>
            </w:r>
          </w:p>
        </w:tc>
        <w:tc>
          <w:tcPr>
            <w:tcW w:w="5386" w:type="dxa"/>
          </w:tcPr>
          <w:p w14:paraId="621E79F5" w14:textId="77777777" w:rsidR="0067402D" w:rsidRDefault="0067402D" w:rsidP="0067402D">
            <w:pPr>
              <w:pStyle w:val="Heading2"/>
              <w:numPr>
                <w:ilvl w:val="0"/>
                <w:numId w:val="0"/>
              </w:numPr>
            </w:pPr>
            <w:r>
              <w:t>Tender evaluation methodology and criteria</w:t>
            </w:r>
          </w:p>
          <w:p w14:paraId="20C73831" w14:textId="42CD8971" w:rsidR="0067402D" w:rsidRDefault="0067402D" w:rsidP="0067402D">
            <w:pPr>
              <w:pStyle w:val="Heading2"/>
              <w:numPr>
                <w:ilvl w:val="0"/>
                <w:numId w:val="0"/>
              </w:numPr>
            </w:pPr>
          </w:p>
        </w:tc>
      </w:tr>
      <w:tr w:rsidR="0067402D" w14:paraId="6C1276E2" w14:textId="77777777" w:rsidTr="0067402D">
        <w:tc>
          <w:tcPr>
            <w:tcW w:w="1588" w:type="dxa"/>
          </w:tcPr>
          <w:p w14:paraId="61137A57" w14:textId="5A63170C" w:rsidR="0067402D" w:rsidRDefault="0067402D" w:rsidP="0067402D">
            <w:pPr>
              <w:pStyle w:val="Heading2"/>
              <w:numPr>
                <w:ilvl w:val="0"/>
                <w:numId w:val="0"/>
              </w:numPr>
              <w:jc w:val="center"/>
            </w:pPr>
            <w:r>
              <w:t>5</w:t>
            </w:r>
          </w:p>
        </w:tc>
        <w:tc>
          <w:tcPr>
            <w:tcW w:w="5386" w:type="dxa"/>
          </w:tcPr>
          <w:p w14:paraId="2A8541FA" w14:textId="77777777" w:rsidR="0067402D" w:rsidRDefault="0067402D" w:rsidP="0067402D">
            <w:pPr>
              <w:pStyle w:val="Heading2"/>
              <w:numPr>
                <w:ilvl w:val="0"/>
                <w:numId w:val="0"/>
              </w:numPr>
            </w:pPr>
            <w:r>
              <w:t>Staff</w:t>
            </w:r>
          </w:p>
          <w:p w14:paraId="43493F69" w14:textId="463997E7" w:rsidR="0067402D" w:rsidRDefault="0067402D" w:rsidP="0067402D">
            <w:pPr>
              <w:pStyle w:val="Heading2"/>
              <w:numPr>
                <w:ilvl w:val="0"/>
                <w:numId w:val="0"/>
              </w:numPr>
            </w:pPr>
          </w:p>
        </w:tc>
      </w:tr>
      <w:tr w:rsidR="0067402D" w14:paraId="20C7383A" w14:textId="77777777" w:rsidTr="0067402D">
        <w:trPr>
          <w:trHeight w:val="282"/>
        </w:trPr>
        <w:tc>
          <w:tcPr>
            <w:tcW w:w="1588" w:type="dxa"/>
          </w:tcPr>
          <w:p w14:paraId="20C73837" w14:textId="2E15EEDC" w:rsidR="0067402D" w:rsidRDefault="0067402D" w:rsidP="00AD3446">
            <w:pPr>
              <w:pStyle w:val="Heading2"/>
              <w:numPr>
                <w:ilvl w:val="0"/>
                <w:numId w:val="0"/>
              </w:numPr>
              <w:jc w:val="center"/>
            </w:pPr>
            <w:bookmarkStart w:id="15" w:name="_Ref405453364"/>
            <w:r>
              <w:t>Annex A1</w:t>
            </w:r>
            <w:bookmarkEnd w:id="15"/>
          </w:p>
        </w:tc>
        <w:tc>
          <w:tcPr>
            <w:tcW w:w="5386" w:type="dxa"/>
          </w:tcPr>
          <w:p w14:paraId="20C73839" w14:textId="3ABC4DF7" w:rsidR="0067402D" w:rsidRDefault="0067402D" w:rsidP="00AD3446">
            <w:pPr>
              <w:pStyle w:val="Heading2"/>
              <w:numPr>
                <w:ilvl w:val="0"/>
                <w:numId w:val="0"/>
              </w:numPr>
            </w:pPr>
            <w:r>
              <w:t xml:space="preserve">NHS Terms and Conditions </w:t>
            </w:r>
          </w:p>
        </w:tc>
      </w:tr>
      <w:tr w:rsidR="0067402D" w14:paraId="20C7383E" w14:textId="77777777" w:rsidTr="0067402D">
        <w:trPr>
          <w:trHeight w:val="374"/>
        </w:trPr>
        <w:tc>
          <w:tcPr>
            <w:tcW w:w="1588" w:type="dxa"/>
          </w:tcPr>
          <w:p w14:paraId="20C7383B" w14:textId="6ED4D088" w:rsidR="0067402D" w:rsidRDefault="0067402D" w:rsidP="0067402D">
            <w:pPr>
              <w:pStyle w:val="Heading2"/>
              <w:numPr>
                <w:ilvl w:val="0"/>
                <w:numId w:val="0"/>
              </w:numPr>
              <w:jc w:val="center"/>
            </w:pPr>
            <w:r>
              <w:t>Annex A2</w:t>
            </w:r>
          </w:p>
        </w:tc>
        <w:tc>
          <w:tcPr>
            <w:tcW w:w="5386" w:type="dxa"/>
          </w:tcPr>
          <w:p w14:paraId="360F6C44" w14:textId="7A7188DE" w:rsidR="0067402D" w:rsidRDefault="00421E7D" w:rsidP="00AE00ED">
            <w:pPr>
              <w:pStyle w:val="Heading2"/>
              <w:numPr>
                <w:ilvl w:val="0"/>
                <w:numId w:val="0"/>
              </w:numPr>
            </w:pPr>
            <w:r>
              <w:t>Confidentiality Agreement Form</w:t>
            </w:r>
          </w:p>
          <w:p w14:paraId="20C7383D" w14:textId="3B07D1FB" w:rsidR="0067402D" w:rsidRDefault="0067402D" w:rsidP="00AE00ED">
            <w:pPr>
              <w:pStyle w:val="Heading2"/>
              <w:numPr>
                <w:ilvl w:val="0"/>
                <w:numId w:val="0"/>
              </w:numPr>
            </w:pPr>
          </w:p>
        </w:tc>
      </w:tr>
      <w:tr w:rsidR="0067402D" w14:paraId="20C73840" w14:textId="77777777" w:rsidTr="0067402D">
        <w:tc>
          <w:tcPr>
            <w:tcW w:w="6974" w:type="dxa"/>
            <w:gridSpan w:val="2"/>
            <w:shd w:val="clear" w:color="auto" w:fill="BFBFBF" w:themeFill="background1" w:themeFillShade="BF"/>
          </w:tcPr>
          <w:p w14:paraId="20C7383F" w14:textId="77777777" w:rsidR="0067402D" w:rsidRPr="00953B6C" w:rsidRDefault="0067402D" w:rsidP="00AD3446">
            <w:pPr>
              <w:pStyle w:val="Heading2"/>
              <w:numPr>
                <w:ilvl w:val="0"/>
                <w:numId w:val="0"/>
              </w:numPr>
              <w:rPr>
                <w:b/>
              </w:rPr>
            </w:pPr>
            <w:r>
              <w:rPr>
                <w:b/>
              </w:rPr>
              <w:t>Section</w:t>
            </w:r>
            <w:r w:rsidRPr="00953B6C">
              <w:rPr>
                <w:b/>
              </w:rPr>
              <w:t xml:space="preserve"> B – Tender Schedules (to be returned by </w:t>
            </w:r>
            <w:r>
              <w:rPr>
                <w:b/>
              </w:rPr>
              <w:t>Bidder</w:t>
            </w:r>
            <w:r w:rsidRPr="00953B6C">
              <w:rPr>
                <w:b/>
              </w:rPr>
              <w:t>s)</w:t>
            </w:r>
          </w:p>
        </w:tc>
      </w:tr>
      <w:tr w:rsidR="0067402D" w14:paraId="5CAB2EBB" w14:textId="77777777" w:rsidTr="0067402D">
        <w:tc>
          <w:tcPr>
            <w:tcW w:w="1588" w:type="dxa"/>
          </w:tcPr>
          <w:p w14:paraId="5A65905E" w14:textId="4BCD9F2F" w:rsidR="0067402D" w:rsidRDefault="0067402D" w:rsidP="00AD3446">
            <w:pPr>
              <w:pStyle w:val="Heading2"/>
              <w:numPr>
                <w:ilvl w:val="0"/>
                <w:numId w:val="0"/>
              </w:numPr>
              <w:jc w:val="center"/>
            </w:pPr>
            <w:r>
              <w:t>Annex B1</w:t>
            </w:r>
          </w:p>
        </w:tc>
        <w:tc>
          <w:tcPr>
            <w:tcW w:w="5386" w:type="dxa"/>
          </w:tcPr>
          <w:p w14:paraId="2AA8107A" w14:textId="77777777" w:rsidR="0067402D" w:rsidRDefault="0067402D" w:rsidP="00AD3446">
            <w:pPr>
              <w:pStyle w:val="Heading2"/>
              <w:numPr>
                <w:ilvl w:val="0"/>
                <w:numId w:val="0"/>
              </w:numPr>
            </w:pPr>
            <w:r>
              <w:t>Part 1 – Bidder Information</w:t>
            </w:r>
          </w:p>
          <w:p w14:paraId="2C02387B" w14:textId="77777777" w:rsidR="0067402D" w:rsidRDefault="0067402D" w:rsidP="00AD3446">
            <w:pPr>
              <w:pStyle w:val="Heading2"/>
              <w:numPr>
                <w:ilvl w:val="0"/>
                <w:numId w:val="0"/>
              </w:numPr>
            </w:pPr>
            <w:r>
              <w:t>Part 2 – Exclusion Grounds</w:t>
            </w:r>
          </w:p>
          <w:p w14:paraId="31BD19B0" w14:textId="77777777" w:rsidR="0067402D" w:rsidRDefault="0067402D" w:rsidP="00AD3446">
            <w:pPr>
              <w:pStyle w:val="Heading2"/>
              <w:numPr>
                <w:ilvl w:val="0"/>
                <w:numId w:val="0"/>
              </w:numPr>
            </w:pPr>
            <w:r>
              <w:t>Part 3 – Selection Questions</w:t>
            </w:r>
          </w:p>
          <w:p w14:paraId="05605BB7" w14:textId="5540CB1E" w:rsidR="0067402D" w:rsidRDefault="0067402D" w:rsidP="00AD3446">
            <w:pPr>
              <w:pStyle w:val="Heading2"/>
              <w:numPr>
                <w:ilvl w:val="0"/>
                <w:numId w:val="0"/>
              </w:numPr>
            </w:pPr>
          </w:p>
        </w:tc>
      </w:tr>
      <w:tr w:rsidR="0067402D" w14:paraId="20C73848" w14:textId="77777777" w:rsidTr="0067402D">
        <w:tc>
          <w:tcPr>
            <w:tcW w:w="1588" w:type="dxa"/>
          </w:tcPr>
          <w:p w14:paraId="20C73845" w14:textId="77777777" w:rsidR="0067402D" w:rsidRDefault="0067402D" w:rsidP="00AD3446">
            <w:pPr>
              <w:pStyle w:val="Heading2"/>
              <w:numPr>
                <w:ilvl w:val="0"/>
                <w:numId w:val="0"/>
              </w:numPr>
              <w:jc w:val="center"/>
            </w:pPr>
            <w:r>
              <w:t>Annex B2</w:t>
            </w:r>
          </w:p>
        </w:tc>
        <w:tc>
          <w:tcPr>
            <w:tcW w:w="5386" w:type="dxa"/>
          </w:tcPr>
          <w:p w14:paraId="20C73846" w14:textId="77777777" w:rsidR="0067402D" w:rsidRDefault="0067402D" w:rsidP="00AD3446">
            <w:pPr>
              <w:pStyle w:val="Heading2"/>
              <w:numPr>
                <w:ilvl w:val="0"/>
                <w:numId w:val="0"/>
              </w:numPr>
            </w:pPr>
            <w:r>
              <w:t>Specification</w:t>
            </w:r>
          </w:p>
          <w:p w14:paraId="20C73847" w14:textId="77777777" w:rsidR="0067402D" w:rsidRDefault="0067402D" w:rsidP="00AD3446">
            <w:pPr>
              <w:pStyle w:val="Heading2"/>
              <w:numPr>
                <w:ilvl w:val="0"/>
                <w:numId w:val="0"/>
              </w:numPr>
            </w:pPr>
          </w:p>
        </w:tc>
      </w:tr>
      <w:tr w:rsidR="0067402D" w14:paraId="20C7384C" w14:textId="77777777" w:rsidTr="0067402D">
        <w:tc>
          <w:tcPr>
            <w:tcW w:w="1588" w:type="dxa"/>
          </w:tcPr>
          <w:p w14:paraId="20C73849" w14:textId="77777777" w:rsidR="0067402D" w:rsidRDefault="0067402D" w:rsidP="00AD3446">
            <w:pPr>
              <w:pStyle w:val="Heading2"/>
              <w:numPr>
                <w:ilvl w:val="0"/>
                <w:numId w:val="0"/>
              </w:numPr>
              <w:jc w:val="center"/>
            </w:pPr>
            <w:r>
              <w:t>Annex B3</w:t>
            </w:r>
          </w:p>
        </w:tc>
        <w:tc>
          <w:tcPr>
            <w:tcW w:w="5386" w:type="dxa"/>
          </w:tcPr>
          <w:p w14:paraId="20C7384A" w14:textId="77777777" w:rsidR="0067402D" w:rsidRDefault="0067402D" w:rsidP="00AD3446">
            <w:pPr>
              <w:pStyle w:val="Heading2"/>
              <w:numPr>
                <w:ilvl w:val="0"/>
                <w:numId w:val="0"/>
              </w:numPr>
            </w:pPr>
            <w:r>
              <w:t>Tender Response Document</w:t>
            </w:r>
          </w:p>
          <w:p w14:paraId="20C7384B" w14:textId="77777777" w:rsidR="0067402D" w:rsidRDefault="0067402D" w:rsidP="00AD3446">
            <w:pPr>
              <w:pStyle w:val="Heading2"/>
              <w:numPr>
                <w:ilvl w:val="0"/>
                <w:numId w:val="0"/>
              </w:numPr>
            </w:pPr>
          </w:p>
        </w:tc>
      </w:tr>
      <w:tr w:rsidR="0067402D" w14:paraId="20C73850" w14:textId="77777777" w:rsidTr="0067402D">
        <w:tc>
          <w:tcPr>
            <w:tcW w:w="1588" w:type="dxa"/>
          </w:tcPr>
          <w:p w14:paraId="20C7384D" w14:textId="77777777" w:rsidR="0067402D" w:rsidRDefault="0067402D" w:rsidP="00AD3446">
            <w:pPr>
              <w:pStyle w:val="Heading2"/>
              <w:numPr>
                <w:ilvl w:val="0"/>
                <w:numId w:val="0"/>
              </w:numPr>
              <w:jc w:val="center"/>
            </w:pPr>
            <w:r>
              <w:t>Annex B4</w:t>
            </w:r>
          </w:p>
        </w:tc>
        <w:tc>
          <w:tcPr>
            <w:tcW w:w="5386" w:type="dxa"/>
            <w:tcBorders>
              <w:bottom w:val="single" w:sz="4" w:space="0" w:color="auto"/>
            </w:tcBorders>
          </w:tcPr>
          <w:p w14:paraId="20C7384E" w14:textId="77777777" w:rsidR="0067402D" w:rsidRDefault="0067402D" w:rsidP="00AD3446">
            <w:pPr>
              <w:pStyle w:val="Heading2"/>
              <w:numPr>
                <w:ilvl w:val="0"/>
                <w:numId w:val="0"/>
              </w:numPr>
            </w:pPr>
            <w:r>
              <w:t>Commercial Schedule</w:t>
            </w:r>
          </w:p>
          <w:p w14:paraId="20C7384F" w14:textId="77777777" w:rsidR="0067402D" w:rsidRDefault="0067402D" w:rsidP="00AD3446">
            <w:pPr>
              <w:pStyle w:val="Heading2"/>
              <w:numPr>
                <w:ilvl w:val="0"/>
                <w:numId w:val="0"/>
              </w:numPr>
            </w:pPr>
          </w:p>
        </w:tc>
      </w:tr>
      <w:tr w:rsidR="0067402D" w14:paraId="20C73855" w14:textId="77777777" w:rsidTr="0067402D">
        <w:tc>
          <w:tcPr>
            <w:tcW w:w="1588" w:type="dxa"/>
          </w:tcPr>
          <w:p w14:paraId="20C73851" w14:textId="77777777" w:rsidR="0067402D" w:rsidRDefault="0067402D" w:rsidP="00AD3446">
            <w:pPr>
              <w:pStyle w:val="Heading2"/>
              <w:numPr>
                <w:ilvl w:val="0"/>
                <w:numId w:val="0"/>
              </w:numPr>
              <w:jc w:val="center"/>
            </w:pPr>
            <w:r>
              <w:t>Annex B5</w:t>
            </w:r>
          </w:p>
        </w:tc>
        <w:tc>
          <w:tcPr>
            <w:tcW w:w="5386" w:type="dxa"/>
            <w:tcBorders>
              <w:right w:val="single" w:sz="4" w:space="0" w:color="auto"/>
            </w:tcBorders>
          </w:tcPr>
          <w:p w14:paraId="20C73852" w14:textId="77777777" w:rsidR="0067402D" w:rsidRDefault="0067402D" w:rsidP="00AD3446">
            <w:pPr>
              <w:pStyle w:val="Heading2"/>
              <w:numPr>
                <w:ilvl w:val="0"/>
                <w:numId w:val="0"/>
              </w:numPr>
            </w:pPr>
            <w:r>
              <w:t>Confidential and commercially sensitive information</w:t>
            </w:r>
          </w:p>
          <w:p w14:paraId="20C73853" w14:textId="77777777" w:rsidR="0067402D" w:rsidRDefault="0067402D" w:rsidP="00AD3446">
            <w:pPr>
              <w:pStyle w:val="Heading2"/>
              <w:numPr>
                <w:ilvl w:val="0"/>
                <w:numId w:val="0"/>
              </w:numPr>
            </w:pPr>
          </w:p>
        </w:tc>
        <w:bookmarkStart w:id="16" w:name="handonesix"/>
        <w:bookmarkEnd w:id="16"/>
      </w:tr>
      <w:tr w:rsidR="0067402D" w14:paraId="20C7385A" w14:textId="77777777" w:rsidTr="0067402D">
        <w:tc>
          <w:tcPr>
            <w:tcW w:w="1588" w:type="dxa"/>
          </w:tcPr>
          <w:p w14:paraId="20C73856" w14:textId="77777777" w:rsidR="0067402D" w:rsidRDefault="0067402D" w:rsidP="00AD3446">
            <w:pPr>
              <w:pStyle w:val="Heading2"/>
              <w:numPr>
                <w:ilvl w:val="0"/>
                <w:numId w:val="0"/>
              </w:numPr>
              <w:jc w:val="center"/>
            </w:pPr>
            <w:r>
              <w:t>Annex B6</w:t>
            </w:r>
          </w:p>
          <w:p w14:paraId="20C73857" w14:textId="77777777" w:rsidR="0067402D" w:rsidRDefault="0067402D" w:rsidP="00AD3446">
            <w:pPr>
              <w:pStyle w:val="Heading2"/>
              <w:numPr>
                <w:ilvl w:val="0"/>
                <w:numId w:val="0"/>
              </w:numPr>
              <w:jc w:val="center"/>
            </w:pPr>
          </w:p>
        </w:tc>
        <w:tc>
          <w:tcPr>
            <w:tcW w:w="5386" w:type="dxa"/>
            <w:tcBorders>
              <w:right w:val="single" w:sz="4" w:space="0" w:color="auto"/>
            </w:tcBorders>
          </w:tcPr>
          <w:p w14:paraId="20C73858" w14:textId="77777777" w:rsidR="0067402D" w:rsidRDefault="0067402D" w:rsidP="00AD3446">
            <w:pPr>
              <w:pStyle w:val="Heading2"/>
              <w:numPr>
                <w:ilvl w:val="0"/>
                <w:numId w:val="0"/>
              </w:numPr>
            </w:pPr>
            <w:r>
              <w:t>Administrative instructions</w:t>
            </w:r>
          </w:p>
        </w:tc>
      </w:tr>
      <w:tr w:rsidR="0067402D" w14:paraId="20C7385F" w14:textId="77777777" w:rsidTr="0067402D">
        <w:tc>
          <w:tcPr>
            <w:tcW w:w="1588" w:type="dxa"/>
          </w:tcPr>
          <w:p w14:paraId="20C7385B" w14:textId="77777777" w:rsidR="0067402D" w:rsidRDefault="0067402D" w:rsidP="00AD3446">
            <w:pPr>
              <w:pStyle w:val="Heading2"/>
              <w:numPr>
                <w:ilvl w:val="0"/>
                <w:numId w:val="0"/>
              </w:numPr>
              <w:jc w:val="center"/>
            </w:pPr>
            <w:r>
              <w:t>Annex B7</w:t>
            </w:r>
          </w:p>
          <w:p w14:paraId="20C7385C" w14:textId="77777777" w:rsidR="0067402D" w:rsidRDefault="0067402D" w:rsidP="00AD3446">
            <w:pPr>
              <w:pStyle w:val="Heading2"/>
              <w:numPr>
                <w:ilvl w:val="0"/>
                <w:numId w:val="0"/>
              </w:numPr>
              <w:jc w:val="center"/>
            </w:pPr>
          </w:p>
        </w:tc>
        <w:tc>
          <w:tcPr>
            <w:tcW w:w="5386" w:type="dxa"/>
            <w:tcBorders>
              <w:right w:val="single" w:sz="4" w:space="0" w:color="auto"/>
            </w:tcBorders>
          </w:tcPr>
          <w:p w14:paraId="20C7385D" w14:textId="77777777" w:rsidR="0067402D" w:rsidRDefault="0067402D" w:rsidP="00AD3446">
            <w:pPr>
              <w:pStyle w:val="Heading2"/>
              <w:numPr>
                <w:ilvl w:val="0"/>
                <w:numId w:val="0"/>
              </w:numPr>
            </w:pPr>
            <w:r>
              <w:t>Form of Tender</w:t>
            </w:r>
          </w:p>
        </w:tc>
      </w:tr>
    </w:tbl>
    <w:p w14:paraId="20C73860" w14:textId="77777777" w:rsidR="003E3276" w:rsidRDefault="003E3276" w:rsidP="00247F0F">
      <w:pPr>
        <w:pStyle w:val="Heading2"/>
        <w:numPr>
          <w:ilvl w:val="0"/>
          <w:numId w:val="0"/>
        </w:numPr>
        <w:ind w:left="851"/>
        <w:rPr>
          <w:b/>
        </w:rPr>
      </w:pPr>
    </w:p>
    <w:p w14:paraId="20C73861" w14:textId="77777777" w:rsidR="00247F0F" w:rsidRDefault="00247F0F" w:rsidP="004270D9">
      <w:pPr>
        <w:pStyle w:val="Heading1"/>
        <w:spacing w:before="240" w:after="0"/>
        <w:ind w:left="851"/>
        <w:rPr>
          <w:b w:val="0"/>
        </w:rPr>
      </w:pPr>
      <w:bookmarkStart w:id="17" w:name="_Toc403555084"/>
      <w:r>
        <w:lastRenderedPageBreak/>
        <w:t xml:space="preserve">Introduction to the </w:t>
      </w:r>
      <w:r w:rsidR="00740C0F">
        <w:t>procurement</w:t>
      </w:r>
      <w:bookmarkEnd w:id="17"/>
      <w:r>
        <w:t xml:space="preserve"> </w:t>
      </w:r>
    </w:p>
    <w:p w14:paraId="7344E5CC" w14:textId="77777777" w:rsidR="006710E0" w:rsidRPr="006710E0" w:rsidRDefault="00FC6237" w:rsidP="00FC6237">
      <w:pPr>
        <w:pStyle w:val="MRNumberedHeading2"/>
      </w:pPr>
      <w:r>
        <w:t xml:space="preserve">The Authority is an integrated care organisation providing acute health care services, community health services and adult social care from a range of establishments in the south Devon area. Our purpose is to provide safe, high-quality healthcare and social care at the right time and in the right place to support the people of Torbay and South Devon to live their lives to the full. </w:t>
      </w:r>
      <w:r w:rsidRPr="009D2CDA">
        <w:rPr>
          <w:szCs w:val="20"/>
        </w:rPr>
        <w:t>More information about the Trust can be found at</w:t>
      </w:r>
      <w:r w:rsidR="006710E0">
        <w:rPr>
          <w:szCs w:val="20"/>
        </w:rPr>
        <w:t>:</w:t>
      </w:r>
    </w:p>
    <w:p w14:paraId="20C73862" w14:textId="420274BA" w:rsidR="00CE4B87" w:rsidRPr="00CE4B87" w:rsidRDefault="00FC6237" w:rsidP="006710E0">
      <w:pPr>
        <w:pStyle w:val="MRNumberedHeading2"/>
        <w:numPr>
          <w:ilvl w:val="0"/>
          <w:numId w:val="0"/>
        </w:numPr>
        <w:ind w:left="720"/>
      </w:pPr>
      <w:r w:rsidRPr="009D2CDA">
        <w:rPr>
          <w:b/>
          <w:szCs w:val="20"/>
        </w:rPr>
        <w:t xml:space="preserve"> </w:t>
      </w:r>
      <w:bookmarkStart w:id="18" w:name="_Hlk152939502"/>
      <w:r w:rsidR="00C31C00">
        <w:fldChar w:fldCharType="begin"/>
      </w:r>
      <w:r w:rsidR="00C31C00">
        <w:instrText xml:space="preserve"> HYPERLINK "https://www.torbayandsouthdevon.nhs.uk/about-us/" </w:instrText>
      </w:r>
      <w:r w:rsidR="00C31C00">
        <w:fldChar w:fldCharType="separate"/>
      </w:r>
      <w:r w:rsidRPr="009D2CDA">
        <w:rPr>
          <w:rStyle w:val="Hyperlink"/>
          <w:b/>
          <w:szCs w:val="20"/>
        </w:rPr>
        <w:t>https://www.torbayandsouthdevon.nhs.uk/about-us/</w:t>
      </w:r>
      <w:r w:rsidR="00C31C00">
        <w:rPr>
          <w:rStyle w:val="Hyperlink"/>
          <w:b/>
          <w:szCs w:val="20"/>
        </w:rPr>
        <w:fldChar w:fldCharType="end"/>
      </w:r>
    </w:p>
    <w:p w14:paraId="20C73863" w14:textId="7239D86A" w:rsidR="004B1A24" w:rsidRPr="00C31C00" w:rsidRDefault="00FC6237" w:rsidP="004270D9">
      <w:pPr>
        <w:pStyle w:val="MRNumberedHeading2"/>
      </w:pPr>
      <w:bookmarkStart w:id="19" w:name="_Toc403555086"/>
      <w:bookmarkStart w:id="20" w:name="_Ref405452668"/>
      <w:bookmarkEnd w:id="18"/>
      <w:r w:rsidRPr="00C31C00">
        <w:t xml:space="preserve">The Authority has a requirement </w:t>
      </w:r>
      <w:bookmarkEnd w:id="19"/>
      <w:bookmarkEnd w:id="20"/>
      <w:r w:rsidR="00AD2346" w:rsidRPr="00C31C00">
        <w:t>for the provision of</w:t>
      </w:r>
      <w:r w:rsidR="006A4011" w:rsidRPr="00C31C00">
        <w:t xml:space="preserve"> a service to </w:t>
      </w:r>
      <w:r w:rsidR="00E32CF2" w:rsidRPr="00C31C00">
        <w:t>Urgent Community Response South Devon Roaming Night Service</w:t>
      </w:r>
    </w:p>
    <w:p w14:paraId="507FA9C6" w14:textId="225B6528" w:rsidR="00FC6237" w:rsidRDefault="00FC6237" w:rsidP="004270D9">
      <w:pPr>
        <w:pStyle w:val="MRNumberedHeading2"/>
      </w:pPr>
      <w:r w:rsidRPr="002830AC">
        <w:t xml:space="preserve">The contract(s) is for </w:t>
      </w:r>
      <w:r w:rsidRPr="00E03FBF">
        <w:t>an ini</w:t>
      </w:r>
      <w:r w:rsidRPr="00C31C00">
        <w:t xml:space="preserve">tial </w:t>
      </w:r>
      <w:r w:rsidR="00E32CF2" w:rsidRPr="00C31C00">
        <w:rPr>
          <w:b/>
        </w:rPr>
        <w:t>1</w:t>
      </w:r>
      <w:r w:rsidRPr="00C31C00">
        <w:rPr>
          <w:b/>
        </w:rPr>
        <w:t xml:space="preserve"> years</w:t>
      </w:r>
      <w:r w:rsidRPr="00C31C00">
        <w:t xml:space="preserve"> scheduled to begin on the</w:t>
      </w:r>
      <w:r w:rsidR="00CB4D1B" w:rsidRPr="00C31C00">
        <w:t xml:space="preserve"> </w:t>
      </w:r>
      <w:r w:rsidR="00E32CF2" w:rsidRPr="00C31C00">
        <w:rPr>
          <w:b/>
        </w:rPr>
        <w:t>1</w:t>
      </w:r>
      <w:r w:rsidR="00E32CF2" w:rsidRPr="00C31C00">
        <w:rPr>
          <w:b/>
          <w:vertAlign w:val="superscript"/>
        </w:rPr>
        <w:t>st</w:t>
      </w:r>
      <w:r w:rsidR="00E32CF2" w:rsidRPr="00C31C00">
        <w:rPr>
          <w:b/>
        </w:rPr>
        <w:t xml:space="preserve"> April</w:t>
      </w:r>
      <w:r w:rsidR="00AA6914" w:rsidRPr="00C31C00">
        <w:rPr>
          <w:b/>
        </w:rPr>
        <w:t xml:space="preserve"> 2024</w:t>
      </w:r>
      <w:r w:rsidR="0040543D" w:rsidRPr="00C31C00">
        <w:t xml:space="preserve"> </w:t>
      </w:r>
      <w:r w:rsidRPr="00C31C00">
        <w:t xml:space="preserve">with the option to extend by </w:t>
      </w:r>
      <w:r w:rsidRPr="00C31C00">
        <w:rPr>
          <w:b/>
        </w:rPr>
        <w:t>up to</w:t>
      </w:r>
      <w:r w:rsidRPr="00C31C00">
        <w:t xml:space="preserve"> </w:t>
      </w:r>
      <w:r w:rsidR="00E32CF2" w:rsidRPr="00C31C00">
        <w:t>1</w:t>
      </w:r>
      <w:r w:rsidR="006A4011" w:rsidRPr="00C31C00">
        <w:t xml:space="preserve"> years to</w:t>
      </w:r>
      <w:r w:rsidR="006A4011">
        <w:t xml:space="preserve"> be agreed annually. </w:t>
      </w:r>
    </w:p>
    <w:p w14:paraId="20C73864" w14:textId="674E5F02" w:rsidR="00603A0D" w:rsidRDefault="00603A0D" w:rsidP="004270D9">
      <w:pPr>
        <w:pStyle w:val="MRNumberedHeading2"/>
      </w:pPr>
      <w:bookmarkStart w:id="21" w:name="_Toc403555087"/>
      <w:r w:rsidRPr="00533CB2">
        <w:t xml:space="preserve">Full details of the Authority's requirements are set out in the Specification in </w:t>
      </w:r>
      <w:r w:rsidR="007F5F02">
        <w:t xml:space="preserve">Annex </w:t>
      </w:r>
      <w:r w:rsidR="00BD5DCC">
        <w:t>B</w:t>
      </w:r>
      <w:r w:rsidR="007F5F02">
        <w:t>2</w:t>
      </w:r>
      <w:r w:rsidR="009D5F0B">
        <w:t xml:space="preserve"> of Section B</w:t>
      </w:r>
      <w:r w:rsidR="007F5F02">
        <w:t>.</w:t>
      </w:r>
      <w:bookmarkEnd w:id="21"/>
      <w:r w:rsidR="007F5F02">
        <w:t xml:space="preserve"> </w:t>
      </w:r>
    </w:p>
    <w:p w14:paraId="20C73868" w14:textId="77777777" w:rsidR="00247F0F" w:rsidRDefault="005F3F33" w:rsidP="004270D9">
      <w:pPr>
        <w:pStyle w:val="Heading1"/>
        <w:spacing w:before="240" w:after="0"/>
        <w:ind w:left="851"/>
        <w:rPr>
          <w:b w:val="0"/>
        </w:rPr>
      </w:pPr>
      <w:bookmarkStart w:id="22" w:name="_Toc403555091"/>
      <w:r>
        <w:t>Purpose and scope of this ITT</w:t>
      </w:r>
      <w:bookmarkEnd w:id="22"/>
    </w:p>
    <w:p w14:paraId="20C73869" w14:textId="45032D0D" w:rsidR="005F3F33" w:rsidRDefault="005F3F33" w:rsidP="004270D9">
      <w:pPr>
        <w:pStyle w:val="MRNumberedHeading2"/>
      </w:pPr>
      <w:bookmarkStart w:id="23" w:name="_Toc403555092"/>
      <w:r>
        <w:t>This ITT:</w:t>
      </w:r>
      <w:bookmarkEnd w:id="23"/>
    </w:p>
    <w:p w14:paraId="20C7386A"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invites Bidders to submit their Tenders in accordance with the instructions set out in the remainder of this ITT; </w:t>
      </w:r>
    </w:p>
    <w:p w14:paraId="20C7386B"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sets out the overall timetable and process for the procurement; </w:t>
      </w:r>
    </w:p>
    <w:p w14:paraId="20C7386C"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provides Bidders with sufficient information to enable them to submit a compliant Tender; </w:t>
      </w:r>
    </w:p>
    <w:p w14:paraId="20C7386D"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s</w:t>
      </w:r>
      <w:r w:rsidR="0034181A">
        <w:rPr>
          <w:szCs w:val="20"/>
        </w:rPr>
        <w:t>ets out the award criteria and T</w:t>
      </w:r>
      <w:r w:rsidRPr="00343763">
        <w:rPr>
          <w:szCs w:val="20"/>
        </w:rPr>
        <w:t>ender evaluation model</w:t>
      </w:r>
      <w:r w:rsidR="00CE369C">
        <w:rPr>
          <w:szCs w:val="20"/>
        </w:rPr>
        <w:t xml:space="preserve"> that will be used to evaluate</w:t>
      </w:r>
      <w:r w:rsidRPr="00343763">
        <w:rPr>
          <w:szCs w:val="20"/>
        </w:rPr>
        <w:t xml:space="preserve"> the Tenders; and </w:t>
      </w:r>
    </w:p>
    <w:p w14:paraId="20C7386E" w14:textId="77777777" w:rsidR="00343763" w:rsidRPr="00343763" w:rsidRDefault="00343763" w:rsidP="004270D9">
      <w:pPr>
        <w:pStyle w:val="MRNumberedHeading3"/>
        <w:numPr>
          <w:ilvl w:val="2"/>
          <w:numId w:val="23"/>
        </w:numPr>
        <w:tabs>
          <w:tab w:val="clear" w:pos="2214"/>
          <w:tab w:val="num" w:pos="1794"/>
        </w:tabs>
        <w:spacing w:line="240" w:lineRule="auto"/>
        <w:ind w:left="1702" w:hanging="851"/>
        <w:jc w:val="both"/>
        <w:rPr>
          <w:szCs w:val="20"/>
        </w:rPr>
      </w:pPr>
      <w:r w:rsidRPr="00343763">
        <w:rPr>
          <w:szCs w:val="20"/>
        </w:rPr>
        <w:t xml:space="preserve">explains the administrative arrangements for the receipt of Tenders. </w:t>
      </w:r>
    </w:p>
    <w:p w14:paraId="20C7386F" w14:textId="06D1AC70" w:rsidR="006534CF" w:rsidRDefault="00825FC5" w:rsidP="004270D9">
      <w:pPr>
        <w:pStyle w:val="Heading1"/>
        <w:spacing w:before="240" w:after="0"/>
        <w:ind w:left="851"/>
        <w:rPr>
          <w:b w:val="0"/>
        </w:rPr>
      </w:pPr>
      <w:bookmarkStart w:id="24" w:name="_Toc403555093"/>
      <w:r w:rsidRPr="00276E1B">
        <w:t>Questions</w:t>
      </w:r>
      <w:r>
        <w:rPr>
          <w:b w:val="0"/>
        </w:rPr>
        <w:t xml:space="preserve"> </w:t>
      </w:r>
      <w:r w:rsidRPr="00276E1B">
        <w:t>about this ITT</w:t>
      </w:r>
      <w:bookmarkEnd w:id="24"/>
    </w:p>
    <w:p w14:paraId="20C73870" w14:textId="27282FE1" w:rsidR="00A4489A" w:rsidRPr="009A3E29" w:rsidRDefault="00825FC5" w:rsidP="004270D9">
      <w:pPr>
        <w:pStyle w:val="MRNumberedHeading2"/>
      </w:pPr>
      <w:bookmarkStart w:id="25" w:name="_Ref478462194"/>
      <w:bookmarkStart w:id="26" w:name="_Toc403555094"/>
      <w:bookmarkStart w:id="27" w:name="_Ref405452872"/>
      <w:r>
        <w:t xml:space="preserve">You may submit, by no later </w:t>
      </w:r>
      <w:r w:rsidRPr="00C31C00">
        <w:t>than</w:t>
      </w:r>
      <w:r w:rsidR="00E03FBF" w:rsidRPr="00C31C00">
        <w:t xml:space="preserve"> </w:t>
      </w:r>
      <w:r w:rsidR="00C31C00" w:rsidRPr="00C31C00">
        <w:rPr>
          <w:b/>
        </w:rPr>
        <w:t>11</w:t>
      </w:r>
      <w:r w:rsidR="00CB4D1B" w:rsidRPr="00C31C00">
        <w:rPr>
          <w:b/>
          <w:vertAlign w:val="superscript"/>
        </w:rPr>
        <w:t>th</w:t>
      </w:r>
      <w:r w:rsidR="00CB4D1B" w:rsidRPr="00C31C00">
        <w:rPr>
          <w:b/>
        </w:rPr>
        <w:t xml:space="preserve"> </w:t>
      </w:r>
      <w:r w:rsidR="00C31C00" w:rsidRPr="00C31C00">
        <w:rPr>
          <w:b/>
        </w:rPr>
        <w:t>January</w:t>
      </w:r>
      <w:r w:rsidR="00E03FBF" w:rsidRPr="00C31C00">
        <w:rPr>
          <w:b/>
        </w:rPr>
        <w:t xml:space="preserve"> 202</w:t>
      </w:r>
      <w:r w:rsidR="00C31C00" w:rsidRPr="00C31C00">
        <w:rPr>
          <w:b/>
        </w:rPr>
        <w:t>4</w:t>
      </w:r>
      <w:r w:rsidR="00E03FBF" w:rsidRPr="00C31C00">
        <w:t xml:space="preserve">, </w:t>
      </w:r>
      <w:r w:rsidRPr="00C31C00">
        <w:t>any</w:t>
      </w:r>
      <w:r>
        <w:t xml:space="preserve"> queries that you have relating to this ITT.  </w:t>
      </w:r>
      <w:r w:rsidR="00D134FB">
        <w:t xml:space="preserve">The Authority is using the </w:t>
      </w:r>
      <w:r w:rsidR="002529D8">
        <w:t>Atamis</w:t>
      </w:r>
      <w:r w:rsidR="00D134FB">
        <w:t xml:space="preserve"> e-tendering portal to conduct the procurement process ("</w:t>
      </w:r>
      <w:r w:rsidR="00D134FB" w:rsidRPr="00D134FB">
        <w:rPr>
          <w:b/>
        </w:rPr>
        <w:t>The e-Tendering Portal</w:t>
      </w:r>
      <w:r w:rsidR="00D134FB">
        <w:t>"). The e-Tendering Portal can be accessed</w:t>
      </w:r>
      <w:r w:rsidR="002529D8" w:rsidRPr="002529D8">
        <w:t xml:space="preserve"> </w:t>
      </w:r>
      <w:hyperlink r:id="rId15" w:history="1">
        <w:r w:rsidR="002529D8" w:rsidRPr="0055611A">
          <w:rPr>
            <w:rStyle w:val="Hyperlink"/>
          </w:rPr>
          <w:t>https://health-family.force.com/s/Welcome</w:t>
        </w:r>
      </w:hyperlink>
      <w:r w:rsidR="00D134FB">
        <w:t>. Please therefore submit such queries via the e-Tendering Portal.</w:t>
      </w:r>
      <w:bookmarkEnd w:id="25"/>
      <w:r w:rsidR="00D134FB">
        <w:t xml:space="preserve"> </w:t>
      </w:r>
      <w:bookmarkEnd w:id="26"/>
      <w:bookmarkEnd w:id="27"/>
    </w:p>
    <w:p w14:paraId="20C73871" w14:textId="1BA82CFC" w:rsidR="00825FC5" w:rsidRDefault="00825FC5" w:rsidP="004270D9">
      <w:pPr>
        <w:pStyle w:val="MRNumberedHeading2"/>
      </w:pPr>
      <w:bookmarkStart w:id="28" w:name="_Toc403555095"/>
      <w:bookmarkStart w:id="29" w:name="_Ref478471427"/>
      <w:r>
        <w:t>Any specific queries should clearly reference the appropriate paragraph in the</w:t>
      </w:r>
      <w:r w:rsidR="006032F2">
        <w:t xml:space="preserve"> ITT</w:t>
      </w:r>
      <w:r>
        <w:t xml:space="preserve"> documentation and, to the extent possible, should be aggregated </w:t>
      </w:r>
      <w:r w:rsidR="006032F2">
        <w:t>rather than sent individually.</w:t>
      </w:r>
      <w:r>
        <w:t xml:space="preserve"> </w:t>
      </w:r>
      <w:r w:rsidR="006032F2">
        <w:t xml:space="preserve"> </w:t>
      </w:r>
      <w:r w:rsidR="002E072D">
        <w:t>The Authority may decline to answer</w:t>
      </w:r>
      <w:r>
        <w:t xml:space="preserve"> queries received after the above deadline.</w:t>
      </w:r>
      <w:bookmarkEnd w:id="28"/>
      <w:bookmarkEnd w:id="29"/>
    </w:p>
    <w:p w14:paraId="20C73872" w14:textId="76F0C667" w:rsidR="004E71FF" w:rsidRPr="005A2E47" w:rsidRDefault="00825FC5" w:rsidP="004270D9">
      <w:pPr>
        <w:pStyle w:val="MRNumberedHeading2"/>
      </w:pPr>
      <w:bookmarkStart w:id="30" w:name="_Toc403555096"/>
      <w:r>
        <w:t xml:space="preserve">Answers to the questions received by the Authority will be circulated to all </w:t>
      </w:r>
      <w:r w:rsidR="00DC0F21">
        <w:t>Bidders</w:t>
      </w:r>
      <w:r w:rsidR="006032F2">
        <w:t xml:space="preserve"> via the </w:t>
      </w:r>
      <w:r w:rsidR="006C6F4A">
        <w:t xml:space="preserve">e-Tendering </w:t>
      </w:r>
      <w:r w:rsidR="004230E7">
        <w:t>Portal</w:t>
      </w:r>
      <w:r w:rsidR="00DC0F21">
        <w:t xml:space="preserve">. Answers will not </w:t>
      </w:r>
      <w:r w:rsidR="00A4489A">
        <w:t>reveal</w:t>
      </w:r>
      <w:r w:rsidR="00DC0F21">
        <w:t xml:space="preserve"> the identity</w:t>
      </w:r>
      <w:r w:rsidR="001065C5">
        <w:t xml:space="preserve"> of the individual B</w:t>
      </w:r>
      <w:r w:rsidR="00DC0F21">
        <w:t xml:space="preserve">idder that </w:t>
      </w:r>
      <w:r w:rsidR="006032F2">
        <w:t>asked</w:t>
      </w:r>
      <w:r w:rsidR="00DC0F21">
        <w:t xml:space="preserve"> a particular question.  The Authority </w:t>
      </w:r>
      <w:r w:rsidR="006032F2">
        <w:t>may decide not to</w:t>
      </w:r>
      <w:r w:rsidR="00113020">
        <w:t xml:space="preserve"> disc</w:t>
      </w:r>
      <w:r w:rsidR="00AD0C96">
        <w:t>lose</w:t>
      </w:r>
      <w:r w:rsidR="00113020">
        <w:t xml:space="preserve"> answers, or parts of answers,</w:t>
      </w:r>
      <w:r w:rsidR="00DC0F21">
        <w:t xml:space="preserve"> which would reveal</w:t>
      </w:r>
      <w:r w:rsidR="00A4489A">
        <w:t xml:space="preserve"> confidential or commercially sensitive information in relation to a</w:t>
      </w:r>
      <w:r w:rsidR="0097584E">
        <w:t xml:space="preserve"> particular</w:t>
      </w:r>
      <w:r w:rsidR="00A4489A">
        <w:t xml:space="preserve"> Bidder.</w:t>
      </w:r>
      <w:bookmarkEnd w:id="30"/>
      <w:r w:rsidR="004E71FF">
        <w:br w:type="page"/>
      </w:r>
    </w:p>
    <w:p w14:paraId="20C73873" w14:textId="77777777" w:rsidR="008D3217" w:rsidRPr="008F3D2C" w:rsidRDefault="008D3217" w:rsidP="004270D9">
      <w:pPr>
        <w:pStyle w:val="MRNumberedHeading1"/>
        <w:numPr>
          <w:ilvl w:val="0"/>
          <w:numId w:val="24"/>
        </w:numPr>
        <w:ind w:hanging="798"/>
        <w:jc w:val="both"/>
        <w:rPr>
          <w:sz w:val="20"/>
          <w:szCs w:val="20"/>
        </w:rPr>
      </w:pPr>
      <w:bookmarkStart w:id="31" w:name="_Toc403556502"/>
      <w:bookmarkStart w:id="32" w:name="_Toc403556507"/>
      <w:bookmarkStart w:id="33" w:name="_Toc406674970"/>
      <w:bookmarkStart w:id="34" w:name="_Toc412621212"/>
      <w:bookmarkStart w:id="35" w:name="_Toc412715222"/>
      <w:r w:rsidRPr="008F3D2C">
        <w:rPr>
          <w:sz w:val="20"/>
          <w:szCs w:val="20"/>
        </w:rPr>
        <w:lastRenderedPageBreak/>
        <w:t>TENDER TIMETABLE</w:t>
      </w:r>
      <w:bookmarkEnd w:id="31"/>
      <w:bookmarkEnd w:id="32"/>
      <w:bookmarkEnd w:id="33"/>
      <w:bookmarkEnd w:id="34"/>
      <w:bookmarkEnd w:id="35"/>
    </w:p>
    <w:p w14:paraId="20C73874" w14:textId="77777777" w:rsidR="008D3217" w:rsidRPr="00276E1B" w:rsidRDefault="008D3217" w:rsidP="004270D9">
      <w:pPr>
        <w:pStyle w:val="Heading1"/>
        <w:spacing w:before="240" w:after="0"/>
        <w:ind w:left="851"/>
      </w:pPr>
      <w:bookmarkStart w:id="36" w:name="_Toc403555097"/>
      <w:r w:rsidRPr="00276E1B">
        <w:t>Key dates</w:t>
      </w:r>
      <w:bookmarkEnd w:id="36"/>
    </w:p>
    <w:p w14:paraId="20C73875" w14:textId="77777777" w:rsidR="008D3217" w:rsidRDefault="008D3217" w:rsidP="004270D9">
      <w:pPr>
        <w:pStyle w:val="MRNumberedHeading2"/>
      </w:pPr>
      <w:bookmarkStart w:id="37" w:name="_Toc403555098"/>
      <w:r>
        <w:t xml:space="preserve">The procurement will follow a clear, structured and transparent process to ensure a fair and level playing </w:t>
      </w:r>
      <w:r w:rsidR="0083677A">
        <w:t>field so that</w:t>
      </w:r>
      <w:r w:rsidR="00B46DA5">
        <w:t xml:space="preserve"> all </w:t>
      </w:r>
      <w:r w:rsidR="00E7163F">
        <w:t>Bidders</w:t>
      </w:r>
      <w:r w:rsidR="00B46DA5">
        <w:t xml:space="preserve"> are treated equally.</w:t>
      </w:r>
      <w:bookmarkEnd w:id="37"/>
      <w:r w:rsidR="00B46DA5">
        <w:t xml:space="preserve"> </w:t>
      </w:r>
    </w:p>
    <w:p w14:paraId="20C73876" w14:textId="77777777" w:rsidR="00B46DA5" w:rsidRDefault="00FE07BA" w:rsidP="004270D9">
      <w:pPr>
        <w:pStyle w:val="MRNumberedHeading2"/>
      </w:pPr>
      <w:bookmarkStart w:id="38" w:name="_Toc403555099"/>
      <w:bookmarkStart w:id="39" w:name="_Ref405452883"/>
      <w:bookmarkStart w:id="40" w:name="_Ref406061800"/>
      <w:bookmarkStart w:id="41" w:name="_Ref406062870"/>
      <w:r>
        <w:t>The key dates for this procurement are currently anticipated to be as follows:</w:t>
      </w:r>
      <w:bookmarkEnd w:id="38"/>
      <w:bookmarkEnd w:id="39"/>
      <w:bookmarkEnd w:id="40"/>
      <w:bookmarkEnd w:id="41"/>
      <w:r>
        <w:t xml:space="preserve"> </w:t>
      </w:r>
    </w:p>
    <w:p w14:paraId="20C73877" w14:textId="77777777" w:rsidR="003E3276" w:rsidRDefault="003E3276" w:rsidP="006B54D6">
      <w:pPr>
        <w:pStyle w:val="MRNumberedHeading2"/>
        <w:numPr>
          <w:ilvl w:val="0"/>
          <w:numId w:val="0"/>
        </w:numPr>
        <w:ind w:left="720"/>
      </w:pPr>
    </w:p>
    <w:tbl>
      <w:tblPr>
        <w:tblStyle w:val="TableGrid"/>
        <w:tblW w:w="0" w:type="auto"/>
        <w:tblInd w:w="1101" w:type="dxa"/>
        <w:tblLook w:val="04A0" w:firstRow="1" w:lastRow="0" w:firstColumn="1" w:lastColumn="0" w:noHBand="0" w:noVBand="1"/>
      </w:tblPr>
      <w:tblGrid>
        <w:gridCol w:w="5103"/>
        <w:gridCol w:w="2693"/>
      </w:tblGrid>
      <w:tr w:rsidR="00FE07BA" w14:paraId="20C7387A" w14:textId="77777777" w:rsidTr="00FE07BA">
        <w:tc>
          <w:tcPr>
            <w:tcW w:w="5103" w:type="dxa"/>
            <w:shd w:val="clear" w:color="auto" w:fill="BFBFBF" w:themeFill="background1" w:themeFillShade="BF"/>
          </w:tcPr>
          <w:p w14:paraId="20C73878" w14:textId="77777777" w:rsidR="00FE07BA" w:rsidRPr="00AE00ED" w:rsidRDefault="00FE07BA" w:rsidP="00FE07BA">
            <w:pPr>
              <w:pStyle w:val="Heading2"/>
              <w:numPr>
                <w:ilvl w:val="0"/>
                <w:numId w:val="0"/>
              </w:numPr>
              <w:rPr>
                <w:b/>
              </w:rPr>
            </w:pPr>
            <w:bookmarkStart w:id="42" w:name="_Hlk139034285"/>
            <w:r w:rsidRPr="00AE00ED">
              <w:rPr>
                <w:b/>
              </w:rPr>
              <w:t>Event</w:t>
            </w:r>
          </w:p>
        </w:tc>
        <w:tc>
          <w:tcPr>
            <w:tcW w:w="2693" w:type="dxa"/>
            <w:shd w:val="clear" w:color="auto" w:fill="BFBFBF" w:themeFill="background1" w:themeFillShade="BF"/>
          </w:tcPr>
          <w:p w14:paraId="20C73879" w14:textId="77777777" w:rsidR="00FE07BA" w:rsidRPr="00AE00ED" w:rsidRDefault="00FE07BA" w:rsidP="00FE07BA">
            <w:pPr>
              <w:pStyle w:val="Heading2"/>
              <w:numPr>
                <w:ilvl w:val="0"/>
                <w:numId w:val="0"/>
              </w:numPr>
              <w:rPr>
                <w:b/>
              </w:rPr>
            </w:pPr>
            <w:r w:rsidRPr="00AE00ED">
              <w:rPr>
                <w:b/>
              </w:rPr>
              <w:t>Date</w:t>
            </w:r>
          </w:p>
        </w:tc>
      </w:tr>
      <w:tr w:rsidR="00FE07BA" w14:paraId="20C7387E" w14:textId="77777777" w:rsidTr="00C31C00">
        <w:tc>
          <w:tcPr>
            <w:tcW w:w="5103" w:type="dxa"/>
          </w:tcPr>
          <w:p w14:paraId="20C7387B" w14:textId="77777777" w:rsidR="00FE07BA" w:rsidRPr="00AE00ED" w:rsidRDefault="00FE07BA" w:rsidP="00FE07BA">
            <w:pPr>
              <w:pStyle w:val="Heading2"/>
              <w:numPr>
                <w:ilvl w:val="0"/>
                <w:numId w:val="0"/>
              </w:numPr>
            </w:pPr>
            <w:r w:rsidRPr="00AE00ED">
              <w:t>ITT issued</w:t>
            </w:r>
          </w:p>
        </w:tc>
        <w:tc>
          <w:tcPr>
            <w:tcW w:w="2693" w:type="dxa"/>
            <w:shd w:val="clear" w:color="auto" w:fill="auto"/>
          </w:tcPr>
          <w:p w14:paraId="20C7387D" w14:textId="1EEE5694" w:rsidR="003273D3" w:rsidRPr="00C31C00" w:rsidRDefault="00C31C00" w:rsidP="0040543D">
            <w:pPr>
              <w:pStyle w:val="Heading2"/>
              <w:numPr>
                <w:ilvl w:val="0"/>
                <w:numId w:val="0"/>
              </w:numPr>
            </w:pPr>
            <w:r w:rsidRPr="00C31C00">
              <w:t>14/12/2023</w:t>
            </w:r>
          </w:p>
        </w:tc>
      </w:tr>
      <w:tr w:rsidR="00FE07BA" w14:paraId="20C73882" w14:textId="77777777" w:rsidTr="00C31C00">
        <w:tc>
          <w:tcPr>
            <w:tcW w:w="5103" w:type="dxa"/>
          </w:tcPr>
          <w:p w14:paraId="20C7387F" w14:textId="77777777" w:rsidR="00FE07BA" w:rsidRPr="00AE00ED" w:rsidRDefault="00FE07BA" w:rsidP="00FE07BA">
            <w:pPr>
              <w:pStyle w:val="Heading2"/>
              <w:numPr>
                <w:ilvl w:val="0"/>
                <w:numId w:val="0"/>
              </w:numPr>
            </w:pPr>
            <w:r w:rsidRPr="00AE00ED">
              <w:t>Deadline for the receipt of clarification questions</w:t>
            </w:r>
          </w:p>
        </w:tc>
        <w:tc>
          <w:tcPr>
            <w:tcW w:w="2693" w:type="dxa"/>
            <w:shd w:val="clear" w:color="auto" w:fill="auto"/>
          </w:tcPr>
          <w:p w14:paraId="20C73881" w14:textId="75528926" w:rsidR="003273D3" w:rsidRPr="00C31C00" w:rsidRDefault="00C31C00" w:rsidP="0040543D">
            <w:pPr>
              <w:pStyle w:val="Heading2"/>
              <w:numPr>
                <w:ilvl w:val="0"/>
                <w:numId w:val="0"/>
              </w:numPr>
            </w:pPr>
            <w:r w:rsidRPr="00C31C00">
              <w:t>2</w:t>
            </w:r>
            <w:r w:rsidR="009E27B6">
              <w:t>4</w:t>
            </w:r>
            <w:r w:rsidRPr="00C31C00">
              <w:t>/12</w:t>
            </w:r>
            <w:r w:rsidR="009F36AB" w:rsidRPr="00C31C00">
              <w:t>/2023</w:t>
            </w:r>
          </w:p>
        </w:tc>
      </w:tr>
      <w:tr w:rsidR="00FE07BA" w14:paraId="20C73886" w14:textId="77777777" w:rsidTr="00C31C00">
        <w:tc>
          <w:tcPr>
            <w:tcW w:w="5103" w:type="dxa"/>
          </w:tcPr>
          <w:p w14:paraId="20C73883" w14:textId="77777777" w:rsidR="00FE07BA" w:rsidRPr="00AE00ED" w:rsidRDefault="00FE07BA" w:rsidP="00FE07BA">
            <w:pPr>
              <w:pStyle w:val="Heading2"/>
              <w:numPr>
                <w:ilvl w:val="0"/>
                <w:numId w:val="0"/>
              </w:numPr>
            </w:pPr>
            <w:r w:rsidRPr="00AE00ED">
              <w:t>Target date for responses to clarification questions</w:t>
            </w:r>
          </w:p>
        </w:tc>
        <w:tc>
          <w:tcPr>
            <w:tcW w:w="2693" w:type="dxa"/>
            <w:shd w:val="clear" w:color="auto" w:fill="auto"/>
          </w:tcPr>
          <w:p w14:paraId="20C73885" w14:textId="353645CB" w:rsidR="003273D3" w:rsidRPr="00C31C00" w:rsidRDefault="00C31C00" w:rsidP="003273D3">
            <w:pPr>
              <w:pStyle w:val="Heading2"/>
              <w:numPr>
                <w:ilvl w:val="0"/>
                <w:numId w:val="0"/>
              </w:numPr>
              <w:tabs>
                <w:tab w:val="left" w:pos="1652"/>
              </w:tabs>
            </w:pPr>
            <w:r w:rsidRPr="00C31C00">
              <w:t>28/12</w:t>
            </w:r>
            <w:r w:rsidR="009F36AB" w:rsidRPr="00C31C00">
              <w:t>/2023</w:t>
            </w:r>
          </w:p>
        </w:tc>
      </w:tr>
      <w:tr w:rsidR="00FE07BA" w14:paraId="20C7388A" w14:textId="77777777" w:rsidTr="00C31C00">
        <w:tc>
          <w:tcPr>
            <w:tcW w:w="5103" w:type="dxa"/>
          </w:tcPr>
          <w:p w14:paraId="20C73887" w14:textId="49E945EF" w:rsidR="00FE07BA" w:rsidRPr="00AE00ED" w:rsidRDefault="00FE07BA" w:rsidP="00FE07BA">
            <w:pPr>
              <w:pStyle w:val="Heading2"/>
              <w:numPr>
                <w:ilvl w:val="0"/>
                <w:numId w:val="0"/>
              </w:numPr>
            </w:pPr>
            <w:r w:rsidRPr="00AE00ED">
              <w:t>Deadline for receipt of Tenders</w:t>
            </w:r>
          </w:p>
        </w:tc>
        <w:tc>
          <w:tcPr>
            <w:tcW w:w="2693" w:type="dxa"/>
            <w:shd w:val="clear" w:color="auto" w:fill="auto"/>
          </w:tcPr>
          <w:p w14:paraId="20C73889" w14:textId="0DE196A7" w:rsidR="003273D3" w:rsidRPr="00C31C00" w:rsidRDefault="00C31C00" w:rsidP="009F3AF8">
            <w:pPr>
              <w:pStyle w:val="Heading2"/>
              <w:numPr>
                <w:ilvl w:val="0"/>
                <w:numId w:val="0"/>
              </w:numPr>
            </w:pPr>
            <w:r w:rsidRPr="00C31C00">
              <w:t>11/01</w:t>
            </w:r>
            <w:r w:rsidR="009F36AB" w:rsidRPr="00C31C00">
              <w:t>/202</w:t>
            </w:r>
            <w:r w:rsidRPr="00C31C00">
              <w:t>4</w:t>
            </w:r>
          </w:p>
        </w:tc>
      </w:tr>
      <w:tr w:rsidR="00FE07BA" w14:paraId="20C7388E" w14:textId="77777777" w:rsidTr="00C31C00">
        <w:tc>
          <w:tcPr>
            <w:tcW w:w="5103" w:type="dxa"/>
          </w:tcPr>
          <w:p w14:paraId="20C7388B" w14:textId="77777777" w:rsidR="00FE07BA" w:rsidRPr="00AE00ED" w:rsidRDefault="00FE07BA" w:rsidP="00FE07BA">
            <w:pPr>
              <w:pStyle w:val="Heading2"/>
              <w:numPr>
                <w:ilvl w:val="0"/>
                <w:numId w:val="0"/>
              </w:numPr>
            </w:pPr>
            <w:r w:rsidRPr="00AE00ED">
              <w:t>Evaluation of Tenders</w:t>
            </w:r>
          </w:p>
        </w:tc>
        <w:tc>
          <w:tcPr>
            <w:tcW w:w="2693" w:type="dxa"/>
            <w:shd w:val="clear" w:color="auto" w:fill="auto"/>
          </w:tcPr>
          <w:p w14:paraId="20C7388D" w14:textId="6D62338F" w:rsidR="003273D3" w:rsidRPr="00C31C00" w:rsidRDefault="00C31C00" w:rsidP="0040543D">
            <w:pPr>
              <w:pStyle w:val="Heading2"/>
              <w:numPr>
                <w:ilvl w:val="0"/>
                <w:numId w:val="0"/>
              </w:numPr>
            </w:pPr>
            <w:r w:rsidRPr="00C31C00">
              <w:t>12/01</w:t>
            </w:r>
            <w:r w:rsidR="009F36AB" w:rsidRPr="00C31C00">
              <w:t>/202</w:t>
            </w:r>
            <w:r w:rsidRPr="00C31C00">
              <w:t>4</w:t>
            </w:r>
          </w:p>
        </w:tc>
      </w:tr>
      <w:tr w:rsidR="00FE07BA" w14:paraId="20C73892" w14:textId="77777777" w:rsidTr="00C31C00">
        <w:tc>
          <w:tcPr>
            <w:tcW w:w="5103" w:type="dxa"/>
          </w:tcPr>
          <w:p w14:paraId="20C7388F" w14:textId="1FECDE07" w:rsidR="00FE07BA" w:rsidRPr="00AE00ED" w:rsidRDefault="007F1943" w:rsidP="00FE07BA">
            <w:pPr>
              <w:pStyle w:val="Heading2"/>
              <w:numPr>
                <w:ilvl w:val="0"/>
                <w:numId w:val="0"/>
              </w:numPr>
            </w:pPr>
            <w:r w:rsidRPr="00AE00ED">
              <w:t>Preferred Bidder appointed – standstill begins (10 days)</w:t>
            </w:r>
          </w:p>
        </w:tc>
        <w:tc>
          <w:tcPr>
            <w:tcW w:w="2693" w:type="dxa"/>
            <w:shd w:val="clear" w:color="auto" w:fill="auto"/>
          </w:tcPr>
          <w:p w14:paraId="20C73891" w14:textId="7FEEFED4" w:rsidR="003273D3" w:rsidRPr="00C31C00" w:rsidRDefault="00C31C00" w:rsidP="009F3AF8">
            <w:pPr>
              <w:pStyle w:val="Heading2"/>
              <w:numPr>
                <w:ilvl w:val="0"/>
                <w:numId w:val="0"/>
              </w:numPr>
            </w:pPr>
            <w:r w:rsidRPr="00C31C00">
              <w:t>13/01</w:t>
            </w:r>
            <w:r w:rsidR="009F36AB" w:rsidRPr="00C31C00">
              <w:t>/202</w:t>
            </w:r>
            <w:r w:rsidRPr="00C31C00">
              <w:t>4</w:t>
            </w:r>
          </w:p>
        </w:tc>
      </w:tr>
      <w:tr w:rsidR="00FE07BA" w14:paraId="20C73899" w14:textId="77777777" w:rsidTr="00C31C00">
        <w:tc>
          <w:tcPr>
            <w:tcW w:w="5103" w:type="dxa"/>
          </w:tcPr>
          <w:p w14:paraId="20C73896" w14:textId="11E4947E" w:rsidR="00FE07BA" w:rsidRPr="00AE00ED" w:rsidRDefault="00623252" w:rsidP="00FE07BA">
            <w:pPr>
              <w:pStyle w:val="Heading2"/>
              <w:numPr>
                <w:ilvl w:val="0"/>
                <w:numId w:val="0"/>
              </w:numPr>
            </w:pPr>
            <w:r w:rsidRPr="00AE00ED">
              <w:t>C</w:t>
            </w:r>
            <w:r w:rsidR="00FE07BA" w:rsidRPr="00AE00ED">
              <w:t xml:space="preserve">ontract </w:t>
            </w:r>
            <w:r w:rsidR="007F1943" w:rsidRPr="00AE00ED">
              <w:t>Awarded</w:t>
            </w:r>
          </w:p>
        </w:tc>
        <w:tc>
          <w:tcPr>
            <w:tcW w:w="2693" w:type="dxa"/>
            <w:shd w:val="clear" w:color="auto" w:fill="auto"/>
          </w:tcPr>
          <w:p w14:paraId="20C73898" w14:textId="7C6D136F" w:rsidR="003273D3" w:rsidRPr="00C31C00" w:rsidRDefault="00C31C00" w:rsidP="00FE07BA">
            <w:pPr>
              <w:pStyle w:val="Heading2"/>
              <w:numPr>
                <w:ilvl w:val="0"/>
                <w:numId w:val="0"/>
              </w:numPr>
            </w:pPr>
            <w:r w:rsidRPr="00C31C00">
              <w:t>24/01</w:t>
            </w:r>
            <w:r w:rsidR="009F36AB" w:rsidRPr="00C31C00">
              <w:t>/202</w:t>
            </w:r>
            <w:r w:rsidRPr="00C31C00">
              <w:t>4</w:t>
            </w:r>
          </w:p>
        </w:tc>
      </w:tr>
      <w:tr w:rsidR="00D955B3" w14:paraId="37CDC6A5" w14:textId="77777777" w:rsidTr="00C31C00">
        <w:trPr>
          <w:trHeight w:val="335"/>
        </w:trPr>
        <w:tc>
          <w:tcPr>
            <w:tcW w:w="5103" w:type="dxa"/>
          </w:tcPr>
          <w:p w14:paraId="3101248F" w14:textId="2517DDB8" w:rsidR="00D955B3" w:rsidRPr="00061ED1" w:rsidRDefault="00D955B3" w:rsidP="00FE07BA">
            <w:pPr>
              <w:pStyle w:val="Heading2"/>
              <w:numPr>
                <w:ilvl w:val="0"/>
                <w:numId w:val="0"/>
              </w:numPr>
              <w:rPr>
                <w:highlight w:val="yellow"/>
              </w:rPr>
            </w:pPr>
            <w:r w:rsidRPr="00AE00ED">
              <w:t xml:space="preserve">Contract work starts </w:t>
            </w:r>
          </w:p>
        </w:tc>
        <w:tc>
          <w:tcPr>
            <w:tcW w:w="2693" w:type="dxa"/>
            <w:shd w:val="clear" w:color="auto" w:fill="auto"/>
          </w:tcPr>
          <w:p w14:paraId="13E448E9" w14:textId="720BCC36" w:rsidR="00D955B3" w:rsidRPr="00C31C00" w:rsidRDefault="00E32CF2" w:rsidP="00FE07BA">
            <w:pPr>
              <w:pStyle w:val="Heading2"/>
              <w:numPr>
                <w:ilvl w:val="0"/>
                <w:numId w:val="0"/>
              </w:numPr>
            </w:pPr>
            <w:r w:rsidRPr="00C31C00">
              <w:t>01</w:t>
            </w:r>
            <w:r w:rsidR="009F36AB" w:rsidRPr="00C31C00">
              <w:t>/</w:t>
            </w:r>
            <w:r w:rsidRPr="00C31C00">
              <w:t>04</w:t>
            </w:r>
            <w:r w:rsidR="009F36AB" w:rsidRPr="00C31C00">
              <w:t>/2024</w:t>
            </w:r>
          </w:p>
        </w:tc>
      </w:tr>
    </w:tbl>
    <w:bookmarkEnd w:id="42"/>
    <w:p w14:paraId="20C7389E" w14:textId="6D270732" w:rsidR="009A3E29" w:rsidRPr="009A3E29" w:rsidRDefault="00D955B3" w:rsidP="00D955B3">
      <w:pPr>
        <w:pStyle w:val="Heading2"/>
        <w:numPr>
          <w:ilvl w:val="0"/>
          <w:numId w:val="0"/>
        </w:numPr>
      </w:pPr>
      <w:r w:rsidRPr="00D955B3">
        <w:tab/>
      </w:r>
      <w:r>
        <w:tab/>
      </w:r>
    </w:p>
    <w:p w14:paraId="20C7389F" w14:textId="77777777" w:rsidR="00FE07BA" w:rsidRDefault="00FE07BA" w:rsidP="004270D9">
      <w:pPr>
        <w:pStyle w:val="MRNumberedHeading2"/>
      </w:pPr>
      <w:bookmarkStart w:id="43" w:name="_Toc403555100"/>
      <w:bookmarkStart w:id="44" w:name="_Ref405452899"/>
      <w:r>
        <w:t>Whilst the Authority does not intend to depart from the timetable, it reserves the right to do so at any stage.</w:t>
      </w:r>
      <w:bookmarkEnd w:id="43"/>
      <w:bookmarkEnd w:id="44"/>
      <w:r>
        <w:t xml:space="preserve">  </w:t>
      </w:r>
    </w:p>
    <w:p w14:paraId="20C738A3" w14:textId="77777777" w:rsidR="000831C0" w:rsidRPr="00276E1B" w:rsidRDefault="000E189B" w:rsidP="004270D9">
      <w:pPr>
        <w:pStyle w:val="Heading1"/>
        <w:spacing w:before="240" w:after="0"/>
        <w:ind w:left="851"/>
      </w:pPr>
      <w:bookmarkStart w:id="45" w:name="_Toc403555104"/>
      <w:r w:rsidRPr="00276E1B">
        <w:t>Deadline for receipt of Tenders</w:t>
      </w:r>
      <w:bookmarkEnd w:id="45"/>
      <w:r w:rsidRPr="00276E1B">
        <w:t xml:space="preserve"> </w:t>
      </w:r>
    </w:p>
    <w:p w14:paraId="20C738A4" w14:textId="73912F60" w:rsidR="000831C0" w:rsidRDefault="0083677A" w:rsidP="004270D9">
      <w:pPr>
        <w:pStyle w:val="MRNumberedHeading2"/>
      </w:pPr>
      <w:bookmarkStart w:id="46" w:name="_Toc403555105"/>
      <w:r>
        <w:t>Bidders must submit their Tenders</w:t>
      </w:r>
      <w:r w:rsidR="00E37725">
        <w:t xml:space="preserve"> in the manner</w:t>
      </w:r>
      <w:r w:rsidR="00807CF7">
        <w:t xml:space="preserve"> prescribed in section 3</w:t>
      </w:r>
      <w:r w:rsidR="00E37725">
        <w:t xml:space="preserve"> below </w:t>
      </w:r>
      <w:r w:rsidR="00807CF7">
        <w:t xml:space="preserve">no later than </w:t>
      </w:r>
      <w:r>
        <w:t xml:space="preserve">the </w:t>
      </w:r>
      <w:r w:rsidRPr="005C5973">
        <w:t>date and time</w:t>
      </w:r>
      <w:r w:rsidR="00807CF7">
        <w:t xml:space="preserve"> </w:t>
      </w:r>
      <w:r>
        <w:t>specified on the front cover of this ITT.</w:t>
      </w:r>
      <w:bookmarkEnd w:id="46"/>
    </w:p>
    <w:p w14:paraId="20C738A5" w14:textId="724EADA8" w:rsidR="00E37725" w:rsidRDefault="00807CF7" w:rsidP="004270D9">
      <w:pPr>
        <w:pStyle w:val="MRNumberedHeading2"/>
      </w:pPr>
      <w:bookmarkStart w:id="47" w:name="_Toc403555106"/>
      <w:bookmarkStart w:id="48" w:name="_Ref405452913"/>
      <w:r>
        <w:t>Any Tender received after the d</w:t>
      </w:r>
      <w:r w:rsidR="00E37725">
        <w:t>eadline</w:t>
      </w:r>
      <w:r w:rsidR="0083677A">
        <w:t xml:space="preserve"> or by any method other than</w:t>
      </w:r>
      <w:r w:rsidR="007C2491">
        <w:t xml:space="preserve"> the method</w:t>
      </w:r>
      <w:r w:rsidR="0083677A">
        <w:t xml:space="preserve"> </w:t>
      </w:r>
      <w:r w:rsidR="007C2491">
        <w:t xml:space="preserve">prescribed in section 3 below </w:t>
      </w:r>
      <w:r w:rsidR="002E1DD8">
        <w:t>may</w:t>
      </w:r>
      <w:r w:rsidR="00E37725">
        <w:t xml:space="preserve"> not be considered. The Authority may</w:t>
      </w:r>
      <w:r w:rsidR="00E9460D">
        <w:t xml:space="preserve"> </w:t>
      </w:r>
      <w:r w:rsidR="00E02FBA">
        <w:t>at</w:t>
      </w:r>
      <w:r w:rsidR="00E37725">
        <w:t xml:space="preserve"> its </w:t>
      </w:r>
      <w:r>
        <w:t>discretion extend the d</w:t>
      </w:r>
      <w:r w:rsidR="00E37725">
        <w:t>eadline and in such</w:t>
      </w:r>
      <w:r w:rsidR="00E9460D">
        <w:t xml:space="preserve"> </w:t>
      </w:r>
      <w:r w:rsidR="00E37725">
        <w:t xml:space="preserve">circumstances the Authority will notify all </w:t>
      </w:r>
      <w:r w:rsidR="00E7163F">
        <w:t>Bidders</w:t>
      </w:r>
      <w:r w:rsidR="00E37725">
        <w:t xml:space="preserve"> of any change.</w:t>
      </w:r>
      <w:bookmarkEnd w:id="47"/>
      <w:bookmarkEnd w:id="48"/>
    </w:p>
    <w:p w14:paraId="20C738AA" w14:textId="3D74C64B" w:rsidR="00E41C42" w:rsidRPr="000C567D" w:rsidRDefault="000C567D" w:rsidP="000C567D">
      <w:pPr>
        <w:pStyle w:val="MRNumberedHeading2"/>
        <w:numPr>
          <w:ilvl w:val="0"/>
          <w:numId w:val="0"/>
        </w:numPr>
        <w:ind w:left="720" w:firstLine="130"/>
        <w:rPr>
          <w:b/>
        </w:rPr>
      </w:pPr>
      <w:bookmarkStart w:id="49" w:name="_Toc403555111"/>
      <w:r w:rsidRPr="000C567D">
        <w:rPr>
          <w:b/>
        </w:rPr>
        <w:t>Clarification Meetings</w:t>
      </w:r>
      <w:bookmarkEnd w:id="49"/>
    </w:p>
    <w:p w14:paraId="025E4301" w14:textId="00BAFBCB" w:rsidR="000C567D" w:rsidRDefault="000C567D" w:rsidP="004270D9">
      <w:pPr>
        <w:pStyle w:val="MRNumberedHeading2"/>
      </w:pPr>
      <w:bookmarkStart w:id="50" w:name="_Toc403555112"/>
      <w:bookmarkStart w:id="51" w:name="_Ref405452929"/>
      <w:r>
        <w:t>Following the assessment of the Tender, the Authority may invite Bidders to a clarification meeting. If required this will take place between receipt of Tenders and announcement of successful Tender. It is anticipated that Bidders will be provided with at least two (2) business days’ notice if a meeting is required.</w:t>
      </w:r>
      <w:r w:rsidR="00CC0535">
        <w:t xml:space="preserve"> The Authority typically only require meetings with what it considers are the best three Bidders. In exceptional circumstances, all Bidders will be requested to attend a meeting</w:t>
      </w:r>
    </w:p>
    <w:p w14:paraId="205A478F" w14:textId="179210B5" w:rsidR="00CC0535" w:rsidRDefault="00CC0535" w:rsidP="004270D9">
      <w:pPr>
        <w:pStyle w:val="MRNumberedHeading2"/>
      </w:pPr>
      <w:r>
        <w:t>Bidders must ensure that key personnel attend. Those key personnel directly involved in performing the contract will be expected to attend.</w:t>
      </w:r>
    </w:p>
    <w:p w14:paraId="5997BB35" w14:textId="1AB3F1D7" w:rsidR="00CC0535" w:rsidRDefault="00CC0535" w:rsidP="004270D9">
      <w:pPr>
        <w:pStyle w:val="MRNumberedHeading2"/>
      </w:pPr>
      <w:r>
        <w:t>The purpose of the meeting is to gain a greater understanding of proposals and will take the form of short presentation by the Bidder followed by a question and answer session. Topics for discussion will be issued no later than two (2) days before the presentation.</w:t>
      </w:r>
    </w:p>
    <w:p w14:paraId="045181F4" w14:textId="704564D7" w:rsidR="00CC0535" w:rsidRDefault="00CC0535" w:rsidP="004270D9">
      <w:pPr>
        <w:pStyle w:val="MRNumberedHeading2"/>
      </w:pPr>
      <w:r>
        <w:t>Bidders can either accept o</w:t>
      </w:r>
      <w:r w:rsidR="000B6A00">
        <w:t>r</w:t>
      </w:r>
      <w:r>
        <w:t xml:space="preserve"> decline a request for such a meeting. However, it is in the interests of the Bidder to attend and provide additional confidence in its proposals to the Authority.</w:t>
      </w:r>
    </w:p>
    <w:p w14:paraId="7CBFF8FF" w14:textId="5B1BE638" w:rsidR="00CC0535" w:rsidRPr="000C567D" w:rsidRDefault="00CC0535" w:rsidP="004270D9">
      <w:pPr>
        <w:pStyle w:val="MRNumberedHeading2"/>
      </w:pPr>
      <w:r>
        <w:t>Although not scored on a separate basis, the session will be used to confirm the technical / quality score assessments of the Tender evaluation. As such, scores achieved during the written Tender evaluation may be adjusted (up or down) and the consolidated score of a Bidder amended.</w:t>
      </w:r>
    </w:p>
    <w:p w14:paraId="20C738B2" w14:textId="77777777" w:rsidR="002F1591" w:rsidRPr="002F42CC" w:rsidRDefault="00740710" w:rsidP="002F1591">
      <w:pPr>
        <w:pStyle w:val="Header"/>
        <w:spacing w:before="240"/>
        <w:ind w:left="851"/>
        <w:jc w:val="both"/>
        <w:rPr>
          <w:b/>
        </w:rPr>
      </w:pPr>
      <w:bookmarkStart w:id="52" w:name="_Toc403555119"/>
      <w:bookmarkEnd w:id="50"/>
      <w:bookmarkEnd w:id="51"/>
      <w:r>
        <w:rPr>
          <w:b/>
        </w:rPr>
        <w:lastRenderedPageBreak/>
        <w:t>Eligibility</w:t>
      </w:r>
      <w:r w:rsidR="002F1591">
        <w:rPr>
          <w:b/>
        </w:rPr>
        <w:t xml:space="preserve"> evidence</w:t>
      </w:r>
    </w:p>
    <w:p w14:paraId="37388405" w14:textId="3332B57B" w:rsidR="0040543D" w:rsidRPr="0040543D" w:rsidRDefault="002F1591" w:rsidP="0040543D">
      <w:pPr>
        <w:pStyle w:val="MRNumberedHeading2"/>
        <w:rPr>
          <w:i/>
          <w:color w:val="808080" w:themeColor="background1" w:themeShade="80"/>
        </w:rPr>
      </w:pPr>
      <w:bookmarkStart w:id="53" w:name="_Ref412565042"/>
      <w:r>
        <w:t>Bidders</w:t>
      </w:r>
      <w:r w:rsidR="00740710">
        <w:t xml:space="preserve"> are required to provide</w:t>
      </w:r>
      <w:r>
        <w:t xml:space="preserve"> information</w:t>
      </w:r>
      <w:r w:rsidR="00740710">
        <w:t xml:space="preserve"> about their eligibility for this procurement and some of that information will be</w:t>
      </w:r>
      <w:r>
        <w:t xml:space="preserve"> self-certified </w:t>
      </w:r>
      <w:bookmarkStart w:id="54" w:name="hand217"/>
      <w:bookmarkEnd w:id="54"/>
      <w:r>
        <w:t>as accurate. During the standstill period, the Authority will require the successful Bidder to provide the following:</w:t>
      </w:r>
      <w:bookmarkEnd w:id="53"/>
    </w:p>
    <w:p w14:paraId="48CFDDA5" w14:textId="5DDE2BB4" w:rsidR="0040543D" w:rsidRPr="0040543D" w:rsidRDefault="0040543D" w:rsidP="002F1591">
      <w:pPr>
        <w:pStyle w:val="MRNumberedHeading3"/>
        <w:numPr>
          <w:ilvl w:val="2"/>
          <w:numId w:val="23"/>
        </w:numPr>
        <w:tabs>
          <w:tab w:val="clear" w:pos="2214"/>
          <w:tab w:val="num" w:pos="1790"/>
        </w:tabs>
        <w:spacing w:line="240" w:lineRule="auto"/>
        <w:ind w:left="1702" w:hanging="851"/>
        <w:jc w:val="both"/>
        <w:rPr>
          <w:i/>
        </w:rPr>
      </w:pPr>
      <w:r>
        <w:t>proof as required in the Public Contracts Regulations 2015, Regulation 60(4) or (5), that none of the mandatory or discretionary grounds of exclusion referred to in the Eligibility Questions;</w:t>
      </w:r>
    </w:p>
    <w:p w14:paraId="2F3F8F14" w14:textId="6473E97C" w:rsidR="0040543D" w:rsidRPr="00B37EF8" w:rsidRDefault="0040543D" w:rsidP="002F1591">
      <w:pPr>
        <w:pStyle w:val="MRNumberedHeading3"/>
        <w:numPr>
          <w:ilvl w:val="2"/>
          <w:numId w:val="23"/>
        </w:numPr>
        <w:tabs>
          <w:tab w:val="clear" w:pos="2214"/>
          <w:tab w:val="num" w:pos="1790"/>
        </w:tabs>
        <w:spacing w:line="240" w:lineRule="auto"/>
        <w:ind w:left="1702" w:hanging="851"/>
        <w:jc w:val="both"/>
      </w:pPr>
      <w:r w:rsidRPr="00B37EF8">
        <w:t>proof as required in the Public Contracts Regulations 2015, Regulation 60(6) that you have the minimum level of economic and financial standing;</w:t>
      </w:r>
    </w:p>
    <w:p w14:paraId="4DD13408" w14:textId="320981BF" w:rsidR="0040543D" w:rsidRPr="00B37EF8" w:rsidRDefault="0040543D" w:rsidP="002F1591">
      <w:pPr>
        <w:pStyle w:val="MRNumberedHeading3"/>
        <w:numPr>
          <w:ilvl w:val="2"/>
          <w:numId w:val="23"/>
        </w:numPr>
        <w:tabs>
          <w:tab w:val="clear" w:pos="2214"/>
          <w:tab w:val="num" w:pos="1790"/>
        </w:tabs>
        <w:spacing w:line="240" w:lineRule="auto"/>
        <w:ind w:left="1702" w:hanging="851"/>
        <w:jc w:val="both"/>
      </w:pPr>
      <w:r w:rsidRPr="00B37EF8">
        <w:t>copies of the required insurance as set out in the Eligibility Questions</w:t>
      </w:r>
      <w:r w:rsidR="00B37EF8" w:rsidRPr="00B37EF8">
        <w:t>;</w:t>
      </w:r>
    </w:p>
    <w:p w14:paraId="31C34179" w14:textId="6A36BC49" w:rsidR="00B37EF8" w:rsidRPr="00B37EF8" w:rsidRDefault="00B37EF8" w:rsidP="002F1591">
      <w:pPr>
        <w:pStyle w:val="MRNumberedHeading3"/>
        <w:numPr>
          <w:ilvl w:val="2"/>
          <w:numId w:val="23"/>
        </w:numPr>
        <w:tabs>
          <w:tab w:val="clear" w:pos="2214"/>
          <w:tab w:val="num" w:pos="1790"/>
        </w:tabs>
        <w:spacing w:line="240" w:lineRule="auto"/>
        <w:ind w:left="1702" w:hanging="851"/>
        <w:jc w:val="both"/>
      </w:pPr>
      <w:r w:rsidRPr="00B37EF8">
        <w:t>a copy of your Health and Safety Policy;</w:t>
      </w:r>
    </w:p>
    <w:p w14:paraId="20C738B9" w14:textId="5AD235AF" w:rsidR="002F1591" w:rsidRPr="00B37EF8" w:rsidRDefault="00740710" w:rsidP="002F1591">
      <w:pPr>
        <w:pStyle w:val="Header"/>
        <w:spacing w:before="240"/>
        <w:ind w:left="851"/>
        <w:jc w:val="both"/>
        <w:rPr>
          <w:b/>
        </w:rPr>
      </w:pPr>
      <w:bookmarkStart w:id="55" w:name="_Toc403555120"/>
      <w:bookmarkEnd w:id="52"/>
      <w:r w:rsidRPr="00B37EF8">
        <w:rPr>
          <w:b/>
        </w:rPr>
        <w:t>Contract a</w:t>
      </w:r>
      <w:r w:rsidR="002F1591" w:rsidRPr="00B37EF8">
        <w:rPr>
          <w:b/>
        </w:rPr>
        <w:t>ward</w:t>
      </w:r>
    </w:p>
    <w:p w14:paraId="20C738BA" w14:textId="77777777" w:rsidR="00E56F27" w:rsidRDefault="008824CC" w:rsidP="004270D9">
      <w:pPr>
        <w:pStyle w:val="MRNumberedHeading2"/>
      </w:pPr>
      <w:r>
        <w:t>Contract award is subject to the formal approval process of the Authority. Until all necessary approvals are obtained and the s</w:t>
      </w:r>
      <w:r w:rsidR="00E56F27">
        <w:t>tandstill period completed, no c</w:t>
      </w:r>
      <w:r>
        <w:t>ontract(s) will be entered into.</w:t>
      </w:r>
      <w:bookmarkEnd w:id="55"/>
    </w:p>
    <w:p w14:paraId="20C738BB" w14:textId="02CB6E97" w:rsidR="004E71FF" w:rsidRPr="005A2E47" w:rsidRDefault="008824CC" w:rsidP="004270D9">
      <w:pPr>
        <w:pStyle w:val="MRNumberedHeading2"/>
      </w:pPr>
      <w:bookmarkStart w:id="56" w:name="_Toc403555121"/>
      <w:bookmarkStart w:id="57" w:name="_Ref405452945"/>
      <w:r>
        <w:t>Once the Authority has reached a decision in respect of a cont</w:t>
      </w:r>
      <w:r w:rsidR="001065C5">
        <w:t>ract award, it will notify all B</w:t>
      </w:r>
      <w:r>
        <w:t>idders of that decision and provide for a stands</w:t>
      </w:r>
      <w:r w:rsidR="00E56F27">
        <w:t>till period in accordance with the Public Contracts Regul</w:t>
      </w:r>
      <w:r w:rsidR="00CF5955">
        <w:t>ations 2015</w:t>
      </w:r>
      <w:r w:rsidR="00E56F27">
        <w:t xml:space="preserve"> before entering into any c</w:t>
      </w:r>
      <w:r>
        <w:t>ontract(s).</w:t>
      </w:r>
      <w:bookmarkEnd w:id="56"/>
      <w:bookmarkEnd w:id="57"/>
      <w:r w:rsidR="004E71FF">
        <w:br w:type="page"/>
      </w:r>
    </w:p>
    <w:p w14:paraId="20C738BC" w14:textId="77777777" w:rsidR="008824CC" w:rsidRPr="008F3D2C" w:rsidRDefault="00A57D02" w:rsidP="00134D04">
      <w:pPr>
        <w:pStyle w:val="MRNumberedHeading1"/>
        <w:numPr>
          <w:ilvl w:val="0"/>
          <w:numId w:val="24"/>
        </w:numPr>
        <w:tabs>
          <w:tab w:val="clear" w:pos="798"/>
          <w:tab w:val="num" w:pos="851"/>
        </w:tabs>
        <w:ind w:left="851" w:hanging="851"/>
        <w:jc w:val="both"/>
        <w:rPr>
          <w:sz w:val="20"/>
          <w:szCs w:val="20"/>
        </w:rPr>
      </w:pPr>
      <w:bookmarkStart w:id="58" w:name="_Toc403556503"/>
      <w:bookmarkStart w:id="59" w:name="_Toc403556508"/>
      <w:bookmarkStart w:id="60" w:name="_Toc406674971"/>
      <w:bookmarkStart w:id="61" w:name="_Toc412621213"/>
      <w:bookmarkStart w:id="62" w:name="_Toc412715223"/>
      <w:r w:rsidRPr="008F3D2C">
        <w:rPr>
          <w:sz w:val="20"/>
          <w:szCs w:val="20"/>
        </w:rPr>
        <w:lastRenderedPageBreak/>
        <w:t xml:space="preserve">INSTRUCTIONS TO </w:t>
      </w:r>
      <w:r w:rsidR="00E7163F" w:rsidRPr="008F3D2C">
        <w:rPr>
          <w:sz w:val="20"/>
          <w:szCs w:val="20"/>
        </w:rPr>
        <w:t>BIDDERS</w:t>
      </w:r>
      <w:bookmarkEnd w:id="58"/>
      <w:bookmarkEnd w:id="59"/>
      <w:bookmarkEnd w:id="60"/>
      <w:bookmarkEnd w:id="61"/>
      <w:bookmarkEnd w:id="62"/>
      <w:r w:rsidRPr="008F3D2C">
        <w:rPr>
          <w:sz w:val="20"/>
          <w:szCs w:val="20"/>
        </w:rPr>
        <w:t xml:space="preserve"> </w:t>
      </w:r>
    </w:p>
    <w:p w14:paraId="37687244" w14:textId="545A6485" w:rsidR="008644BC" w:rsidRPr="00134D04" w:rsidRDefault="00134D04" w:rsidP="00134D04">
      <w:pPr>
        <w:pStyle w:val="MRNumberedHeading2"/>
        <w:numPr>
          <w:ilvl w:val="0"/>
          <w:numId w:val="0"/>
        </w:numPr>
        <w:ind w:left="851"/>
        <w:rPr>
          <w:b/>
        </w:rPr>
      </w:pPr>
      <w:bookmarkStart w:id="63" w:name="_Toc403555124"/>
      <w:r w:rsidRPr="00134D04">
        <w:rPr>
          <w:b/>
        </w:rPr>
        <w:t>Eligibility Questions and Responses</w:t>
      </w:r>
    </w:p>
    <w:p w14:paraId="6C3135F9" w14:textId="2FF21F44" w:rsidR="00134D04" w:rsidRPr="00134D04" w:rsidRDefault="00134D04" w:rsidP="00134D04">
      <w:pPr>
        <w:pStyle w:val="MRNumberedHeading2"/>
      </w:pPr>
      <w:bookmarkStart w:id="64" w:name="_Ref478473516"/>
      <w:r>
        <w:t>The Eligibility Questions is a self-declaration, made by</w:t>
      </w:r>
      <w:r w:rsidRPr="00134D04">
        <w:t xml:space="preserve"> you (the potential supplier), that you do not meet any of the grounds for exclusion</w:t>
      </w:r>
      <w:r w:rsidRPr="00134D04">
        <w:rPr>
          <w:vertAlign w:val="superscript"/>
        </w:rPr>
        <w:footnoteReference w:id="1"/>
      </w:r>
      <w:r w:rsidRPr="00134D04">
        <w:t>. If there are grounds for exclusion, there is an opportunity to explain the background and any measures you have taken to rectify the situation (we call this self-cleaning).</w:t>
      </w:r>
      <w:bookmarkEnd w:id="64"/>
    </w:p>
    <w:p w14:paraId="36F08260" w14:textId="1C74EF72" w:rsidR="00134D04" w:rsidRDefault="00134D04" w:rsidP="00134D04">
      <w:pPr>
        <w:pStyle w:val="MRNumberedHeading2"/>
      </w:pPr>
      <w:r w:rsidRPr="00134D04">
        <w:t xml:space="preserve">A completed declaration of Part 1 and Part 2 of </w:t>
      </w:r>
      <w:r w:rsidR="00BC373F">
        <w:t>the Eligibility Questions</w:t>
      </w:r>
      <w:r w:rsidRPr="00134D04">
        <w:t xml:space="preserve"> provides a formal statement that the organisation making the declaration has not breached any of the exclusion grounds. Consequently we require all the organisations that you will rely on to meet the selection criteria to provide a completed Part 1 and Part 2</w:t>
      </w:r>
      <w:r w:rsidR="00C21DD3">
        <w:t xml:space="preserve"> of </w:t>
      </w:r>
      <w:r w:rsidR="00BC373F">
        <w:t>the Eligibility Questions</w:t>
      </w:r>
      <w:r w:rsidRPr="00134D04">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11EE5E9B" w14:textId="77777777" w:rsidR="00134D04" w:rsidRPr="00134D04" w:rsidRDefault="00134D04" w:rsidP="00134D04">
      <w:pPr>
        <w:pStyle w:val="Normal1"/>
        <w:spacing w:before="240"/>
        <w:ind w:left="851"/>
        <w:jc w:val="both"/>
        <w:rPr>
          <w:sz w:val="20"/>
          <w:szCs w:val="20"/>
          <w:u w:val="single"/>
        </w:rPr>
      </w:pPr>
      <w:r w:rsidRPr="00134D04">
        <w:rPr>
          <w:rFonts w:ascii="Arial" w:eastAsia="Arial" w:hAnsi="Arial" w:cs="Arial"/>
          <w:sz w:val="20"/>
          <w:szCs w:val="20"/>
          <w:u w:val="single"/>
        </w:rPr>
        <w:t>Supplier Selection Questions: Part 3</w:t>
      </w:r>
    </w:p>
    <w:p w14:paraId="39767928"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Pr>
          <w:rFonts w:ascii="Arial" w:eastAsia="Arial" w:hAnsi="Arial" w:cs="Arial"/>
          <w:sz w:val="20"/>
          <w:szCs w:val="20"/>
        </w:rPr>
        <w:t xml:space="preserve">This procurement document </w:t>
      </w:r>
      <w:r w:rsidRPr="00D67416">
        <w:rPr>
          <w:rFonts w:ascii="Arial" w:eastAsia="Arial" w:hAnsi="Arial" w:cs="Arial"/>
          <w:sz w:val="20"/>
          <w:szCs w:val="20"/>
        </w:rPr>
        <w:t>provide</w:t>
      </w:r>
      <w:r>
        <w:rPr>
          <w:rFonts w:ascii="Arial" w:eastAsia="Arial" w:hAnsi="Arial" w:cs="Arial"/>
          <w:sz w:val="20"/>
          <w:szCs w:val="20"/>
        </w:rPr>
        <w:t>s</w:t>
      </w:r>
      <w:r w:rsidRPr="00D67416">
        <w:rPr>
          <w:rFonts w:ascii="Arial" w:eastAsia="Arial" w:hAnsi="Arial" w:cs="Arial"/>
          <w:sz w:val="20"/>
          <w:szCs w:val="20"/>
        </w:rPr>
        <w:t xml:space="preserv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2E39BA8D" w14:textId="0442D3D4"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If the relevant document</w:t>
      </w:r>
      <w:r w:rsidR="00C21DD3">
        <w:rPr>
          <w:rFonts w:ascii="Arial" w:eastAsia="Arial" w:hAnsi="Arial" w:cs="Arial"/>
          <w:sz w:val="20"/>
          <w:szCs w:val="20"/>
        </w:rPr>
        <w:t xml:space="preserve">ary evidence referred to </w:t>
      </w:r>
      <w:r w:rsidR="00BC373F">
        <w:rPr>
          <w:rFonts w:ascii="Arial" w:eastAsia="Arial" w:hAnsi="Arial" w:cs="Arial"/>
          <w:sz w:val="20"/>
          <w:szCs w:val="20"/>
        </w:rPr>
        <w:t>in the Eligibility Questions</w:t>
      </w:r>
      <w:r w:rsidRPr="00134D04">
        <w:rPr>
          <w:rFonts w:ascii="Arial" w:eastAsia="Arial" w:hAnsi="Arial" w:cs="Arial"/>
          <w:sz w:val="20"/>
          <w:szCs w:val="20"/>
        </w:rPr>
        <w:t xml:space="preserve"> is not provided upon request and without delay the Authority reserves the right to amend the contract award decision and award to the next compliant bidder.</w:t>
      </w:r>
      <w:r w:rsidRPr="00134D04">
        <w:rPr>
          <w:rFonts w:ascii="Arial" w:eastAsia="Arial" w:hAnsi="Arial" w:cs="Arial"/>
          <w:b/>
          <w:sz w:val="20"/>
          <w:szCs w:val="20"/>
        </w:rPr>
        <w:t xml:space="preserve"> </w:t>
      </w:r>
    </w:p>
    <w:p w14:paraId="52579E1B" w14:textId="77777777" w:rsidR="00134D04" w:rsidRPr="00134D04" w:rsidRDefault="00134D04" w:rsidP="00134D04">
      <w:pPr>
        <w:pStyle w:val="Normal1"/>
        <w:spacing w:before="240"/>
        <w:ind w:left="851" w:right="11"/>
        <w:jc w:val="both"/>
        <w:rPr>
          <w:sz w:val="20"/>
          <w:szCs w:val="20"/>
          <w:u w:val="single"/>
        </w:rPr>
      </w:pPr>
      <w:r w:rsidRPr="00134D04">
        <w:rPr>
          <w:rFonts w:ascii="Arial" w:eastAsia="Arial" w:hAnsi="Arial" w:cs="Arial"/>
          <w:sz w:val="20"/>
          <w:szCs w:val="20"/>
          <w:u w:val="single"/>
        </w:rPr>
        <w:t>Consequences of misrepresentation</w:t>
      </w:r>
    </w:p>
    <w:p w14:paraId="756CA0C1" w14:textId="29D1EA4C"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If you seriously misrepresent any factual information in filling in </w:t>
      </w:r>
      <w:r w:rsidR="00BC373F">
        <w:rPr>
          <w:rFonts w:ascii="Arial" w:eastAsia="Arial" w:hAnsi="Arial" w:cs="Arial"/>
          <w:sz w:val="20"/>
          <w:szCs w:val="20"/>
        </w:rPr>
        <w:t>the Eligibility Questions</w:t>
      </w:r>
      <w:r w:rsidRPr="00134D04">
        <w:rPr>
          <w:rFonts w:ascii="Arial" w:eastAsia="Arial" w:hAnsi="Arial" w:cs="Arial"/>
          <w:sz w:val="20"/>
          <w:szCs w:val="20"/>
        </w:rPr>
        <w: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p>
    <w:p w14:paraId="642291A8" w14:textId="4D0348C1" w:rsidR="00134D04" w:rsidRDefault="00134D04" w:rsidP="00134D04">
      <w:pPr>
        <w:pStyle w:val="Normal1"/>
        <w:spacing w:before="240"/>
        <w:ind w:left="851" w:right="11"/>
        <w:jc w:val="both"/>
        <w:rPr>
          <w:sz w:val="20"/>
          <w:szCs w:val="20"/>
        </w:rPr>
      </w:pPr>
      <w:r w:rsidRPr="00134D04">
        <w:rPr>
          <w:rFonts w:ascii="Arial" w:eastAsia="Arial" w:hAnsi="Arial" w:cs="Arial"/>
          <w:sz w:val="20"/>
          <w:szCs w:val="20"/>
          <w:u w:val="single"/>
        </w:rPr>
        <w:t>Notes for completi</w:t>
      </w:r>
      <w:r w:rsidR="00C21DD3">
        <w:rPr>
          <w:rFonts w:ascii="Arial" w:eastAsia="Arial" w:hAnsi="Arial" w:cs="Arial"/>
          <w:sz w:val="20"/>
          <w:szCs w:val="20"/>
          <w:u w:val="single"/>
        </w:rPr>
        <w:t xml:space="preserve">ng </w:t>
      </w:r>
      <w:r w:rsidR="00BC373F">
        <w:rPr>
          <w:rFonts w:ascii="Arial" w:eastAsia="Arial" w:hAnsi="Arial" w:cs="Arial"/>
          <w:sz w:val="20"/>
          <w:szCs w:val="20"/>
          <w:u w:val="single"/>
        </w:rPr>
        <w:t>the Eligibility Questions</w:t>
      </w:r>
    </w:p>
    <w:p w14:paraId="10254627"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ADAAD94" w14:textId="77777777"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797FF2A2" w14:textId="114D676B"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lastRenderedPageBreak/>
        <w:t xml:space="preserve">The Authority recognises that arrangements set out in section 1.2 </w:t>
      </w:r>
      <w:r w:rsidR="00BC373F">
        <w:rPr>
          <w:rFonts w:ascii="Arial" w:eastAsia="Arial" w:hAnsi="Arial" w:cs="Arial"/>
          <w:sz w:val="20"/>
          <w:szCs w:val="20"/>
        </w:rPr>
        <w:t>of the Eligibility Questions</w:t>
      </w:r>
      <w:r w:rsidRPr="00134D04">
        <w:rPr>
          <w:rFonts w:ascii="Arial" w:eastAsia="Arial" w:hAnsi="Arial" w:cs="Arial"/>
          <w:sz w:val="20"/>
          <w:szCs w:val="20"/>
        </w:rPr>
        <w:t>,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w:t>
      </w:r>
      <w:r w:rsidR="00C21DD3">
        <w:rPr>
          <w:rFonts w:ascii="Arial" w:eastAsia="Arial" w:hAnsi="Arial" w:cs="Arial"/>
          <w:sz w:val="20"/>
          <w:szCs w:val="20"/>
        </w:rPr>
        <w:t xml:space="preserve"> of </w:t>
      </w:r>
      <w:r w:rsidR="00BC373F">
        <w:rPr>
          <w:rFonts w:ascii="Arial" w:eastAsia="Arial" w:hAnsi="Arial" w:cs="Arial"/>
          <w:sz w:val="20"/>
          <w:szCs w:val="20"/>
        </w:rPr>
        <w:t>the Eligibility Questions</w:t>
      </w:r>
      <w:r w:rsidRPr="00134D04">
        <w:rPr>
          <w:rFonts w:ascii="Arial" w:eastAsia="Arial" w:hAnsi="Arial" w:cs="Arial"/>
          <w:sz w:val="20"/>
          <w:szCs w:val="20"/>
        </w:rPr>
        <w:t xml:space="preserve"> is submitted for any new organisation relied on to meet the selection criteria. The authority will make a revised assessment of the submission based on the updated information.</w:t>
      </w:r>
    </w:p>
    <w:p w14:paraId="00057342" w14:textId="1B62D0E5" w:rsidR="00134D04" w:rsidRPr="002830AC" w:rsidRDefault="00134D04" w:rsidP="002830AC">
      <w:pPr>
        <w:pStyle w:val="Normal1"/>
        <w:numPr>
          <w:ilvl w:val="1"/>
          <w:numId w:val="24"/>
        </w:numPr>
        <w:tabs>
          <w:tab w:val="clear" w:pos="720"/>
          <w:tab w:val="num" w:pos="851"/>
        </w:tabs>
        <w:spacing w:before="240"/>
        <w:ind w:left="851" w:right="11" w:hanging="851"/>
        <w:jc w:val="both"/>
        <w:rPr>
          <w:sz w:val="20"/>
          <w:szCs w:val="20"/>
        </w:rPr>
      </w:pPr>
      <w:r>
        <w:rPr>
          <w:rFonts w:ascii="Arial" w:eastAsia="Arial" w:hAnsi="Arial" w:cs="Arial"/>
          <w:i/>
          <w:noProof/>
          <w:sz w:val="20"/>
          <w:szCs w:val="20"/>
          <w:lang w:eastAsia="en-GB"/>
        </w:rPr>
        <mc:AlternateContent>
          <mc:Choice Requires="wps">
            <w:drawing>
              <wp:anchor distT="0" distB="0" distL="114300" distR="114300" simplePos="0" relativeHeight="251738112" behindDoc="0" locked="0" layoutInCell="1" allowOverlap="1" wp14:anchorId="2C5FC092" wp14:editId="4FBF8D79">
                <wp:simplePos x="0" y="0"/>
                <wp:positionH relativeFrom="column">
                  <wp:posOffset>5882005</wp:posOffset>
                </wp:positionH>
                <wp:positionV relativeFrom="paragraph">
                  <wp:posOffset>414020</wp:posOffset>
                </wp:positionV>
                <wp:extent cx="578485" cy="447675"/>
                <wp:effectExtent l="0" t="0" r="0" b="9525"/>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EEB716" w14:textId="2B6012AC" w:rsidR="00E03FBF" w:rsidRDefault="00E03FBF" w:rsidP="00134D0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5FC092" id="_x0000_t202" coordsize="21600,21600" o:spt="202" path="m,l,21600r21600,l21600,xe">
                <v:stroke joinstyle="miter"/>
                <v:path gradientshapeok="t" o:connecttype="rect"/>
              </v:shapetype>
              <v:shape id="Text Box 293" o:spid="_x0000_s1026" type="#_x0000_t202" style="position:absolute;left:0;text-align:left;margin-left:463.15pt;margin-top:32.6pt;width:45.55pt;height:3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" stroked="f">
                <v:textbox>
                  <w:txbxContent>
                    <w:p w14:paraId="63EEB716" w14:textId="2B6012AC" w:rsidR="00E03FBF" w:rsidRDefault="00E03FBF" w:rsidP="00134D04"/>
                  </w:txbxContent>
                </v:textbox>
              </v:shape>
            </w:pict>
          </mc:Fallback>
        </mc:AlternateContent>
      </w:r>
      <w:r w:rsidRPr="00134D04">
        <w:rPr>
          <w:rFonts w:ascii="Arial" w:eastAsia="Arial" w:hAnsi="Arial" w:cs="Arial"/>
          <w:sz w:val="20"/>
          <w:szCs w:val="20"/>
        </w:rPr>
        <w:t>For Part 1 and Part 2</w:t>
      </w:r>
      <w:r w:rsidR="00C21DD3">
        <w:rPr>
          <w:rFonts w:ascii="Arial" w:eastAsia="Arial" w:hAnsi="Arial" w:cs="Arial"/>
          <w:sz w:val="20"/>
          <w:szCs w:val="20"/>
        </w:rPr>
        <w:t xml:space="preserve"> of </w:t>
      </w:r>
      <w:r w:rsidR="00BC373F">
        <w:rPr>
          <w:rFonts w:ascii="Arial" w:eastAsia="Arial" w:hAnsi="Arial" w:cs="Arial"/>
          <w:sz w:val="20"/>
          <w:szCs w:val="20"/>
        </w:rPr>
        <w:t>the Eligibility Questions</w:t>
      </w:r>
      <w:r w:rsidR="00C21DD3">
        <w:rPr>
          <w:rFonts w:ascii="Arial" w:eastAsia="Arial" w:hAnsi="Arial" w:cs="Arial"/>
          <w:sz w:val="20"/>
          <w:szCs w:val="20"/>
        </w:rPr>
        <w:t xml:space="preserve"> </w:t>
      </w:r>
      <w:r w:rsidRPr="00134D04">
        <w:rPr>
          <w:rFonts w:ascii="Arial" w:eastAsia="Arial" w:hAnsi="Arial" w:cs="Arial"/>
          <w:sz w:val="20"/>
          <w:szCs w:val="20"/>
        </w:rPr>
        <w:t xml:space="preserve">every organisation that is being relied on to meet the selection must complete and submit the self-declaration. </w:t>
      </w:r>
    </w:p>
    <w:p w14:paraId="516D098D" w14:textId="4A601F0B" w:rsidR="00134D04" w:rsidRDefault="00134D04" w:rsidP="00134D04">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 xml:space="preserve">For answers to Part 3 </w:t>
      </w:r>
      <w:r w:rsidR="00C21DD3">
        <w:rPr>
          <w:rFonts w:ascii="Arial" w:eastAsia="Arial" w:hAnsi="Arial" w:cs="Arial"/>
          <w:sz w:val="20"/>
          <w:szCs w:val="20"/>
        </w:rPr>
        <w:t xml:space="preserve">of </w:t>
      </w:r>
      <w:r w:rsidR="00BC373F">
        <w:rPr>
          <w:rFonts w:ascii="Arial" w:eastAsia="Arial" w:hAnsi="Arial" w:cs="Arial"/>
          <w:sz w:val="20"/>
          <w:szCs w:val="20"/>
        </w:rPr>
        <w:t xml:space="preserve">the Eligibility Questions </w:t>
      </w:r>
      <w:r w:rsidRPr="00134D04">
        <w:rPr>
          <w:rFonts w:ascii="Arial" w:eastAsia="Arial" w:hAnsi="Arial" w:cs="Arial"/>
          <w:sz w:val="20"/>
          <w:szCs w:val="20"/>
        </w:rPr>
        <w:t>-</w:t>
      </w:r>
      <w:r w:rsidRPr="00134D04">
        <w:rPr>
          <w:rFonts w:ascii="Arial" w:eastAsia="Arial" w:hAnsi="Arial" w:cs="Arial"/>
          <w:i/>
          <w:sz w:val="20"/>
          <w:szCs w:val="20"/>
        </w:rPr>
        <w:t xml:space="preserve"> </w:t>
      </w:r>
      <w:r w:rsidRPr="00134D04">
        <w:rPr>
          <w:rFonts w:ascii="Arial" w:eastAsia="Arial" w:hAnsi="Arial" w:cs="Arial"/>
          <w:sz w:val="20"/>
          <w:szCs w:val="20"/>
        </w:rPr>
        <w:t>If you are bidding on behalf of a group, for example, a consortium, or you intend to use sub-contractors, you should complete all of the questions on behalf of the consortium and/ or any sub-contractors, providing one composite response and declaration</w:t>
      </w:r>
    </w:p>
    <w:p w14:paraId="0C93A378" w14:textId="77777777" w:rsidR="00C21DD3" w:rsidRDefault="00134D04" w:rsidP="00C21DD3">
      <w:pPr>
        <w:pStyle w:val="Normal1"/>
        <w:numPr>
          <w:ilvl w:val="1"/>
          <w:numId w:val="24"/>
        </w:numPr>
        <w:tabs>
          <w:tab w:val="clear" w:pos="720"/>
          <w:tab w:val="num" w:pos="851"/>
        </w:tabs>
        <w:spacing w:before="240"/>
        <w:ind w:left="851" w:right="11" w:hanging="851"/>
        <w:jc w:val="both"/>
        <w:rPr>
          <w:sz w:val="20"/>
          <w:szCs w:val="20"/>
        </w:rPr>
      </w:pPr>
      <w:r w:rsidRPr="00134D04">
        <w:rPr>
          <w:rFonts w:ascii="Arial" w:eastAsia="Arial" w:hAnsi="Arial" w:cs="Arial"/>
          <w:sz w:val="20"/>
          <w:szCs w:val="20"/>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w:t>
      </w:r>
      <w:bookmarkStart w:id="65" w:name="_Toc403555122"/>
      <w:r>
        <w:rPr>
          <w:rFonts w:ascii="Arial" w:eastAsia="Arial" w:hAnsi="Arial" w:cs="Arial"/>
          <w:sz w:val="20"/>
          <w:szCs w:val="20"/>
        </w:rPr>
        <w:t>sure</w:t>
      </w:r>
    </w:p>
    <w:p w14:paraId="6D8B148F" w14:textId="28D00D19" w:rsidR="00C21DD3" w:rsidRPr="00C21DD3" w:rsidRDefault="00C21DD3" w:rsidP="00680879">
      <w:pPr>
        <w:pStyle w:val="Normal1"/>
        <w:spacing w:before="240"/>
        <w:ind w:left="851" w:right="11"/>
        <w:jc w:val="both"/>
        <w:rPr>
          <w:sz w:val="20"/>
          <w:szCs w:val="20"/>
        </w:rPr>
      </w:pPr>
      <w:r w:rsidRPr="00C21DD3">
        <w:rPr>
          <w:rFonts w:ascii="Arial" w:hAnsi="Arial" w:cs="Arial"/>
          <w:b/>
          <w:sz w:val="20"/>
          <w:szCs w:val="20"/>
        </w:rPr>
        <w:t xml:space="preserve">Formalities for submission of </w:t>
      </w:r>
      <w:r w:rsidR="00BC373F">
        <w:rPr>
          <w:rFonts w:ascii="Arial" w:hAnsi="Arial" w:cs="Arial"/>
          <w:b/>
          <w:sz w:val="20"/>
          <w:szCs w:val="20"/>
        </w:rPr>
        <w:t xml:space="preserve">Eligibility Questions </w:t>
      </w:r>
    </w:p>
    <w:p w14:paraId="7C86E983" w14:textId="0281D876" w:rsidR="00C21DD3" w:rsidRPr="00BC4757" w:rsidRDefault="00BC4757" w:rsidP="00C21DD3">
      <w:pPr>
        <w:pStyle w:val="MRNumberedHeading2"/>
        <w:numPr>
          <w:ilvl w:val="1"/>
          <w:numId w:val="24"/>
        </w:numPr>
        <w:shd w:val="clear" w:color="auto" w:fill="FFFFFF"/>
        <w:tabs>
          <w:tab w:val="clear" w:pos="720"/>
          <w:tab w:val="num" w:pos="851"/>
        </w:tabs>
        <w:ind w:left="851" w:hanging="851"/>
        <w:rPr>
          <w:rFonts w:eastAsia="Arial" w:cs="Arial"/>
          <w:color w:val="000000"/>
          <w:szCs w:val="20"/>
          <w:lang w:eastAsia="en-US"/>
        </w:rPr>
      </w:pPr>
      <w:bookmarkStart w:id="66" w:name="_Ref478473938"/>
      <w:r>
        <w:rPr>
          <w:rFonts w:eastAsia="Arial" w:cs="Arial"/>
          <w:color w:val="000000"/>
          <w:szCs w:val="20"/>
          <w:lang w:eastAsia="en-US"/>
        </w:rPr>
        <w:t xml:space="preserve"> </w:t>
      </w:r>
      <w:r w:rsidR="00944251" w:rsidRPr="00BC4757">
        <w:rPr>
          <w:rFonts w:eastAsia="Arial" w:cs="Arial"/>
          <w:color w:val="000000"/>
          <w:szCs w:val="20"/>
          <w:lang w:eastAsia="en-US"/>
        </w:rPr>
        <w:t>T</w:t>
      </w:r>
      <w:r w:rsidR="00BC373F" w:rsidRPr="00BC4757">
        <w:rPr>
          <w:rFonts w:eastAsia="Arial" w:cs="Arial"/>
          <w:color w:val="000000"/>
          <w:szCs w:val="20"/>
          <w:lang w:eastAsia="en-US"/>
        </w:rPr>
        <w:t xml:space="preserve">he Eligibility Questions </w:t>
      </w:r>
      <w:r w:rsidR="00442895" w:rsidRPr="00BC4757">
        <w:rPr>
          <w:rFonts w:eastAsia="Arial" w:cs="Arial"/>
          <w:color w:val="000000"/>
          <w:szCs w:val="20"/>
          <w:lang w:eastAsia="en-US"/>
        </w:rPr>
        <w:t>are</w:t>
      </w:r>
      <w:r w:rsidR="00C21DD3" w:rsidRPr="00BC4757">
        <w:rPr>
          <w:rFonts w:eastAsia="Arial" w:cs="Arial"/>
          <w:color w:val="000000"/>
          <w:szCs w:val="20"/>
          <w:lang w:eastAsia="en-US"/>
        </w:rPr>
        <w:t xml:space="preserve"> structured in three separate parts:</w:t>
      </w:r>
      <w:bookmarkEnd w:id="66"/>
    </w:p>
    <w:p w14:paraId="5EB95208" w14:textId="75F3A75F" w:rsidR="00C21DD3" w:rsidRPr="00BC4757" w:rsidRDefault="00C21DD3" w:rsidP="00C21DD3">
      <w:pPr>
        <w:pStyle w:val="MRNumberedHeading2"/>
        <w:numPr>
          <w:ilvl w:val="2"/>
          <w:numId w:val="24"/>
        </w:numPr>
        <w:shd w:val="clear" w:color="auto" w:fill="FFFFFF"/>
        <w:rPr>
          <w:rFonts w:eastAsia="Arial" w:cs="Arial"/>
          <w:color w:val="000000"/>
          <w:szCs w:val="20"/>
          <w:lang w:eastAsia="en-US"/>
        </w:rPr>
      </w:pPr>
      <w:bookmarkStart w:id="67" w:name="_Ref478474329"/>
      <w:r w:rsidRPr="00BC4757">
        <w:rPr>
          <w:rFonts w:eastAsia="Arial" w:cs="Arial"/>
          <w:color w:val="000000"/>
          <w:szCs w:val="20"/>
          <w:lang w:eastAsia="en-US"/>
        </w:rPr>
        <w:t>Part 1: Basic information about the Bidder, including contact details, details of parent companies and group bidding;</w:t>
      </w:r>
      <w:bookmarkEnd w:id="67"/>
    </w:p>
    <w:p w14:paraId="068CD819" w14:textId="4AA3476A" w:rsidR="00C21DD3" w:rsidRPr="00BC4757" w:rsidRDefault="00C21DD3" w:rsidP="00C21DD3">
      <w:pPr>
        <w:pStyle w:val="MRNumberedHeading2"/>
        <w:numPr>
          <w:ilvl w:val="2"/>
          <w:numId w:val="24"/>
        </w:numPr>
        <w:shd w:val="clear" w:color="auto" w:fill="FFFFFF"/>
        <w:rPr>
          <w:rFonts w:eastAsia="Arial" w:cs="Arial"/>
          <w:color w:val="000000"/>
          <w:szCs w:val="20"/>
          <w:lang w:eastAsia="en-US"/>
        </w:rPr>
      </w:pPr>
      <w:r w:rsidRPr="00BC4757">
        <w:rPr>
          <w:rFonts w:eastAsia="Arial" w:cs="Arial"/>
          <w:color w:val="000000"/>
          <w:szCs w:val="20"/>
          <w:lang w:eastAsia="en-US"/>
        </w:rPr>
        <w:t>Part 2: Self-declaration regarding whether or not any of the mandatory or discretionary exclusion grounds apply; and</w:t>
      </w:r>
    </w:p>
    <w:p w14:paraId="72D5836A" w14:textId="67E64DE5" w:rsidR="00C21DD3" w:rsidRPr="00556B66" w:rsidRDefault="00C21DD3" w:rsidP="00556B66">
      <w:pPr>
        <w:pStyle w:val="MRNumberedHeading2"/>
        <w:numPr>
          <w:ilvl w:val="2"/>
          <w:numId w:val="24"/>
        </w:numPr>
        <w:shd w:val="clear" w:color="auto" w:fill="FFFFFF"/>
        <w:rPr>
          <w:rFonts w:eastAsia="Arial" w:cs="Arial"/>
          <w:color w:val="000000"/>
          <w:szCs w:val="20"/>
          <w:lang w:eastAsia="en-US"/>
        </w:rPr>
      </w:pPr>
      <w:r w:rsidRPr="00BC4757">
        <w:rPr>
          <w:rFonts w:eastAsia="Arial" w:cs="Arial"/>
          <w:color w:val="000000"/>
          <w:szCs w:val="20"/>
          <w:lang w:eastAsia="en-US"/>
        </w:rPr>
        <w:t xml:space="preserve">Part 3: Self-declaration regarding whether or not you meet the selection criteria in respect of your financial standing and technical capacity.  </w:t>
      </w:r>
      <w:r w:rsidRPr="00556B66">
        <w:rPr>
          <w:i/>
          <w:color w:val="000000"/>
          <w:szCs w:val="20"/>
        </w:rPr>
        <w:t xml:space="preserve"> </w:t>
      </w:r>
    </w:p>
    <w:p w14:paraId="1F3B8B33" w14:textId="77777777" w:rsidR="00820B6B" w:rsidRPr="00283A8C" w:rsidRDefault="00820B6B" w:rsidP="00820B6B">
      <w:pPr>
        <w:pStyle w:val="MRNumberedHeading2"/>
        <w:numPr>
          <w:ilvl w:val="1"/>
          <w:numId w:val="24"/>
        </w:numPr>
        <w:shd w:val="clear" w:color="auto" w:fill="FFFFFF"/>
        <w:tabs>
          <w:tab w:val="clear" w:pos="720"/>
          <w:tab w:val="num" w:pos="851"/>
        </w:tabs>
        <w:ind w:left="851" w:hanging="851"/>
        <w:rPr>
          <w:i/>
          <w:color w:val="000000"/>
          <w:szCs w:val="20"/>
          <w:shd w:val="clear" w:color="auto" w:fill="FFFF66"/>
        </w:rPr>
      </w:pPr>
      <w:bookmarkStart w:id="68" w:name="_Ref478634063"/>
      <w:r>
        <w:rPr>
          <w:color w:val="000000"/>
          <w:szCs w:val="20"/>
        </w:rPr>
        <w:t>Complete Annex B1 and submit along with your tender by the deadline date of submission.</w:t>
      </w:r>
      <w:bookmarkEnd w:id="68"/>
    </w:p>
    <w:p w14:paraId="5EAB528F" w14:textId="03A67C77" w:rsidR="00C21DD3" w:rsidRPr="00C21DD3" w:rsidRDefault="00C21DD3" w:rsidP="00C21DD3">
      <w:pPr>
        <w:pStyle w:val="Normal1"/>
        <w:spacing w:before="240"/>
        <w:ind w:left="851" w:right="11"/>
        <w:jc w:val="both"/>
        <w:rPr>
          <w:rFonts w:ascii="Arial" w:hAnsi="Arial" w:cs="Arial"/>
          <w:b/>
          <w:sz w:val="20"/>
          <w:szCs w:val="20"/>
        </w:rPr>
      </w:pPr>
      <w:r>
        <w:rPr>
          <w:rFonts w:ascii="Arial" w:hAnsi="Arial" w:cs="Arial"/>
          <w:b/>
          <w:sz w:val="20"/>
          <w:szCs w:val="20"/>
        </w:rPr>
        <w:t xml:space="preserve">General </w:t>
      </w:r>
      <w:r w:rsidR="00134D04" w:rsidRPr="00134D04">
        <w:rPr>
          <w:rFonts w:ascii="Arial" w:hAnsi="Arial" w:cs="Arial"/>
          <w:b/>
          <w:sz w:val="20"/>
          <w:szCs w:val="20"/>
        </w:rPr>
        <w:t>Formalities for submission of Tender</w:t>
      </w:r>
      <w:bookmarkEnd w:id="65"/>
      <w:r w:rsidR="00134D04" w:rsidRPr="00134D04">
        <w:rPr>
          <w:rFonts w:ascii="Arial" w:hAnsi="Arial" w:cs="Arial"/>
          <w:b/>
          <w:sz w:val="20"/>
          <w:szCs w:val="20"/>
        </w:rPr>
        <w:t xml:space="preserve">s </w:t>
      </w:r>
      <w:bookmarkStart w:id="69" w:name="_Toc403555123"/>
      <w:bookmarkStart w:id="70" w:name="_Ref405452954"/>
      <w:r w:rsidR="00C516F4">
        <w:rPr>
          <w:rFonts w:ascii="Arial" w:hAnsi="Arial" w:cs="Arial"/>
          <w:b/>
          <w:sz w:val="20"/>
          <w:szCs w:val="20"/>
        </w:rPr>
        <w:t>(including the Eligibility Questions)</w:t>
      </w:r>
    </w:p>
    <w:p w14:paraId="38FA4D86" w14:textId="7C97EC91" w:rsidR="00134D04" w:rsidRPr="006F1E47" w:rsidRDefault="00130B5F" w:rsidP="00134D04">
      <w:pPr>
        <w:pStyle w:val="Normal1"/>
        <w:numPr>
          <w:ilvl w:val="1"/>
          <w:numId w:val="24"/>
        </w:numPr>
        <w:tabs>
          <w:tab w:val="clear" w:pos="720"/>
          <w:tab w:val="num" w:pos="851"/>
        </w:tabs>
        <w:spacing w:before="240"/>
        <w:ind w:left="851" w:right="11" w:hanging="851"/>
        <w:jc w:val="both"/>
        <w:rPr>
          <w:rFonts w:ascii="Arial" w:eastAsia="Arial" w:hAnsi="Arial" w:cs="Arial"/>
          <w:sz w:val="20"/>
          <w:szCs w:val="20"/>
        </w:rPr>
      </w:pPr>
      <w:r w:rsidRPr="006F1E47">
        <w:rPr>
          <w:rFonts w:ascii="Arial" w:eastAsia="Arial" w:hAnsi="Arial" w:cs="Arial"/>
          <w:sz w:val="20"/>
          <w:szCs w:val="20"/>
        </w:rPr>
        <w:t>B</w:t>
      </w:r>
      <w:r w:rsidR="00134D04" w:rsidRPr="006F1E47">
        <w:rPr>
          <w:rFonts w:ascii="Arial" w:eastAsia="Arial" w:hAnsi="Arial" w:cs="Arial"/>
          <w:sz w:val="20"/>
          <w:szCs w:val="20"/>
        </w:rPr>
        <w:t xml:space="preserve">idders must </w:t>
      </w:r>
      <w:r w:rsidRPr="006F1E47">
        <w:rPr>
          <w:rFonts w:ascii="Arial" w:eastAsia="Arial" w:hAnsi="Arial" w:cs="Arial"/>
          <w:sz w:val="20"/>
          <w:szCs w:val="20"/>
        </w:rPr>
        <w:t>complete and submit</w:t>
      </w:r>
      <w:r w:rsidR="00134D04" w:rsidRPr="006F1E47">
        <w:rPr>
          <w:rFonts w:ascii="Arial" w:eastAsia="Arial" w:hAnsi="Arial" w:cs="Arial"/>
          <w:sz w:val="20"/>
          <w:szCs w:val="20"/>
        </w:rPr>
        <w:t xml:space="preserve"> the Ann</w:t>
      </w:r>
      <w:r w:rsidRPr="006F1E47">
        <w:rPr>
          <w:rFonts w:ascii="Arial" w:eastAsia="Arial" w:hAnsi="Arial" w:cs="Arial"/>
          <w:sz w:val="20"/>
          <w:szCs w:val="20"/>
        </w:rPr>
        <w:t>exes to Section B of the ITT. The Annexes</w:t>
      </w:r>
      <w:r w:rsidR="00134D04" w:rsidRPr="006F1E47">
        <w:rPr>
          <w:rFonts w:ascii="Arial" w:eastAsia="Arial" w:hAnsi="Arial" w:cs="Arial"/>
          <w:sz w:val="20"/>
          <w:szCs w:val="20"/>
        </w:rPr>
        <w:t xml:space="preserve"> must be submitted using the e-Tendering Portal. Bidders should ensure that they allow ple</w:t>
      </w:r>
      <w:r w:rsidRPr="006F1E47">
        <w:rPr>
          <w:rFonts w:ascii="Arial" w:eastAsia="Arial" w:hAnsi="Arial" w:cs="Arial"/>
          <w:sz w:val="20"/>
          <w:szCs w:val="20"/>
        </w:rPr>
        <w:t>nty of time to upload the Annexes</w:t>
      </w:r>
      <w:r w:rsidR="00134D04" w:rsidRPr="006F1E47">
        <w:rPr>
          <w:rFonts w:ascii="Arial" w:eastAsia="Arial" w:hAnsi="Arial" w:cs="Arial"/>
          <w:sz w:val="20"/>
          <w:szCs w:val="20"/>
        </w:rPr>
        <w:t xml:space="preserve">, particularly where there are large documents.  If Bidders have any problems with the e-Tendering Portal, they should contact the helpdesk on </w:t>
      </w:r>
      <w:r w:rsidR="00820B6B" w:rsidRPr="006F1E47">
        <w:rPr>
          <w:rFonts w:ascii="Arial" w:eastAsia="Arial" w:hAnsi="Arial" w:cs="Arial"/>
          <w:sz w:val="20"/>
          <w:szCs w:val="20"/>
        </w:rPr>
        <w:t xml:space="preserve">0800 </w:t>
      </w:r>
      <w:r w:rsidR="002529D8">
        <w:rPr>
          <w:rFonts w:ascii="Arial" w:eastAsia="Arial" w:hAnsi="Arial" w:cs="Arial"/>
          <w:sz w:val="20"/>
          <w:szCs w:val="20"/>
        </w:rPr>
        <w:t>995 6035</w:t>
      </w:r>
      <w:r w:rsidR="00134D04" w:rsidRPr="006F1E47">
        <w:rPr>
          <w:rFonts w:ascii="Arial" w:eastAsia="Arial" w:hAnsi="Arial" w:cs="Arial"/>
          <w:sz w:val="20"/>
          <w:szCs w:val="20"/>
        </w:rPr>
        <w:t xml:space="preserve">.  The helpline is open Monday to Friday between 10am and 4pm excluding public and bank holidays.  As noted above, any Tender </w:t>
      </w:r>
      <w:r w:rsidRPr="006F1E47">
        <w:rPr>
          <w:rFonts w:ascii="Arial" w:eastAsia="Arial" w:hAnsi="Arial" w:cs="Arial"/>
          <w:sz w:val="20"/>
          <w:szCs w:val="20"/>
        </w:rPr>
        <w:t xml:space="preserve">responses </w:t>
      </w:r>
      <w:r w:rsidR="00134D04" w:rsidRPr="006F1E47">
        <w:rPr>
          <w:rFonts w:ascii="Arial" w:eastAsia="Arial" w:hAnsi="Arial" w:cs="Arial"/>
          <w:sz w:val="20"/>
          <w:szCs w:val="20"/>
        </w:rPr>
        <w:t>received after the deadline may not be considered.</w:t>
      </w:r>
      <w:bookmarkEnd w:id="69"/>
      <w:bookmarkEnd w:id="70"/>
    </w:p>
    <w:p w14:paraId="20C738BF" w14:textId="1BB19392" w:rsidR="00E41C42" w:rsidRDefault="00E41C42" w:rsidP="004270D9">
      <w:pPr>
        <w:pStyle w:val="MRNumberedHeading2"/>
      </w:pPr>
      <w:r>
        <w:t xml:space="preserve">The maximum file size for uploading documents is </w:t>
      </w:r>
      <w:r w:rsidR="006F1E47" w:rsidRPr="00016C69">
        <w:t>20GB</w:t>
      </w:r>
      <w:r w:rsidRPr="00016C69">
        <w:t>.</w:t>
      </w:r>
      <w:r>
        <w:t xml:space="preserve">  You should split you</w:t>
      </w:r>
      <w:r w:rsidR="001B7E88">
        <w:t>r</w:t>
      </w:r>
      <w:r>
        <w:t xml:space="preserve"> Tender into small enough file sizes to upload.  Note: the Authority does not guarantee that you will </w:t>
      </w:r>
      <w:r w:rsidR="001B7E88">
        <w:t xml:space="preserve">be </w:t>
      </w:r>
      <w:r>
        <w:t>able to upload files up to the maximum size, particularly at busy times</w:t>
      </w:r>
      <w:r w:rsidR="00BD5DCC">
        <w:t xml:space="preserve">. </w:t>
      </w:r>
      <w:r>
        <w:t xml:space="preserve"> For t</w:t>
      </w:r>
      <w:r w:rsidR="001B7E88">
        <w:t>his reason it is recommended that</w:t>
      </w:r>
      <w:r>
        <w:t xml:space="preserve"> Bidders should ensure files are well below the maximum stated and allow plenty of time to upload, so they have enough time to resolve any technical difficulties before the deadline.</w:t>
      </w:r>
      <w:bookmarkEnd w:id="63"/>
    </w:p>
    <w:p w14:paraId="20C738C0" w14:textId="4ED2E39E" w:rsidR="00E62354" w:rsidRPr="000631C3" w:rsidRDefault="00FC24F6" w:rsidP="000631C3">
      <w:pPr>
        <w:pStyle w:val="MRNumberedHeading2"/>
        <w:tabs>
          <w:tab w:val="clear" w:pos="720"/>
          <w:tab w:val="num" w:pos="851"/>
        </w:tabs>
        <w:ind w:left="851" w:hanging="851"/>
        <w:rPr>
          <w:shd w:val="clear" w:color="auto" w:fill="FFFF66"/>
        </w:rPr>
      </w:pPr>
      <w:bookmarkStart w:id="71" w:name="_Toc403555125"/>
      <w:bookmarkStart w:id="72" w:name="_Ref405453188"/>
      <w:r w:rsidRPr="000631C3">
        <w:t>Bidders must adhere to the</w:t>
      </w:r>
      <w:r w:rsidR="00C27CC2" w:rsidRPr="000631C3">
        <w:t xml:space="preserve"> following</w:t>
      </w:r>
      <w:r w:rsidR="002869D0" w:rsidRPr="000631C3">
        <w:t xml:space="preserve"> standard</w:t>
      </w:r>
      <w:r w:rsidR="00C27CC2" w:rsidRPr="000631C3">
        <w:t xml:space="preserve"> requirements </w:t>
      </w:r>
      <w:r w:rsidR="00E62354" w:rsidRPr="000631C3">
        <w:t xml:space="preserve">when submitting </w:t>
      </w:r>
      <w:r w:rsidRPr="000631C3">
        <w:t>their</w:t>
      </w:r>
      <w:r w:rsidR="00E62354" w:rsidRPr="000631C3">
        <w:t xml:space="preserve"> </w:t>
      </w:r>
      <w:r w:rsidR="00C27CC2" w:rsidRPr="000631C3">
        <w:t>Tenders:</w:t>
      </w:r>
      <w:bookmarkEnd w:id="71"/>
      <w:bookmarkEnd w:id="72"/>
    </w:p>
    <w:p w14:paraId="20C738C2" w14:textId="0417579C" w:rsidR="00E62354" w:rsidRPr="000631C3" w:rsidRDefault="00C27CC2" w:rsidP="000631C3">
      <w:pPr>
        <w:pStyle w:val="MRNumberedHeading2"/>
        <w:numPr>
          <w:ilvl w:val="2"/>
          <w:numId w:val="24"/>
        </w:numPr>
        <w:shd w:val="clear" w:color="auto" w:fill="FFFFFF"/>
        <w:rPr>
          <w:rFonts w:eastAsia="Arial" w:cs="Arial"/>
          <w:color w:val="000000"/>
          <w:szCs w:val="20"/>
          <w:lang w:eastAsia="en-US"/>
        </w:rPr>
      </w:pPr>
      <w:r w:rsidRPr="000631C3">
        <w:rPr>
          <w:rFonts w:eastAsia="Arial" w:cs="Arial"/>
          <w:color w:val="000000"/>
          <w:szCs w:val="20"/>
          <w:lang w:eastAsia="en-US"/>
        </w:rPr>
        <w:t>The Tender must be in English</w:t>
      </w:r>
      <w:r w:rsidR="000631C3" w:rsidRPr="000631C3">
        <w:rPr>
          <w:rFonts w:eastAsia="Arial" w:cs="Arial"/>
          <w:color w:val="000000"/>
          <w:szCs w:val="20"/>
          <w:lang w:eastAsia="en-US"/>
        </w:rPr>
        <w:t>.</w:t>
      </w:r>
    </w:p>
    <w:p w14:paraId="20C738C8" w14:textId="755D8C1C" w:rsidR="00E62354" w:rsidRPr="000631C3" w:rsidRDefault="00F36F19" w:rsidP="000631C3">
      <w:pPr>
        <w:pStyle w:val="MRNumberedHeading2"/>
        <w:numPr>
          <w:ilvl w:val="2"/>
          <w:numId w:val="24"/>
        </w:numPr>
        <w:shd w:val="clear" w:color="auto" w:fill="FFFFFF"/>
        <w:rPr>
          <w:rFonts w:eastAsia="Arial" w:cs="Arial"/>
          <w:color w:val="000000"/>
          <w:szCs w:val="20"/>
          <w:lang w:eastAsia="en-US"/>
        </w:rPr>
      </w:pPr>
      <w:r w:rsidRPr="000631C3">
        <w:rPr>
          <w:rFonts w:eastAsia="Arial" w:cs="Arial"/>
          <w:color w:val="000000"/>
          <w:szCs w:val="20"/>
          <w:lang w:eastAsia="en-US"/>
        </w:rPr>
        <w:lastRenderedPageBreak/>
        <w:t>E</w:t>
      </w:r>
      <w:r w:rsidR="00C27CC2" w:rsidRPr="000631C3">
        <w:rPr>
          <w:rFonts w:eastAsia="Arial" w:cs="Arial"/>
          <w:color w:val="000000"/>
          <w:szCs w:val="20"/>
          <w:lang w:eastAsia="en-US"/>
        </w:rPr>
        <w:t xml:space="preserve">lectronic copies of the Tender shall be in </w:t>
      </w:r>
      <w:r w:rsidR="00353901">
        <w:rPr>
          <w:rFonts w:eastAsia="Arial" w:cs="Arial"/>
          <w:color w:val="000000"/>
          <w:szCs w:val="20"/>
          <w:lang w:eastAsia="en-US"/>
        </w:rPr>
        <w:t>either</w:t>
      </w:r>
      <w:r w:rsidR="00C27CC2" w:rsidRPr="000631C3">
        <w:rPr>
          <w:rFonts w:eastAsia="Arial" w:cs="Arial"/>
          <w:color w:val="000000"/>
          <w:szCs w:val="20"/>
          <w:lang w:eastAsia="en-US"/>
        </w:rPr>
        <w:t xml:space="preserve"> Microsoft </w:t>
      </w:r>
      <w:r w:rsidRPr="000631C3">
        <w:rPr>
          <w:rFonts w:eastAsia="Arial" w:cs="Arial"/>
          <w:color w:val="000000"/>
          <w:szCs w:val="20"/>
          <w:lang w:eastAsia="en-US"/>
        </w:rPr>
        <w:t xml:space="preserve">Office </w:t>
      </w:r>
      <w:r w:rsidR="009B1F2C">
        <w:rPr>
          <w:rFonts w:eastAsia="Arial" w:cs="Arial"/>
          <w:color w:val="000000"/>
          <w:szCs w:val="20"/>
          <w:lang w:eastAsia="en-US"/>
        </w:rPr>
        <w:t>or</w:t>
      </w:r>
      <w:r w:rsidRPr="000631C3">
        <w:rPr>
          <w:rFonts w:eastAsia="Arial" w:cs="Arial"/>
          <w:color w:val="000000"/>
          <w:szCs w:val="20"/>
          <w:lang w:eastAsia="en-US"/>
        </w:rPr>
        <w:t xml:space="preserve"> PDF formats</w:t>
      </w:r>
      <w:r w:rsidR="00C27CC2" w:rsidRPr="000631C3">
        <w:rPr>
          <w:rFonts w:eastAsia="Arial" w:cs="Arial"/>
          <w:color w:val="000000"/>
          <w:szCs w:val="20"/>
          <w:lang w:eastAsia="en-US"/>
        </w:rPr>
        <w:t>.</w:t>
      </w:r>
    </w:p>
    <w:p w14:paraId="20C738CB" w14:textId="3F9E9E0E" w:rsidR="007B6206" w:rsidRDefault="007B6206" w:rsidP="006B54D6">
      <w:pPr>
        <w:pStyle w:val="MRNumberedHeading2"/>
      </w:pPr>
      <w:bookmarkStart w:id="73" w:name="_Toc403555126"/>
      <w:r>
        <w:t xml:space="preserve">Where a word count limit is specified, </w:t>
      </w:r>
      <w:r w:rsidR="00CE39D1">
        <w:t xml:space="preserve">the </w:t>
      </w:r>
      <w:r>
        <w:t>Authority reserves the right not to consider any part of a response exceeding the word limit. Words included within diagrams or other graphic representations will count towards the word limit.</w:t>
      </w:r>
      <w:bookmarkEnd w:id="73"/>
      <w:r>
        <w:t xml:space="preserve">  </w:t>
      </w:r>
      <w:r w:rsidR="009B1F2C" w:rsidRPr="009B1F2C">
        <w:t xml:space="preserve">Use of Bullet Points is </w:t>
      </w:r>
      <w:r w:rsidR="009B1F2C">
        <w:t xml:space="preserve">therefore </w:t>
      </w:r>
      <w:r w:rsidR="009B1F2C" w:rsidRPr="009B1F2C">
        <w:t>encouraged.</w:t>
      </w:r>
    </w:p>
    <w:p w14:paraId="20C738CC" w14:textId="57CBAD1C" w:rsidR="00601937" w:rsidRDefault="00C27CC2" w:rsidP="006B54D6">
      <w:pPr>
        <w:pStyle w:val="MRNumberedHeading2"/>
      </w:pPr>
      <w:bookmarkStart w:id="74" w:name="_Toc403555127"/>
      <w:bookmarkStart w:id="75" w:name="_Ref405453197"/>
      <w:r>
        <w:t>The Tender must be clear, concise and complete. The Author</w:t>
      </w:r>
      <w:r w:rsidR="00C14D48">
        <w:t>ity reserves the right to mark</w:t>
      </w:r>
      <w:r>
        <w:t xml:space="preserve"> </w:t>
      </w:r>
      <w:r w:rsidR="00785DDF">
        <w:t>Bidder</w:t>
      </w:r>
      <w:r w:rsidR="00C14D48">
        <w:t>s</w:t>
      </w:r>
      <w:r>
        <w:t xml:space="preserve"> down or exclude them from the procurement if </w:t>
      </w:r>
      <w:r w:rsidR="00C14D48">
        <w:t xml:space="preserve">their Tenders are ambiguous or lack </w:t>
      </w:r>
      <w:r>
        <w:t xml:space="preserve">clarity. </w:t>
      </w:r>
      <w:r w:rsidR="00E7163F">
        <w:t>Bidders</w:t>
      </w:r>
      <w:r>
        <w:t xml:space="preserve"> should submit only such information as is necessary to respond effectively to this ITT. Unless specifically requested, </w:t>
      </w:r>
      <w:r w:rsidR="000E5C37">
        <w:t xml:space="preserve">do not include </w:t>
      </w:r>
      <w:r>
        <w:t>extraneous presentation materials</w:t>
      </w:r>
      <w:r w:rsidR="000E5C37">
        <w:t>.</w:t>
      </w:r>
      <w:bookmarkEnd w:id="74"/>
      <w:bookmarkEnd w:id="75"/>
      <w:r w:rsidR="000E5C37">
        <w:t xml:space="preserve"> </w:t>
      </w:r>
    </w:p>
    <w:p w14:paraId="20C738CD" w14:textId="4A76149F" w:rsidR="002471B4" w:rsidRDefault="00C27CC2" w:rsidP="006B54D6">
      <w:pPr>
        <w:pStyle w:val="MRNumberedHeading2"/>
      </w:pPr>
      <w:bookmarkStart w:id="76" w:name="_Toc403555128"/>
      <w:bookmarkStart w:id="77" w:name="_Ref412651999"/>
      <w:r>
        <w:t>Tenders will be evaluated on the basis o</w:t>
      </w:r>
      <w:r w:rsidR="00A7044C">
        <w:t>f information submitted by the d</w:t>
      </w:r>
      <w:r>
        <w:t>eadline.</w:t>
      </w:r>
      <w:bookmarkEnd w:id="76"/>
      <w:r w:rsidR="002F1591">
        <w:t xml:space="preserve"> </w:t>
      </w:r>
      <w:r w:rsidR="002F1591">
        <w:rPr>
          <w:color w:val="000000"/>
          <w:szCs w:val="20"/>
        </w:rPr>
        <w:t>Where information or documentation submitted appears to be incomplete or erroneous or specific documents are missing, the Authority reserves the right to request the Bidder to submit, supplement, clarify or complete the information or documentation.</w:t>
      </w:r>
      <w:bookmarkEnd w:id="77"/>
    </w:p>
    <w:p w14:paraId="20C738CE" w14:textId="77777777" w:rsidR="00C45A8E" w:rsidRDefault="0017043F" w:rsidP="006B54D6">
      <w:pPr>
        <w:pStyle w:val="MRNumberedHeading2"/>
      </w:pPr>
      <w:bookmarkStart w:id="78" w:name="_Toc403555129"/>
      <w:r>
        <w:t>The</w:t>
      </w:r>
      <w:r w:rsidR="00C27CC2">
        <w:t xml:space="preserve"> Tender must be signed by a duly authorised</w:t>
      </w:r>
      <w:r>
        <w:t xml:space="preserve"> representative of the </w:t>
      </w:r>
      <w:r w:rsidR="00637C62">
        <w:t>Bidder.</w:t>
      </w:r>
      <w:bookmarkEnd w:id="78"/>
      <w:r w:rsidR="00637C62">
        <w:t xml:space="preserve">  </w:t>
      </w:r>
    </w:p>
    <w:p w14:paraId="20C738D4" w14:textId="77777777" w:rsidR="00BA173E" w:rsidRPr="00276E1B" w:rsidRDefault="00430158" w:rsidP="004270D9">
      <w:pPr>
        <w:pStyle w:val="Heading1"/>
        <w:spacing w:before="240" w:after="0"/>
        <w:ind w:left="851"/>
      </w:pPr>
      <w:bookmarkStart w:id="79" w:name="_Toc403555134"/>
      <w:r w:rsidRPr="00276E1B">
        <w:rPr>
          <w:bCs/>
        </w:rPr>
        <w:t>Terms and conditions</w:t>
      </w:r>
      <w:bookmarkEnd w:id="79"/>
    </w:p>
    <w:p w14:paraId="20C738D5" w14:textId="77777777" w:rsidR="00B00C70" w:rsidRPr="00BA173E" w:rsidRDefault="00746CCF" w:rsidP="004270D9">
      <w:pPr>
        <w:pStyle w:val="MRNumberedHeading2"/>
        <w:rPr>
          <w:rFonts w:cs="Arial"/>
        </w:rPr>
      </w:pPr>
      <w:bookmarkStart w:id="80" w:name="_Toc403555135"/>
      <w:r>
        <w:t xml:space="preserve">The </w:t>
      </w:r>
      <w:r w:rsidR="0034181A">
        <w:t>c</w:t>
      </w:r>
      <w:r w:rsidR="00BF698B">
        <w:t>ontract will include the NHS Terms and C</w:t>
      </w:r>
      <w:r>
        <w:t>onditions set out in Annex A1.  It is vital that the Bidder review</w:t>
      </w:r>
      <w:r w:rsidR="0030746C">
        <w:t>s</w:t>
      </w:r>
      <w:r>
        <w:t xml:space="preserve"> these carefully, and take</w:t>
      </w:r>
      <w:r w:rsidR="0030746C">
        <w:t>s</w:t>
      </w:r>
      <w:r>
        <w:t xml:space="preserve"> account of all information such as TUPE, key performance indicators and insurance requirements and that the Tender fully takes account of these</w:t>
      </w:r>
      <w:r w:rsidR="00BA173E">
        <w:t xml:space="preserve">. By submitting a Tender, </w:t>
      </w:r>
      <w:r w:rsidR="00E7163F">
        <w:t>Bidders</w:t>
      </w:r>
      <w:r w:rsidR="00BA173E">
        <w:t xml:space="preserve"> are agreeing to</w:t>
      </w:r>
      <w:r w:rsidR="00B00C70">
        <w:t xml:space="preserve"> be bound by</w:t>
      </w:r>
      <w:r w:rsidR="00430158">
        <w:t xml:space="preserve"> the terms of this ITT and the </w:t>
      </w:r>
      <w:r w:rsidR="00693E67">
        <w:t>NHS Terms and Conditions</w:t>
      </w:r>
      <w:r w:rsidR="00B00C70">
        <w:t xml:space="preserve"> without further negotiation or amendment.</w:t>
      </w:r>
      <w:bookmarkEnd w:id="80"/>
    </w:p>
    <w:p w14:paraId="20C738D6" w14:textId="77777777" w:rsidR="002F23DC" w:rsidRPr="00276E1B" w:rsidRDefault="002F23DC" w:rsidP="004270D9">
      <w:pPr>
        <w:pStyle w:val="Heading1"/>
        <w:spacing w:before="240" w:after="0"/>
        <w:ind w:left="851"/>
      </w:pPr>
      <w:bookmarkStart w:id="81" w:name="_Toc403555136"/>
      <w:r w:rsidRPr="00276E1B">
        <w:t>Consortia and subcontractors</w:t>
      </w:r>
      <w:bookmarkEnd w:id="81"/>
      <w:r w:rsidRPr="00276E1B">
        <w:t xml:space="preserve"> </w:t>
      </w:r>
    </w:p>
    <w:p w14:paraId="20C738D7" w14:textId="1CF28FC3" w:rsidR="00BA173E" w:rsidRDefault="00746CCF" w:rsidP="004270D9">
      <w:pPr>
        <w:pStyle w:val="MRNumberedHeading2"/>
      </w:pPr>
      <w:bookmarkStart w:id="82" w:name="_Toc403555137"/>
      <w:bookmarkStart w:id="83" w:name="_Ref405453227"/>
      <w:r w:rsidRPr="003E3276">
        <w:t>If</w:t>
      </w:r>
      <w:r>
        <w:t xml:space="preserve"> the Bidder is a consortium or will rely on sub-contractors to deliver the contract, it must explain in its Tender precisely which entities will be the supplier.</w:t>
      </w:r>
      <w:bookmarkEnd w:id="82"/>
      <w:bookmarkEnd w:id="83"/>
    </w:p>
    <w:p w14:paraId="20C738D8" w14:textId="77777777" w:rsidR="00BA173E" w:rsidRDefault="002F23DC" w:rsidP="004270D9">
      <w:pPr>
        <w:pStyle w:val="MRNumberedHeading2"/>
      </w:pPr>
      <w:bookmarkStart w:id="84" w:name="_Toc403555138"/>
      <w:r w:rsidRPr="002F23DC">
        <w:t>For the purposes of this ITT, the following terms apply:</w:t>
      </w:r>
      <w:bookmarkEnd w:id="84"/>
    </w:p>
    <w:p w14:paraId="20C738D9" w14:textId="77777777" w:rsidR="00BA173E" w:rsidRDefault="00BA173E" w:rsidP="004270D9">
      <w:pPr>
        <w:pStyle w:val="MRNumberedHeading3"/>
        <w:numPr>
          <w:ilvl w:val="2"/>
          <w:numId w:val="23"/>
        </w:numPr>
        <w:tabs>
          <w:tab w:val="clear" w:pos="2214"/>
          <w:tab w:val="num" w:pos="1794"/>
        </w:tabs>
        <w:spacing w:line="240" w:lineRule="auto"/>
        <w:ind w:left="1702" w:hanging="851"/>
        <w:jc w:val="both"/>
      </w:pPr>
      <w:r>
        <w:rPr>
          <w:bCs/>
          <w:i/>
        </w:rPr>
        <w:t>Consortium arrangement -</w:t>
      </w:r>
      <w:r w:rsidR="002F23DC" w:rsidRPr="002F23DC">
        <w:t xml:space="preserve"> Groups of companies come together specifically for the purpose of bidding for appointment as the </w:t>
      </w:r>
      <w:r w:rsidR="005308BB">
        <w:t>supplier</w:t>
      </w:r>
      <w:r w:rsidR="002F23DC" w:rsidRPr="002F23DC">
        <w:t xml:space="preserve"> and envisage that they will establish a special purpose vehicle as the prime contracting party with the Authority.</w:t>
      </w:r>
    </w:p>
    <w:p w14:paraId="20C738DA" w14:textId="77777777" w:rsidR="002F23DC" w:rsidRPr="002F23DC" w:rsidRDefault="00BA173E" w:rsidP="004270D9">
      <w:pPr>
        <w:pStyle w:val="MRNumberedHeading3"/>
        <w:numPr>
          <w:ilvl w:val="2"/>
          <w:numId w:val="23"/>
        </w:numPr>
        <w:tabs>
          <w:tab w:val="clear" w:pos="2214"/>
          <w:tab w:val="num" w:pos="1794"/>
        </w:tabs>
        <w:spacing w:line="240" w:lineRule="auto"/>
        <w:ind w:left="1702" w:hanging="851"/>
        <w:jc w:val="both"/>
      </w:pPr>
      <w:r>
        <w:rPr>
          <w:bCs/>
          <w:i/>
        </w:rPr>
        <w:t xml:space="preserve">Subcontracting arrangement - </w:t>
      </w:r>
      <w:r w:rsidR="002F23DC" w:rsidRPr="002F23DC">
        <w:t xml:space="preserve">Groups of companies come together specifically for the purpose of bidding for appointment as the </w:t>
      </w:r>
      <w:r w:rsidR="005308BB">
        <w:t>supplier</w:t>
      </w:r>
      <w:r w:rsidR="002F23DC" w:rsidRPr="002F23DC">
        <w:t xml:space="preserve">, but envisage that one of their number will be the </w:t>
      </w:r>
      <w:r w:rsidR="005308BB">
        <w:t>supplier</w:t>
      </w:r>
      <w:r w:rsidR="002F23DC" w:rsidRPr="002F23DC">
        <w:t xml:space="preserve">, the remaining members of that group will be subcontractors to the </w:t>
      </w:r>
      <w:r w:rsidR="005308BB">
        <w:t>supplier</w:t>
      </w:r>
      <w:r w:rsidR="002F23DC" w:rsidRPr="002F23DC">
        <w:t>.</w:t>
      </w:r>
    </w:p>
    <w:p w14:paraId="20C738DB" w14:textId="77777777" w:rsidR="00746CCF" w:rsidRPr="008E6BB3" w:rsidRDefault="00746CCF" w:rsidP="004270D9">
      <w:pPr>
        <w:pStyle w:val="MRNumberedHeading2"/>
      </w:pPr>
      <w:bookmarkStart w:id="85" w:name="_Toc403555139"/>
      <w:r>
        <w:t>If the Bidder intends to sub-contract any material parts of the contract, it must explain which parts will be sub-con</w:t>
      </w:r>
      <w:r w:rsidR="00A60BD1">
        <w:t>tracted, who the sub-contractor</w:t>
      </w:r>
      <w:r w:rsidR="00BD5DCC">
        <w:t xml:space="preserve"> is, confirm</w:t>
      </w:r>
      <w:r>
        <w:t xml:space="preserve"> the sub-contractor has agreed terms of supply and what contractual commitment it has from the sub-contractor to deliver.</w:t>
      </w:r>
      <w:bookmarkEnd w:id="85"/>
    </w:p>
    <w:p w14:paraId="20C738DC" w14:textId="77777777" w:rsidR="002F23DC" w:rsidRPr="00276E1B" w:rsidRDefault="002F23DC" w:rsidP="00276E1B">
      <w:pPr>
        <w:pStyle w:val="Heading1"/>
        <w:spacing w:before="240" w:after="0"/>
        <w:ind w:left="851"/>
      </w:pPr>
      <w:bookmarkStart w:id="86" w:name="_Toc403555140"/>
      <w:r w:rsidRPr="00276E1B">
        <w:t>Warnings and disclaimers</w:t>
      </w:r>
      <w:bookmarkEnd w:id="86"/>
    </w:p>
    <w:p w14:paraId="20C738DD" w14:textId="77777777" w:rsidR="001B5F4F" w:rsidRDefault="001B5F4F" w:rsidP="006B54D6">
      <w:pPr>
        <w:pStyle w:val="MRNumberedHeading2"/>
      </w:pPr>
      <w:bookmarkStart w:id="87" w:name="_Toc403555141"/>
      <w:r>
        <w:t xml:space="preserve">While the information contained in this ITT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ITT (including its </w:t>
      </w:r>
      <w:r w:rsidR="007A3602">
        <w:t>annexes</w:t>
      </w:r>
      <w:r>
        <w:t xml:space="preserve">) and in respect of any other written or oral communication transmitted (or otherwise made available) to any </w:t>
      </w:r>
      <w:r w:rsidR="00785DDF">
        <w:t>Bidder</w:t>
      </w:r>
      <w:r>
        <w:t>. This exclusion does not extend to any fraudulent misrepresentation made by or on behalf of the Authority.</w:t>
      </w:r>
      <w:bookmarkEnd w:id="87"/>
    </w:p>
    <w:p w14:paraId="20C738DE" w14:textId="77777777" w:rsidR="001B5F4F" w:rsidRDefault="001B5F4F" w:rsidP="004270D9">
      <w:pPr>
        <w:pStyle w:val="MRNumberedHeading2"/>
      </w:pPr>
      <w:bookmarkStart w:id="88" w:name="_Toc403555142"/>
      <w:r>
        <w:lastRenderedPageBreak/>
        <w:t xml:space="preserve">If a </w:t>
      </w:r>
      <w:r w:rsidR="00785DDF">
        <w:t>Bidder</w:t>
      </w:r>
      <w:r w:rsidR="008E6BB3">
        <w:t xml:space="preserve"> proposes to enter into a c</w:t>
      </w:r>
      <w:r>
        <w:t>ontract with the Authority, it must rely on its own enquiries and on the terms</w:t>
      </w:r>
      <w:r w:rsidR="003A031F">
        <w:t xml:space="preserve"> and conditions set out in the c</w:t>
      </w:r>
      <w:r>
        <w:t>ontract(s) (as and when finally executed), subject to the limitations and restrictions specified in it.</w:t>
      </w:r>
      <w:bookmarkEnd w:id="88"/>
    </w:p>
    <w:p w14:paraId="20C738DF" w14:textId="77777777" w:rsidR="001B5F4F" w:rsidRDefault="001B5F4F" w:rsidP="006B54D6">
      <w:pPr>
        <w:pStyle w:val="MRNumberedHeading2"/>
      </w:pPr>
      <w:bookmarkStart w:id="89" w:name="_Toc403555143"/>
      <w:r>
        <w:t>Neither the issue of this ITT, nor any of the information presented in it, should be regarded as a commitment or representation on the part of the Authority (or any other person) to enter into a contractual arrangement.</w:t>
      </w:r>
      <w:bookmarkEnd w:id="89"/>
    </w:p>
    <w:p w14:paraId="20C738E0" w14:textId="77777777" w:rsidR="002F23DC" w:rsidRPr="00276E1B" w:rsidRDefault="001B5F4F" w:rsidP="00276E1B">
      <w:pPr>
        <w:pStyle w:val="Heading1"/>
        <w:spacing w:before="240" w:after="0"/>
        <w:ind w:left="851"/>
      </w:pPr>
      <w:bookmarkStart w:id="90" w:name="_Toc403555144"/>
      <w:r w:rsidRPr="00276E1B">
        <w:t>Freedom of Information Act 2000</w:t>
      </w:r>
      <w:r w:rsidR="008A56A2" w:rsidRPr="00276E1B">
        <w:t xml:space="preserve"> and Environmental Information Regulations 2004</w:t>
      </w:r>
      <w:bookmarkEnd w:id="90"/>
    </w:p>
    <w:p w14:paraId="20C738E1" w14:textId="77777777" w:rsidR="001664D9" w:rsidRPr="001375C3" w:rsidRDefault="001664D9" w:rsidP="006B54D6">
      <w:pPr>
        <w:pStyle w:val="MRNumberedHeading2"/>
      </w:pPr>
      <w:bookmarkStart w:id="91" w:name="_Toc403555145"/>
      <w:r w:rsidRPr="001375C3">
        <w:t>As a public body, the Authority</w:t>
      </w:r>
      <w:r w:rsidR="003219DA">
        <w:t xml:space="preserve"> is subject to, and must comply</w:t>
      </w:r>
      <w:r w:rsidRPr="001375C3">
        <w:t xml:space="preserve"> with</w:t>
      </w:r>
      <w:r w:rsidR="003219DA">
        <w:t>, the</w:t>
      </w:r>
      <w:r w:rsidRPr="001375C3">
        <w:t xml:space="preserve"> Freedom of Information Act 2000 ("</w:t>
      </w:r>
      <w:r w:rsidRPr="004C3605">
        <w:rPr>
          <w:b/>
          <w:bCs/>
        </w:rPr>
        <w:t>FOIA</w:t>
      </w:r>
      <w:r w:rsidRPr="001375C3">
        <w:rPr>
          <w:bCs/>
        </w:rPr>
        <w:t>"</w:t>
      </w:r>
      <w:bookmarkStart w:id="92" w:name="_Ref149547605"/>
      <w:r w:rsidR="00F10ACE">
        <w:t xml:space="preserve">) </w:t>
      </w:r>
      <w:r w:rsidR="00B80A50">
        <w:t>and the Environmental Information Regulations 2004 ("</w:t>
      </w:r>
      <w:r w:rsidR="00B80A50" w:rsidRPr="00B80A50">
        <w:rPr>
          <w:b/>
        </w:rPr>
        <w:t>EIR</w:t>
      </w:r>
      <w:r w:rsidR="00B80A50">
        <w:t>")</w:t>
      </w:r>
      <w:r w:rsidR="00F10ACE">
        <w:t>. T</w:t>
      </w:r>
      <w:r w:rsidRPr="001375C3">
        <w:t>he Authority may</w:t>
      </w:r>
      <w:r w:rsidR="00B80A50">
        <w:t xml:space="preserve"> therefore</w:t>
      </w:r>
      <w:r w:rsidRPr="001375C3">
        <w:t xml:space="preserve"> be required to disclose information submitted by the </w:t>
      </w:r>
      <w:r w:rsidR="00785DDF">
        <w:t>Bidder</w:t>
      </w:r>
      <w:r w:rsidRPr="001375C3">
        <w:t>.</w:t>
      </w:r>
      <w:bookmarkEnd w:id="91"/>
      <w:r w:rsidRPr="001375C3">
        <w:t xml:space="preserve"> </w:t>
      </w:r>
      <w:bookmarkEnd w:id="92"/>
    </w:p>
    <w:p w14:paraId="20C738E2" w14:textId="77777777" w:rsidR="001664D9" w:rsidRPr="001375C3" w:rsidRDefault="001664D9" w:rsidP="006B54D6">
      <w:pPr>
        <w:pStyle w:val="MRNumberedHeading2"/>
      </w:pPr>
      <w:bookmarkStart w:id="93" w:name="_Toc403555146"/>
      <w:r w:rsidRPr="001375C3">
        <w:t xml:space="preserve">In respect of any information submitted by a </w:t>
      </w:r>
      <w:r w:rsidR="00785DDF">
        <w:t>Bidder</w:t>
      </w:r>
      <w:r w:rsidRPr="001375C3">
        <w:t xml:space="preserve"> that it considers to be</w:t>
      </w:r>
      <w:r w:rsidR="00F10ACE">
        <w:t xml:space="preserve"> confidential or</w:t>
      </w:r>
      <w:r w:rsidRPr="001375C3">
        <w:t xml:space="preserve"> commercially sensitive the </w:t>
      </w:r>
      <w:r w:rsidR="00785DDF">
        <w:t>Bidder</w:t>
      </w:r>
      <w:r w:rsidRPr="001375C3">
        <w:t xml:space="preserve"> should:</w:t>
      </w:r>
      <w:bookmarkEnd w:id="93"/>
    </w:p>
    <w:p w14:paraId="20C738E3"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t>c</w:t>
      </w:r>
      <w:r w:rsidR="001664D9" w:rsidRPr="007301E9">
        <w:rPr>
          <w:bCs/>
        </w:rPr>
        <w:t>learly identify such information as</w:t>
      </w:r>
      <w:r w:rsidR="00F10ACE" w:rsidRPr="007301E9">
        <w:rPr>
          <w:bCs/>
        </w:rPr>
        <w:t xml:space="preserve"> confidential or</w:t>
      </w:r>
      <w:r w:rsidR="001664D9" w:rsidRPr="007301E9">
        <w:rPr>
          <w:bCs/>
        </w:rPr>
        <w:t xml:space="preserve"> commercially sensitive;</w:t>
      </w:r>
    </w:p>
    <w:p w14:paraId="20C738E4"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1664D9" w:rsidRPr="007301E9">
        <w:rPr>
          <w:bCs/>
        </w:rPr>
        <w:t>xplain its reasons why disclosure of such information would be likely to prejudice or would cause actual prejudice to its commercial interests; and</w:t>
      </w:r>
    </w:p>
    <w:p w14:paraId="20C738E5" w14:textId="77777777" w:rsidR="001664D9" w:rsidRPr="007301E9" w:rsidRDefault="004C3605" w:rsidP="004270D9">
      <w:pPr>
        <w:pStyle w:val="MRNumberedHeading3"/>
        <w:numPr>
          <w:ilvl w:val="2"/>
          <w:numId w:val="23"/>
        </w:numPr>
        <w:tabs>
          <w:tab w:val="clear" w:pos="2214"/>
          <w:tab w:val="num" w:pos="1794"/>
        </w:tabs>
        <w:spacing w:line="240" w:lineRule="auto"/>
        <w:ind w:left="1702" w:hanging="851"/>
        <w:jc w:val="both"/>
      </w:pPr>
      <w:r w:rsidRPr="007301E9">
        <w:rPr>
          <w:bCs/>
        </w:rPr>
        <w:t>p</w:t>
      </w:r>
      <w:r w:rsidR="001664D9" w:rsidRPr="007301E9">
        <w:rPr>
          <w:bCs/>
        </w:rPr>
        <w:t xml:space="preserve">rovide a reasoned estimate of the period of time during which the </w:t>
      </w:r>
      <w:r w:rsidR="00785DDF" w:rsidRPr="007301E9">
        <w:rPr>
          <w:bCs/>
        </w:rPr>
        <w:t>Bidder</w:t>
      </w:r>
      <w:r w:rsidR="001664D9" w:rsidRPr="007301E9">
        <w:rPr>
          <w:bCs/>
        </w:rPr>
        <w:t xml:space="preserve"> believes that</w:t>
      </w:r>
      <w:r w:rsidR="001664D9" w:rsidRPr="007301E9">
        <w:t xml:space="preserve"> such information will remain commercially sensitive.</w:t>
      </w:r>
    </w:p>
    <w:p w14:paraId="20C738E6" w14:textId="77777777" w:rsidR="001664D9" w:rsidRPr="001375C3" w:rsidRDefault="001664D9" w:rsidP="006B54D6">
      <w:pPr>
        <w:pStyle w:val="MRNumberedHeading2"/>
      </w:pPr>
      <w:bookmarkStart w:id="94" w:name="_Toc403555147"/>
      <w:r w:rsidRPr="001375C3">
        <w:t xml:space="preserve">This information must be listed in </w:t>
      </w:r>
      <w:r w:rsidR="007A3602">
        <w:t>Annex B5</w:t>
      </w:r>
      <w:r w:rsidR="008852C8" w:rsidRPr="001375C3">
        <w:t xml:space="preserve"> to </w:t>
      </w:r>
      <w:r w:rsidR="00DE48E3">
        <w:t>Section B</w:t>
      </w:r>
      <w:r w:rsidR="008852C8" w:rsidRPr="001375C3">
        <w:t xml:space="preserve"> of this ITT</w:t>
      </w:r>
      <w:r w:rsidRPr="001375C3">
        <w:t xml:space="preserve">, </w:t>
      </w:r>
      <w:r w:rsidR="00912243">
        <w:t xml:space="preserve">with a statement of which exemptions are relevant under FOIA and/or </w:t>
      </w:r>
      <w:r w:rsidR="00955490">
        <w:t xml:space="preserve">the </w:t>
      </w:r>
      <w:r w:rsidR="00912243">
        <w:t>EI</w:t>
      </w:r>
      <w:r w:rsidR="00955490">
        <w:t>R</w:t>
      </w:r>
      <w:r w:rsidR="004834F5" w:rsidRPr="001375C3">
        <w:t>.</w:t>
      </w:r>
      <w:bookmarkEnd w:id="94"/>
    </w:p>
    <w:p w14:paraId="20C738E7" w14:textId="77777777" w:rsidR="001664D9" w:rsidRPr="001375C3" w:rsidRDefault="001664D9" w:rsidP="006B54D6">
      <w:pPr>
        <w:pStyle w:val="MRNumberedHeading2"/>
      </w:pPr>
      <w:bookmarkStart w:id="95" w:name="_Ref149547621"/>
      <w:bookmarkStart w:id="96" w:name="_Toc403555148"/>
      <w:r w:rsidRPr="001375C3">
        <w:t xml:space="preserve">Where a </w:t>
      </w:r>
      <w:r w:rsidR="00785DDF">
        <w:t>Bidder</w:t>
      </w:r>
      <w:r w:rsidRPr="001375C3">
        <w:t xml:space="preserve"> identifies information as commercially sensitive, the Authority will take those views into account.  </w:t>
      </w:r>
      <w:r w:rsidR="00E7163F">
        <w:t>Bidders</w:t>
      </w:r>
      <w:r w:rsidRPr="001375C3">
        <w:t xml:space="preserve"> should note, however, that, even where information is identified as commercially sensitive, the Authority may </w:t>
      </w:r>
      <w:r w:rsidR="00F10ACE">
        <w:t xml:space="preserve">be </w:t>
      </w:r>
      <w:r w:rsidRPr="001375C3">
        <w:t>require</w:t>
      </w:r>
      <w:r w:rsidR="00F10ACE">
        <w:t>d to</w:t>
      </w:r>
      <w:r w:rsidRPr="001375C3">
        <w:t xml:space="preserve"> disclose such information in accordance with FOIA or the EIR.  Accordingly, the Authority cannot guarantee that </w:t>
      </w:r>
      <w:r w:rsidR="001C747B">
        <w:t>it will withhold</w:t>
      </w:r>
      <w:r w:rsidRPr="001375C3">
        <w:t xml:space="preserve"> inform</w:t>
      </w:r>
      <w:r w:rsidR="001C747B">
        <w:t>ation marked ‘confidential’, '</w:t>
      </w:r>
      <w:r w:rsidRPr="001375C3">
        <w:t>commer</w:t>
      </w:r>
      <w:r w:rsidR="001C747B">
        <w:t>cially sensitive'</w:t>
      </w:r>
      <w:r w:rsidRPr="001375C3">
        <w:t xml:space="preserve"> </w:t>
      </w:r>
      <w:bookmarkEnd w:id="95"/>
      <w:r w:rsidR="001C747B">
        <w:t>or otherwise exempt.</w:t>
      </w:r>
      <w:bookmarkEnd w:id="96"/>
    </w:p>
    <w:p w14:paraId="20C738E8" w14:textId="77777777" w:rsidR="00491808" w:rsidRPr="00276E1B" w:rsidRDefault="00491808" w:rsidP="00276E1B">
      <w:pPr>
        <w:pStyle w:val="Heading1"/>
        <w:spacing w:before="240" w:after="0"/>
        <w:ind w:left="851"/>
      </w:pPr>
      <w:bookmarkStart w:id="97" w:name="_Toc403555149"/>
      <w:r w:rsidRPr="00276E1B">
        <w:t>Publicity</w:t>
      </w:r>
      <w:bookmarkEnd w:id="97"/>
    </w:p>
    <w:p w14:paraId="20C738E9" w14:textId="77777777" w:rsidR="00491808" w:rsidRPr="00541CDA" w:rsidRDefault="00645517" w:rsidP="006B54D6">
      <w:pPr>
        <w:pStyle w:val="MRNumberedHeading2"/>
      </w:pPr>
      <w:bookmarkStart w:id="98" w:name="_Toc403555150"/>
      <w:r>
        <w:t>No publicity regarding the award of any c</w:t>
      </w:r>
      <w:r w:rsidR="00491808" w:rsidRPr="00541CDA">
        <w:t>ontract will be permitted unless and until the Authority has given express written consent to the relevant communication. For example, no statements may be made to the media regarding the nature of any Tender, its contents or any proposals relating to it without the prior written consent of the Authority.</w:t>
      </w:r>
      <w:bookmarkEnd w:id="98"/>
    </w:p>
    <w:p w14:paraId="20C738EA" w14:textId="77777777" w:rsidR="00491808" w:rsidRPr="00276E1B" w:rsidRDefault="00785DDF" w:rsidP="00276E1B">
      <w:pPr>
        <w:pStyle w:val="Heading1"/>
        <w:spacing w:before="240" w:after="0"/>
        <w:ind w:left="851"/>
      </w:pPr>
      <w:bookmarkStart w:id="99" w:name="a699927"/>
      <w:bookmarkStart w:id="100" w:name="_Toc403555151"/>
      <w:bookmarkEnd w:id="99"/>
      <w:r w:rsidRPr="00276E1B">
        <w:t>Bidder</w:t>
      </w:r>
      <w:r w:rsidR="00491808" w:rsidRPr="00276E1B">
        <w:t xml:space="preserve"> conduct and conflicts of interest</w:t>
      </w:r>
      <w:bookmarkEnd w:id="100"/>
    </w:p>
    <w:p w14:paraId="20C738EB" w14:textId="77777777" w:rsidR="00491808" w:rsidRPr="00491808" w:rsidRDefault="00491808" w:rsidP="006B54D6">
      <w:pPr>
        <w:pStyle w:val="MRNumberedHeading2"/>
      </w:pPr>
      <w:bookmarkStart w:id="101" w:name="_Toc403555152"/>
      <w:r w:rsidRPr="001A425A">
        <w:rPr>
          <w:u w:val="single"/>
        </w:rPr>
        <w:t xml:space="preserve">Any attempt by </w:t>
      </w:r>
      <w:r w:rsidR="00E7163F" w:rsidRPr="001A425A">
        <w:rPr>
          <w:u w:val="single"/>
        </w:rPr>
        <w:t>Bidders</w:t>
      </w:r>
      <w:r w:rsidRPr="001A425A">
        <w:rPr>
          <w:u w:val="single"/>
        </w:rPr>
        <w:t xml:space="preserve"> or their advisors to influence the contract award process in any way may result in the </w:t>
      </w:r>
      <w:r w:rsidR="00785DDF" w:rsidRPr="001A425A">
        <w:rPr>
          <w:u w:val="single"/>
        </w:rPr>
        <w:t>Bidder</w:t>
      </w:r>
      <w:r w:rsidRPr="001A425A">
        <w:rPr>
          <w:u w:val="single"/>
        </w:rPr>
        <w:t xml:space="preserve"> being disqualified</w:t>
      </w:r>
      <w:r w:rsidRPr="00491808">
        <w:t xml:space="preserve">. Specifically, </w:t>
      </w:r>
      <w:r w:rsidR="00E7163F">
        <w:t>Bidders</w:t>
      </w:r>
      <w:r w:rsidRPr="00491808">
        <w:t xml:space="preserve"> shall not directly or indirectly at any time:</w:t>
      </w:r>
      <w:bookmarkEnd w:id="101"/>
    </w:p>
    <w:p w14:paraId="20C738EC"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evise or amend the content of their Tender in accordance with any agreement or arrangement with any other person, other than in good faith with a person who is a proposed partner, supplier, consortiu</w:t>
      </w:r>
      <w:r w:rsidRPr="007301E9">
        <w:rPr>
          <w:bCs/>
        </w:rPr>
        <w:t xml:space="preserve">m member or provider of finance; </w:t>
      </w:r>
    </w:p>
    <w:p w14:paraId="20C738ED"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nter into any agreement or arrangement with any other person as to th</w:t>
      </w:r>
      <w:r w:rsidR="00CC4072">
        <w:rPr>
          <w:bCs/>
        </w:rPr>
        <w:t>e form or content of any other T</w:t>
      </w:r>
      <w:r w:rsidR="00491808" w:rsidRPr="007301E9">
        <w:rPr>
          <w:bCs/>
        </w:rPr>
        <w:t>ender, or offer to pay any sum of money or valuable consideration to any person to effect changes to the form</w:t>
      </w:r>
      <w:r w:rsidR="00CC4072">
        <w:rPr>
          <w:bCs/>
        </w:rPr>
        <w:t xml:space="preserve"> or content of any other T</w:t>
      </w:r>
      <w:r w:rsidRPr="007301E9">
        <w:rPr>
          <w:bCs/>
        </w:rPr>
        <w:t xml:space="preserve">ender; </w:t>
      </w:r>
    </w:p>
    <w:p w14:paraId="20C738EE"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e</w:t>
      </w:r>
      <w:r w:rsidR="00491808" w:rsidRPr="007301E9">
        <w:rPr>
          <w:bCs/>
        </w:rPr>
        <w:t xml:space="preserve">nter into any agreement or arrangement with any other person that has the effect of prohibiting or excluding that </w:t>
      </w:r>
      <w:r w:rsidR="00CE2FEF" w:rsidRPr="007301E9">
        <w:rPr>
          <w:bCs/>
        </w:rPr>
        <w:t xml:space="preserve">person from submitting </w:t>
      </w:r>
      <w:r w:rsidR="00CC4072">
        <w:rPr>
          <w:bCs/>
        </w:rPr>
        <w:t>a T</w:t>
      </w:r>
      <w:r w:rsidRPr="007301E9">
        <w:rPr>
          <w:bCs/>
        </w:rPr>
        <w:t>ender;</w:t>
      </w:r>
    </w:p>
    <w:p w14:paraId="20C738EF"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lastRenderedPageBreak/>
        <w:t>c</w:t>
      </w:r>
      <w:r w:rsidR="00491808" w:rsidRPr="007301E9">
        <w:rPr>
          <w:bCs/>
        </w:rPr>
        <w:t xml:space="preserve">anvass the Authority or any employees or agents of the Authority </w:t>
      </w:r>
      <w:r w:rsidRPr="007301E9">
        <w:rPr>
          <w:bCs/>
        </w:rPr>
        <w:t>in relation to this procurement; and/or</w:t>
      </w:r>
    </w:p>
    <w:p w14:paraId="20C738F0" w14:textId="77777777" w:rsidR="00645517"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a</w:t>
      </w:r>
      <w:r w:rsidR="00491808" w:rsidRPr="007301E9">
        <w:rPr>
          <w:bCs/>
        </w:rPr>
        <w:t xml:space="preserve">ttempt to obtain information from any of the employees or agents of the Authority or their advisors concerning another </w:t>
      </w:r>
      <w:r w:rsidR="0035766D">
        <w:rPr>
          <w:bCs/>
        </w:rPr>
        <w:t>B</w:t>
      </w:r>
      <w:r w:rsidR="00785DDF" w:rsidRPr="007301E9">
        <w:rPr>
          <w:bCs/>
        </w:rPr>
        <w:t>idder</w:t>
      </w:r>
      <w:r w:rsidR="0035766D">
        <w:rPr>
          <w:bCs/>
        </w:rPr>
        <w:t xml:space="preserve"> or T</w:t>
      </w:r>
      <w:r w:rsidR="00491808" w:rsidRPr="007301E9">
        <w:rPr>
          <w:bCs/>
        </w:rPr>
        <w:t>ender</w:t>
      </w:r>
      <w:r w:rsidR="00F10ACE" w:rsidRPr="007301E9">
        <w:rPr>
          <w:bCs/>
        </w:rPr>
        <w:t xml:space="preserve"> (except for debrief information requests made through the</w:t>
      </w:r>
      <w:r w:rsidR="006C6F4A">
        <w:rPr>
          <w:bCs/>
        </w:rPr>
        <w:t xml:space="preserve"> e-Tendering</w:t>
      </w:r>
      <w:r w:rsidR="00F10ACE" w:rsidRPr="007301E9">
        <w:rPr>
          <w:bCs/>
        </w:rPr>
        <w:t xml:space="preserve"> </w:t>
      </w:r>
      <w:r w:rsidR="004230E7">
        <w:rPr>
          <w:bCs/>
        </w:rPr>
        <w:t>Portal</w:t>
      </w:r>
      <w:r w:rsidR="00F10ACE" w:rsidRPr="007301E9">
        <w:rPr>
          <w:bCs/>
        </w:rPr>
        <w:t>)</w:t>
      </w:r>
      <w:r w:rsidR="00491808" w:rsidRPr="007301E9">
        <w:rPr>
          <w:bCs/>
        </w:rPr>
        <w:t>.</w:t>
      </w:r>
    </w:p>
    <w:p w14:paraId="20C738F1" w14:textId="77777777" w:rsidR="00491808" w:rsidRPr="00645517" w:rsidRDefault="00E7163F" w:rsidP="0035766D">
      <w:pPr>
        <w:pStyle w:val="MRNumberedHeading2"/>
      </w:pPr>
      <w:bookmarkStart w:id="102" w:name="_Toc403555153"/>
      <w:r>
        <w:t>Bidders</w:t>
      </w:r>
      <w:r w:rsidR="00491808" w:rsidRPr="00645517">
        <w:t xml:space="preserve"> are responsible for ensuring that no conflicts of interest exist between the </w:t>
      </w:r>
      <w:r w:rsidR="00785DDF">
        <w:t>Bidder</w:t>
      </w:r>
      <w:r w:rsidR="00491808" w:rsidRPr="00645517">
        <w:t xml:space="preserve"> and its advisers, and the Authority and its advisors. </w:t>
      </w:r>
      <w:r w:rsidR="00E2328D">
        <w:t xml:space="preserve">Bidders should notify the Authority promptly of any possible conflict and the proposed steps that the Bidder believes can be </w:t>
      </w:r>
      <w:r w:rsidR="009A32E3">
        <w:t>taken to avoid</w:t>
      </w:r>
      <w:r w:rsidR="00BD4D8C">
        <w:t xml:space="preserve"> the conflict. </w:t>
      </w:r>
      <w:r w:rsidR="007B6206" w:rsidRPr="00645517">
        <w:t xml:space="preserve">Any </w:t>
      </w:r>
      <w:r w:rsidR="007B6206">
        <w:t>Bidder who fails to comply with these</w:t>
      </w:r>
      <w:r w:rsidR="007B6206" w:rsidRPr="00645517">
        <w:t xml:space="preserve"> requirement</w:t>
      </w:r>
      <w:r w:rsidR="007B6206">
        <w:t>s</w:t>
      </w:r>
      <w:r w:rsidR="007B6206" w:rsidRPr="00645517">
        <w:t xml:space="preserve"> may be </w:t>
      </w:r>
      <w:r w:rsidR="007B6206">
        <w:t>excluded</w:t>
      </w:r>
      <w:r w:rsidR="007B6206" w:rsidRPr="00645517">
        <w:t xml:space="preserve"> from the procurement at the discretion of the Authority.</w:t>
      </w:r>
      <w:bookmarkEnd w:id="102"/>
      <w:r w:rsidR="007B6206">
        <w:t xml:space="preserve">  </w:t>
      </w:r>
      <w:r w:rsidR="00BD4D8C">
        <w:t xml:space="preserve"> </w:t>
      </w:r>
      <w:r w:rsidR="00E2328D">
        <w:t xml:space="preserve"> </w:t>
      </w:r>
    </w:p>
    <w:p w14:paraId="20C738F2" w14:textId="77777777" w:rsidR="00491808" w:rsidRPr="00491808" w:rsidRDefault="00491808" w:rsidP="0035766D">
      <w:pPr>
        <w:pStyle w:val="Heading1"/>
        <w:spacing w:before="240" w:after="0"/>
        <w:ind w:left="851"/>
      </w:pPr>
      <w:bookmarkStart w:id="103" w:name="a582432"/>
      <w:bookmarkStart w:id="104" w:name="_Toc403555154"/>
      <w:bookmarkEnd w:id="103"/>
      <w:r w:rsidRPr="00491808">
        <w:t>Authority's rights</w:t>
      </w:r>
      <w:bookmarkEnd w:id="104"/>
    </w:p>
    <w:p w14:paraId="20C738F3" w14:textId="77777777" w:rsidR="00491808" w:rsidRPr="00491808" w:rsidRDefault="008D2128" w:rsidP="0035766D">
      <w:pPr>
        <w:pStyle w:val="MRNumberedHeading2"/>
      </w:pPr>
      <w:bookmarkStart w:id="105" w:name="_Toc403555155"/>
      <w:r>
        <w:t>Subject to its obligations to act in a transparent, proportionate and non-discriminatory manner, t</w:t>
      </w:r>
      <w:r w:rsidR="00491808" w:rsidRPr="00491808">
        <w:t>he Authority reserves the right to:</w:t>
      </w:r>
      <w:bookmarkEnd w:id="105"/>
    </w:p>
    <w:p w14:paraId="20C738F4"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aive or change the requirements of this ITT from time to time</w:t>
      </w:r>
      <w:r w:rsidRPr="007301E9">
        <w:rPr>
          <w:bCs/>
        </w:rPr>
        <w:t>;</w:t>
      </w:r>
    </w:p>
    <w:p w14:paraId="20C738F5"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s</w:t>
      </w:r>
      <w:r w:rsidR="00491808" w:rsidRPr="007301E9">
        <w:rPr>
          <w:bCs/>
        </w:rPr>
        <w:t>eek clarification or documents in res</w:t>
      </w:r>
      <w:r w:rsidRPr="007301E9">
        <w:rPr>
          <w:bCs/>
        </w:rPr>
        <w:t xml:space="preserve">pect of a </w:t>
      </w:r>
      <w:r w:rsidR="00785DDF" w:rsidRPr="007301E9">
        <w:rPr>
          <w:bCs/>
        </w:rPr>
        <w:t>Bidder</w:t>
      </w:r>
      <w:r w:rsidRPr="007301E9">
        <w:rPr>
          <w:bCs/>
        </w:rPr>
        <w:t>'s submission;</w:t>
      </w:r>
    </w:p>
    <w:p w14:paraId="20C738F6"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does not submit a compliant Tender in accordance wi</w:t>
      </w:r>
      <w:r w:rsidRPr="007301E9">
        <w:rPr>
          <w:bCs/>
        </w:rPr>
        <w:t>th the instructions in this ITT;</w:t>
      </w:r>
    </w:p>
    <w:p w14:paraId="20C738F7"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d</w:t>
      </w:r>
      <w:r w:rsidR="00491808" w:rsidRPr="007301E9">
        <w:rPr>
          <w:bCs/>
        </w:rPr>
        <w:t xml:space="preserve">isqualify any </w:t>
      </w:r>
      <w:r w:rsidR="00785DDF" w:rsidRPr="007301E9">
        <w:rPr>
          <w:bCs/>
        </w:rPr>
        <w:t>Bidder</w:t>
      </w:r>
      <w:r w:rsidR="00491808" w:rsidRPr="007301E9">
        <w:rPr>
          <w:bCs/>
        </w:rPr>
        <w:t xml:space="preserve"> that is guilty of serious misrepresent</w:t>
      </w:r>
      <w:r w:rsidR="007A3602">
        <w:rPr>
          <w:bCs/>
        </w:rPr>
        <w:t>ation in relation to its Tender</w:t>
      </w:r>
      <w:r w:rsidR="00491808" w:rsidRPr="007301E9">
        <w:rPr>
          <w:bCs/>
        </w:rPr>
        <w:t xml:space="preserve"> </w:t>
      </w:r>
      <w:r w:rsidR="00CC4072">
        <w:rPr>
          <w:bCs/>
        </w:rPr>
        <w:t>or the T</w:t>
      </w:r>
      <w:r w:rsidRPr="007301E9">
        <w:rPr>
          <w:bCs/>
        </w:rPr>
        <w:t>ender process;</w:t>
      </w:r>
    </w:p>
    <w:p w14:paraId="20C738F8"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w</w:t>
      </w:r>
      <w:r w:rsidR="00491808" w:rsidRPr="007301E9">
        <w:rPr>
          <w:bCs/>
        </w:rPr>
        <w:t>ithdraw this ITT at any time, or re-invite Tenders on th</w:t>
      </w:r>
      <w:r w:rsidRPr="007301E9">
        <w:rPr>
          <w:bCs/>
        </w:rPr>
        <w:t xml:space="preserve">e same or any alternative basis; </w:t>
      </w:r>
    </w:p>
    <w:p w14:paraId="20C738F9" w14:textId="77777777" w:rsidR="00491808" w:rsidRPr="007301E9" w:rsidRDefault="00645517" w:rsidP="0035766D">
      <w:pPr>
        <w:pStyle w:val="MRNumberedHeading3"/>
        <w:numPr>
          <w:ilvl w:val="2"/>
          <w:numId w:val="23"/>
        </w:numPr>
        <w:tabs>
          <w:tab w:val="clear" w:pos="2214"/>
          <w:tab w:val="num" w:pos="1794"/>
        </w:tabs>
        <w:spacing w:line="240" w:lineRule="auto"/>
        <w:ind w:left="1702" w:hanging="851"/>
        <w:jc w:val="both"/>
        <w:rPr>
          <w:bCs/>
        </w:rPr>
      </w:pPr>
      <w:r w:rsidRPr="007301E9">
        <w:rPr>
          <w:bCs/>
        </w:rPr>
        <w:t>choose not to award any c</w:t>
      </w:r>
      <w:r w:rsidR="00491808" w:rsidRPr="007301E9">
        <w:rPr>
          <w:bCs/>
        </w:rPr>
        <w:t xml:space="preserve">ontract as a result of the </w:t>
      </w:r>
      <w:r w:rsidRPr="007301E9">
        <w:rPr>
          <w:bCs/>
        </w:rPr>
        <w:t>current procurement process; and</w:t>
      </w:r>
    </w:p>
    <w:p w14:paraId="20C738FA" w14:textId="77777777" w:rsidR="00491808" w:rsidRPr="007301E9" w:rsidRDefault="00645517" w:rsidP="004270D9">
      <w:pPr>
        <w:pStyle w:val="MRNumberedHeading3"/>
        <w:numPr>
          <w:ilvl w:val="2"/>
          <w:numId w:val="23"/>
        </w:numPr>
        <w:tabs>
          <w:tab w:val="clear" w:pos="2214"/>
          <w:tab w:val="num" w:pos="1794"/>
        </w:tabs>
        <w:spacing w:line="240" w:lineRule="auto"/>
        <w:ind w:left="1702" w:hanging="851"/>
        <w:jc w:val="both"/>
        <w:rPr>
          <w:bCs/>
        </w:rPr>
      </w:pPr>
      <w:r w:rsidRPr="007301E9">
        <w:rPr>
          <w:bCs/>
        </w:rPr>
        <w:t>m</w:t>
      </w:r>
      <w:r w:rsidR="00491808" w:rsidRPr="007301E9">
        <w:rPr>
          <w:bCs/>
        </w:rPr>
        <w:t>ake whate</w:t>
      </w:r>
      <w:r w:rsidRPr="007301E9">
        <w:rPr>
          <w:bCs/>
        </w:rPr>
        <w:t>ver changes it sees fit to the t</w:t>
      </w:r>
      <w:r w:rsidR="00491808" w:rsidRPr="007301E9">
        <w:rPr>
          <w:bCs/>
        </w:rPr>
        <w:t>imetable, structure or content of the procurem</w:t>
      </w:r>
      <w:r w:rsidR="006B3EFA" w:rsidRPr="007301E9">
        <w:rPr>
          <w:bCs/>
        </w:rPr>
        <w:t>ent process</w:t>
      </w:r>
      <w:r w:rsidR="00491808" w:rsidRPr="007301E9">
        <w:rPr>
          <w:bCs/>
        </w:rPr>
        <w:t>.</w:t>
      </w:r>
    </w:p>
    <w:p w14:paraId="20C738FB" w14:textId="77777777" w:rsidR="00491808" w:rsidRPr="00491808" w:rsidRDefault="00491808" w:rsidP="00276E1B">
      <w:pPr>
        <w:pStyle w:val="Heading1"/>
        <w:spacing w:before="240" w:after="0"/>
        <w:ind w:left="851"/>
      </w:pPr>
      <w:bookmarkStart w:id="106" w:name="a934916"/>
      <w:bookmarkStart w:id="107" w:name="_Toc403555156"/>
      <w:bookmarkEnd w:id="106"/>
      <w:r w:rsidRPr="00491808">
        <w:t>Bid costs</w:t>
      </w:r>
      <w:bookmarkEnd w:id="107"/>
    </w:p>
    <w:p w14:paraId="20C738FC" w14:textId="77777777" w:rsidR="0022652F" w:rsidRDefault="00491808" w:rsidP="006B54D6">
      <w:pPr>
        <w:pStyle w:val="MRNumberedHeading2"/>
      </w:pPr>
      <w:bookmarkStart w:id="108" w:name="_Toc403555157"/>
      <w:r w:rsidRPr="00491808">
        <w:t xml:space="preserve">The Authority will not be liable for any bid costs, expenditure, work or effort incurred by a </w:t>
      </w:r>
      <w:r w:rsidR="00785DDF">
        <w:t>Bidder</w:t>
      </w:r>
      <w:r w:rsidRPr="00491808">
        <w:t xml:space="preserve"> in proceeding with or participating in this procurement, including if the procurement process is terminated or amended by the Authority.</w:t>
      </w:r>
      <w:bookmarkEnd w:id="108"/>
    </w:p>
    <w:p w14:paraId="20C738FD" w14:textId="77777777" w:rsidR="00491808" w:rsidRPr="00276E1B" w:rsidRDefault="00491808" w:rsidP="00276E1B">
      <w:pPr>
        <w:pStyle w:val="Heading1"/>
        <w:spacing w:before="240" w:after="0"/>
        <w:ind w:left="851"/>
      </w:pPr>
      <w:bookmarkStart w:id="109" w:name="_Toc403555158"/>
      <w:r w:rsidRPr="00276E1B">
        <w:t>Language</w:t>
      </w:r>
      <w:bookmarkEnd w:id="109"/>
    </w:p>
    <w:p w14:paraId="20C738FE" w14:textId="77777777" w:rsidR="006534CF" w:rsidRDefault="00491808" w:rsidP="006B54D6">
      <w:pPr>
        <w:pStyle w:val="MRNumberedHeading2"/>
      </w:pPr>
      <w:bookmarkStart w:id="110" w:name="_Toc403555159"/>
      <w:r w:rsidRPr="00A24900">
        <w:t xml:space="preserve">Tenders, all documents and all </w:t>
      </w:r>
      <w:r w:rsidR="003219DA">
        <w:t>correspondence relating to the T</w:t>
      </w:r>
      <w:r w:rsidRPr="00A24900">
        <w:t>ender must be written in English.</w:t>
      </w:r>
      <w:bookmarkEnd w:id="110"/>
    </w:p>
    <w:p w14:paraId="20C738FF" w14:textId="706E5B5C" w:rsidR="00F35E09" w:rsidRPr="00276E1B" w:rsidRDefault="00F35E09" w:rsidP="00276E1B">
      <w:pPr>
        <w:pStyle w:val="Heading1"/>
        <w:spacing w:before="240" w:after="0"/>
        <w:ind w:left="851"/>
      </w:pPr>
      <w:bookmarkStart w:id="111" w:name="_Toc403555160"/>
      <w:r w:rsidRPr="00276E1B">
        <w:t>Transparency</w:t>
      </w:r>
      <w:bookmarkEnd w:id="111"/>
      <w:r w:rsidRPr="00276E1B">
        <w:t xml:space="preserve">  </w:t>
      </w:r>
    </w:p>
    <w:p w14:paraId="20C73900" w14:textId="77777777" w:rsidR="00F35E09" w:rsidRDefault="00F35E09" w:rsidP="006B54D6">
      <w:pPr>
        <w:pStyle w:val="MRNumberedHeading2"/>
      </w:pPr>
      <w:bookmarkStart w:id="112" w:name="_Toc403555161"/>
      <w:bookmarkStart w:id="113" w:name="_Ref405453244"/>
      <w:r>
        <w:t>In accordance with the</w:t>
      </w:r>
      <w:r w:rsidR="005A5EF5">
        <w:t xml:space="preserve"> Public Contracts Regulations 2015 and the</w:t>
      </w:r>
      <w:r>
        <w:t xml:space="preserve"> Government’s policy on transparency, Bidders should be aware that the Authority intends to make the ITT and </w:t>
      </w:r>
      <w:r w:rsidR="00DC6E9A">
        <w:t xml:space="preserve">details of </w:t>
      </w:r>
      <w:r>
        <w:t xml:space="preserve">any subsequent contract publicly available, by </w:t>
      </w:r>
      <w:r w:rsidR="00DC6E9A">
        <w:t>publication</w:t>
      </w:r>
      <w:r>
        <w:t xml:space="preserve"> on the Government</w:t>
      </w:r>
      <w:bookmarkEnd w:id="112"/>
      <w:bookmarkEnd w:id="113"/>
      <w:r w:rsidR="009D5F0B">
        <w:t>'s Contracts Finder portal.</w:t>
      </w:r>
    </w:p>
    <w:p w14:paraId="20C73901" w14:textId="77777777" w:rsidR="00236A55" w:rsidRPr="00276E1B" w:rsidRDefault="00236A55" w:rsidP="00276E1B">
      <w:pPr>
        <w:pStyle w:val="Heading1"/>
        <w:spacing w:before="240" w:after="0"/>
        <w:ind w:left="851"/>
      </w:pPr>
      <w:bookmarkStart w:id="114" w:name="_Toc403555162"/>
      <w:r w:rsidRPr="00276E1B">
        <w:lastRenderedPageBreak/>
        <w:t>Governing Law and Jurisdiction</w:t>
      </w:r>
      <w:bookmarkEnd w:id="114"/>
      <w:r w:rsidRPr="00276E1B">
        <w:t xml:space="preserve"> </w:t>
      </w:r>
    </w:p>
    <w:p w14:paraId="20C73902" w14:textId="77777777" w:rsidR="004E71FF" w:rsidRPr="005A2E47" w:rsidRDefault="00236A55" w:rsidP="006B54D6">
      <w:pPr>
        <w:pStyle w:val="MRNumberedHeading2"/>
      </w:pPr>
      <w:bookmarkStart w:id="115" w:name="_Toc403555163"/>
      <w:r>
        <w:t>This ITT and any dispute concerning it (including non-contractual disputes or claims) shall be governed by English law and subject to the jurisdiction of the English Courts</w:t>
      </w:r>
      <w:bookmarkEnd w:id="115"/>
      <w:r w:rsidR="007A3602">
        <w:t>.</w:t>
      </w:r>
    </w:p>
    <w:p w14:paraId="3F1A371D" w14:textId="77777777" w:rsidR="00181236" w:rsidRDefault="00181236">
      <w:pPr>
        <w:spacing w:after="240"/>
        <w:jc w:val="left"/>
        <w:rPr>
          <w:rFonts w:eastAsia="Calibri" w:cs="Arial"/>
          <w:b/>
          <w:lang w:eastAsia="en-GB"/>
        </w:rPr>
      </w:pPr>
      <w:bookmarkStart w:id="116" w:name="_Toc403556504"/>
      <w:bookmarkStart w:id="117" w:name="_Toc403556509"/>
      <w:bookmarkStart w:id="118" w:name="_Toc406674972"/>
      <w:bookmarkStart w:id="119" w:name="_Toc412621214"/>
      <w:bookmarkStart w:id="120" w:name="_Toc412715224"/>
      <w:r>
        <w:br w:type="page"/>
      </w:r>
    </w:p>
    <w:p w14:paraId="20C73903" w14:textId="4A5BCED2" w:rsidR="008824CC" w:rsidRPr="008F3D2C" w:rsidRDefault="008731E8" w:rsidP="0035766D">
      <w:pPr>
        <w:pStyle w:val="MRNumberedHeading1"/>
        <w:numPr>
          <w:ilvl w:val="0"/>
          <w:numId w:val="24"/>
        </w:numPr>
        <w:ind w:hanging="798"/>
        <w:jc w:val="both"/>
        <w:rPr>
          <w:sz w:val="20"/>
          <w:szCs w:val="20"/>
        </w:rPr>
      </w:pPr>
      <w:r w:rsidRPr="008F3D2C">
        <w:rPr>
          <w:sz w:val="20"/>
          <w:szCs w:val="20"/>
        </w:rPr>
        <w:lastRenderedPageBreak/>
        <w:t>TENDER EVALUATION METHODOLOGY AND CRITERIA</w:t>
      </w:r>
      <w:bookmarkEnd w:id="116"/>
      <w:bookmarkEnd w:id="117"/>
      <w:bookmarkEnd w:id="118"/>
      <w:bookmarkEnd w:id="119"/>
      <w:bookmarkEnd w:id="120"/>
      <w:r w:rsidRPr="008F3D2C">
        <w:rPr>
          <w:sz w:val="20"/>
          <w:szCs w:val="20"/>
        </w:rPr>
        <w:t xml:space="preserve"> </w:t>
      </w:r>
    </w:p>
    <w:p w14:paraId="20C73904" w14:textId="77777777" w:rsidR="008824CC" w:rsidRDefault="00277BB6" w:rsidP="0035766D">
      <w:pPr>
        <w:pStyle w:val="Heading1"/>
        <w:spacing w:before="240" w:after="0"/>
        <w:ind w:left="851"/>
      </w:pPr>
      <w:bookmarkStart w:id="121" w:name="_Toc403555164"/>
      <w:r>
        <w:t>Overview</w:t>
      </w:r>
      <w:bookmarkEnd w:id="121"/>
    </w:p>
    <w:p w14:paraId="20C73905" w14:textId="77777777" w:rsidR="00BF48A1" w:rsidRDefault="00BF48A1" w:rsidP="0035766D">
      <w:pPr>
        <w:pStyle w:val="MRNumberedHeading2"/>
      </w:pPr>
      <w:bookmarkStart w:id="122" w:name="_Toc403555165"/>
      <w:r>
        <w:t>T</w:t>
      </w:r>
      <w:r w:rsidRPr="003E3276">
        <w:t>h</w:t>
      </w:r>
      <w:r>
        <w:t>is section of the ITT sets out the criteria that the Authority will use to ev</w:t>
      </w:r>
      <w:r w:rsidR="006A3BFB">
        <w:t>aluate Tenders</w:t>
      </w:r>
      <w:r w:rsidR="00FB21E9">
        <w:t>.</w:t>
      </w:r>
      <w:bookmarkEnd w:id="122"/>
    </w:p>
    <w:p w14:paraId="20C73906" w14:textId="77777777" w:rsidR="00FB21E9" w:rsidRDefault="00FB21E9" w:rsidP="0035766D">
      <w:pPr>
        <w:pStyle w:val="MRNumberedHeading2"/>
      </w:pPr>
      <w:bookmarkStart w:id="123" w:name="_Toc403555166"/>
      <w:r>
        <w:t>Bidders</w:t>
      </w:r>
      <w:r w:rsidRPr="00A51144">
        <w:t xml:space="preserve"> are required to submit a Tender strictly in accordance with the requirements set out in this ITT, to ensure the Authority has the correct information to make the evaluation. </w:t>
      </w:r>
      <w:r w:rsidR="00F10ACE">
        <w:t xml:space="preserve">If a </w:t>
      </w:r>
      <w:r w:rsidR="007B6206">
        <w:t>T</w:t>
      </w:r>
      <w:r w:rsidR="00F10ACE">
        <w:t>ender is equivocal or unclear, the Authority may deduct marks when scoring it, or it may</w:t>
      </w:r>
      <w:r w:rsidR="00B853EE">
        <w:t xml:space="preserve"> treat the Tender as non-complia</w:t>
      </w:r>
      <w:r w:rsidR="00F10ACE">
        <w:t>nt and reject it.</w:t>
      </w:r>
      <w:bookmarkEnd w:id="123"/>
    </w:p>
    <w:p w14:paraId="20C73907" w14:textId="77777777" w:rsidR="00C14AA9" w:rsidRDefault="00C14AA9" w:rsidP="0035766D">
      <w:pPr>
        <w:pStyle w:val="MRNumberedHeading2"/>
      </w:pPr>
      <w:bookmarkStart w:id="124" w:name="_Toc403555167"/>
      <w:r>
        <w:t>The Authority will award the contract to the Tender that scores the highest marks, applying the methodology below. Scoring will be carried out as follows:</w:t>
      </w:r>
      <w:bookmarkEnd w:id="124"/>
      <w:r>
        <w:t xml:space="preserve"> </w:t>
      </w:r>
    </w:p>
    <w:p w14:paraId="20C73908" w14:textId="4299EF07" w:rsidR="00C14AA9" w:rsidRDefault="0001507C" w:rsidP="0035766D">
      <w:pPr>
        <w:pStyle w:val="MRNumberedHeading3"/>
        <w:numPr>
          <w:ilvl w:val="2"/>
          <w:numId w:val="23"/>
        </w:numPr>
        <w:tabs>
          <w:tab w:val="clear" w:pos="2214"/>
          <w:tab w:val="num" w:pos="1794"/>
        </w:tabs>
        <w:spacing w:line="240" w:lineRule="auto"/>
        <w:ind w:left="1702" w:hanging="851"/>
        <w:jc w:val="both"/>
      </w:pPr>
      <w:r>
        <w:t>The Bidder must pass all Eligibility Q</w:t>
      </w:r>
      <w:r w:rsidR="00C14AA9">
        <w:t>uesti</w:t>
      </w:r>
      <w:r>
        <w:t>ons.</w:t>
      </w:r>
    </w:p>
    <w:p w14:paraId="20C73909" w14:textId="3120E172" w:rsidR="00C14AA9" w:rsidRDefault="00C14AA9" w:rsidP="0035766D">
      <w:pPr>
        <w:pStyle w:val="MRNumberedHeading3"/>
        <w:numPr>
          <w:ilvl w:val="2"/>
          <w:numId w:val="23"/>
        </w:numPr>
        <w:tabs>
          <w:tab w:val="clear" w:pos="2214"/>
          <w:tab w:val="num" w:pos="1794"/>
        </w:tabs>
        <w:spacing w:line="240" w:lineRule="auto"/>
        <w:ind w:left="1702" w:hanging="851"/>
        <w:jc w:val="both"/>
      </w:pPr>
      <w:bookmarkStart w:id="125" w:name="_Ref406761853"/>
      <w:r>
        <w:t>The Authority will then mark Annex B3</w:t>
      </w:r>
      <w:r w:rsidR="009D5F0B">
        <w:t xml:space="preserve"> </w:t>
      </w:r>
      <w:r>
        <w:t>(</w:t>
      </w:r>
      <w:r w:rsidR="0034181A">
        <w:t>Tender Response Document</w:t>
      </w:r>
      <w:r>
        <w:t>) ("</w:t>
      </w:r>
      <w:r w:rsidRPr="004B6544">
        <w:rPr>
          <w:b/>
        </w:rPr>
        <w:t>Scored Questions</w:t>
      </w:r>
      <w:r>
        <w:t>") for all B</w:t>
      </w:r>
      <w:r w:rsidR="000E363E">
        <w:t>idders that pass all the Eligibi</w:t>
      </w:r>
      <w:r>
        <w:t>l</w:t>
      </w:r>
      <w:r w:rsidR="000E363E">
        <w:t>i</w:t>
      </w:r>
      <w:r>
        <w:t>ty Questions.</w:t>
      </w:r>
      <w:bookmarkEnd w:id="125"/>
      <w:r>
        <w:t xml:space="preserve"> </w:t>
      </w:r>
    </w:p>
    <w:p w14:paraId="20C7390A" w14:textId="77777777" w:rsidR="00C14AA9" w:rsidRDefault="00C14AA9" w:rsidP="0035766D">
      <w:pPr>
        <w:pStyle w:val="MRNumberedHeading2"/>
      </w:pPr>
      <w:bookmarkStart w:id="126" w:name="_Toc403555168"/>
      <w:r>
        <w:t xml:space="preserve">The Authority will mark Eligibility Questions as described in paragraphs </w:t>
      </w:r>
      <w:r w:rsidR="00A77338">
        <w:fldChar w:fldCharType="begin"/>
      </w:r>
      <w:r w:rsidR="00A77338">
        <w:instrText xml:space="preserve"> REF _Ref403484377 \r \h </w:instrText>
      </w:r>
      <w:r w:rsidR="0035766D">
        <w:instrText xml:space="preserve"> \* MERGEFORMAT </w:instrText>
      </w:r>
      <w:r w:rsidR="00A77338">
        <w:fldChar w:fldCharType="separate"/>
      </w:r>
      <w:r w:rsidR="00181236">
        <w:t>4.5</w:t>
      </w:r>
      <w:r w:rsidR="00A77338">
        <w:fldChar w:fldCharType="end"/>
      </w:r>
      <w:r w:rsidR="00A77338">
        <w:t xml:space="preserve"> to </w:t>
      </w:r>
      <w:r w:rsidR="00A77338">
        <w:fldChar w:fldCharType="begin"/>
      </w:r>
      <w:r w:rsidR="00A77338">
        <w:instrText xml:space="preserve"> REF _Ref403484379 \r \h </w:instrText>
      </w:r>
      <w:r w:rsidR="0035766D">
        <w:instrText xml:space="preserve"> \* MERGEFORMAT </w:instrText>
      </w:r>
      <w:r w:rsidR="00A77338">
        <w:fldChar w:fldCharType="separate"/>
      </w:r>
      <w:r w:rsidR="00181236">
        <w:t>4.7</w:t>
      </w:r>
      <w:r w:rsidR="00A77338">
        <w:fldChar w:fldCharType="end"/>
      </w:r>
      <w:r w:rsidR="00A77338">
        <w:t xml:space="preserve"> </w:t>
      </w:r>
      <w:r>
        <w:t xml:space="preserve">below.  It will mark the Scored Questions as described in paragraphs </w:t>
      </w:r>
      <w:r w:rsidR="00A77338">
        <w:fldChar w:fldCharType="begin"/>
      </w:r>
      <w:r w:rsidR="00A77338">
        <w:instrText xml:space="preserve"> REF _Ref403401459 \r \h </w:instrText>
      </w:r>
      <w:r w:rsidR="0035766D">
        <w:instrText xml:space="preserve"> \* MERGEFORMAT </w:instrText>
      </w:r>
      <w:r w:rsidR="00A77338">
        <w:fldChar w:fldCharType="separate"/>
      </w:r>
      <w:r w:rsidR="00181236">
        <w:t>4.8</w:t>
      </w:r>
      <w:r w:rsidR="00A77338">
        <w:fldChar w:fldCharType="end"/>
      </w:r>
      <w:r w:rsidR="00A77338">
        <w:t xml:space="preserve"> to </w:t>
      </w:r>
      <w:r w:rsidR="00A77338">
        <w:fldChar w:fldCharType="begin"/>
      </w:r>
      <w:r w:rsidR="00A77338">
        <w:instrText xml:space="preserve"> REF _Ref403484421 \r \h </w:instrText>
      </w:r>
      <w:r w:rsidR="0035766D">
        <w:instrText xml:space="preserve"> \* MERGEFORMAT </w:instrText>
      </w:r>
      <w:r w:rsidR="00A77338">
        <w:fldChar w:fldCharType="separate"/>
      </w:r>
      <w:r w:rsidR="00181236">
        <w:t>4.14</w:t>
      </w:r>
      <w:bookmarkEnd w:id="126"/>
      <w:r w:rsidR="00A77338">
        <w:fldChar w:fldCharType="end"/>
      </w:r>
      <w:r>
        <w:t xml:space="preserve"> </w:t>
      </w:r>
    </w:p>
    <w:p w14:paraId="20C7390B" w14:textId="77777777" w:rsidR="00C14AA9" w:rsidRDefault="00C14AA9" w:rsidP="0035766D">
      <w:pPr>
        <w:pStyle w:val="Heading1"/>
        <w:spacing w:before="240" w:after="0"/>
        <w:ind w:left="851"/>
      </w:pPr>
      <w:bookmarkStart w:id="127" w:name="_Toc403555169"/>
      <w:r>
        <w:t>Criteria – Eligibility Questions</w:t>
      </w:r>
      <w:bookmarkEnd w:id="127"/>
    </w:p>
    <w:p w14:paraId="298C4E44" w14:textId="77777777" w:rsidR="00994051" w:rsidRDefault="00C14AA9" w:rsidP="00994051">
      <w:pPr>
        <w:pStyle w:val="MRNumberedHeading2"/>
      </w:pPr>
      <w:bookmarkStart w:id="128" w:name="_Ref403484377"/>
      <w:bookmarkStart w:id="129" w:name="_Toc403555170"/>
      <w:r>
        <w:t>The Authority will score Eligibility Questions on the following basis:</w:t>
      </w:r>
      <w:bookmarkEnd w:id="128"/>
      <w:bookmarkEnd w:id="129"/>
    </w:p>
    <w:p w14:paraId="20C7390D" w14:textId="06A35588" w:rsidR="00CF3319" w:rsidRPr="00B44E25" w:rsidRDefault="00CF3319" w:rsidP="00994051">
      <w:pPr>
        <w:pStyle w:val="MRNumberedHeading2"/>
        <w:numPr>
          <w:ilvl w:val="0"/>
          <w:numId w:val="0"/>
        </w:numPr>
        <w:ind w:left="851"/>
      </w:pPr>
      <w:r>
        <w:br/>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2"/>
        <w:gridCol w:w="2847"/>
        <w:gridCol w:w="2781"/>
      </w:tblGrid>
      <w:tr w:rsidR="00505AD7" w:rsidRPr="00440F01" w14:paraId="20C73910" w14:textId="0C88902E" w:rsidTr="008A1ABF">
        <w:tc>
          <w:tcPr>
            <w:tcW w:w="2332" w:type="dxa"/>
            <w:shd w:val="clear" w:color="auto" w:fill="A6A6A6"/>
          </w:tcPr>
          <w:p w14:paraId="20C7390E" w14:textId="77777777" w:rsidR="00505AD7" w:rsidRPr="00440F01" w:rsidRDefault="00505AD7" w:rsidP="00C14AA9">
            <w:pPr>
              <w:spacing w:after="240"/>
              <w:outlineLvl w:val="2"/>
              <w:rPr>
                <w:color w:val="000000"/>
              </w:rPr>
            </w:pPr>
            <w:r>
              <w:rPr>
                <w:color w:val="000000"/>
              </w:rPr>
              <w:t>Eligibility Questions</w:t>
            </w:r>
            <w:r w:rsidRPr="00440F01">
              <w:rPr>
                <w:color w:val="000000"/>
              </w:rPr>
              <w:t xml:space="preserve"> </w:t>
            </w:r>
          </w:p>
        </w:tc>
        <w:tc>
          <w:tcPr>
            <w:tcW w:w="2847" w:type="dxa"/>
            <w:shd w:val="clear" w:color="auto" w:fill="A6A6A6"/>
          </w:tcPr>
          <w:p w14:paraId="20C7390F" w14:textId="77777777" w:rsidR="00505AD7" w:rsidRPr="00440F01" w:rsidRDefault="00505AD7" w:rsidP="00C14AA9">
            <w:pPr>
              <w:spacing w:after="240"/>
              <w:outlineLvl w:val="2"/>
              <w:rPr>
                <w:color w:val="000000"/>
              </w:rPr>
            </w:pPr>
            <w:r w:rsidRPr="00440F01">
              <w:rPr>
                <w:color w:val="000000"/>
              </w:rPr>
              <w:t>Selection criteria</w:t>
            </w:r>
          </w:p>
        </w:tc>
        <w:tc>
          <w:tcPr>
            <w:tcW w:w="2781" w:type="dxa"/>
            <w:shd w:val="clear" w:color="auto" w:fill="A6A6A6"/>
          </w:tcPr>
          <w:p w14:paraId="6E0FE975" w14:textId="5B65FA9A" w:rsidR="00505AD7" w:rsidRPr="00440F01" w:rsidRDefault="00505AD7" w:rsidP="00C14AA9">
            <w:pPr>
              <w:spacing w:after="240"/>
              <w:outlineLvl w:val="2"/>
              <w:rPr>
                <w:color w:val="000000"/>
              </w:rPr>
            </w:pPr>
            <w:r>
              <w:rPr>
                <w:color w:val="000000"/>
              </w:rPr>
              <w:t>Self-Certify</w:t>
            </w:r>
          </w:p>
        </w:tc>
      </w:tr>
      <w:tr w:rsidR="00505AD7" w:rsidRPr="00440F01" w14:paraId="20C73913" w14:textId="737C28E8" w:rsidTr="008A1ABF">
        <w:tc>
          <w:tcPr>
            <w:tcW w:w="2332" w:type="dxa"/>
            <w:shd w:val="clear" w:color="auto" w:fill="auto"/>
          </w:tcPr>
          <w:p w14:paraId="20C73911" w14:textId="62339CAB" w:rsidR="00505AD7" w:rsidRPr="00994051" w:rsidRDefault="00B37EF8" w:rsidP="00994051">
            <w:pPr>
              <w:spacing w:after="240"/>
              <w:outlineLvl w:val="2"/>
              <w:rPr>
                <w:color w:val="000000"/>
              </w:rPr>
            </w:pPr>
            <w:r>
              <w:rPr>
                <w:color w:val="000000"/>
              </w:rPr>
              <w:t xml:space="preserve">Part 1 </w:t>
            </w:r>
            <w:r w:rsidR="00505AD7" w:rsidRPr="00994051">
              <w:rPr>
                <w:color w:val="000000"/>
              </w:rPr>
              <w:t>Section 1:</w:t>
            </w:r>
            <w:r w:rsidR="00505AD7">
              <w:rPr>
                <w:color w:val="000000"/>
              </w:rPr>
              <w:t xml:space="preserve"> Potential supplier information</w:t>
            </w:r>
          </w:p>
        </w:tc>
        <w:tc>
          <w:tcPr>
            <w:tcW w:w="2847" w:type="dxa"/>
            <w:shd w:val="clear" w:color="auto" w:fill="auto"/>
          </w:tcPr>
          <w:p w14:paraId="20C73912" w14:textId="77777777" w:rsidR="00505AD7" w:rsidRPr="00440F01" w:rsidRDefault="00505AD7" w:rsidP="00C14AA9">
            <w:pPr>
              <w:spacing w:after="240"/>
              <w:outlineLvl w:val="2"/>
              <w:rPr>
                <w:color w:val="000000"/>
              </w:rPr>
            </w:pPr>
            <w:r>
              <w:rPr>
                <w:color w:val="000000"/>
              </w:rPr>
              <w:t>For information only</w:t>
            </w:r>
          </w:p>
        </w:tc>
        <w:tc>
          <w:tcPr>
            <w:tcW w:w="2781" w:type="dxa"/>
          </w:tcPr>
          <w:p w14:paraId="7D3A52C6" w14:textId="724BC673" w:rsidR="00505AD7" w:rsidRDefault="00505AD7" w:rsidP="00C14AA9">
            <w:pPr>
              <w:spacing w:after="240"/>
              <w:outlineLvl w:val="2"/>
              <w:rPr>
                <w:color w:val="000000"/>
              </w:rPr>
            </w:pPr>
            <w:r>
              <w:rPr>
                <w:color w:val="000000"/>
              </w:rPr>
              <w:t>N/A</w:t>
            </w:r>
          </w:p>
        </w:tc>
      </w:tr>
      <w:tr w:rsidR="00505AD7" w:rsidRPr="00440F01" w14:paraId="20C73916" w14:textId="418677EE" w:rsidTr="008A1ABF">
        <w:tc>
          <w:tcPr>
            <w:tcW w:w="2332" w:type="dxa"/>
            <w:shd w:val="clear" w:color="auto" w:fill="auto"/>
          </w:tcPr>
          <w:p w14:paraId="20C73914" w14:textId="6D4EFEB0" w:rsidR="00505AD7" w:rsidRPr="00994051" w:rsidRDefault="00B37EF8" w:rsidP="00994051">
            <w:pPr>
              <w:tabs>
                <w:tab w:val="left" w:pos="317"/>
              </w:tabs>
              <w:spacing w:after="240"/>
              <w:outlineLvl w:val="2"/>
              <w:rPr>
                <w:color w:val="000000"/>
              </w:rPr>
            </w:pPr>
            <w:r>
              <w:rPr>
                <w:color w:val="000000"/>
              </w:rPr>
              <w:t xml:space="preserve">Part 2 </w:t>
            </w:r>
            <w:r w:rsidR="00505AD7">
              <w:rPr>
                <w:color w:val="000000"/>
              </w:rPr>
              <w:t xml:space="preserve">Section 2: </w:t>
            </w:r>
            <w:r w:rsidR="00505AD7" w:rsidRPr="00994051">
              <w:rPr>
                <w:color w:val="000000"/>
              </w:rPr>
              <w:t>Grounds for mandatory exclusion</w:t>
            </w:r>
          </w:p>
        </w:tc>
        <w:tc>
          <w:tcPr>
            <w:tcW w:w="2847" w:type="dxa"/>
            <w:shd w:val="clear" w:color="auto" w:fill="auto"/>
          </w:tcPr>
          <w:p w14:paraId="20C73915" w14:textId="77777777" w:rsidR="00505AD7" w:rsidRPr="00440F01" w:rsidRDefault="00505AD7" w:rsidP="00C14AA9">
            <w:pPr>
              <w:spacing w:after="240"/>
              <w:outlineLvl w:val="2"/>
              <w:rPr>
                <w:color w:val="000000"/>
              </w:rPr>
            </w:pPr>
            <w:r w:rsidRPr="00440F01">
              <w:rPr>
                <w:color w:val="000000"/>
              </w:rPr>
              <w:t>Pass or Fail</w:t>
            </w:r>
          </w:p>
        </w:tc>
        <w:tc>
          <w:tcPr>
            <w:tcW w:w="2781" w:type="dxa"/>
          </w:tcPr>
          <w:p w14:paraId="5EB3C4FE" w14:textId="6009282E" w:rsidR="00505AD7" w:rsidRPr="00440F01" w:rsidRDefault="00505AD7" w:rsidP="00C14AA9">
            <w:pPr>
              <w:spacing w:after="240"/>
              <w:outlineLvl w:val="2"/>
              <w:rPr>
                <w:color w:val="000000"/>
              </w:rPr>
            </w:pPr>
            <w:r>
              <w:rPr>
                <w:color w:val="000000"/>
              </w:rPr>
              <w:t xml:space="preserve">Yes </w:t>
            </w:r>
          </w:p>
        </w:tc>
      </w:tr>
      <w:tr w:rsidR="00505AD7" w:rsidRPr="00440F01" w14:paraId="20C73919" w14:textId="319934D1" w:rsidTr="008A1ABF">
        <w:tc>
          <w:tcPr>
            <w:tcW w:w="2332" w:type="dxa"/>
            <w:shd w:val="clear" w:color="auto" w:fill="auto"/>
          </w:tcPr>
          <w:p w14:paraId="20C73917" w14:textId="24E37CED" w:rsidR="00505AD7" w:rsidRPr="00994051" w:rsidRDefault="00B37EF8" w:rsidP="00994051">
            <w:pPr>
              <w:spacing w:after="240"/>
              <w:outlineLvl w:val="2"/>
              <w:rPr>
                <w:color w:val="000000"/>
              </w:rPr>
            </w:pPr>
            <w:r>
              <w:rPr>
                <w:color w:val="000000"/>
              </w:rPr>
              <w:t xml:space="preserve">Part 2 </w:t>
            </w:r>
            <w:r w:rsidR="00505AD7" w:rsidRPr="00994051">
              <w:rPr>
                <w:color w:val="000000"/>
              </w:rPr>
              <w:t xml:space="preserve">Section 3: Grounds for discretionary exclusion </w:t>
            </w:r>
          </w:p>
        </w:tc>
        <w:tc>
          <w:tcPr>
            <w:tcW w:w="2847" w:type="dxa"/>
            <w:shd w:val="clear" w:color="auto" w:fill="auto"/>
          </w:tcPr>
          <w:p w14:paraId="20C73918" w14:textId="77777777" w:rsidR="00505AD7" w:rsidRPr="00440F01" w:rsidRDefault="00505AD7" w:rsidP="00C14AA9">
            <w:pPr>
              <w:spacing w:after="240"/>
              <w:outlineLvl w:val="2"/>
              <w:rPr>
                <w:color w:val="000000"/>
              </w:rPr>
            </w:pPr>
            <w:r w:rsidRPr="00440F01">
              <w:rPr>
                <w:color w:val="000000"/>
              </w:rPr>
              <w:t>Pass or Fail</w:t>
            </w:r>
          </w:p>
        </w:tc>
        <w:tc>
          <w:tcPr>
            <w:tcW w:w="2781" w:type="dxa"/>
          </w:tcPr>
          <w:p w14:paraId="5D8C0905" w14:textId="5A575708" w:rsidR="00505AD7" w:rsidRPr="00440F01" w:rsidRDefault="00505AD7" w:rsidP="00C14AA9">
            <w:pPr>
              <w:spacing w:after="240"/>
              <w:outlineLvl w:val="2"/>
              <w:rPr>
                <w:color w:val="000000"/>
              </w:rPr>
            </w:pPr>
            <w:r>
              <w:rPr>
                <w:color w:val="000000"/>
              </w:rPr>
              <w:t xml:space="preserve">Yes </w:t>
            </w:r>
          </w:p>
        </w:tc>
      </w:tr>
      <w:tr w:rsidR="00505AD7" w:rsidRPr="00440F01" w14:paraId="790AF828" w14:textId="6042EF83" w:rsidTr="008A1ABF">
        <w:tc>
          <w:tcPr>
            <w:tcW w:w="2332" w:type="dxa"/>
            <w:shd w:val="clear" w:color="auto" w:fill="auto"/>
          </w:tcPr>
          <w:p w14:paraId="56035A41" w14:textId="06C5D706" w:rsidR="00505AD7" w:rsidRPr="00994051" w:rsidRDefault="00B37EF8" w:rsidP="00994051">
            <w:pPr>
              <w:spacing w:after="240"/>
              <w:outlineLvl w:val="2"/>
              <w:rPr>
                <w:color w:val="000000"/>
              </w:rPr>
            </w:pPr>
            <w:r>
              <w:rPr>
                <w:color w:val="000000"/>
              </w:rPr>
              <w:t xml:space="preserve">Part 3 </w:t>
            </w:r>
            <w:r w:rsidR="00505AD7">
              <w:rPr>
                <w:color w:val="000000"/>
              </w:rPr>
              <w:t>Section 4 and 5: Economic and Financial Standing</w:t>
            </w:r>
          </w:p>
        </w:tc>
        <w:tc>
          <w:tcPr>
            <w:tcW w:w="2847" w:type="dxa"/>
            <w:shd w:val="clear" w:color="auto" w:fill="auto"/>
          </w:tcPr>
          <w:p w14:paraId="28BDF103" w14:textId="77777777" w:rsidR="00505AD7" w:rsidRPr="009B2C0F" w:rsidRDefault="00505AD7" w:rsidP="00C14AA9">
            <w:pPr>
              <w:spacing w:after="240"/>
              <w:outlineLvl w:val="2"/>
              <w:rPr>
                <w:color w:val="000000"/>
              </w:rPr>
            </w:pPr>
            <w:r w:rsidRPr="009B2C0F">
              <w:rPr>
                <w:color w:val="000000"/>
              </w:rPr>
              <w:t>Pass or Fail</w:t>
            </w:r>
          </w:p>
          <w:p w14:paraId="59AA65A9" w14:textId="5B2AF12C" w:rsidR="00260C2B" w:rsidRPr="009B2C0F" w:rsidRDefault="00260C2B" w:rsidP="009B2C0F">
            <w:pPr>
              <w:spacing w:after="240"/>
              <w:jc w:val="left"/>
              <w:outlineLvl w:val="2"/>
              <w:rPr>
                <w:color w:val="000000"/>
              </w:rPr>
            </w:pPr>
          </w:p>
        </w:tc>
        <w:tc>
          <w:tcPr>
            <w:tcW w:w="2781" w:type="dxa"/>
          </w:tcPr>
          <w:p w14:paraId="02EB679C" w14:textId="63B2C471" w:rsidR="00505AD7" w:rsidRPr="00B35665" w:rsidRDefault="00505AD7" w:rsidP="00C14AA9">
            <w:pPr>
              <w:spacing w:after="240"/>
              <w:outlineLvl w:val="2"/>
              <w:rPr>
                <w:color w:val="000000"/>
              </w:rPr>
            </w:pPr>
            <w:r>
              <w:rPr>
                <w:color w:val="000000"/>
              </w:rPr>
              <w:t xml:space="preserve">Yes </w:t>
            </w:r>
          </w:p>
        </w:tc>
      </w:tr>
      <w:tr w:rsidR="00505AD7" w:rsidRPr="00440F01" w14:paraId="0F4C45CF" w14:textId="1BF2782F" w:rsidTr="008A1ABF">
        <w:tc>
          <w:tcPr>
            <w:tcW w:w="2332" w:type="dxa"/>
            <w:shd w:val="clear" w:color="auto" w:fill="auto"/>
          </w:tcPr>
          <w:p w14:paraId="66E7970C" w14:textId="082E698F" w:rsidR="00505AD7" w:rsidRDefault="00B37EF8" w:rsidP="00994051">
            <w:pPr>
              <w:spacing w:after="240"/>
              <w:outlineLvl w:val="2"/>
              <w:rPr>
                <w:color w:val="000000"/>
              </w:rPr>
            </w:pPr>
            <w:r>
              <w:rPr>
                <w:color w:val="000000"/>
              </w:rPr>
              <w:t xml:space="preserve">Part 3 </w:t>
            </w:r>
            <w:r w:rsidR="00505AD7">
              <w:rPr>
                <w:color w:val="000000"/>
              </w:rPr>
              <w:t>Section 6: Technical and Professional Ability</w:t>
            </w:r>
          </w:p>
        </w:tc>
        <w:tc>
          <w:tcPr>
            <w:tcW w:w="2847" w:type="dxa"/>
            <w:shd w:val="clear" w:color="auto" w:fill="auto"/>
          </w:tcPr>
          <w:p w14:paraId="05F9D75F" w14:textId="77777777" w:rsidR="00505AD7" w:rsidRPr="009B2C0F" w:rsidRDefault="00505AD7" w:rsidP="00C14AA9">
            <w:pPr>
              <w:spacing w:after="240"/>
              <w:outlineLvl w:val="2"/>
              <w:rPr>
                <w:color w:val="000000"/>
              </w:rPr>
            </w:pPr>
            <w:r w:rsidRPr="009B2C0F">
              <w:rPr>
                <w:color w:val="000000"/>
              </w:rPr>
              <w:t>Pass or Fail</w:t>
            </w:r>
          </w:p>
          <w:p w14:paraId="5D9A9B7F" w14:textId="5CC807D7" w:rsidR="008A1ABF" w:rsidRPr="009B2C0F" w:rsidRDefault="008A1ABF" w:rsidP="00C14AA9">
            <w:pPr>
              <w:spacing w:after="240"/>
              <w:outlineLvl w:val="2"/>
              <w:rPr>
                <w:color w:val="000000"/>
              </w:rPr>
            </w:pPr>
            <w:r w:rsidRPr="009B2C0F">
              <w:rPr>
                <w:color w:val="000000"/>
              </w:rPr>
              <w:t>Bidders must be able to demonstrate they have recent relevant experience to deliver the depth and breadth of the of the contract either directly or through the management and vetting of its supply chain.</w:t>
            </w:r>
          </w:p>
        </w:tc>
        <w:tc>
          <w:tcPr>
            <w:tcW w:w="2781" w:type="dxa"/>
          </w:tcPr>
          <w:p w14:paraId="3FF95282" w14:textId="5C270A86" w:rsidR="00505AD7" w:rsidRPr="00B35665" w:rsidRDefault="00505AD7" w:rsidP="00C14AA9">
            <w:pPr>
              <w:spacing w:after="240"/>
              <w:outlineLvl w:val="2"/>
              <w:rPr>
                <w:color w:val="000000"/>
              </w:rPr>
            </w:pPr>
            <w:r>
              <w:rPr>
                <w:color w:val="000000"/>
              </w:rPr>
              <w:t xml:space="preserve">Yes </w:t>
            </w:r>
          </w:p>
        </w:tc>
      </w:tr>
      <w:tr w:rsidR="00505AD7" w:rsidRPr="00440F01" w14:paraId="4F697B10" w14:textId="5ADF0EE1" w:rsidTr="008A1ABF">
        <w:tc>
          <w:tcPr>
            <w:tcW w:w="2332" w:type="dxa"/>
            <w:shd w:val="clear" w:color="auto" w:fill="auto"/>
          </w:tcPr>
          <w:p w14:paraId="2EF3F7E8" w14:textId="16C2CD8C" w:rsidR="00505AD7" w:rsidRDefault="00814642" w:rsidP="00994051">
            <w:pPr>
              <w:spacing w:after="240"/>
              <w:outlineLvl w:val="2"/>
              <w:rPr>
                <w:color w:val="000000"/>
              </w:rPr>
            </w:pPr>
            <w:r>
              <w:rPr>
                <w:color w:val="000000"/>
              </w:rPr>
              <w:lastRenderedPageBreak/>
              <w:t xml:space="preserve">Part 3 </w:t>
            </w:r>
            <w:r w:rsidR="00505AD7">
              <w:rPr>
                <w:color w:val="000000"/>
              </w:rPr>
              <w:t>Section 7: Modern Slavery Act 2015: Requirements under the Modern Slavery Act 2015.</w:t>
            </w:r>
          </w:p>
        </w:tc>
        <w:tc>
          <w:tcPr>
            <w:tcW w:w="2847" w:type="dxa"/>
            <w:shd w:val="clear" w:color="auto" w:fill="auto"/>
          </w:tcPr>
          <w:p w14:paraId="5BCDC84A" w14:textId="77777777" w:rsidR="00505AD7" w:rsidRDefault="00505AD7" w:rsidP="00C14AA9">
            <w:pPr>
              <w:spacing w:after="240"/>
              <w:outlineLvl w:val="2"/>
              <w:rPr>
                <w:color w:val="000000"/>
              </w:rPr>
            </w:pPr>
            <w:r w:rsidRPr="00B35665">
              <w:rPr>
                <w:color w:val="000000"/>
              </w:rPr>
              <w:t>Pass or Fail</w:t>
            </w:r>
          </w:p>
          <w:p w14:paraId="607A505A" w14:textId="00899F3F" w:rsidR="008A1ABF" w:rsidRPr="00B35665" w:rsidRDefault="008A1ABF" w:rsidP="008A1ABF">
            <w:pPr>
              <w:spacing w:after="240"/>
              <w:jc w:val="left"/>
              <w:outlineLvl w:val="2"/>
              <w:rPr>
                <w:color w:val="000000"/>
              </w:rPr>
            </w:pPr>
            <w:r w:rsidRPr="009B2C0F">
              <w:rPr>
                <w:color w:val="000000"/>
              </w:rPr>
              <w:t>If you are a relevant organisation you must demonstrate you meet the code.</w:t>
            </w:r>
          </w:p>
        </w:tc>
        <w:tc>
          <w:tcPr>
            <w:tcW w:w="2781" w:type="dxa"/>
          </w:tcPr>
          <w:p w14:paraId="3A4ABCC8" w14:textId="60CBB0F6" w:rsidR="00505AD7" w:rsidRPr="00B35665" w:rsidRDefault="00505AD7" w:rsidP="00C14AA9">
            <w:pPr>
              <w:spacing w:after="240"/>
              <w:outlineLvl w:val="2"/>
              <w:rPr>
                <w:color w:val="000000"/>
              </w:rPr>
            </w:pPr>
            <w:r>
              <w:rPr>
                <w:color w:val="000000"/>
              </w:rPr>
              <w:t xml:space="preserve">Yes </w:t>
            </w:r>
          </w:p>
        </w:tc>
      </w:tr>
    </w:tbl>
    <w:p w14:paraId="20C73933" w14:textId="77777777" w:rsidR="00B44E25" w:rsidRDefault="00B44E25" w:rsidP="00B44E25">
      <w:pPr>
        <w:jc w:val="center"/>
        <w:rPr>
          <w:rFonts w:cs="Arial"/>
          <w:b/>
          <w:szCs w:val="22"/>
        </w:rPr>
      </w:pPr>
    </w:p>
    <w:p w14:paraId="06983555" w14:textId="77777777" w:rsidR="00424A57" w:rsidRPr="00424A57" w:rsidRDefault="007C2F2F" w:rsidP="006B54D6">
      <w:pPr>
        <w:pStyle w:val="MRNumberedHeading2"/>
        <w:rPr>
          <w:i/>
        </w:rPr>
      </w:pPr>
      <w:bookmarkStart w:id="130" w:name="_Toc403555171"/>
      <w:r w:rsidRPr="003E3276">
        <w:t>To</w:t>
      </w:r>
      <w:r>
        <w:t xml:space="preserve"> </w:t>
      </w:r>
      <w:r w:rsidR="00424A57">
        <w:t>score a "pass", the Tender must:</w:t>
      </w:r>
    </w:p>
    <w:p w14:paraId="7EE69420" w14:textId="3B14FD16" w:rsidR="00424A57" w:rsidRPr="00424A57" w:rsidRDefault="00505AD7" w:rsidP="00424A57">
      <w:pPr>
        <w:pStyle w:val="MRNumberedHeading2"/>
        <w:numPr>
          <w:ilvl w:val="2"/>
          <w:numId w:val="23"/>
        </w:numPr>
        <w:tabs>
          <w:tab w:val="clear" w:pos="2214"/>
          <w:tab w:val="num" w:pos="1701"/>
        </w:tabs>
        <w:ind w:left="1701" w:hanging="850"/>
        <w:rPr>
          <w:i/>
        </w:rPr>
      </w:pPr>
      <w:r>
        <w:t>for all questions where self-certification is required (as detailed above), include a self-certification</w:t>
      </w:r>
      <w:r w:rsidR="0077089B">
        <w:t xml:space="preserve"> and the successful Bidder will be asked to provide</w:t>
      </w:r>
      <w:r w:rsidR="00D77AFC">
        <w:t xml:space="preserve"> supporting </w:t>
      </w:r>
      <w:r w:rsidR="0077089B">
        <w:t>evidence during the standstill period; and</w:t>
      </w:r>
    </w:p>
    <w:p w14:paraId="20C73934" w14:textId="7433E4E2" w:rsidR="007C2F2F" w:rsidRPr="007C2F2F" w:rsidRDefault="00424A57" w:rsidP="00424A57">
      <w:pPr>
        <w:pStyle w:val="MRNumberedHeading2"/>
        <w:numPr>
          <w:ilvl w:val="2"/>
          <w:numId w:val="23"/>
        </w:numPr>
        <w:tabs>
          <w:tab w:val="clear" w:pos="2214"/>
          <w:tab w:val="num" w:pos="1701"/>
        </w:tabs>
        <w:ind w:left="1701" w:hanging="850"/>
        <w:rPr>
          <w:i/>
        </w:rPr>
      </w:pPr>
      <w:r>
        <w:t>for questions</w:t>
      </w:r>
      <w:r w:rsidR="0077089B">
        <w:t xml:space="preserve"> where self-certification is not required</w:t>
      </w:r>
      <w:r w:rsidR="00D77AFC">
        <w:t xml:space="preserve"> (as detailed above)</w:t>
      </w:r>
      <w:r>
        <w:t xml:space="preserve">, </w:t>
      </w:r>
      <w:r w:rsidR="007C2F2F">
        <w:t>adequately address all key points and include</w:t>
      </w:r>
      <w:r w:rsidR="007C2F2F" w:rsidRPr="007C2F2F">
        <w:t xml:space="preserve"> adequate supporting evidence / examples / information.</w:t>
      </w:r>
      <w:r w:rsidR="007C2F2F">
        <w:t xml:space="preserve">  It must give </w:t>
      </w:r>
      <w:r w:rsidR="007C2F2F" w:rsidRPr="007C2F2F">
        <w:t>a reasonable degree of confidence that the Bidder has the capability,</w:t>
      </w:r>
      <w:r w:rsidR="007C2F2F">
        <w:rPr>
          <w:rFonts w:cs="Arial"/>
        </w:rPr>
        <w:t xml:space="preserve"> resource and experience to properly perform the contract.</w:t>
      </w:r>
      <w:bookmarkEnd w:id="130"/>
    </w:p>
    <w:p w14:paraId="20C73935" w14:textId="77777777" w:rsidR="00B44E25" w:rsidRPr="00B44E25" w:rsidRDefault="00B44E25" w:rsidP="006B54D6">
      <w:pPr>
        <w:pStyle w:val="MRNumberedHeading2"/>
        <w:rPr>
          <w:i/>
        </w:rPr>
      </w:pPr>
      <w:bookmarkStart w:id="131" w:name="_Ref403484379"/>
      <w:bookmarkStart w:id="132" w:name="_Toc403555172"/>
      <w:r w:rsidRPr="00B44E25">
        <w:t xml:space="preserve">Where a Bidder scores a "fail" for any question, </w:t>
      </w:r>
      <w:r w:rsidR="00C14AA9">
        <w:t>the Authority will treat the Tender as non-compliant and it will not award a mark for the Scored Questions.</w:t>
      </w:r>
      <w:bookmarkEnd w:id="131"/>
      <w:bookmarkEnd w:id="132"/>
      <w:r w:rsidR="00C14AA9">
        <w:t xml:space="preserve"> </w:t>
      </w:r>
    </w:p>
    <w:p w14:paraId="20C73938" w14:textId="1EC63DFD" w:rsidR="003E3276" w:rsidRDefault="007C2F2F" w:rsidP="002830AC">
      <w:pPr>
        <w:pStyle w:val="Heading1"/>
        <w:spacing w:before="240" w:after="0"/>
        <w:ind w:left="851"/>
      </w:pPr>
      <w:bookmarkStart w:id="133" w:name="_Toc403555173"/>
      <w:r w:rsidRPr="007C2F2F">
        <w:t>C</w:t>
      </w:r>
      <w:r w:rsidR="000B1075" w:rsidRPr="007C2F2F">
        <w:t xml:space="preserve">riteria </w:t>
      </w:r>
      <w:r w:rsidRPr="007C2F2F">
        <w:t>– Scored Questions</w:t>
      </w:r>
      <w:bookmarkEnd w:id="133"/>
    </w:p>
    <w:p w14:paraId="2E5C1697" w14:textId="77777777" w:rsidR="002830AC" w:rsidRPr="002830AC" w:rsidRDefault="002830AC" w:rsidP="002830AC">
      <w:pPr>
        <w:pStyle w:val="Body1"/>
      </w:pPr>
    </w:p>
    <w:tbl>
      <w:tblPr>
        <w:tblStyle w:val="TableGrid"/>
        <w:tblW w:w="6549" w:type="dxa"/>
        <w:tblInd w:w="1101" w:type="dxa"/>
        <w:tblLayout w:type="fixed"/>
        <w:tblLook w:val="04A0" w:firstRow="1" w:lastRow="0" w:firstColumn="1" w:lastColumn="0" w:noHBand="0" w:noVBand="1"/>
      </w:tblPr>
      <w:tblGrid>
        <w:gridCol w:w="4677"/>
        <w:gridCol w:w="1872"/>
      </w:tblGrid>
      <w:tr w:rsidR="00812EFF" w14:paraId="20C7393C" w14:textId="77777777" w:rsidTr="00574026">
        <w:tc>
          <w:tcPr>
            <w:tcW w:w="4677" w:type="dxa"/>
            <w:shd w:val="clear" w:color="auto" w:fill="BFBFBF" w:themeFill="background1" w:themeFillShade="BF"/>
          </w:tcPr>
          <w:p w14:paraId="20C73939" w14:textId="77777777" w:rsidR="00812EFF" w:rsidRPr="00EF71DD" w:rsidRDefault="00812EFF" w:rsidP="003318CA">
            <w:pPr>
              <w:pStyle w:val="Heading2"/>
              <w:numPr>
                <w:ilvl w:val="0"/>
                <w:numId w:val="0"/>
              </w:numPr>
              <w:rPr>
                <w:b/>
              </w:rPr>
            </w:pPr>
            <w:r w:rsidRPr="00EF71DD">
              <w:rPr>
                <w:b/>
              </w:rPr>
              <w:t>Evaluation criteria</w:t>
            </w:r>
          </w:p>
        </w:tc>
        <w:tc>
          <w:tcPr>
            <w:tcW w:w="1872" w:type="dxa"/>
            <w:shd w:val="clear" w:color="auto" w:fill="BFBFBF" w:themeFill="background1" w:themeFillShade="BF"/>
          </w:tcPr>
          <w:p w14:paraId="20C7393B" w14:textId="77777777" w:rsidR="00812EFF" w:rsidRPr="00C31C00" w:rsidRDefault="00812EFF" w:rsidP="00C9108B">
            <w:pPr>
              <w:pStyle w:val="Heading2"/>
              <w:numPr>
                <w:ilvl w:val="0"/>
                <w:numId w:val="0"/>
              </w:numPr>
              <w:rPr>
                <w:b/>
              </w:rPr>
            </w:pPr>
            <w:r w:rsidRPr="00C31C00">
              <w:rPr>
                <w:b/>
              </w:rPr>
              <w:t>Weighting</w:t>
            </w:r>
          </w:p>
        </w:tc>
      </w:tr>
      <w:tr w:rsidR="00812EFF" w14:paraId="20C73941" w14:textId="77777777" w:rsidTr="00574026">
        <w:tc>
          <w:tcPr>
            <w:tcW w:w="4677" w:type="dxa"/>
          </w:tcPr>
          <w:p w14:paraId="20C7393D" w14:textId="11CDA0F6" w:rsidR="00812EFF" w:rsidRDefault="00812EFF" w:rsidP="00BF48A1">
            <w:pPr>
              <w:pStyle w:val="Heading2"/>
              <w:numPr>
                <w:ilvl w:val="0"/>
                <w:numId w:val="0"/>
              </w:numPr>
            </w:pPr>
            <w:r>
              <w:t>Technical &amp; Quality</w:t>
            </w:r>
          </w:p>
          <w:p w14:paraId="20C7393E" w14:textId="77777777" w:rsidR="00812EFF" w:rsidRDefault="00812EFF" w:rsidP="00BF48A1">
            <w:pPr>
              <w:pStyle w:val="Heading2"/>
              <w:numPr>
                <w:ilvl w:val="0"/>
                <w:numId w:val="0"/>
              </w:numPr>
            </w:pPr>
          </w:p>
        </w:tc>
        <w:tc>
          <w:tcPr>
            <w:tcW w:w="1872" w:type="dxa"/>
          </w:tcPr>
          <w:p w14:paraId="20C73940" w14:textId="42D8D489" w:rsidR="00812EFF" w:rsidRPr="00C31C00" w:rsidRDefault="007013C5" w:rsidP="00BF48A1">
            <w:pPr>
              <w:pStyle w:val="Heading2"/>
              <w:numPr>
                <w:ilvl w:val="0"/>
                <w:numId w:val="0"/>
              </w:numPr>
            </w:pPr>
            <w:r w:rsidRPr="00C31C00">
              <w:t>50</w:t>
            </w:r>
            <w:r w:rsidR="00812EFF" w:rsidRPr="00C31C00">
              <w:t>%</w:t>
            </w:r>
          </w:p>
        </w:tc>
      </w:tr>
      <w:tr w:rsidR="0007136D" w14:paraId="7F2BEE1E" w14:textId="77777777" w:rsidTr="00574026">
        <w:tc>
          <w:tcPr>
            <w:tcW w:w="4677" w:type="dxa"/>
          </w:tcPr>
          <w:p w14:paraId="249F3630" w14:textId="5EE08457" w:rsidR="0007136D" w:rsidRDefault="0007136D" w:rsidP="00BF48A1">
            <w:pPr>
              <w:pStyle w:val="Heading2"/>
              <w:numPr>
                <w:ilvl w:val="0"/>
                <w:numId w:val="0"/>
              </w:numPr>
            </w:pPr>
            <w:r>
              <w:t>Social Value</w:t>
            </w:r>
          </w:p>
        </w:tc>
        <w:tc>
          <w:tcPr>
            <w:tcW w:w="1872" w:type="dxa"/>
          </w:tcPr>
          <w:p w14:paraId="0AEE9DE4" w14:textId="1D61D281" w:rsidR="0007136D" w:rsidRPr="00C31C00" w:rsidRDefault="0007136D" w:rsidP="00BF48A1">
            <w:pPr>
              <w:pStyle w:val="Heading2"/>
              <w:numPr>
                <w:ilvl w:val="0"/>
                <w:numId w:val="0"/>
              </w:numPr>
            </w:pPr>
            <w:r w:rsidRPr="00C31C00">
              <w:t>10%</w:t>
            </w:r>
          </w:p>
        </w:tc>
      </w:tr>
      <w:tr w:rsidR="00812EFF" w14:paraId="20C73946" w14:textId="77777777" w:rsidTr="00574026">
        <w:tc>
          <w:tcPr>
            <w:tcW w:w="4677" w:type="dxa"/>
          </w:tcPr>
          <w:p w14:paraId="20C73943" w14:textId="431FBC1F" w:rsidR="00812EFF" w:rsidRPr="009D7A7A" w:rsidRDefault="00812EFF" w:rsidP="002830AC">
            <w:pPr>
              <w:pStyle w:val="Heading2"/>
              <w:numPr>
                <w:ilvl w:val="0"/>
                <w:numId w:val="0"/>
              </w:numPr>
            </w:pPr>
            <w:r w:rsidRPr="009D7A7A">
              <w:t>Financials &amp; Value for Money</w:t>
            </w:r>
          </w:p>
        </w:tc>
        <w:tc>
          <w:tcPr>
            <w:tcW w:w="1872" w:type="dxa"/>
          </w:tcPr>
          <w:p w14:paraId="20C73945" w14:textId="0B559672" w:rsidR="00812EFF" w:rsidRPr="00C31C00" w:rsidRDefault="00574026" w:rsidP="00BF48A1">
            <w:pPr>
              <w:pStyle w:val="Heading2"/>
              <w:numPr>
                <w:ilvl w:val="0"/>
                <w:numId w:val="0"/>
              </w:numPr>
            </w:pPr>
            <w:r w:rsidRPr="00C31C00">
              <w:t xml:space="preserve"> </w:t>
            </w:r>
            <w:r w:rsidR="007013C5" w:rsidRPr="00C31C00">
              <w:t>40</w:t>
            </w:r>
            <w:r w:rsidRPr="00C31C00">
              <w:t>%</w:t>
            </w:r>
          </w:p>
        </w:tc>
      </w:tr>
      <w:tr w:rsidR="00812EFF" w14:paraId="20C7395E" w14:textId="77777777" w:rsidTr="00574026">
        <w:tc>
          <w:tcPr>
            <w:tcW w:w="4677" w:type="dxa"/>
          </w:tcPr>
          <w:p w14:paraId="20C7395B" w14:textId="77777777" w:rsidR="00812EFF" w:rsidRPr="003318CA" w:rsidRDefault="00812EFF" w:rsidP="00BF48A1">
            <w:pPr>
              <w:pStyle w:val="Heading2"/>
              <w:numPr>
                <w:ilvl w:val="0"/>
                <w:numId w:val="0"/>
              </w:numPr>
              <w:rPr>
                <w:b/>
              </w:rPr>
            </w:pPr>
            <w:r w:rsidRPr="003318CA">
              <w:rPr>
                <w:b/>
              </w:rPr>
              <w:t>Total</w:t>
            </w:r>
          </w:p>
        </w:tc>
        <w:tc>
          <w:tcPr>
            <w:tcW w:w="1872" w:type="dxa"/>
          </w:tcPr>
          <w:p w14:paraId="20C7395D" w14:textId="77777777" w:rsidR="00812EFF" w:rsidRPr="00C31C00" w:rsidRDefault="00812EFF" w:rsidP="00BF48A1">
            <w:pPr>
              <w:pStyle w:val="Heading2"/>
              <w:numPr>
                <w:ilvl w:val="0"/>
                <w:numId w:val="0"/>
              </w:numPr>
            </w:pPr>
            <w:r w:rsidRPr="00C31C00">
              <w:t>100%</w:t>
            </w:r>
          </w:p>
        </w:tc>
      </w:tr>
    </w:tbl>
    <w:p w14:paraId="7F11EBAD" w14:textId="30B6CB12" w:rsidR="00CE39D1" w:rsidRDefault="00CE39D1" w:rsidP="00574026">
      <w:pPr>
        <w:pStyle w:val="Heading1"/>
        <w:spacing w:before="240" w:after="0"/>
      </w:pPr>
    </w:p>
    <w:p w14:paraId="20C73967" w14:textId="42640612" w:rsidR="007C2F2F" w:rsidRPr="0025200C" w:rsidRDefault="007C2F2F" w:rsidP="006B54D6">
      <w:pPr>
        <w:pStyle w:val="MRNumberedHeading2"/>
      </w:pPr>
      <w:bookmarkStart w:id="134" w:name="_Toc403555178"/>
      <w:r>
        <w:t xml:space="preserve">If it appears to the Authority that any Tender may be abnormally low then the Authority may ask the Bidder to explain its price or costs.  If following the Bidder's </w:t>
      </w:r>
      <w:r w:rsidR="00814642">
        <w:t>explanations,</w:t>
      </w:r>
      <w:r>
        <w:t xml:space="preserve"> the Authority is n</w:t>
      </w:r>
      <w:r w:rsidR="00A77338">
        <w:t>ot satisfied with the Bidder's account for the low level of price or cost in the Tender, the Authority may treat the Tender as non-compliant and reject it.</w:t>
      </w:r>
      <w:bookmarkEnd w:id="134"/>
    </w:p>
    <w:p w14:paraId="20C73968" w14:textId="77777777" w:rsidR="00A77338" w:rsidRPr="007C2F2F" w:rsidRDefault="00A77338" w:rsidP="00276E1B">
      <w:pPr>
        <w:pStyle w:val="Heading1"/>
        <w:spacing w:before="240" w:after="0"/>
        <w:ind w:left="851"/>
      </w:pPr>
      <w:bookmarkStart w:id="135" w:name="_Toc403555179"/>
      <w:r w:rsidRPr="007C2F2F">
        <w:t>Criteria – Scored Questions</w:t>
      </w:r>
      <w:r>
        <w:t>:  technical and quality evaluation</w:t>
      </w:r>
      <w:bookmarkEnd w:id="135"/>
    </w:p>
    <w:p w14:paraId="20C7396A" w14:textId="1E52D1DE" w:rsidR="003E3276" w:rsidRDefault="006C1E7E" w:rsidP="00814642">
      <w:pPr>
        <w:pStyle w:val="MRNumberedHeading2"/>
      </w:pPr>
      <w:bookmarkStart w:id="136" w:name="_Toc403555180"/>
      <w:bookmarkStart w:id="137" w:name="_Ref405453301"/>
      <w:r>
        <w:t xml:space="preserve">The </w:t>
      </w:r>
      <w:r w:rsidR="006A7F8F">
        <w:t>technical evaluation will be scored in accordance with the table below:</w:t>
      </w:r>
      <w:bookmarkEnd w:id="136"/>
      <w:bookmarkEnd w:id="137"/>
      <w:r w:rsidR="006A7F8F">
        <w:t xml:space="preserve"> </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992"/>
        <w:gridCol w:w="5387"/>
      </w:tblGrid>
      <w:tr w:rsidR="006A7F8F" w:rsidRPr="00A24900" w14:paraId="20C7396E" w14:textId="77777777" w:rsidTr="0005222A">
        <w:trPr>
          <w:cantSplit/>
          <w:trHeight w:val="538"/>
        </w:trPr>
        <w:tc>
          <w:tcPr>
            <w:tcW w:w="1701" w:type="dxa"/>
            <w:shd w:val="clear" w:color="auto" w:fill="BFBFBF" w:themeFill="background1" w:themeFillShade="BF"/>
            <w:vAlign w:val="center"/>
          </w:tcPr>
          <w:p w14:paraId="20C7396B" w14:textId="77777777" w:rsidR="006A7F8F" w:rsidRPr="0005222A" w:rsidRDefault="0005222A" w:rsidP="001D5911">
            <w:pPr>
              <w:pStyle w:val="Table"/>
              <w:keepNext/>
              <w:rPr>
                <w:b/>
              </w:rPr>
            </w:pPr>
            <w:r w:rsidRPr="0005222A">
              <w:rPr>
                <w:b/>
              </w:rPr>
              <w:lastRenderedPageBreak/>
              <w:t>Grade label</w:t>
            </w:r>
          </w:p>
        </w:tc>
        <w:tc>
          <w:tcPr>
            <w:tcW w:w="992" w:type="dxa"/>
            <w:shd w:val="clear" w:color="auto" w:fill="BFBFBF" w:themeFill="background1" w:themeFillShade="BF"/>
            <w:vAlign w:val="center"/>
          </w:tcPr>
          <w:p w14:paraId="20C7396C" w14:textId="77777777" w:rsidR="006A7F8F" w:rsidRPr="0005222A" w:rsidRDefault="0005222A" w:rsidP="001D5911">
            <w:pPr>
              <w:pStyle w:val="Table"/>
              <w:keepNext/>
              <w:jc w:val="center"/>
              <w:rPr>
                <w:b/>
              </w:rPr>
            </w:pPr>
            <w:r w:rsidRPr="0005222A">
              <w:rPr>
                <w:b/>
              </w:rPr>
              <w:t>Grade</w:t>
            </w:r>
          </w:p>
        </w:tc>
        <w:tc>
          <w:tcPr>
            <w:tcW w:w="5387" w:type="dxa"/>
            <w:shd w:val="clear" w:color="auto" w:fill="BFBFBF" w:themeFill="background1" w:themeFillShade="BF"/>
            <w:vAlign w:val="center"/>
          </w:tcPr>
          <w:p w14:paraId="20C7396D" w14:textId="77777777" w:rsidR="006A7F8F" w:rsidRPr="0005222A" w:rsidRDefault="0005222A" w:rsidP="001D5911">
            <w:pPr>
              <w:pStyle w:val="Table"/>
              <w:keepNext/>
              <w:rPr>
                <w:b/>
              </w:rPr>
            </w:pPr>
            <w:r w:rsidRPr="0005222A">
              <w:rPr>
                <w:b/>
              </w:rPr>
              <w:t>Definition of Grade</w:t>
            </w:r>
          </w:p>
        </w:tc>
      </w:tr>
      <w:tr w:rsidR="0005222A" w:rsidRPr="00A24900" w14:paraId="20C73972" w14:textId="77777777" w:rsidTr="0005222A">
        <w:trPr>
          <w:cantSplit/>
          <w:trHeight w:val="860"/>
        </w:trPr>
        <w:tc>
          <w:tcPr>
            <w:tcW w:w="1701" w:type="dxa"/>
            <w:shd w:val="clear" w:color="auto" w:fill="auto"/>
            <w:vAlign w:val="center"/>
          </w:tcPr>
          <w:p w14:paraId="20C7396F" w14:textId="77777777" w:rsidR="0005222A" w:rsidRPr="00C31C00" w:rsidRDefault="0005222A" w:rsidP="008E2B30">
            <w:pPr>
              <w:pStyle w:val="Table"/>
              <w:keepNext/>
            </w:pPr>
            <w:r w:rsidRPr="00C31C00">
              <w:t>Unacceptable</w:t>
            </w:r>
          </w:p>
        </w:tc>
        <w:tc>
          <w:tcPr>
            <w:tcW w:w="992" w:type="dxa"/>
            <w:shd w:val="clear" w:color="auto" w:fill="auto"/>
            <w:vAlign w:val="center"/>
          </w:tcPr>
          <w:p w14:paraId="20C73970" w14:textId="77777777" w:rsidR="0005222A" w:rsidRPr="00C31C00" w:rsidRDefault="0005222A" w:rsidP="008E2B30">
            <w:pPr>
              <w:pStyle w:val="Table"/>
              <w:keepNext/>
              <w:jc w:val="center"/>
            </w:pPr>
            <w:r w:rsidRPr="00C31C00">
              <w:t>0</w:t>
            </w:r>
          </w:p>
        </w:tc>
        <w:tc>
          <w:tcPr>
            <w:tcW w:w="5387" w:type="dxa"/>
            <w:shd w:val="clear" w:color="auto" w:fill="auto"/>
            <w:vAlign w:val="center"/>
          </w:tcPr>
          <w:p w14:paraId="20C73971" w14:textId="77777777" w:rsidR="0005222A" w:rsidRPr="00C31C00" w:rsidRDefault="000226A1" w:rsidP="00287834">
            <w:pPr>
              <w:pStyle w:val="Table"/>
              <w:keepNext/>
              <w:jc w:val="both"/>
            </w:pPr>
            <w:r w:rsidRPr="00C31C00">
              <w:t>The proposal c</w:t>
            </w:r>
            <w:r w:rsidR="00287834" w:rsidRPr="00C31C00">
              <w:t xml:space="preserve">ompletely fails to meet </w:t>
            </w:r>
            <w:r w:rsidR="00A242B7" w:rsidRPr="00C31C00">
              <w:t xml:space="preserve">the </w:t>
            </w:r>
            <w:r w:rsidR="00287834" w:rsidRPr="00C31C00">
              <w:t>required standard or does not provide an answer</w:t>
            </w:r>
          </w:p>
        </w:tc>
      </w:tr>
      <w:tr w:rsidR="0005222A" w:rsidRPr="00A24900" w14:paraId="20C73976" w14:textId="77777777" w:rsidTr="0005222A">
        <w:trPr>
          <w:cantSplit/>
          <w:trHeight w:val="861"/>
        </w:trPr>
        <w:tc>
          <w:tcPr>
            <w:tcW w:w="1701" w:type="dxa"/>
            <w:shd w:val="clear" w:color="auto" w:fill="auto"/>
            <w:vAlign w:val="center"/>
          </w:tcPr>
          <w:p w14:paraId="20C73973" w14:textId="77777777" w:rsidR="0005222A" w:rsidRPr="00C31C00" w:rsidRDefault="0005222A" w:rsidP="001D5911">
            <w:pPr>
              <w:pStyle w:val="Table"/>
              <w:keepNext/>
            </w:pPr>
            <w:r w:rsidRPr="00C31C00">
              <w:t>Weak</w:t>
            </w:r>
          </w:p>
        </w:tc>
        <w:tc>
          <w:tcPr>
            <w:tcW w:w="992" w:type="dxa"/>
            <w:shd w:val="clear" w:color="auto" w:fill="auto"/>
            <w:vAlign w:val="center"/>
          </w:tcPr>
          <w:p w14:paraId="20C73974" w14:textId="77777777" w:rsidR="0005222A" w:rsidRPr="00C31C00" w:rsidRDefault="0005222A" w:rsidP="001D5911">
            <w:pPr>
              <w:pStyle w:val="Table"/>
              <w:keepNext/>
              <w:jc w:val="center"/>
            </w:pPr>
            <w:r w:rsidRPr="00C31C00">
              <w:t>1</w:t>
            </w:r>
          </w:p>
        </w:tc>
        <w:tc>
          <w:tcPr>
            <w:tcW w:w="5387" w:type="dxa"/>
            <w:shd w:val="clear" w:color="auto" w:fill="auto"/>
            <w:vAlign w:val="center"/>
          </w:tcPr>
          <w:p w14:paraId="20C73975" w14:textId="77777777" w:rsidR="0005222A" w:rsidRPr="00C31C00" w:rsidRDefault="000226A1" w:rsidP="00A242B7">
            <w:pPr>
              <w:pStyle w:val="Table"/>
              <w:keepNext/>
              <w:jc w:val="both"/>
            </w:pPr>
            <w:r w:rsidRPr="00C31C00">
              <w:t>The proposal s</w:t>
            </w:r>
            <w:r w:rsidR="00287834" w:rsidRPr="00C31C00">
              <w:t>ignificantly fails to meet the standards required, contains significant shortcomings or is inconsistent with other aspects of the Tender</w:t>
            </w:r>
          </w:p>
        </w:tc>
      </w:tr>
      <w:tr w:rsidR="0005222A" w:rsidRPr="00A24900" w14:paraId="20C7397A" w14:textId="77777777" w:rsidTr="0005222A">
        <w:trPr>
          <w:cantSplit/>
          <w:trHeight w:val="860"/>
        </w:trPr>
        <w:tc>
          <w:tcPr>
            <w:tcW w:w="1701" w:type="dxa"/>
            <w:shd w:val="clear" w:color="auto" w:fill="auto"/>
            <w:vAlign w:val="center"/>
          </w:tcPr>
          <w:p w14:paraId="20C73977" w14:textId="77777777" w:rsidR="0005222A" w:rsidRPr="00C31C00" w:rsidRDefault="0005222A" w:rsidP="001D5911">
            <w:pPr>
              <w:pStyle w:val="Table"/>
              <w:keepNext/>
            </w:pPr>
            <w:r w:rsidRPr="00C31C00">
              <w:t>Satisfactory</w:t>
            </w:r>
          </w:p>
        </w:tc>
        <w:tc>
          <w:tcPr>
            <w:tcW w:w="992" w:type="dxa"/>
            <w:shd w:val="clear" w:color="auto" w:fill="auto"/>
            <w:vAlign w:val="center"/>
          </w:tcPr>
          <w:p w14:paraId="20C73978" w14:textId="77777777" w:rsidR="0005222A" w:rsidRPr="00C31C00" w:rsidRDefault="0005222A" w:rsidP="001D5911">
            <w:pPr>
              <w:pStyle w:val="Table"/>
              <w:keepNext/>
              <w:jc w:val="center"/>
            </w:pPr>
            <w:r w:rsidRPr="00C31C00">
              <w:t>2</w:t>
            </w:r>
          </w:p>
        </w:tc>
        <w:tc>
          <w:tcPr>
            <w:tcW w:w="5387" w:type="dxa"/>
            <w:shd w:val="clear" w:color="auto" w:fill="auto"/>
            <w:vAlign w:val="center"/>
          </w:tcPr>
          <w:p w14:paraId="20C73979" w14:textId="77777777" w:rsidR="0005222A" w:rsidRPr="00C31C00" w:rsidRDefault="000226A1" w:rsidP="0005222A">
            <w:pPr>
              <w:pStyle w:val="Table"/>
              <w:keepNext/>
              <w:jc w:val="both"/>
            </w:pPr>
            <w:r w:rsidRPr="00C31C00">
              <w:t>The proposal m</w:t>
            </w:r>
            <w:r w:rsidR="00287834" w:rsidRPr="00C31C00">
              <w:t xml:space="preserve">eets the required standard in most material respects, but is lacking or inconsistent in others </w:t>
            </w:r>
          </w:p>
        </w:tc>
      </w:tr>
      <w:tr w:rsidR="0005222A" w:rsidRPr="00A24900" w14:paraId="20C7397E" w14:textId="77777777" w:rsidTr="0005222A">
        <w:trPr>
          <w:cantSplit/>
          <w:trHeight w:val="861"/>
        </w:trPr>
        <w:tc>
          <w:tcPr>
            <w:tcW w:w="1701" w:type="dxa"/>
            <w:shd w:val="clear" w:color="auto" w:fill="auto"/>
            <w:vAlign w:val="center"/>
          </w:tcPr>
          <w:p w14:paraId="20C7397B" w14:textId="77777777" w:rsidR="0005222A" w:rsidRPr="00C31C00" w:rsidRDefault="0005222A" w:rsidP="001D5911">
            <w:pPr>
              <w:pStyle w:val="Table"/>
              <w:keepNext/>
            </w:pPr>
            <w:r w:rsidRPr="00C31C00">
              <w:t>Good</w:t>
            </w:r>
          </w:p>
        </w:tc>
        <w:tc>
          <w:tcPr>
            <w:tcW w:w="992" w:type="dxa"/>
            <w:shd w:val="clear" w:color="auto" w:fill="auto"/>
            <w:vAlign w:val="center"/>
          </w:tcPr>
          <w:p w14:paraId="20C7397C" w14:textId="77777777" w:rsidR="0005222A" w:rsidRPr="00C31C00" w:rsidRDefault="0005222A" w:rsidP="001D5911">
            <w:pPr>
              <w:pStyle w:val="Table"/>
              <w:keepNext/>
              <w:jc w:val="center"/>
            </w:pPr>
            <w:r w:rsidRPr="00C31C00">
              <w:t>3</w:t>
            </w:r>
          </w:p>
        </w:tc>
        <w:tc>
          <w:tcPr>
            <w:tcW w:w="5387" w:type="dxa"/>
            <w:shd w:val="clear" w:color="auto" w:fill="auto"/>
            <w:vAlign w:val="center"/>
          </w:tcPr>
          <w:p w14:paraId="20C7397D" w14:textId="77777777" w:rsidR="0005222A" w:rsidRPr="00C31C00" w:rsidRDefault="000226A1" w:rsidP="0005222A">
            <w:pPr>
              <w:pStyle w:val="Table"/>
              <w:keepNext/>
              <w:jc w:val="both"/>
            </w:pPr>
            <w:r w:rsidRPr="00C31C00">
              <w:t>The proposal m</w:t>
            </w:r>
            <w:r w:rsidR="00287834" w:rsidRPr="00C31C00">
              <w:t>eets the required standard in all material respects</w:t>
            </w:r>
          </w:p>
        </w:tc>
      </w:tr>
      <w:tr w:rsidR="0005222A" w:rsidRPr="00A24900" w14:paraId="20C73982" w14:textId="77777777" w:rsidTr="0005222A">
        <w:trPr>
          <w:cantSplit/>
          <w:trHeight w:val="861"/>
        </w:trPr>
        <w:tc>
          <w:tcPr>
            <w:tcW w:w="1701" w:type="dxa"/>
            <w:shd w:val="clear" w:color="auto" w:fill="auto"/>
            <w:vAlign w:val="center"/>
          </w:tcPr>
          <w:p w14:paraId="20C7397F" w14:textId="77777777" w:rsidR="0005222A" w:rsidRPr="00C31C00" w:rsidRDefault="0005222A" w:rsidP="001D5911">
            <w:pPr>
              <w:pStyle w:val="Table"/>
              <w:keepNext/>
            </w:pPr>
            <w:r w:rsidRPr="00C31C00">
              <w:t>Excellent</w:t>
            </w:r>
          </w:p>
        </w:tc>
        <w:tc>
          <w:tcPr>
            <w:tcW w:w="992" w:type="dxa"/>
            <w:shd w:val="clear" w:color="auto" w:fill="auto"/>
            <w:vAlign w:val="center"/>
          </w:tcPr>
          <w:p w14:paraId="20C73980" w14:textId="77777777" w:rsidR="0005222A" w:rsidRPr="00C31C00" w:rsidRDefault="0005222A" w:rsidP="001D5911">
            <w:pPr>
              <w:pStyle w:val="Table"/>
              <w:keepNext/>
              <w:jc w:val="center"/>
            </w:pPr>
            <w:r w:rsidRPr="00C31C00">
              <w:t>4</w:t>
            </w:r>
          </w:p>
        </w:tc>
        <w:tc>
          <w:tcPr>
            <w:tcW w:w="5387" w:type="dxa"/>
            <w:shd w:val="clear" w:color="auto" w:fill="auto"/>
            <w:vAlign w:val="center"/>
          </w:tcPr>
          <w:p w14:paraId="20C73981" w14:textId="0076978D" w:rsidR="0005222A" w:rsidRPr="00C31C00" w:rsidRDefault="00547486" w:rsidP="00287834">
            <w:pPr>
              <w:pStyle w:val="Table"/>
              <w:keepNext/>
              <w:jc w:val="both"/>
            </w:pPr>
            <w:r w:rsidRPr="00C31C00">
              <w:t>The proposal m</w:t>
            </w:r>
            <w:r w:rsidR="00287834" w:rsidRPr="00C31C00">
              <w:t xml:space="preserve">eets the required standard in all material respects and exceeds some or all of the major requirements </w:t>
            </w:r>
          </w:p>
        </w:tc>
      </w:tr>
    </w:tbl>
    <w:p w14:paraId="6861B015" w14:textId="43DD6AF8" w:rsidR="009B2C0F" w:rsidRPr="009B2C0F" w:rsidRDefault="008E7F55" w:rsidP="009B2C0F">
      <w:pPr>
        <w:pStyle w:val="MRNumberedHeading2"/>
        <w:numPr>
          <w:ilvl w:val="0"/>
          <w:numId w:val="0"/>
        </w:numPr>
      </w:pPr>
      <w:r w:rsidRPr="008E7F55">
        <w:t xml:space="preserve"> </w:t>
      </w:r>
      <w:bookmarkStart w:id="138" w:name="_Ref403489615"/>
      <w:r w:rsidR="00901017">
        <w:br w:type="page"/>
      </w:r>
      <w:bookmarkStart w:id="139" w:name="_Toc412621215"/>
      <w:bookmarkStart w:id="140" w:name="_Toc412715225"/>
      <w:bookmarkEnd w:id="138"/>
    </w:p>
    <w:p w14:paraId="20C73988" w14:textId="23845A76" w:rsidR="00BB03F9" w:rsidRPr="002830AC" w:rsidRDefault="009B2C0F" w:rsidP="00076883">
      <w:pPr>
        <w:pStyle w:val="MRNumberedHeading1"/>
        <w:numPr>
          <w:ilvl w:val="0"/>
          <w:numId w:val="24"/>
        </w:numPr>
        <w:ind w:hanging="798"/>
        <w:rPr>
          <w:sz w:val="20"/>
          <w:szCs w:val="20"/>
        </w:rPr>
      </w:pPr>
      <w:r>
        <w:rPr>
          <w:sz w:val="20"/>
          <w:szCs w:val="20"/>
        </w:rPr>
        <w:lastRenderedPageBreak/>
        <w:t>STAFF</w:t>
      </w:r>
      <w:r w:rsidR="00E0262D" w:rsidRPr="002830AC">
        <w:rPr>
          <w:sz w:val="20"/>
          <w:szCs w:val="20"/>
        </w:rPr>
        <w:t xml:space="preserve">  </w:t>
      </w:r>
      <w:bookmarkEnd w:id="139"/>
      <w:bookmarkEnd w:id="140"/>
    </w:p>
    <w:p w14:paraId="20C73989" w14:textId="77777777" w:rsidR="008E7F55" w:rsidRPr="00276E1B" w:rsidRDefault="008E7F55" w:rsidP="00276E1B">
      <w:pPr>
        <w:pStyle w:val="Heading1"/>
        <w:spacing w:before="240" w:after="0"/>
        <w:ind w:left="851"/>
      </w:pPr>
      <w:bookmarkStart w:id="141" w:name="_Toc403555184"/>
      <w:r w:rsidRPr="00276E1B">
        <w:t>Transferring employees</w:t>
      </w:r>
      <w:bookmarkEnd w:id="141"/>
    </w:p>
    <w:p w14:paraId="20C7398A" w14:textId="0832E072" w:rsidR="008E7F55" w:rsidRPr="006710E0" w:rsidRDefault="008E7F55" w:rsidP="006B54D6">
      <w:pPr>
        <w:pStyle w:val="MRNumberedHeading2"/>
        <w:rPr>
          <w:rFonts w:cs="Arial"/>
          <w:b/>
        </w:rPr>
      </w:pPr>
      <w:bookmarkStart w:id="142" w:name="_Toc403555185"/>
      <w:r w:rsidRPr="00EE57C8">
        <w:t xml:space="preserve">Bidders' attention is drawn to the staff transfer provisions set out in the </w:t>
      </w:r>
      <w:r w:rsidR="003219DA">
        <w:t>NHS Terms and Conditions in Annex A1</w:t>
      </w:r>
      <w:r w:rsidRPr="00EE57C8">
        <w:t>.</w:t>
      </w:r>
      <w:bookmarkEnd w:id="142"/>
    </w:p>
    <w:p w14:paraId="7F5BCBFF" w14:textId="77777777" w:rsidR="006710E0" w:rsidRPr="009B2C0F" w:rsidRDefault="006710E0" w:rsidP="006710E0">
      <w:pPr>
        <w:pStyle w:val="MRNumberedHeading2"/>
        <w:rPr>
          <w:rFonts w:cs="Arial"/>
        </w:rPr>
      </w:pPr>
      <w:r w:rsidRPr="009B2C0F">
        <w:rPr>
          <w:rFonts w:cs="Arial"/>
        </w:rPr>
        <w:t>An indicative list of the employees (together with relevant employment details) who are likely to transfer to the successful Bidder on the Commencement Date (as defined in the contract)</w:t>
      </w:r>
      <w:r>
        <w:rPr>
          <w:rFonts w:cs="Arial"/>
        </w:rPr>
        <w:t xml:space="preserve"> will be released on the receipt of a completed and signed Confidentiality Agreement. Please see Annex A2 of this Section A of the ITT. </w:t>
      </w:r>
      <w:r w:rsidRPr="009B2C0F">
        <w:rPr>
          <w:rFonts w:cs="Arial"/>
        </w:rPr>
        <w:t xml:space="preserve"> </w:t>
      </w:r>
    </w:p>
    <w:p w14:paraId="22D9248C" w14:textId="7FADFE3A" w:rsidR="006710E0" w:rsidRPr="00EE57C8" w:rsidRDefault="006710E0" w:rsidP="006710E0">
      <w:pPr>
        <w:pStyle w:val="MRNumberedHeading2"/>
        <w:rPr>
          <w:rFonts w:cs="Arial"/>
          <w:b/>
        </w:rPr>
      </w:pPr>
      <w:r>
        <w:t>Bidders’ pricing models must include the costs associated with the TUPE transfer of these employees</w:t>
      </w:r>
    </w:p>
    <w:p w14:paraId="20C7398B" w14:textId="6B218904" w:rsidR="008E7F55" w:rsidRPr="00276E1B" w:rsidRDefault="008E7F55" w:rsidP="00276E1B">
      <w:pPr>
        <w:pStyle w:val="Heading1"/>
        <w:spacing w:before="240" w:after="0"/>
        <w:ind w:left="851"/>
      </w:pPr>
      <w:bookmarkStart w:id="143" w:name="_Toc403555186"/>
      <w:r w:rsidRPr="00276E1B">
        <w:t>Pension requirements</w:t>
      </w:r>
      <w:bookmarkEnd w:id="143"/>
    </w:p>
    <w:p w14:paraId="20C7398C" w14:textId="76F68597" w:rsidR="008E7F55" w:rsidRPr="009B2C0F" w:rsidRDefault="008E7F55" w:rsidP="006B54D6">
      <w:pPr>
        <w:pStyle w:val="MRNumberedHeading2"/>
        <w:rPr>
          <w:rFonts w:cs="Arial"/>
          <w:b/>
        </w:rPr>
      </w:pPr>
      <w:bookmarkStart w:id="144" w:name="_Toc403555187"/>
      <w:r w:rsidRPr="00EE57C8">
        <w:t xml:space="preserve">Bidders' attention is drawn to the </w:t>
      </w:r>
      <w:r w:rsidR="009B2C0F" w:rsidRPr="00EE57C8">
        <w:t>pension’s</w:t>
      </w:r>
      <w:r w:rsidRPr="00EE57C8">
        <w:t xml:space="preserve"> pr</w:t>
      </w:r>
      <w:r w:rsidR="003219DA">
        <w:t>ovisions set out in the NHS Terms and Conditions in Annex A1</w:t>
      </w:r>
      <w:r w:rsidRPr="00EE57C8">
        <w:t>.</w:t>
      </w:r>
      <w:bookmarkEnd w:id="144"/>
    </w:p>
    <w:p w14:paraId="20C7398D" w14:textId="019477A6" w:rsidR="008E7F55" w:rsidRPr="00EE57C8" w:rsidRDefault="008E7F55" w:rsidP="006710E0">
      <w:pPr>
        <w:pStyle w:val="MRNumberedHeading2"/>
        <w:numPr>
          <w:ilvl w:val="0"/>
          <w:numId w:val="0"/>
        </w:numPr>
        <w:ind w:left="720"/>
      </w:pPr>
    </w:p>
    <w:p w14:paraId="20C7398F" w14:textId="77777777" w:rsidR="00CD778C" w:rsidRPr="00C571B3" w:rsidRDefault="00CD778C" w:rsidP="003E3276">
      <w:pPr>
        <w:pStyle w:val="Heading2"/>
        <w:numPr>
          <w:ilvl w:val="0"/>
          <w:numId w:val="0"/>
        </w:numPr>
        <w:rPr>
          <w:i/>
          <w:color w:val="808080" w:themeColor="background1" w:themeShade="80"/>
        </w:rPr>
      </w:pPr>
    </w:p>
    <w:p w14:paraId="20C73990" w14:textId="77777777" w:rsidR="00E9322B" w:rsidRDefault="00E9322B" w:rsidP="00ED2376">
      <w:pPr>
        <w:pStyle w:val="Body1"/>
        <w:ind w:left="0"/>
        <w:rPr>
          <w:b/>
        </w:rPr>
      </w:pPr>
    </w:p>
    <w:p w14:paraId="20C73991" w14:textId="77777777" w:rsidR="00C863F5" w:rsidRDefault="00C863F5">
      <w:pPr>
        <w:spacing w:after="240"/>
        <w:jc w:val="left"/>
        <w:rPr>
          <w:rFonts w:eastAsia="Times New Roman" w:cs="Times New Roman"/>
          <w:b/>
          <w:color w:val="000000" w:themeColor="text1"/>
          <w:lang w:eastAsia="en-GB"/>
        </w:rPr>
      </w:pPr>
      <w:r>
        <w:rPr>
          <w:rFonts w:eastAsia="Times New Roman" w:cs="Times New Roman"/>
          <w:b/>
          <w:color w:val="000000" w:themeColor="text1"/>
          <w:lang w:eastAsia="en-GB"/>
        </w:rPr>
        <w:br w:type="page"/>
      </w:r>
    </w:p>
    <w:p w14:paraId="20C73992" w14:textId="77777777" w:rsidR="005E4E9D" w:rsidRPr="00EE57C8" w:rsidRDefault="005E4E9D" w:rsidP="005E4E9D">
      <w:pPr>
        <w:pStyle w:val="Body1"/>
        <w:ind w:left="0"/>
        <w:rPr>
          <w:b/>
        </w:rPr>
      </w:pPr>
    </w:p>
    <w:p w14:paraId="20C73993" w14:textId="511CAD18" w:rsidR="005E4E9D" w:rsidRPr="005B59B7" w:rsidRDefault="005E4E9D" w:rsidP="00401FF0">
      <w:pPr>
        <w:pStyle w:val="MainHeading"/>
        <w:spacing w:line="480" w:lineRule="auto"/>
        <w:ind w:left="0"/>
        <w:jc w:val="center"/>
        <w:rPr>
          <w:b/>
        </w:rPr>
      </w:pPr>
      <w:bookmarkStart w:id="145" w:name="_Toc403556511"/>
      <w:bookmarkStart w:id="146" w:name="_Toc406674974"/>
      <w:bookmarkStart w:id="147" w:name="_Toc412621216"/>
      <w:bookmarkStart w:id="148" w:name="_Toc412715226"/>
      <w:r w:rsidRPr="005B59B7">
        <w:rPr>
          <w:b/>
        </w:rPr>
        <w:t>ANNEX A1</w:t>
      </w:r>
      <w:r w:rsidR="00E84532" w:rsidRPr="005B59B7">
        <w:rPr>
          <w:b/>
        </w:rPr>
        <w:br/>
      </w:r>
      <w:r w:rsidRPr="005B59B7">
        <w:rPr>
          <w:b/>
        </w:rPr>
        <w:t>NHS TERMS AND CONDITIONS</w:t>
      </w:r>
      <w:bookmarkEnd w:id="145"/>
      <w:bookmarkEnd w:id="146"/>
      <w:bookmarkEnd w:id="147"/>
      <w:bookmarkEnd w:id="148"/>
    </w:p>
    <w:p w14:paraId="20C73994" w14:textId="4E50B553" w:rsidR="005E4E9D" w:rsidRPr="00EE57C8" w:rsidRDefault="005E4E9D" w:rsidP="005E4E9D">
      <w:pPr>
        <w:pStyle w:val="Body1"/>
        <w:ind w:left="0"/>
      </w:pPr>
      <w:r w:rsidRPr="00EE57C8">
        <w:t>The Authority intends to enter into a contract with th</w:t>
      </w:r>
      <w:r w:rsidR="00CC4072">
        <w:t xml:space="preserve">e successful Bidder on the NHS </w:t>
      </w:r>
      <w:r w:rsidR="00BF698B">
        <w:t>Terms and C</w:t>
      </w:r>
      <w:r w:rsidRPr="00EE57C8">
        <w:t>onditions</w:t>
      </w:r>
      <w:r w:rsidR="00AC2151">
        <w:t xml:space="preserve"> for the Supply of Goods and Services (Contract Version)</w:t>
      </w:r>
    </w:p>
    <w:p w14:paraId="20C73995" w14:textId="77777777" w:rsidR="005E4E9D" w:rsidRDefault="005E4E9D" w:rsidP="005E4E9D">
      <w:pPr>
        <w:pStyle w:val="Body1"/>
        <w:ind w:left="0"/>
      </w:pPr>
      <w:r>
        <w:t xml:space="preserve">This Annex A1 contains the NHS </w:t>
      </w:r>
      <w:r w:rsidR="00BF698B">
        <w:t>Terms and Co</w:t>
      </w:r>
      <w:r>
        <w:t xml:space="preserve">nditions, duly completed by the Authority so far as possible, including all relevant schedules, except schedule 5 (Specification and Tender Response Document) and schedule 6 (Commercial Schedule).  </w:t>
      </w:r>
    </w:p>
    <w:p w14:paraId="20C73996" w14:textId="55951F7C" w:rsidR="005E4E9D" w:rsidRDefault="005E4E9D" w:rsidP="005E4E9D">
      <w:pPr>
        <w:pStyle w:val="Body1"/>
        <w:ind w:left="0"/>
      </w:pPr>
      <w:r>
        <w:t xml:space="preserve">The Specification is set out in Annex B2 of </w:t>
      </w:r>
      <w:r w:rsidR="00D64977">
        <w:t>Section</w:t>
      </w:r>
      <w:r>
        <w:t xml:space="preserve"> B of this ITT.  </w:t>
      </w:r>
    </w:p>
    <w:p w14:paraId="20C7399B" w14:textId="001F68C3" w:rsidR="005E4E9D" w:rsidRDefault="005E4E9D" w:rsidP="00044A46">
      <w:pPr>
        <w:pStyle w:val="Body1"/>
        <w:ind w:left="0"/>
        <w:rPr>
          <w:i/>
          <w:color w:val="808080" w:themeColor="background1" w:themeShade="80"/>
        </w:rPr>
      </w:pPr>
    </w:p>
    <w:p w14:paraId="20C7399D" w14:textId="4CEB01F1" w:rsidR="005E4E9D" w:rsidRPr="00EE57C8" w:rsidRDefault="005E4E9D" w:rsidP="005E4E9D">
      <w:pPr>
        <w:pStyle w:val="Body1"/>
        <w:ind w:left="0"/>
        <w:rPr>
          <w:b/>
        </w:rPr>
      </w:pPr>
    </w:p>
    <w:p w14:paraId="1FF0E9FC" w14:textId="77777777" w:rsidR="00044A46" w:rsidRDefault="00044A46" w:rsidP="00421E7D">
      <w:pPr>
        <w:pStyle w:val="MainHeading"/>
        <w:spacing w:line="480" w:lineRule="auto"/>
        <w:ind w:left="0"/>
        <w:jc w:val="center"/>
        <w:rPr>
          <w:b/>
        </w:rPr>
      </w:pPr>
    </w:p>
    <w:p w14:paraId="068C1ADB" w14:textId="77777777" w:rsidR="00044A46" w:rsidRDefault="00044A46" w:rsidP="00044A46">
      <w:pPr>
        <w:pStyle w:val="Body"/>
      </w:pPr>
    </w:p>
    <w:p w14:paraId="353A496F" w14:textId="77777777" w:rsidR="00044A46" w:rsidRDefault="00044A46" w:rsidP="00044A46">
      <w:pPr>
        <w:pStyle w:val="Body"/>
      </w:pPr>
    </w:p>
    <w:p w14:paraId="1E35A14E" w14:textId="77777777" w:rsidR="00044A46" w:rsidRDefault="00044A46" w:rsidP="00044A46">
      <w:pPr>
        <w:pStyle w:val="Body"/>
      </w:pPr>
    </w:p>
    <w:p w14:paraId="015635DE" w14:textId="77777777" w:rsidR="00044A46" w:rsidRDefault="00044A46" w:rsidP="00044A46">
      <w:pPr>
        <w:pStyle w:val="Body"/>
      </w:pPr>
    </w:p>
    <w:p w14:paraId="099EFB3A" w14:textId="77777777" w:rsidR="00044A46" w:rsidRDefault="00044A46" w:rsidP="00044A46">
      <w:pPr>
        <w:pStyle w:val="Body"/>
      </w:pPr>
    </w:p>
    <w:p w14:paraId="4F268772" w14:textId="77777777" w:rsidR="00044A46" w:rsidRDefault="00044A46" w:rsidP="00044A46">
      <w:pPr>
        <w:pStyle w:val="Body"/>
      </w:pPr>
    </w:p>
    <w:p w14:paraId="39693E1C" w14:textId="77777777" w:rsidR="00044A46" w:rsidRDefault="00044A46" w:rsidP="00044A46">
      <w:pPr>
        <w:pStyle w:val="Body"/>
      </w:pPr>
    </w:p>
    <w:p w14:paraId="7F1B1E05" w14:textId="77777777" w:rsidR="00044A46" w:rsidRDefault="00044A46" w:rsidP="00044A46">
      <w:pPr>
        <w:pStyle w:val="Body"/>
      </w:pPr>
    </w:p>
    <w:p w14:paraId="2B0E75CF" w14:textId="77777777" w:rsidR="00044A46" w:rsidRDefault="00044A46" w:rsidP="00044A46">
      <w:pPr>
        <w:pStyle w:val="Body"/>
      </w:pPr>
    </w:p>
    <w:p w14:paraId="40CAE8B7" w14:textId="77777777" w:rsidR="00044A46" w:rsidRDefault="00044A46" w:rsidP="00044A46">
      <w:pPr>
        <w:pStyle w:val="Body"/>
      </w:pPr>
    </w:p>
    <w:p w14:paraId="34723719" w14:textId="77777777" w:rsidR="00044A46" w:rsidRDefault="00044A46" w:rsidP="00044A46">
      <w:pPr>
        <w:pStyle w:val="Body"/>
      </w:pPr>
    </w:p>
    <w:p w14:paraId="6BBCE832" w14:textId="77777777" w:rsidR="00044A46" w:rsidRDefault="00044A46" w:rsidP="00044A46">
      <w:pPr>
        <w:pStyle w:val="Body"/>
      </w:pPr>
    </w:p>
    <w:p w14:paraId="1F17E126" w14:textId="77777777" w:rsidR="00044A46" w:rsidRDefault="00044A46" w:rsidP="00044A46">
      <w:pPr>
        <w:pStyle w:val="Body"/>
      </w:pPr>
    </w:p>
    <w:p w14:paraId="157B9783" w14:textId="77777777" w:rsidR="00044A46" w:rsidRPr="00044A46" w:rsidRDefault="00044A46" w:rsidP="00044A46">
      <w:pPr>
        <w:pStyle w:val="Body"/>
      </w:pPr>
    </w:p>
    <w:p w14:paraId="3D6746A2" w14:textId="78F51DDA" w:rsidR="00421E7D" w:rsidRDefault="00421E7D" w:rsidP="00421E7D">
      <w:pPr>
        <w:pStyle w:val="MainHeading"/>
        <w:spacing w:line="480" w:lineRule="auto"/>
        <w:ind w:left="0"/>
        <w:jc w:val="center"/>
        <w:rPr>
          <w:b/>
        </w:rPr>
      </w:pPr>
      <w:r>
        <w:rPr>
          <w:b/>
        </w:rPr>
        <w:lastRenderedPageBreak/>
        <w:t>Annex A2</w:t>
      </w:r>
    </w:p>
    <w:p w14:paraId="20C7399E" w14:textId="3169A838" w:rsidR="005E4E9D" w:rsidRPr="00EE57C8" w:rsidRDefault="00CE39D1" w:rsidP="00401FF0">
      <w:pPr>
        <w:pStyle w:val="MainHeading"/>
        <w:spacing w:line="480" w:lineRule="auto"/>
        <w:ind w:left="0"/>
        <w:jc w:val="center"/>
        <w:rPr>
          <w:b/>
        </w:rPr>
      </w:pPr>
      <w:r>
        <w:rPr>
          <w:b/>
        </w:rPr>
        <w:t>Confidentiality Agreement form</w:t>
      </w:r>
    </w:p>
    <w:p w14:paraId="74B19985" w14:textId="77777777" w:rsidR="001D1FDF" w:rsidRDefault="005E4E9D" w:rsidP="001D1FDF">
      <w:pPr>
        <w:pStyle w:val="Body1"/>
        <w:ind w:left="0"/>
        <w:jc w:val="left"/>
      </w:pPr>
      <w:r w:rsidRPr="00EE57C8">
        <w:t>The</w:t>
      </w:r>
      <w:r w:rsidR="00421E7D">
        <w:t xml:space="preserve"> details of transferring employees will be released on completion of the below confidentiality agreement:</w:t>
      </w:r>
    </w:p>
    <w:p w14:paraId="3DDCD68C" w14:textId="77777777" w:rsidR="001D1FDF" w:rsidRDefault="001D1FDF" w:rsidP="001D1FDF">
      <w:pPr>
        <w:pStyle w:val="Body1"/>
        <w:ind w:left="0"/>
        <w:jc w:val="left"/>
      </w:pPr>
    </w:p>
    <w:p w14:paraId="20C739A1" w14:textId="3C01F10D" w:rsidR="005E4E9D" w:rsidRPr="001D1FDF" w:rsidRDefault="001D1FDF" w:rsidP="001D1FDF">
      <w:pPr>
        <w:pStyle w:val="Body1"/>
        <w:ind w:left="0"/>
        <w:jc w:val="left"/>
        <w:rPr>
          <w:b/>
          <w:bCs/>
          <w:sz w:val="24"/>
          <w:szCs w:val="24"/>
        </w:rPr>
      </w:pPr>
      <w:r w:rsidRPr="001D1FDF">
        <w:rPr>
          <w:b/>
          <w:bCs/>
          <w:sz w:val="24"/>
          <w:szCs w:val="24"/>
        </w:rPr>
        <w:t xml:space="preserve">Not Applicable - No TUPE obligations. </w:t>
      </w:r>
    </w:p>
    <w:p w14:paraId="20C739A2" w14:textId="77777777" w:rsidR="005E4E9D" w:rsidRPr="00EE57C8" w:rsidRDefault="005E4E9D" w:rsidP="005E4E9D">
      <w:pPr>
        <w:pStyle w:val="Heading3"/>
        <w:numPr>
          <w:ilvl w:val="0"/>
          <w:numId w:val="0"/>
        </w:numPr>
        <w:jc w:val="left"/>
      </w:pPr>
    </w:p>
    <w:p w14:paraId="20C739A3" w14:textId="77777777" w:rsidR="005E4E9D" w:rsidRPr="004C58D8" w:rsidRDefault="005E4E9D" w:rsidP="005E4E9D"/>
    <w:p w14:paraId="20C739A4" w14:textId="77777777" w:rsidR="00CF6718" w:rsidRDefault="00CF6718">
      <w:pPr>
        <w:spacing w:after="240"/>
        <w:jc w:val="left"/>
        <w:rPr>
          <w:rFonts w:eastAsia="Times New Roman" w:cs="Times New Roman"/>
          <w:b/>
          <w:color w:val="000000" w:themeColor="text1"/>
          <w:lang w:eastAsia="en-GB"/>
        </w:rPr>
      </w:pPr>
    </w:p>
    <w:sectPr w:rsidR="00CF6718" w:rsidSect="00B02442">
      <w:footerReference w:type="default" r:id="rId16"/>
      <w:footerReference w:type="first" r:id="rId17"/>
      <w:type w:val="continuous"/>
      <w:pgSz w:w="11907" w:h="16840" w:code="9"/>
      <w:pgMar w:top="1418" w:right="1418" w:bottom="1418" w:left="1418" w:header="709"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s>
  <wne:toolbars>
    <wne:acdManifest>
      <wne:acdEntry wne:acdName="acd0"/>
    </wne:acdManifest>
  </wne:toolbars>
  <wne:acds>
    <wne:acd wne:argValue="AgBBAG4AbgBlAHgAdQByAGU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0CE9" w14:textId="77777777" w:rsidR="00116A2C" w:rsidRDefault="00116A2C" w:rsidP="00C82318">
      <w:r>
        <w:separator/>
      </w:r>
    </w:p>
  </w:endnote>
  <w:endnote w:type="continuationSeparator" w:id="0">
    <w:p w14:paraId="1430AE9C" w14:textId="77777777" w:rsidR="00116A2C" w:rsidRDefault="00116A2C" w:rsidP="00C8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39F8" w14:textId="310E4B94" w:rsidR="00E03FBF" w:rsidRDefault="00E03FBF" w:rsidP="00D3489C">
    <w:pPr>
      <w:pStyle w:val="Footer"/>
      <w:rPr>
        <w:color w:val="808080" w:themeColor="background1" w:themeShade="80"/>
      </w:rPr>
    </w:pPr>
    <w:r>
      <w:rPr>
        <w:color w:val="808080" w:themeColor="background1" w:themeShade="80"/>
      </w:rPr>
      <w:t>ITT section A – o</w:t>
    </w:r>
    <w:r w:rsidRPr="006F73DC">
      <w:rPr>
        <w:color w:val="808080" w:themeColor="background1" w:themeShade="80"/>
      </w:rPr>
      <w:t>p</w:t>
    </w:r>
    <w:r>
      <w:rPr>
        <w:color w:val="808080" w:themeColor="background1" w:themeShade="80"/>
      </w:rPr>
      <w:t>en</w:t>
    </w:r>
    <w:r w:rsidRPr="00100953">
      <w:rPr>
        <w:color w:val="808080" w:themeColor="background1" w:themeShade="80"/>
      </w:rPr>
      <w:t xml:space="preserve"> (</w:t>
    </w:r>
    <w:r>
      <w:rPr>
        <w:color w:val="808080" w:themeColor="background1" w:themeShade="80"/>
      </w:rPr>
      <w:t>June 2021/PCR 2015</w:t>
    </w:r>
    <w:r w:rsidRPr="00100953">
      <w:rPr>
        <w:color w:val="808080" w:themeColor="background1" w:themeShade="80"/>
      </w:rPr>
      <w:t>)</w:t>
    </w:r>
  </w:p>
  <w:p w14:paraId="0C7627D0" w14:textId="3B165A0C" w:rsidR="00E03FBF" w:rsidRPr="00C31C00" w:rsidRDefault="00E03FBF" w:rsidP="00D3489C">
    <w:pPr>
      <w:pStyle w:val="Footer"/>
      <w:rPr>
        <w:color w:val="808080" w:themeColor="background1" w:themeShade="80"/>
      </w:rPr>
    </w:pPr>
    <w:bookmarkStart w:id="1" w:name="_Hlk138767075"/>
    <w:r w:rsidRPr="00C31C00">
      <w:rPr>
        <w:color w:val="808080" w:themeColor="background1" w:themeShade="80"/>
      </w:rPr>
      <w:t>TSDFT</w:t>
    </w:r>
    <w:r w:rsidR="00EA3ED0" w:rsidRPr="00C31C00">
      <w:rPr>
        <w:color w:val="808080" w:themeColor="background1" w:themeShade="80"/>
      </w:rPr>
      <w:t>320</w:t>
    </w:r>
    <w:r w:rsidRPr="00C31C00">
      <w:rPr>
        <w:color w:val="808080" w:themeColor="background1" w:themeShade="80"/>
      </w:rPr>
      <w:t xml:space="preserve"> – </w:t>
    </w:r>
    <w:bookmarkStart w:id="2" w:name="_Hlk152587815"/>
    <w:r w:rsidR="00EA3ED0" w:rsidRPr="00C31C00">
      <w:rPr>
        <w:color w:val="808080" w:themeColor="background1" w:themeShade="80"/>
      </w:rPr>
      <w:t>Urgent Community Response South Devon Roaming Night Service</w:t>
    </w:r>
    <w:bookmarkEnd w:id="2"/>
    <w:r w:rsidR="00805C92" w:rsidRPr="00C31C00">
      <w:rPr>
        <w:color w:val="808080" w:themeColor="background1" w:themeShade="80"/>
      </w:rPr>
      <w:t xml:space="preserve"> to Torbay and South Devon NHS Foundation Trust</w:t>
    </w:r>
  </w:p>
  <w:bookmarkEnd w:id="1"/>
  <w:p w14:paraId="20C739F9" w14:textId="77777777" w:rsidR="00E03FBF" w:rsidRDefault="00E03FBF">
    <w:pPr>
      <w:pStyle w:val="Footer"/>
      <w:jc w:val="center"/>
    </w:pPr>
  </w:p>
  <w:p w14:paraId="20C739FA" w14:textId="77777777" w:rsidR="00E03FBF" w:rsidRDefault="00E03FBF" w:rsidP="00C06438">
    <w:pPr>
      <w:pStyle w:val="Footer"/>
      <w:tabs>
        <w:tab w:val="clear" w:pos="4678"/>
        <w:tab w:val="clear" w:pos="9356"/>
        <w:tab w:val="center" w:pos="4536"/>
        <w:tab w:val="right" w:pos="90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739FC" w14:textId="77777777" w:rsidR="00E03FBF" w:rsidRDefault="00E03FBF">
    <w:pPr>
      <w:pStyle w:val="Footer"/>
      <w:jc w:val="center"/>
    </w:pPr>
  </w:p>
  <w:p w14:paraId="20C739FD" w14:textId="77777777" w:rsidR="00E03FBF" w:rsidRDefault="00E03F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249746"/>
      <w:docPartObj>
        <w:docPartGallery w:val="Page Numbers (Bottom of Page)"/>
        <w:docPartUnique/>
      </w:docPartObj>
    </w:sdtPr>
    <w:sdtEndPr>
      <w:rPr>
        <w:noProof/>
      </w:rPr>
    </w:sdtEndPr>
    <w:sdtContent>
      <w:p w14:paraId="622512A3" w14:textId="77777777" w:rsidR="006F73DC" w:rsidRDefault="006F73DC" w:rsidP="006F73DC">
        <w:pPr>
          <w:pStyle w:val="Footer"/>
          <w:rPr>
            <w:color w:val="808080" w:themeColor="background1" w:themeShade="80"/>
          </w:rPr>
        </w:pPr>
        <w:r>
          <w:rPr>
            <w:color w:val="808080" w:themeColor="background1" w:themeShade="80"/>
          </w:rPr>
          <w:t>ITT section A – o</w:t>
        </w:r>
        <w:r w:rsidRPr="006F73DC">
          <w:rPr>
            <w:color w:val="808080" w:themeColor="background1" w:themeShade="80"/>
          </w:rPr>
          <w:t>p</w:t>
        </w:r>
        <w:r>
          <w:rPr>
            <w:color w:val="808080" w:themeColor="background1" w:themeShade="80"/>
          </w:rPr>
          <w:t>en</w:t>
        </w:r>
        <w:r w:rsidRPr="00100953">
          <w:rPr>
            <w:color w:val="808080" w:themeColor="background1" w:themeShade="80"/>
          </w:rPr>
          <w:t xml:space="preserve"> (</w:t>
        </w:r>
        <w:r>
          <w:rPr>
            <w:color w:val="808080" w:themeColor="background1" w:themeShade="80"/>
          </w:rPr>
          <w:t>June 2021/PCR 2015</w:t>
        </w:r>
        <w:r w:rsidRPr="00100953">
          <w:rPr>
            <w:color w:val="808080" w:themeColor="background1" w:themeShade="80"/>
          </w:rPr>
          <w:t>)</w:t>
        </w:r>
      </w:p>
      <w:p w14:paraId="4348ED3A" w14:textId="77777777" w:rsidR="006F73DC" w:rsidRPr="00C31C00" w:rsidRDefault="006F73DC" w:rsidP="006F73DC">
        <w:pPr>
          <w:pStyle w:val="Footer"/>
          <w:rPr>
            <w:color w:val="808080" w:themeColor="background1" w:themeShade="80"/>
          </w:rPr>
        </w:pPr>
        <w:r w:rsidRPr="00C31C00">
          <w:rPr>
            <w:color w:val="808080" w:themeColor="background1" w:themeShade="80"/>
          </w:rPr>
          <w:t>TSDFT320 – Urgent Community Response South Devon Roaming Night Service to Torbay and South Devon NHS Foundation Trust</w:t>
        </w:r>
      </w:p>
      <w:p w14:paraId="5FC1A721" w14:textId="77777777" w:rsidR="006F73DC" w:rsidRDefault="006F73DC" w:rsidP="006F73DC">
        <w:pPr>
          <w:pStyle w:val="Footer"/>
          <w:jc w:val="center"/>
        </w:pPr>
      </w:p>
      <w:p w14:paraId="33BA824A" w14:textId="20F7EBFD" w:rsidR="00E03FBF" w:rsidRPr="00100953" w:rsidRDefault="00E03FBF" w:rsidP="006F73DC">
        <w:pPr>
          <w:pStyle w:val="Footer"/>
          <w:rPr>
            <w:color w:val="808080" w:themeColor="background1" w:themeShade="80"/>
          </w:rPr>
        </w:pPr>
      </w:p>
      <w:p w14:paraId="20C739FF" w14:textId="77777777" w:rsidR="00E03FBF" w:rsidRDefault="00E03FBF">
        <w:pPr>
          <w:pStyle w:val="Footer"/>
          <w:jc w:val="center"/>
        </w:pPr>
        <w:r>
          <w:fldChar w:fldCharType="begin"/>
        </w:r>
        <w:r>
          <w:instrText xml:space="preserve"> PAGE   \* MERGEFORMAT </w:instrText>
        </w:r>
        <w:r>
          <w:fldChar w:fldCharType="separate"/>
        </w:r>
        <w:r>
          <w:rPr>
            <w:noProof/>
          </w:rPr>
          <w:t>14</w:t>
        </w:r>
        <w:r>
          <w:rPr>
            <w:noProof/>
          </w:rPr>
          <w:fldChar w:fldCharType="end"/>
        </w:r>
      </w:p>
    </w:sdtContent>
  </w:sdt>
  <w:p w14:paraId="20C73A00" w14:textId="77777777" w:rsidR="00E03FBF" w:rsidRDefault="00E03FBF" w:rsidP="00C06438">
    <w:pPr>
      <w:pStyle w:val="Footer"/>
      <w:tabs>
        <w:tab w:val="clear" w:pos="4678"/>
        <w:tab w:val="clear" w:pos="9356"/>
        <w:tab w:val="center" w:pos="4536"/>
        <w:tab w:val="right" w:pos="9072"/>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496238"/>
      <w:docPartObj>
        <w:docPartGallery w:val="Page Numbers (Bottom of Page)"/>
        <w:docPartUnique/>
      </w:docPartObj>
    </w:sdtPr>
    <w:sdtEndPr>
      <w:rPr>
        <w:noProof/>
      </w:rPr>
    </w:sdtEndPr>
    <w:sdtContent>
      <w:p w14:paraId="1A4298C5" w14:textId="77777777" w:rsidR="006F73DC" w:rsidRPr="00C31C00" w:rsidRDefault="006F73DC" w:rsidP="006F73DC">
        <w:pPr>
          <w:pStyle w:val="Footer"/>
          <w:rPr>
            <w:color w:val="808080" w:themeColor="background1" w:themeShade="80"/>
          </w:rPr>
        </w:pPr>
        <w:r w:rsidRPr="00C31C00">
          <w:rPr>
            <w:color w:val="808080" w:themeColor="background1" w:themeShade="80"/>
          </w:rPr>
          <w:t>ITT section A – open (June 2021/PCR 2015)</w:t>
        </w:r>
      </w:p>
      <w:p w14:paraId="07EB6F2C" w14:textId="77777777" w:rsidR="006F73DC" w:rsidRPr="00C31C00" w:rsidRDefault="006F73DC" w:rsidP="006F73DC">
        <w:pPr>
          <w:pStyle w:val="Footer"/>
          <w:rPr>
            <w:color w:val="808080" w:themeColor="background1" w:themeShade="80"/>
          </w:rPr>
        </w:pPr>
        <w:r w:rsidRPr="00C31C00">
          <w:rPr>
            <w:color w:val="808080" w:themeColor="background1" w:themeShade="80"/>
          </w:rPr>
          <w:t>TSDFT320 – Urgent Community Response South Devon Roaming Night Service to Torbay and South Devon NHS Foundation Trust</w:t>
        </w:r>
      </w:p>
      <w:p w14:paraId="6E14A7E6" w14:textId="77777777" w:rsidR="006F73DC" w:rsidRDefault="006F73DC" w:rsidP="006F73DC">
        <w:pPr>
          <w:pStyle w:val="Footer"/>
          <w:jc w:val="center"/>
        </w:pPr>
      </w:p>
      <w:p w14:paraId="208E256A" w14:textId="70014374" w:rsidR="00E03FBF" w:rsidRPr="00100953" w:rsidRDefault="00E03FBF" w:rsidP="006F73DC">
        <w:pPr>
          <w:pStyle w:val="Footer"/>
          <w:rPr>
            <w:color w:val="808080" w:themeColor="background1" w:themeShade="80"/>
          </w:rPr>
        </w:pPr>
      </w:p>
      <w:p w14:paraId="61939E3F" w14:textId="77777777" w:rsidR="00E03FBF" w:rsidRPr="00100953" w:rsidRDefault="00E03FBF" w:rsidP="00D3489C">
        <w:pPr>
          <w:pStyle w:val="Footer"/>
          <w:rPr>
            <w:color w:val="808080" w:themeColor="background1" w:themeShade="80"/>
          </w:rPr>
        </w:pPr>
      </w:p>
      <w:p w14:paraId="20C73A02" w14:textId="77777777" w:rsidR="00E03FBF" w:rsidRDefault="00E03FBF">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20C73A03" w14:textId="77777777" w:rsidR="00E03FBF" w:rsidRDefault="00E03F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E40A3A" w14:textId="77777777" w:rsidR="00116A2C" w:rsidRDefault="00116A2C" w:rsidP="00C82318">
      <w:r>
        <w:separator/>
      </w:r>
    </w:p>
  </w:footnote>
  <w:footnote w:type="continuationSeparator" w:id="0">
    <w:p w14:paraId="78D4DFCC" w14:textId="77777777" w:rsidR="00116A2C" w:rsidRDefault="00116A2C" w:rsidP="00C82318">
      <w:r>
        <w:continuationSeparator/>
      </w:r>
    </w:p>
  </w:footnote>
  <w:footnote w:id="1">
    <w:p w14:paraId="24111D5F" w14:textId="77777777" w:rsidR="00E03FBF" w:rsidRDefault="00E03FBF" w:rsidP="00134D04">
      <w:pPr>
        <w:pStyle w:val="FootnoteText"/>
        <w:rPr>
          <w:sz w:val="16"/>
          <w:szCs w:val="16"/>
          <w:lang w:val="en-US"/>
        </w:rPr>
      </w:pPr>
      <w:r w:rsidRPr="001409AB">
        <w:rPr>
          <w:rStyle w:val="FootnoteReference"/>
          <w:sz w:val="16"/>
          <w:szCs w:val="16"/>
        </w:rPr>
        <w:footnoteRef/>
      </w:r>
      <w:r w:rsidRPr="001409AB">
        <w:rPr>
          <w:sz w:val="16"/>
          <w:szCs w:val="16"/>
        </w:rPr>
        <w:t xml:space="preserve"> </w:t>
      </w:r>
      <w:r w:rsidRPr="001409AB">
        <w:rPr>
          <w:sz w:val="16"/>
          <w:szCs w:val="16"/>
          <w:lang w:val="en-US"/>
        </w:rPr>
        <w:t xml:space="preserve">For the list of exclusion please see </w:t>
      </w:r>
    </w:p>
    <w:p w14:paraId="43C66C86" w14:textId="3FA08E58" w:rsidR="00E03FBF" w:rsidRPr="001409AB" w:rsidRDefault="009E27B6" w:rsidP="00134D04">
      <w:pPr>
        <w:pStyle w:val="FootnoteText"/>
        <w:rPr>
          <w:sz w:val="16"/>
          <w:szCs w:val="16"/>
        </w:rPr>
      </w:pPr>
      <w:hyperlink r:id="rId1" w:history="1">
        <w:r w:rsidR="00E03FBF" w:rsidRPr="001409AB">
          <w:rPr>
            <w:rStyle w:val="Hyperlink"/>
            <w:sz w:val="16"/>
            <w:szCs w:val="16"/>
            <w:lang w:val="en-US"/>
          </w:rPr>
          <w:t>https://www.gov.uk/government/uploads/system/uploads/attachment_data/file/551130/List_of_Mandatory_and_Discretionary_Exclusions.pdf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07B8"/>
    <w:multiLevelType w:val="multilevel"/>
    <w:tmpl w:val="AF82C044"/>
    <w:name w:val="Annexure"/>
    <w:lvl w:ilvl="0">
      <w:start w:val="1"/>
      <w:numFmt w:val="decimal"/>
      <w:pStyle w:val="Annexure"/>
      <w:suff w:val="nothing"/>
      <w:lvlText w:val="Annexure %1"/>
      <w:lvlJc w:val="left"/>
      <w:pPr>
        <w:ind w:left="0" w:firstLine="0"/>
      </w:pPr>
      <w:rPr>
        <w:rFonts w:hint="default"/>
        <w:caps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00EA393F"/>
    <w:multiLevelType w:val="hybridMultilevel"/>
    <w:tmpl w:val="FB86DC64"/>
    <w:lvl w:ilvl="0" w:tplc="871CDAD0">
      <w:start w:val="10"/>
      <w:numFmt w:val="bullet"/>
      <w:lvlText w:val=""/>
      <w:lvlJc w:val="left"/>
      <w:pPr>
        <w:ind w:left="2055" w:hanging="360"/>
      </w:pPr>
      <w:rPr>
        <w:rFonts w:ascii="Symbol" w:eastAsia="Times New Roman" w:hAnsi="Symbol" w:cs="Times New Roman" w:hint="default"/>
      </w:rPr>
    </w:lvl>
    <w:lvl w:ilvl="1" w:tplc="08090003" w:tentative="1">
      <w:start w:val="1"/>
      <w:numFmt w:val="bullet"/>
      <w:lvlText w:val="o"/>
      <w:lvlJc w:val="left"/>
      <w:pPr>
        <w:ind w:left="2775" w:hanging="360"/>
      </w:pPr>
      <w:rPr>
        <w:rFonts w:ascii="Courier New" w:hAnsi="Courier New" w:cs="Courier New" w:hint="default"/>
      </w:rPr>
    </w:lvl>
    <w:lvl w:ilvl="2" w:tplc="08090005" w:tentative="1">
      <w:start w:val="1"/>
      <w:numFmt w:val="bullet"/>
      <w:lvlText w:val=""/>
      <w:lvlJc w:val="left"/>
      <w:pPr>
        <w:ind w:left="3495" w:hanging="360"/>
      </w:pPr>
      <w:rPr>
        <w:rFonts w:ascii="Wingdings" w:hAnsi="Wingdings" w:hint="default"/>
      </w:rPr>
    </w:lvl>
    <w:lvl w:ilvl="3" w:tplc="08090001" w:tentative="1">
      <w:start w:val="1"/>
      <w:numFmt w:val="bullet"/>
      <w:lvlText w:val=""/>
      <w:lvlJc w:val="left"/>
      <w:pPr>
        <w:ind w:left="4215" w:hanging="360"/>
      </w:pPr>
      <w:rPr>
        <w:rFonts w:ascii="Symbol" w:hAnsi="Symbol" w:hint="default"/>
      </w:rPr>
    </w:lvl>
    <w:lvl w:ilvl="4" w:tplc="08090003" w:tentative="1">
      <w:start w:val="1"/>
      <w:numFmt w:val="bullet"/>
      <w:lvlText w:val="o"/>
      <w:lvlJc w:val="left"/>
      <w:pPr>
        <w:ind w:left="4935" w:hanging="360"/>
      </w:pPr>
      <w:rPr>
        <w:rFonts w:ascii="Courier New" w:hAnsi="Courier New" w:cs="Courier New" w:hint="default"/>
      </w:rPr>
    </w:lvl>
    <w:lvl w:ilvl="5" w:tplc="08090005" w:tentative="1">
      <w:start w:val="1"/>
      <w:numFmt w:val="bullet"/>
      <w:lvlText w:val=""/>
      <w:lvlJc w:val="left"/>
      <w:pPr>
        <w:ind w:left="5655" w:hanging="360"/>
      </w:pPr>
      <w:rPr>
        <w:rFonts w:ascii="Wingdings" w:hAnsi="Wingdings" w:hint="default"/>
      </w:rPr>
    </w:lvl>
    <w:lvl w:ilvl="6" w:tplc="08090001" w:tentative="1">
      <w:start w:val="1"/>
      <w:numFmt w:val="bullet"/>
      <w:lvlText w:val=""/>
      <w:lvlJc w:val="left"/>
      <w:pPr>
        <w:ind w:left="6375" w:hanging="360"/>
      </w:pPr>
      <w:rPr>
        <w:rFonts w:ascii="Symbol" w:hAnsi="Symbol" w:hint="default"/>
      </w:rPr>
    </w:lvl>
    <w:lvl w:ilvl="7" w:tplc="08090003" w:tentative="1">
      <w:start w:val="1"/>
      <w:numFmt w:val="bullet"/>
      <w:lvlText w:val="o"/>
      <w:lvlJc w:val="left"/>
      <w:pPr>
        <w:ind w:left="7095" w:hanging="360"/>
      </w:pPr>
      <w:rPr>
        <w:rFonts w:ascii="Courier New" w:hAnsi="Courier New" w:cs="Courier New" w:hint="default"/>
      </w:rPr>
    </w:lvl>
    <w:lvl w:ilvl="8" w:tplc="08090005" w:tentative="1">
      <w:start w:val="1"/>
      <w:numFmt w:val="bullet"/>
      <w:lvlText w:val=""/>
      <w:lvlJc w:val="left"/>
      <w:pPr>
        <w:ind w:left="7815" w:hanging="360"/>
      </w:pPr>
      <w:rPr>
        <w:rFonts w:ascii="Wingdings" w:hAnsi="Wingdings" w:hint="default"/>
      </w:rPr>
    </w:lvl>
  </w:abstractNum>
  <w:abstractNum w:abstractNumId="2" w15:restartNumberingAfterBreak="0">
    <w:nsid w:val="020A5AF4"/>
    <w:multiLevelType w:val="hybridMultilevel"/>
    <w:tmpl w:val="8E04A618"/>
    <w:lvl w:ilvl="0" w:tplc="6E287456">
      <w:start w:val="1"/>
      <w:numFmt w:val="bullet"/>
      <w:lvlText w:val=""/>
      <w:lvlJc w:val="left"/>
      <w:pPr>
        <w:ind w:left="1211" w:hanging="360"/>
      </w:pPr>
      <w:rPr>
        <w:rFonts w:ascii="Symbol" w:hAnsi="Symbol" w:hint="default"/>
        <w:color w:val="808080"/>
        <w:sz w:val="20"/>
        <w:szCs w:val="20"/>
      </w:rPr>
    </w:lvl>
    <w:lvl w:ilvl="1" w:tplc="08090003">
      <w:start w:val="1"/>
      <w:numFmt w:val="bullet"/>
      <w:lvlText w:val="o"/>
      <w:lvlJc w:val="left"/>
      <w:pPr>
        <w:ind w:left="1931" w:hanging="360"/>
      </w:pPr>
      <w:rPr>
        <w:rFonts w:ascii="Courier New" w:hAnsi="Courier New" w:cs="Courier New" w:hint="default"/>
      </w:rPr>
    </w:lvl>
    <w:lvl w:ilvl="2" w:tplc="08090005">
      <w:start w:val="1"/>
      <w:numFmt w:val="bullet"/>
      <w:lvlText w:val=""/>
      <w:lvlJc w:val="left"/>
      <w:pPr>
        <w:ind w:left="2651" w:hanging="360"/>
      </w:pPr>
      <w:rPr>
        <w:rFonts w:ascii="Wingdings" w:hAnsi="Wingdings" w:hint="default"/>
      </w:rPr>
    </w:lvl>
    <w:lvl w:ilvl="3" w:tplc="0809000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 w15:restartNumberingAfterBreak="0">
    <w:nsid w:val="07253DDD"/>
    <w:multiLevelType w:val="multilevel"/>
    <w:tmpl w:val="796EF836"/>
    <w:name w:val="Parties"/>
    <w:lvl w:ilvl="0">
      <w:start w:val="1"/>
      <w:numFmt w:val="decimal"/>
      <w:pStyle w:val="Parties"/>
      <w:lvlText w:val="(%1)"/>
      <w:lvlJc w:val="left"/>
      <w:pPr>
        <w:tabs>
          <w:tab w:val="num" w:pos="851"/>
        </w:tabs>
        <w:ind w:left="851" w:hanging="851"/>
      </w:pPr>
      <w:rPr>
        <w:rFonts w:ascii="Arial" w:hAnsi="Arial" w:cs="Times New Roman" w:hint="default"/>
        <w:kern w:val="0"/>
        <w:sz w:val="20"/>
        <w:u w:val="none"/>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4" w15:restartNumberingAfterBreak="0">
    <w:nsid w:val="08DD3BA8"/>
    <w:multiLevelType w:val="hybridMultilevel"/>
    <w:tmpl w:val="B3323C08"/>
    <w:lvl w:ilvl="0" w:tplc="08090001">
      <w:start w:val="1"/>
      <w:numFmt w:val="bullet"/>
      <w:lvlText w:val=""/>
      <w:lvlJc w:val="left"/>
      <w:pPr>
        <w:ind w:left="1210" w:hanging="360"/>
      </w:pPr>
      <w:rPr>
        <w:rFonts w:ascii="Symbol" w:hAnsi="Symbol" w:hint="default"/>
      </w:rPr>
    </w:lvl>
    <w:lvl w:ilvl="1" w:tplc="08090003" w:tentative="1">
      <w:start w:val="1"/>
      <w:numFmt w:val="bullet"/>
      <w:lvlText w:val="o"/>
      <w:lvlJc w:val="left"/>
      <w:pPr>
        <w:ind w:left="1930" w:hanging="360"/>
      </w:pPr>
      <w:rPr>
        <w:rFonts w:ascii="Courier New" w:hAnsi="Courier New" w:cs="Courier New" w:hint="default"/>
      </w:rPr>
    </w:lvl>
    <w:lvl w:ilvl="2" w:tplc="08090005" w:tentative="1">
      <w:start w:val="1"/>
      <w:numFmt w:val="bullet"/>
      <w:lvlText w:val=""/>
      <w:lvlJc w:val="left"/>
      <w:pPr>
        <w:ind w:left="2650" w:hanging="360"/>
      </w:pPr>
      <w:rPr>
        <w:rFonts w:ascii="Wingdings" w:hAnsi="Wingdings" w:hint="default"/>
      </w:rPr>
    </w:lvl>
    <w:lvl w:ilvl="3" w:tplc="08090001" w:tentative="1">
      <w:start w:val="1"/>
      <w:numFmt w:val="bullet"/>
      <w:lvlText w:val=""/>
      <w:lvlJc w:val="left"/>
      <w:pPr>
        <w:ind w:left="3370" w:hanging="360"/>
      </w:pPr>
      <w:rPr>
        <w:rFonts w:ascii="Symbol" w:hAnsi="Symbol" w:hint="default"/>
      </w:rPr>
    </w:lvl>
    <w:lvl w:ilvl="4" w:tplc="08090003" w:tentative="1">
      <w:start w:val="1"/>
      <w:numFmt w:val="bullet"/>
      <w:lvlText w:val="o"/>
      <w:lvlJc w:val="left"/>
      <w:pPr>
        <w:ind w:left="4090" w:hanging="360"/>
      </w:pPr>
      <w:rPr>
        <w:rFonts w:ascii="Courier New" w:hAnsi="Courier New" w:cs="Courier New" w:hint="default"/>
      </w:rPr>
    </w:lvl>
    <w:lvl w:ilvl="5" w:tplc="08090005" w:tentative="1">
      <w:start w:val="1"/>
      <w:numFmt w:val="bullet"/>
      <w:lvlText w:val=""/>
      <w:lvlJc w:val="left"/>
      <w:pPr>
        <w:ind w:left="4810" w:hanging="360"/>
      </w:pPr>
      <w:rPr>
        <w:rFonts w:ascii="Wingdings" w:hAnsi="Wingdings" w:hint="default"/>
      </w:rPr>
    </w:lvl>
    <w:lvl w:ilvl="6" w:tplc="08090001" w:tentative="1">
      <w:start w:val="1"/>
      <w:numFmt w:val="bullet"/>
      <w:lvlText w:val=""/>
      <w:lvlJc w:val="left"/>
      <w:pPr>
        <w:ind w:left="5530" w:hanging="360"/>
      </w:pPr>
      <w:rPr>
        <w:rFonts w:ascii="Symbol" w:hAnsi="Symbol" w:hint="default"/>
      </w:rPr>
    </w:lvl>
    <w:lvl w:ilvl="7" w:tplc="08090003" w:tentative="1">
      <w:start w:val="1"/>
      <w:numFmt w:val="bullet"/>
      <w:lvlText w:val="o"/>
      <w:lvlJc w:val="left"/>
      <w:pPr>
        <w:ind w:left="6250" w:hanging="360"/>
      </w:pPr>
      <w:rPr>
        <w:rFonts w:ascii="Courier New" w:hAnsi="Courier New" w:cs="Courier New" w:hint="default"/>
      </w:rPr>
    </w:lvl>
    <w:lvl w:ilvl="8" w:tplc="08090005" w:tentative="1">
      <w:start w:val="1"/>
      <w:numFmt w:val="bullet"/>
      <w:lvlText w:val=""/>
      <w:lvlJc w:val="left"/>
      <w:pPr>
        <w:ind w:left="6970" w:hanging="360"/>
      </w:pPr>
      <w:rPr>
        <w:rFonts w:ascii="Wingdings" w:hAnsi="Wingdings" w:hint="default"/>
      </w:rPr>
    </w:lvl>
  </w:abstractNum>
  <w:abstractNum w:abstractNumId="5" w15:restartNumberingAfterBreak="0">
    <w:nsid w:val="0CFA0FF5"/>
    <w:multiLevelType w:val="multilevel"/>
    <w:tmpl w:val="3FB08CB2"/>
    <w:name w:val="Bullet No Space"/>
    <w:lvl w:ilvl="0">
      <w:start w:val="1"/>
      <w:numFmt w:val="bullet"/>
      <w:pStyle w:val="BulletList1"/>
      <w:lvlText w:val=""/>
      <w:lvlJc w:val="left"/>
      <w:pPr>
        <w:tabs>
          <w:tab w:val="num" w:pos="851"/>
        </w:tabs>
        <w:ind w:left="851" w:hanging="851"/>
      </w:pPr>
      <w:rPr>
        <w:rFonts w:ascii="Symbol" w:hAnsi="Symbol" w:hint="default"/>
        <w:b w:val="0"/>
        <w:i w:val="0"/>
        <w:color w:val="auto"/>
        <w:kern w:val="0"/>
        <w:sz w:val="22"/>
      </w:rPr>
    </w:lvl>
    <w:lvl w:ilvl="1">
      <w:start w:val="1"/>
      <w:numFmt w:val="bullet"/>
      <w:pStyle w:val="BulletList2"/>
      <w:lvlText w:val=""/>
      <w:lvlJc w:val="left"/>
      <w:pPr>
        <w:tabs>
          <w:tab w:val="num" w:pos="1701"/>
        </w:tabs>
        <w:ind w:left="1701" w:hanging="850"/>
      </w:pPr>
      <w:rPr>
        <w:rFonts w:ascii="Symbol" w:hAnsi="Symbol" w:hint="default"/>
        <w:b w:val="0"/>
        <w:i w:val="0"/>
        <w:color w:val="auto"/>
        <w:sz w:val="21"/>
      </w:rPr>
    </w:lvl>
    <w:lvl w:ilvl="2">
      <w:start w:val="1"/>
      <w:numFmt w:val="bullet"/>
      <w:pStyle w:val="BulletList3"/>
      <w:lvlText w:val=""/>
      <w:lvlJc w:val="left"/>
      <w:pPr>
        <w:tabs>
          <w:tab w:val="num" w:pos="2552"/>
        </w:tabs>
        <w:ind w:left="2552" w:hanging="851"/>
      </w:pPr>
      <w:rPr>
        <w:rFonts w:ascii="Symbol" w:hAnsi="Symbol" w:hint="default"/>
        <w:b w:val="0"/>
        <w:i w:val="0"/>
        <w:color w:val="auto"/>
        <w:sz w:val="21"/>
      </w:rPr>
    </w:lvl>
    <w:lvl w:ilvl="3">
      <w:start w:val="1"/>
      <w:numFmt w:val="bullet"/>
      <w:pStyle w:val="BulletList4"/>
      <w:lvlText w:val=""/>
      <w:lvlJc w:val="left"/>
      <w:pPr>
        <w:tabs>
          <w:tab w:val="num" w:pos="3402"/>
        </w:tabs>
        <w:ind w:left="3402" w:hanging="850"/>
      </w:pPr>
      <w:rPr>
        <w:rFonts w:ascii="Symbol" w:hAnsi="Symbol" w:cs="Times New Roman" w:hint="default"/>
        <w:color w:val="auto"/>
        <w:sz w:val="21"/>
      </w:rPr>
    </w:lvl>
    <w:lvl w:ilvl="4">
      <w:start w:val="1"/>
      <w:numFmt w:val="bullet"/>
      <w:pStyle w:val="BulletList5"/>
      <w:lvlText w:val=""/>
      <w:lvlJc w:val="left"/>
      <w:pPr>
        <w:tabs>
          <w:tab w:val="num" w:pos="4253"/>
        </w:tabs>
        <w:ind w:left="4253" w:hanging="851"/>
      </w:pPr>
      <w:rPr>
        <w:rFonts w:ascii="Symbol" w:hAnsi="Symbol" w:cs="Times New Roman" w:hint="default"/>
        <w:color w:val="auto"/>
        <w:sz w:val="21"/>
      </w:rPr>
    </w:lvl>
    <w:lvl w:ilvl="5">
      <w:start w:val="1"/>
      <w:numFmt w:val="bullet"/>
      <w:pStyle w:val="BulletList6"/>
      <w:lvlText w:val=""/>
      <w:lvlJc w:val="left"/>
      <w:pPr>
        <w:tabs>
          <w:tab w:val="num" w:pos="5103"/>
        </w:tabs>
        <w:ind w:left="5103" w:hanging="850"/>
      </w:pPr>
      <w:rPr>
        <w:rFonts w:ascii="Symbol" w:hAnsi="Symbol" w:cs="Times New Roman" w:hint="default"/>
        <w:color w:val="auto"/>
        <w:sz w:val="21"/>
      </w:rPr>
    </w:lvl>
    <w:lvl w:ilvl="6">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6" w15:restartNumberingAfterBreak="0">
    <w:nsid w:val="11A40716"/>
    <w:multiLevelType w:val="hybridMultilevel"/>
    <w:tmpl w:val="D83C32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2966D2"/>
    <w:multiLevelType w:val="multilevel"/>
    <w:tmpl w:val="0AFE29D4"/>
    <w:name w:val="Bullet With Space"/>
    <w:lvl w:ilvl="0">
      <w:start w:val="1"/>
      <w:numFmt w:val="bullet"/>
      <w:pStyle w:val="Bullet1"/>
      <w:lvlText w:val=""/>
      <w:lvlJc w:val="left"/>
      <w:pPr>
        <w:tabs>
          <w:tab w:val="num" w:pos="851"/>
        </w:tabs>
        <w:ind w:left="851" w:hanging="851"/>
      </w:pPr>
      <w:rPr>
        <w:rFonts w:ascii="Symbol" w:hAnsi="Symbol" w:hint="default"/>
        <w:caps w:val="0"/>
        <w:strike w:val="0"/>
        <w:dstrike w:val="0"/>
        <w:vanish w:val="0"/>
        <w:color w:val="auto"/>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701"/>
        </w:tabs>
        <w:ind w:left="1701" w:hanging="850"/>
      </w:pPr>
      <w:rPr>
        <w:rFonts w:ascii="Symbol" w:hAnsi="Symbol" w:hint="default"/>
        <w:b w:val="0"/>
        <w:i w:val="0"/>
        <w:caps w:val="0"/>
        <w:strike w:val="0"/>
        <w:dstrike w:val="0"/>
        <w:vanish w:val="0"/>
        <w:color w:val="808080" w:themeColor="background1" w:themeShade="80"/>
        <w:sz w:val="21"/>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552"/>
        </w:tabs>
        <w:ind w:left="2552" w:hanging="851"/>
      </w:pPr>
      <w:rPr>
        <w:rFonts w:ascii="Symbol" w:hAnsi="Symbol"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3402"/>
        </w:tabs>
        <w:ind w:left="3402" w:hanging="850"/>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4253"/>
        </w:tabs>
        <w:ind w:left="4253" w:hanging="851"/>
      </w:pPr>
      <w:rPr>
        <w:rFonts w:ascii="Symbol" w:hAnsi="Symbol" w:cs="Times New Roman"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5103"/>
        </w:tabs>
        <w:ind w:left="5103" w:hanging="850"/>
      </w:pPr>
      <w:rPr>
        <w:rFonts w:ascii="Symbol" w:hAnsi="Symbol"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cs="Times New Roman"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cs="Times New Roman"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cs="Times New Roman"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26725A4"/>
    <w:multiLevelType w:val="hybridMultilevel"/>
    <w:tmpl w:val="9EC0AD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EF1168"/>
    <w:multiLevelType w:val="hybridMultilevel"/>
    <w:tmpl w:val="8E5E33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5F5990"/>
    <w:multiLevelType w:val="multilevel"/>
    <w:tmpl w:val="CFDE28B0"/>
    <w:lvl w:ilvl="0">
      <w:start w:val="1"/>
      <w:numFmt w:val="decimal"/>
      <w:lvlText w:val="%1"/>
      <w:lvlJc w:val="left"/>
      <w:pPr>
        <w:tabs>
          <w:tab w:val="num" w:pos="709"/>
        </w:tabs>
        <w:ind w:left="709" w:hanging="709"/>
      </w:p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pStyle w:val="10"/>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1" w15:restartNumberingAfterBreak="0">
    <w:nsid w:val="15F57CF2"/>
    <w:multiLevelType w:val="multilevel"/>
    <w:tmpl w:val="5F189D02"/>
    <w:name w:val="Background"/>
    <w:lvl w:ilvl="0">
      <w:start w:val="1"/>
      <w:numFmt w:val="upperLetter"/>
      <w:pStyle w:val="Background"/>
      <w:lvlText w:val="(%1)"/>
      <w:lvlJc w:val="left"/>
      <w:pPr>
        <w:tabs>
          <w:tab w:val="num" w:pos="851"/>
        </w:tabs>
        <w:ind w:left="851" w:hanging="851"/>
      </w:pPr>
      <w:rPr>
        <w:rFonts w:ascii="Arial" w:hAnsi="Arial" w:cs="Times New Roman" w:hint="default"/>
        <w:kern w:val="0"/>
        <w:sz w:val="20"/>
      </w:rPr>
    </w:lvl>
    <w:lvl w:ilvl="1">
      <w:start w:val="1"/>
      <w:numFmt w:val="none"/>
      <w:suff w:val="nothing"/>
      <w:lvlText w:val=""/>
      <w:lvlJc w:val="left"/>
      <w:pPr>
        <w:ind w:left="0" w:firstLine="0"/>
      </w:pPr>
      <w:rPr>
        <w:rFonts w:ascii="Arial" w:hAnsi="Arial" w:cs="Times New Roman" w:hint="default"/>
        <w:b/>
        <w:i w:val="0"/>
        <w:sz w:val="21"/>
      </w:rPr>
    </w:lvl>
    <w:lvl w:ilvl="2">
      <w:start w:val="1"/>
      <w:numFmt w:val="none"/>
      <w:suff w:val="nothing"/>
      <w:lvlText w:val=""/>
      <w:lvlJc w:val="left"/>
      <w:pPr>
        <w:ind w:left="0" w:firstLine="0"/>
      </w:pPr>
      <w:rPr>
        <w:rFonts w:ascii="Arial" w:hAnsi="Arial" w:cs="Times New Roman" w:hint="default"/>
        <w:sz w:val="21"/>
      </w:rPr>
    </w:lvl>
    <w:lvl w:ilvl="3">
      <w:start w:val="1"/>
      <w:numFmt w:val="none"/>
      <w:suff w:val="nothing"/>
      <w:lvlText w:val=""/>
      <w:lvlJc w:val="left"/>
      <w:pPr>
        <w:ind w:left="0" w:firstLine="0"/>
      </w:pPr>
      <w:rPr>
        <w:rFonts w:ascii="Arial" w:hAnsi="Arial" w:cs="Times New Roman" w:hint="default"/>
        <w:sz w:val="21"/>
      </w:rPr>
    </w:lvl>
    <w:lvl w:ilvl="4">
      <w:start w:val="1"/>
      <w:numFmt w:val="none"/>
      <w:suff w:val="nothing"/>
      <w:lvlText w:val=""/>
      <w:lvlJc w:val="left"/>
      <w:pPr>
        <w:ind w:left="0" w:firstLine="0"/>
      </w:pPr>
      <w:rPr>
        <w:rFonts w:ascii="Arial" w:hAnsi="Arial" w:cs="Times New Roman" w:hint="default"/>
        <w:sz w:val="21"/>
      </w:rPr>
    </w:lvl>
    <w:lvl w:ilvl="5">
      <w:start w:val="27"/>
      <w:numFmt w:val="none"/>
      <w:suff w:val="nothing"/>
      <w:lvlText w:val=""/>
      <w:lvlJc w:val="left"/>
      <w:pPr>
        <w:ind w:left="0" w:firstLine="0"/>
      </w:pPr>
      <w:rPr>
        <w:rFonts w:ascii="Arial" w:hAnsi="Arial" w:cs="Times New Roman" w:hint="default"/>
        <w:sz w:val="21"/>
      </w:rPr>
    </w:lvl>
    <w:lvl w:ilvl="6">
      <w:start w:val="1"/>
      <w:numFmt w:val="none"/>
      <w:suff w:val="nothing"/>
      <w:lvlText w:val=""/>
      <w:lvlJc w:val="left"/>
      <w:pPr>
        <w:ind w:left="0" w:firstLine="0"/>
      </w:pPr>
      <w:rPr>
        <w:rFonts w:cs="Times New Roman" w:hint="default"/>
      </w:rPr>
    </w:lvl>
    <w:lvl w:ilvl="7">
      <w:start w:val="1"/>
      <w:numFmt w:val="none"/>
      <w:suff w:val="nothing"/>
      <w:lvlText w:val=""/>
      <w:lvlJc w:val="left"/>
      <w:pPr>
        <w:ind w:left="0" w:firstLine="0"/>
      </w:pPr>
      <w:rPr>
        <w:rFonts w:cs="Times New Roman" w:hint="default"/>
      </w:rPr>
    </w:lvl>
    <w:lvl w:ilvl="8">
      <w:start w:val="1"/>
      <w:numFmt w:val="none"/>
      <w:suff w:val="nothing"/>
      <w:lvlText w:val=""/>
      <w:lvlJc w:val="left"/>
      <w:pPr>
        <w:ind w:left="0" w:firstLine="0"/>
      </w:pPr>
      <w:rPr>
        <w:rFonts w:cs="Times New Roman" w:hint="default"/>
      </w:rPr>
    </w:lvl>
  </w:abstractNum>
  <w:abstractNum w:abstractNumId="12" w15:restartNumberingAfterBreak="0">
    <w:nsid w:val="18B6380E"/>
    <w:multiLevelType w:val="multilevel"/>
    <w:tmpl w:val="BB842F96"/>
    <w:name w:val="SIX"/>
    <w:lvl w:ilvl="0">
      <w:start w:val="1"/>
      <w:numFmt w:val="decimal"/>
      <w:pStyle w:val="SIXH1"/>
      <w:lvlText w:val="%1."/>
      <w:lvlJc w:val="left"/>
      <w:pPr>
        <w:tabs>
          <w:tab w:val="num" w:pos="720"/>
        </w:tabs>
        <w:ind w:left="360" w:hanging="360"/>
      </w:pPr>
      <w:rPr>
        <w:rFonts w:ascii="Arial Bold" w:hAnsi="Arial Bold" w:hint="default"/>
        <w:b/>
        <w:i w:val="0"/>
        <w:sz w:val="24"/>
      </w:rPr>
    </w:lvl>
    <w:lvl w:ilvl="1">
      <w:start w:val="1"/>
      <w:numFmt w:val="decimal"/>
      <w:pStyle w:val="SIXH2"/>
      <w:lvlText w:val="%1.%2."/>
      <w:lvlJc w:val="left"/>
      <w:pPr>
        <w:tabs>
          <w:tab w:val="num" w:pos="1440"/>
        </w:tabs>
        <w:ind w:left="792" w:hanging="432"/>
      </w:pPr>
      <w:rPr>
        <w:rFonts w:ascii="Arial" w:hAnsi="Arial" w:hint="default"/>
        <w:b w:val="0"/>
        <w:i w:val="0"/>
        <w:sz w:val="22"/>
      </w:rPr>
    </w:lvl>
    <w:lvl w:ilvl="2">
      <w:start w:val="1"/>
      <w:numFmt w:val="lowerLetter"/>
      <w:lvlText w:val="(%3)"/>
      <w:lvlJc w:val="left"/>
      <w:pPr>
        <w:tabs>
          <w:tab w:val="num" w:pos="1225"/>
        </w:tabs>
        <w:ind w:left="1224" w:hanging="504"/>
      </w:pPr>
      <w:rPr>
        <w:rFonts w:ascii="Arial" w:hAnsi="Arial" w:hint="default"/>
        <w:b w:val="0"/>
        <w:i/>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3" w15:restartNumberingAfterBreak="0">
    <w:nsid w:val="1D4C11A5"/>
    <w:multiLevelType w:val="hybridMultilevel"/>
    <w:tmpl w:val="B39ABE74"/>
    <w:lvl w:ilvl="0" w:tplc="0E1E195E">
      <w:start w:val="1"/>
      <w:numFmt w:val="decimal"/>
      <w:lvlText w:val="%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A604E3"/>
    <w:multiLevelType w:val="multilevel"/>
    <w:tmpl w:val="DC94D610"/>
    <w:name w:val="M&amp;R"/>
    <w:lvl w:ilvl="0">
      <w:start w:val="1"/>
      <w:numFmt w:val="decimal"/>
      <w:pStyle w:val="MRNumberedHeading1"/>
      <w:lvlText w:val="%1"/>
      <w:lvlJc w:val="left"/>
      <w:pPr>
        <w:tabs>
          <w:tab w:val="num" w:pos="798"/>
        </w:tabs>
        <w:ind w:left="798"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MRNumberedHeading2"/>
      <w:lvlText w:val="%1.%2"/>
      <w:lvlJc w:val="left"/>
      <w:pPr>
        <w:tabs>
          <w:tab w:val="num" w:pos="720"/>
        </w:tabs>
        <w:ind w:left="720" w:hanging="720"/>
      </w:pPr>
      <w:rPr>
        <w:rFonts w:ascii="Arial" w:hAnsi="Arial" w:cs="Arial" w:hint="default"/>
        <w:b w:val="0"/>
        <w:bCs w:val="0"/>
        <w:i w:val="0"/>
        <w:iCs w:val="0"/>
        <w:caps w:val="0"/>
        <w:smallCaps w:val="0"/>
        <w:strike w:val="0"/>
        <w:dstrike w:val="0"/>
        <w:noProof w:val="0"/>
        <w:vanish w:val="0"/>
        <w:color w:val="000000" w:themeColor="text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14"/>
        </w:tabs>
        <w:ind w:left="2214" w:hanging="1080"/>
      </w:pPr>
      <w:rPr>
        <w:rFonts w:ascii="Arial" w:hAnsi="Arial" w:cs="Times New Roman" w:hint="default"/>
        <w:b w:val="0"/>
        <w:i w:val="0"/>
        <w:color w:val="auto"/>
        <w:sz w:val="20"/>
        <w:szCs w:val="20"/>
        <w:u w:val="none"/>
      </w:rPr>
    </w:lvl>
    <w:lvl w:ilvl="3">
      <w:start w:val="1"/>
      <w:numFmt w:val="lowerRoman"/>
      <w:lvlText w:val="(%4)"/>
      <w:lvlJc w:val="left"/>
      <w:pPr>
        <w:tabs>
          <w:tab w:val="num" w:pos="2520"/>
        </w:tabs>
        <w:ind w:left="2520" w:hanging="720"/>
      </w:pPr>
      <w:rPr>
        <w:rFonts w:ascii="Arial" w:hAnsi="Arial" w:cs="Times New Roman" w:hint="default"/>
        <w:sz w:val="22"/>
        <w:szCs w:val="22"/>
        <w:u w:val="none"/>
      </w:rPr>
    </w:lvl>
    <w:lvl w:ilvl="4">
      <w:start w:val="1"/>
      <w:numFmt w:val="upperLetter"/>
      <w:lvlText w:val="(%5)"/>
      <w:lvlJc w:val="left"/>
      <w:pPr>
        <w:tabs>
          <w:tab w:val="num" w:pos="3240"/>
        </w:tabs>
        <w:ind w:left="3240" w:hanging="720"/>
      </w:pPr>
      <w:rPr>
        <w:rFonts w:ascii="Arial" w:hAnsi="Arial" w:cs="Times New Roman" w:hint="default"/>
        <w:sz w:val="22"/>
        <w:szCs w:val="22"/>
        <w:u w:val="none"/>
      </w:rPr>
    </w:lvl>
    <w:lvl w:ilvl="5">
      <w:start w:val="1"/>
      <w:numFmt w:val="decimal"/>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lvlText w:val="%9)"/>
      <w:lvlJc w:val="left"/>
      <w:pPr>
        <w:tabs>
          <w:tab w:val="num" w:pos="6120"/>
        </w:tabs>
        <w:ind w:left="6120" w:hanging="720"/>
      </w:pPr>
      <w:rPr>
        <w:rFonts w:ascii="Arial" w:hAnsi="Arial" w:cs="Times New Roman" w:hint="default"/>
        <w:b w:val="0"/>
        <w:i w:val="0"/>
        <w:sz w:val="22"/>
        <w:szCs w:val="22"/>
        <w:u w:val="none"/>
      </w:rPr>
    </w:lvl>
  </w:abstractNum>
  <w:abstractNum w:abstractNumId="15" w15:restartNumberingAfterBreak="0">
    <w:nsid w:val="28C249A2"/>
    <w:multiLevelType w:val="hybridMultilevel"/>
    <w:tmpl w:val="7CA2B3EE"/>
    <w:name w:val="Section"/>
    <w:lvl w:ilvl="0" w:tplc="7C16C9BC">
      <w:start w:val="1"/>
      <w:numFmt w:val="upperLetter"/>
      <w:pStyle w:val="Section"/>
      <w:lvlText w:val="PART %1"/>
      <w:lvlJc w:val="left"/>
      <w:pPr>
        <w:tabs>
          <w:tab w:val="num" w:pos="2043"/>
        </w:tabs>
        <w:ind w:left="2043" w:hanging="57"/>
      </w:pPr>
      <w:rPr>
        <w:rFonts w:ascii="Arial Bold" w:hAnsi="Arial Bold" w:cs="Arial" w:hint="default"/>
        <w:b/>
        <w:bCs/>
        <w:i w:val="0"/>
        <w:iCs w:val="0"/>
        <w:caps/>
        <w:color w:val="auto"/>
        <w:sz w:val="28"/>
        <w:szCs w:val="24"/>
      </w:rPr>
    </w:lvl>
    <w:lvl w:ilvl="1" w:tplc="08090003">
      <w:start w:val="1"/>
      <w:numFmt w:val="bullet"/>
      <w:lvlText w:val="o"/>
      <w:lvlJc w:val="left"/>
      <w:pPr>
        <w:tabs>
          <w:tab w:val="num" w:pos="2434"/>
        </w:tabs>
        <w:ind w:left="2434" w:hanging="360"/>
      </w:pPr>
      <w:rPr>
        <w:rFonts w:ascii="Courier New" w:hAnsi="Courier New" w:cs="Courier New" w:hint="default"/>
        <w:b/>
        <w:bCs/>
        <w:i w:val="0"/>
        <w:iCs w:val="0"/>
        <w:caps/>
        <w:color w:val="auto"/>
        <w:sz w:val="24"/>
        <w:szCs w:val="24"/>
      </w:rPr>
    </w:lvl>
    <w:lvl w:ilvl="2" w:tplc="D43C9428">
      <w:start w:val="2"/>
      <w:numFmt w:val="lowerLetter"/>
      <w:lvlText w:val="%3)"/>
      <w:lvlJc w:val="left"/>
      <w:pPr>
        <w:tabs>
          <w:tab w:val="num" w:pos="3334"/>
        </w:tabs>
        <w:ind w:left="3334" w:hanging="360"/>
      </w:pPr>
      <w:rPr>
        <w:rFonts w:hint="default"/>
      </w:rPr>
    </w:lvl>
    <w:lvl w:ilvl="3" w:tplc="348C4CBC">
      <w:start w:val="1"/>
      <w:numFmt w:val="lowerLetter"/>
      <w:lvlText w:val="%4."/>
      <w:lvlJc w:val="left"/>
      <w:pPr>
        <w:tabs>
          <w:tab w:val="num" w:pos="3874"/>
        </w:tabs>
        <w:ind w:left="3874" w:hanging="360"/>
      </w:pPr>
      <w:rPr>
        <w:rFonts w:hint="default"/>
      </w:rPr>
    </w:lvl>
    <w:lvl w:ilvl="4" w:tplc="FFFFFFFF" w:tentative="1">
      <w:start w:val="1"/>
      <w:numFmt w:val="lowerLetter"/>
      <w:lvlText w:val="%5."/>
      <w:lvlJc w:val="left"/>
      <w:pPr>
        <w:tabs>
          <w:tab w:val="num" w:pos="4594"/>
        </w:tabs>
        <w:ind w:left="4594" w:hanging="360"/>
      </w:pPr>
    </w:lvl>
    <w:lvl w:ilvl="5" w:tplc="FFFFFFFF" w:tentative="1">
      <w:start w:val="1"/>
      <w:numFmt w:val="lowerRoman"/>
      <w:lvlText w:val="%6."/>
      <w:lvlJc w:val="right"/>
      <w:pPr>
        <w:tabs>
          <w:tab w:val="num" w:pos="5314"/>
        </w:tabs>
        <w:ind w:left="5314" w:hanging="180"/>
      </w:pPr>
    </w:lvl>
    <w:lvl w:ilvl="6" w:tplc="FFFFFFFF" w:tentative="1">
      <w:start w:val="1"/>
      <w:numFmt w:val="decimal"/>
      <w:lvlText w:val="%7."/>
      <w:lvlJc w:val="left"/>
      <w:pPr>
        <w:tabs>
          <w:tab w:val="num" w:pos="6034"/>
        </w:tabs>
        <w:ind w:left="6034" w:hanging="360"/>
      </w:pPr>
    </w:lvl>
    <w:lvl w:ilvl="7" w:tplc="FFFFFFFF" w:tentative="1">
      <w:start w:val="1"/>
      <w:numFmt w:val="lowerLetter"/>
      <w:lvlText w:val="%8."/>
      <w:lvlJc w:val="left"/>
      <w:pPr>
        <w:tabs>
          <w:tab w:val="num" w:pos="6754"/>
        </w:tabs>
        <w:ind w:left="6754" w:hanging="360"/>
      </w:pPr>
    </w:lvl>
    <w:lvl w:ilvl="8" w:tplc="FFFFFFFF" w:tentative="1">
      <w:start w:val="1"/>
      <w:numFmt w:val="lowerRoman"/>
      <w:lvlText w:val="%9."/>
      <w:lvlJc w:val="right"/>
      <w:pPr>
        <w:tabs>
          <w:tab w:val="num" w:pos="7474"/>
        </w:tabs>
        <w:ind w:left="7474" w:hanging="180"/>
      </w:pPr>
    </w:lvl>
  </w:abstractNum>
  <w:abstractNum w:abstractNumId="16" w15:restartNumberingAfterBreak="0">
    <w:nsid w:val="2CDC35F0"/>
    <w:multiLevelType w:val="hybridMultilevel"/>
    <w:tmpl w:val="0F64B05A"/>
    <w:lvl w:ilvl="0" w:tplc="F2A68D8C">
      <w:start w:val="1"/>
      <w:numFmt w:val="bullet"/>
      <w:lvlText w:val=""/>
      <w:lvlJc w:val="left"/>
      <w:pPr>
        <w:ind w:left="1571" w:hanging="360"/>
      </w:pPr>
      <w:rPr>
        <w:rFonts w:ascii="Symbol" w:hAnsi="Symbol" w:hint="default"/>
        <w:color w:val="808080" w:themeColor="background1" w:themeShade="80"/>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7" w15:restartNumberingAfterBreak="0">
    <w:nsid w:val="3A800F34"/>
    <w:multiLevelType w:val="hybridMultilevel"/>
    <w:tmpl w:val="D7AA1346"/>
    <w:lvl w:ilvl="0" w:tplc="5E429F96">
      <w:start w:val="10"/>
      <w:numFmt w:val="bullet"/>
      <w:lvlText w:val=""/>
      <w:lvlJc w:val="left"/>
      <w:pPr>
        <w:ind w:left="1211" w:hanging="360"/>
      </w:pPr>
      <w:rPr>
        <w:rFonts w:ascii="Symbol" w:eastAsia="Times New Roman" w:hAnsi="Symbol"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8" w15:restartNumberingAfterBreak="0">
    <w:nsid w:val="3B793E27"/>
    <w:multiLevelType w:val="multilevel"/>
    <w:tmpl w:val="0ADCF826"/>
    <w:name w:val="Definition"/>
    <w:lvl w:ilvl="0">
      <w:start w:val="1"/>
      <w:numFmt w:val="none"/>
      <w:pStyle w:val="Definition"/>
      <w:suff w:val="nothing"/>
      <w:lvlText w:val=""/>
      <w:lvlJc w:val="left"/>
      <w:pPr>
        <w:ind w:left="851" w:firstLine="0"/>
      </w:pPr>
      <w:rPr>
        <w:rFonts w:cs="Times New Roman" w:hint="default"/>
        <w:b/>
        <w:i w:val="0"/>
        <w:caps w:val="0"/>
        <w:kern w:val="0"/>
        <w:sz w:val="20"/>
      </w:rPr>
    </w:lvl>
    <w:lvl w:ilvl="1">
      <w:start w:val="1"/>
      <w:numFmt w:val="lowerLetter"/>
      <w:pStyle w:val="Definitiona"/>
      <w:lvlText w:val="(%2)"/>
      <w:lvlJc w:val="left"/>
      <w:pPr>
        <w:tabs>
          <w:tab w:val="num" w:pos="1701"/>
        </w:tabs>
        <w:ind w:left="1701" w:hanging="850"/>
      </w:pPr>
      <w:rPr>
        <w:rFonts w:cs="Times New Roman" w:hint="default"/>
        <w:b w:val="0"/>
        <w:i w:val="0"/>
        <w:sz w:val="20"/>
      </w:rPr>
    </w:lvl>
    <w:lvl w:ilvl="2">
      <w:start w:val="1"/>
      <w:numFmt w:val="lowerRoman"/>
      <w:lvlRestart w:val="1"/>
      <w:pStyle w:val="Definitioni"/>
      <w:lvlText w:val="(%3)"/>
      <w:lvlJc w:val="left"/>
      <w:pPr>
        <w:tabs>
          <w:tab w:val="num" w:pos="2552"/>
        </w:tabs>
        <w:ind w:left="2552" w:hanging="851"/>
      </w:pPr>
      <w:rPr>
        <w:rFonts w:ascii="Arial" w:hAnsi="Arial" w:cs="Times New Roman" w:hint="default"/>
        <w:sz w:val="20"/>
      </w:rPr>
    </w:lvl>
    <w:lvl w:ilvl="3">
      <w:start w:val="1"/>
      <w:numFmt w:val="none"/>
      <w:suff w:val="nothing"/>
      <w:lvlText w:val=""/>
      <w:lvlJc w:val="left"/>
      <w:pPr>
        <w:ind w:left="-32767" w:firstLine="32767"/>
      </w:pPr>
      <w:rPr>
        <w:rFonts w:cs="Times New Roman" w:hint="default"/>
        <w:sz w:val="20"/>
      </w:rPr>
    </w:lvl>
    <w:lvl w:ilvl="4">
      <w:start w:val="1"/>
      <w:numFmt w:val="none"/>
      <w:suff w:val="nothing"/>
      <w:lvlText w:val=""/>
      <w:lvlJc w:val="left"/>
      <w:pPr>
        <w:ind w:left="0" w:firstLine="0"/>
      </w:pPr>
      <w:rPr>
        <w:rFonts w:cs="Times New Roman" w:hint="default"/>
        <w:sz w:val="20"/>
      </w:rPr>
    </w:lvl>
    <w:lvl w:ilvl="5">
      <w:start w:val="1"/>
      <w:numFmt w:val="none"/>
      <w:suff w:val="nothing"/>
      <w:lvlText w:val=""/>
      <w:lvlJc w:val="left"/>
      <w:pPr>
        <w:ind w:left="-32767" w:firstLine="0"/>
      </w:pPr>
      <w:rPr>
        <w:rFonts w:ascii="Arial" w:hAnsi="Arial" w:cs="Times New Roman" w:hint="default"/>
        <w:sz w:val="20"/>
      </w:rPr>
    </w:lvl>
    <w:lvl w:ilvl="6">
      <w:start w:val="1"/>
      <w:numFmt w:val="none"/>
      <w:suff w:val="nothing"/>
      <w:lvlText w:val=""/>
      <w:lvlJc w:val="left"/>
      <w:pPr>
        <w:ind w:left="-32767" w:firstLine="0"/>
      </w:pPr>
      <w:rPr>
        <w:rFonts w:cs="Times New Roman" w:hint="default"/>
        <w:sz w:val="20"/>
      </w:rPr>
    </w:lvl>
    <w:lvl w:ilvl="7">
      <w:start w:val="1"/>
      <w:numFmt w:val="none"/>
      <w:suff w:val="nothing"/>
      <w:lvlText w:val=""/>
      <w:lvlJc w:val="left"/>
      <w:pPr>
        <w:ind w:left="-32767" w:firstLine="0"/>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19" w15:restartNumberingAfterBreak="0">
    <w:nsid w:val="47716F80"/>
    <w:multiLevelType w:val="hybridMultilevel"/>
    <w:tmpl w:val="6DF4B8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5C45F7"/>
    <w:multiLevelType w:val="multilevel"/>
    <w:tmpl w:val="87C0317E"/>
    <w:name w:val="Heading"/>
    <w:lvl w:ilvl="0">
      <w:start w:val="1"/>
      <w:numFmt w:val="decimal"/>
      <w:lvlText w:val="%1"/>
      <w:lvlJc w:val="left"/>
      <w:pPr>
        <w:tabs>
          <w:tab w:val="num" w:pos="851"/>
        </w:tabs>
        <w:ind w:left="851" w:hanging="851"/>
      </w:pPr>
      <w:rPr>
        <w:rFonts w:hint="default"/>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1"/>
        </w:tabs>
        <w:ind w:left="851" w:hanging="851"/>
      </w:pPr>
      <w:rPr>
        <w:rFonts w:hint="default"/>
        <w:b w:val="0"/>
        <w:i w:val="0"/>
        <w:caps w:val="0"/>
        <w:strike w:val="0"/>
        <w:dstrike w:val="0"/>
        <w:vanish w:val="0"/>
        <w:color w:val="808080" w:themeColor="background1" w:themeShade="8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2"/>
        </w:tabs>
        <w:ind w:left="2552" w:hanging="851"/>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Heading5"/>
      <w:lvlText w:val="(%5)"/>
      <w:lvlJc w:val="left"/>
      <w:pPr>
        <w:tabs>
          <w:tab w:val="num" w:pos="3402"/>
        </w:tabs>
        <w:ind w:left="3402" w:hanging="850"/>
      </w:pPr>
      <w:rPr>
        <w:rFonts w:hint="default"/>
        <w:b w:val="0"/>
        <w:i w:val="0"/>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upperRoman"/>
      <w:pStyle w:val="Heading6"/>
      <w:lvlText w:val="(%6)"/>
      <w:lvlJc w:val="left"/>
      <w:pPr>
        <w:tabs>
          <w:tab w:val="num" w:pos="4253"/>
        </w:tabs>
        <w:ind w:left="4253" w:hanging="851"/>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
      <w:lvlJc w:val="center"/>
      <w:pPr>
        <w:ind w:left="0" w:firstLine="0"/>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
      <w:lvlJc w:val="left"/>
      <w:pPr>
        <w:ind w:left="0" w:firstLine="0"/>
      </w:pPr>
      <w:rPr>
        <w:rFonts w:hint="default"/>
        <w:caps w:val="0"/>
        <w:strike w:val="0"/>
        <w:dstrike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
      <w:lvlJc w:val="left"/>
      <w:pPr>
        <w:ind w:left="0" w:firstLine="0"/>
      </w:pPr>
      <w:rPr>
        <w:rFont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558E025B"/>
    <w:multiLevelType w:val="hybridMultilevel"/>
    <w:tmpl w:val="D8887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7CB51E7"/>
    <w:multiLevelType w:val="multilevel"/>
    <w:tmpl w:val="AE0CAFA8"/>
    <w:name w:val="Single Annexure"/>
    <w:lvl w:ilvl="0">
      <w:start w:val="1"/>
      <w:numFmt w:val="none"/>
      <w:pStyle w:val="AnnexureHeadingSingle"/>
      <w:suff w:val="nothing"/>
      <w:lvlText w:val="Annexure"/>
      <w:lvlJc w:val="left"/>
      <w:pPr>
        <w:ind w:left="0" w:firstLine="0"/>
      </w:pPr>
      <w:rPr>
        <w:rFonts w:hint="default"/>
        <w:caps w:val="0"/>
      </w:rPr>
    </w:lvl>
    <w:lvl w:ilvl="1">
      <w:start w:val="1"/>
      <w:numFmt w:val="none"/>
      <w:pStyle w:val="Annexur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3" w15:restartNumberingAfterBreak="0">
    <w:nsid w:val="5B82646E"/>
    <w:multiLevelType w:val="multilevel"/>
    <w:tmpl w:val="EC981A00"/>
    <w:name w:val="ONE_H1"/>
    <w:lvl w:ilvl="0">
      <w:start w:val="1"/>
      <w:numFmt w:val="decimal"/>
      <w:pStyle w:val="ONEH1"/>
      <w:lvlText w:val="%1."/>
      <w:lvlJc w:val="left"/>
      <w:pPr>
        <w:tabs>
          <w:tab w:val="num" w:pos="360"/>
        </w:tabs>
        <w:ind w:left="360" w:hanging="360"/>
      </w:pPr>
      <w:rPr>
        <w:rFonts w:hint="default"/>
        <w:b/>
        <w:i w:val="0"/>
        <w:sz w:val="24"/>
      </w:rPr>
    </w:lvl>
    <w:lvl w:ilvl="1">
      <w:start w:val="1"/>
      <w:numFmt w:val="decimal"/>
      <w:lvlText w:val="%1.%2"/>
      <w:lvlJc w:val="left"/>
      <w:pPr>
        <w:tabs>
          <w:tab w:val="num" w:pos="1440"/>
        </w:tabs>
        <w:ind w:left="79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520"/>
        </w:tabs>
        <w:ind w:left="1224" w:hanging="504"/>
      </w:pPr>
      <w:rPr>
        <w:rFonts w:ascii="Arial" w:hAnsi="Arial" w:hint="default"/>
        <w:b w:val="0"/>
        <w:i w:val="0"/>
        <w:sz w:val="22"/>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24" w15:restartNumberingAfterBreak="0">
    <w:nsid w:val="5EF06BBE"/>
    <w:multiLevelType w:val="hybridMultilevel"/>
    <w:tmpl w:val="5936FB06"/>
    <w:lvl w:ilvl="0" w:tplc="08090001">
      <w:start w:val="1"/>
      <w:numFmt w:val="bullet"/>
      <w:lvlText w:val=""/>
      <w:lvlJc w:val="left"/>
      <w:pPr>
        <w:ind w:left="1211" w:hanging="360"/>
      </w:pPr>
      <w:rPr>
        <w:rFonts w:ascii="Symbol" w:hAnsi="Symbol"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25" w15:restartNumberingAfterBreak="0">
    <w:nsid w:val="601678CA"/>
    <w:multiLevelType w:val="multilevel"/>
    <w:tmpl w:val="FCD2CA5E"/>
    <w:name w:val="Schedule"/>
    <w:lvl w:ilvl="0">
      <w:start w:val="1"/>
      <w:numFmt w:val="decimal"/>
      <w:pStyle w:val="ScheduleHeading"/>
      <w:suff w:val="nothing"/>
      <w:lvlText w:val="Schedule %1"/>
      <w:lvlJc w:val="left"/>
      <w:pPr>
        <w:ind w:left="0" w:firstLine="0"/>
      </w:pPr>
      <w:rPr>
        <w:rFonts w:cs="Times New Roman" w:hint="default"/>
        <w:b/>
        <w:i w:val="0"/>
        <w:caps w:val="0"/>
        <w:kern w:val="0"/>
        <w:sz w:val="20"/>
      </w:rPr>
    </w:lvl>
    <w:lvl w:ilvl="1">
      <w:start w:val="1"/>
      <w:numFmt w:val="decimal"/>
      <w:pStyle w:val="PartHeading"/>
      <w:suff w:val="nothing"/>
      <w:lvlText w:val="Part %2"/>
      <w:lvlJc w:val="left"/>
      <w:pPr>
        <w:ind w:left="0" w:firstLine="0"/>
      </w:pPr>
      <w:rPr>
        <w:rFonts w:cs="Times New Roman" w:hint="default"/>
        <w:b/>
        <w:i w:val="0"/>
        <w:sz w:val="20"/>
      </w:rPr>
    </w:lvl>
    <w:lvl w:ilvl="2">
      <w:start w:val="1"/>
      <w:numFmt w:val="decimal"/>
      <w:lvlRestart w:val="1"/>
      <w:pStyle w:val="Level1"/>
      <w:lvlText w:val="%3"/>
      <w:lvlJc w:val="left"/>
      <w:pPr>
        <w:tabs>
          <w:tab w:val="num" w:pos="851"/>
        </w:tabs>
        <w:ind w:left="851" w:hanging="851"/>
      </w:pPr>
      <w:rPr>
        <w:rFonts w:ascii="Arial" w:hAnsi="Arial" w:cs="Times New Roman" w:hint="default"/>
        <w:sz w:val="20"/>
      </w:rPr>
    </w:lvl>
    <w:lvl w:ilvl="3">
      <w:start w:val="1"/>
      <w:numFmt w:val="decimal"/>
      <w:pStyle w:val="Level2"/>
      <w:lvlText w:val="%3.%4"/>
      <w:lvlJc w:val="left"/>
      <w:pPr>
        <w:tabs>
          <w:tab w:val="num" w:pos="851"/>
        </w:tabs>
        <w:ind w:left="851" w:hanging="851"/>
      </w:pPr>
      <w:rPr>
        <w:rFonts w:cs="Times New Roman" w:hint="default"/>
        <w:sz w:val="20"/>
      </w:rPr>
    </w:lvl>
    <w:lvl w:ilvl="4">
      <w:start w:val="1"/>
      <w:numFmt w:val="lowerLetter"/>
      <w:pStyle w:val="Level3"/>
      <w:lvlText w:val="(%5)"/>
      <w:lvlJc w:val="left"/>
      <w:pPr>
        <w:tabs>
          <w:tab w:val="num" w:pos="1701"/>
        </w:tabs>
        <w:ind w:left="1701" w:hanging="850"/>
      </w:pPr>
      <w:rPr>
        <w:rFonts w:cs="Times New Roman" w:hint="default"/>
        <w:sz w:val="20"/>
      </w:rPr>
    </w:lvl>
    <w:lvl w:ilvl="5">
      <w:start w:val="1"/>
      <w:numFmt w:val="lowerRoman"/>
      <w:pStyle w:val="Level4"/>
      <w:lvlText w:val="(%6)"/>
      <w:lvlJc w:val="left"/>
      <w:pPr>
        <w:tabs>
          <w:tab w:val="num" w:pos="2552"/>
        </w:tabs>
        <w:ind w:left="2552" w:hanging="851"/>
      </w:pPr>
      <w:rPr>
        <w:rFonts w:ascii="Arial" w:hAnsi="Arial" w:cs="Times New Roman" w:hint="default"/>
        <w:sz w:val="20"/>
      </w:rPr>
    </w:lvl>
    <w:lvl w:ilvl="6">
      <w:start w:val="1"/>
      <w:numFmt w:val="upperLetter"/>
      <w:pStyle w:val="Level5"/>
      <w:lvlText w:val="(%7)"/>
      <w:lvlJc w:val="left"/>
      <w:pPr>
        <w:tabs>
          <w:tab w:val="num" w:pos="3402"/>
        </w:tabs>
        <w:ind w:left="3402" w:hanging="850"/>
      </w:pPr>
      <w:rPr>
        <w:rFonts w:cs="Times New Roman" w:hint="default"/>
        <w:sz w:val="20"/>
      </w:rPr>
    </w:lvl>
    <w:lvl w:ilvl="7">
      <w:start w:val="1"/>
      <w:numFmt w:val="upperRoman"/>
      <w:pStyle w:val="Level6"/>
      <w:lvlText w:val="(%8)"/>
      <w:lvlJc w:val="left"/>
      <w:pPr>
        <w:tabs>
          <w:tab w:val="num" w:pos="4253"/>
        </w:tabs>
        <w:ind w:left="4253" w:hanging="851"/>
      </w:pPr>
      <w:rPr>
        <w:rFonts w:cs="Times New Roman" w:hint="default"/>
        <w:sz w:val="20"/>
      </w:rPr>
    </w:lvl>
    <w:lvl w:ilvl="8">
      <w:start w:val="1"/>
      <w:numFmt w:val="none"/>
      <w:suff w:val="nothing"/>
      <w:lvlText w:val=""/>
      <w:lvlJc w:val="left"/>
      <w:pPr>
        <w:ind w:left="0" w:firstLine="0"/>
      </w:pPr>
      <w:rPr>
        <w:rFonts w:ascii="Arial" w:hAnsi="Arial" w:cs="Times New Roman" w:hint="default"/>
        <w:b/>
        <w:i w:val="0"/>
        <w:caps/>
        <w:sz w:val="21"/>
      </w:rPr>
    </w:lvl>
  </w:abstractNum>
  <w:abstractNum w:abstractNumId="26" w15:restartNumberingAfterBreak="0">
    <w:nsid w:val="60A0368A"/>
    <w:multiLevelType w:val="multilevel"/>
    <w:tmpl w:val="0809001F"/>
    <w:styleLink w:val="Style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64DE53E8"/>
    <w:multiLevelType w:val="hybridMultilevel"/>
    <w:tmpl w:val="E506D61E"/>
    <w:name w:val="Style Section X + Bottom: (Single solid line Auto  0.5 pt Line wi...1"/>
    <w:lvl w:ilvl="0" w:tplc="9CB43446">
      <w:start w:val="1"/>
      <w:numFmt w:val="cardinalText"/>
      <w:pStyle w:val="StyleSectionXBottomSinglesolidlineAuto05ptLinewi1"/>
      <w:lvlText w:val="Section %1:"/>
      <w:lvlJc w:val="left"/>
      <w:pPr>
        <w:tabs>
          <w:tab w:val="num" w:pos="57"/>
        </w:tabs>
        <w:ind w:left="57" w:hanging="57"/>
      </w:pPr>
      <w:rPr>
        <w:rFonts w:ascii="Arial Bold" w:hAnsi="Arial Bold" w:cs="Arial" w:hint="default"/>
        <w:b/>
        <w:bCs/>
        <w:i w:val="0"/>
        <w:iCs w:val="0"/>
        <w:caps/>
        <w:color w:val="009966"/>
        <w:sz w:val="32"/>
        <w:szCs w:val="32"/>
      </w:rPr>
    </w:lvl>
    <w:lvl w:ilvl="1" w:tplc="C4349FE8">
      <w:start w:val="1"/>
      <w:numFmt w:val="decimal"/>
      <w:lvlText w:val="%2."/>
      <w:lvlJc w:val="left"/>
      <w:pPr>
        <w:tabs>
          <w:tab w:val="num" w:pos="1091"/>
        </w:tabs>
        <w:ind w:left="1091" w:hanging="720"/>
      </w:pPr>
      <w:rPr>
        <w:rFonts w:hint="default"/>
      </w:rPr>
    </w:lvl>
    <w:lvl w:ilvl="2" w:tplc="4758908C">
      <w:start w:val="1"/>
      <w:numFmt w:val="lowerLetter"/>
      <w:lvlText w:val="%3)"/>
      <w:lvlJc w:val="left"/>
      <w:pPr>
        <w:tabs>
          <w:tab w:val="num" w:pos="1991"/>
        </w:tabs>
        <w:ind w:left="1991" w:hanging="720"/>
      </w:pPr>
      <w:rPr>
        <w:rFonts w:hint="default"/>
      </w:rPr>
    </w:lvl>
    <w:lvl w:ilvl="3" w:tplc="0809000F" w:tentative="1">
      <w:start w:val="1"/>
      <w:numFmt w:val="decimal"/>
      <w:lvlText w:val="%4."/>
      <w:lvlJc w:val="left"/>
      <w:pPr>
        <w:tabs>
          <w:tab w:val="num" w:pos="2171"/>
        </w:tabs>
        <w:ind w:left="2171" w:hanging="360"/>
      </w:pPr>
    </w:lvl>
    <w:lvl w:ilvl="4" w:tplc="08090019" w:tentative="1">
      <w:start w:val="1"/>
      <w:numFmt w:val="lowerLetter"/>
      <w:lvlText w:val="%5."/>
      <w:lvlJc w:val="left"/>
      <w:pPr>
        <w:tabs>
          <w:tab w:val="num" w:pos="2891"/>
        </w:tabs>
        <w:ind w:left="2891" w:hanging="360"/>
      </w:pPr>
    </w:lvl>
    <w:lvl w:ilvl="5" w:tplc="0809001B" w:tentative="1">
      <w:start w:val="1"/>
      <w:numFmt w:val="lowerRoman"/>
      <w:lvlText w:val="%6."/>
      <w:lvlJc w:val="right"/>
      <w:pPr>
        <w:tabs>
          <w:tab w:val="num" w:pos="3611"/>
        </w:tabs>
        <w:ind w:left="3611" w:hanging="180"/>
      </w:pPr>
    </w:lvl>
    <w:lvl w:ilvl="6" w:tplc="0809000F" w:tentative="1">
      <w:start w:val="1"/>
      <w:numFmt w:val="decimal"/>
      <w:lvlText w:val="%7."/>
      <w:lvlJc w:val="left"/>
      <w:pPr>
        <w:tabs>
          <w:tab w:val="num" w:pos="4331"/>
        </w:tabs>
        <w:ind w:left="4331" w:hanging="360"/>
      </w:pPr>
    </w:lvl>
    <w:lvl w:ilvl="7" w:tplc="08090019" w:tentative="1">
      <w:start w:val="1"/>
      <w:numFmt w:val="lowerLetter"/>
      <w:lvlText w:val="%8."/>
      <w:lvlJc w:val="left"/>
      <w:pPr>
        <w:tabs>
          <w:tab w:val="num" w:pos="5051"/>
        </w:tabs>
        <w:ind w:left="5051" w:hanging="360"/>
      </w:pPr>
    </w:lvl>
    <w:lvl w:ilvl="8" w:tplc="0809001B" w:tentative="1">
      <w:start w:val="1"/>
      <w:numFmt w:val="lowerRoman"/>
      <w:lvlText w:val="%9."/>
      <w:lvlJc w:val="right"/>
      <w:pPr>
        <w:tabs>
          <w:tab w:val="num" w:pos="5771"/>
        </w:tabs>
        <w:ind w:left="5771" w:hanging="180"/>
      </w:pPr>
    </w:lvl>
  </w:abstractNum>
  <w:abstractNum w:abstractNumId="28" w15:restartNumberingAfterBreak="0">
    <w:nsid w:val="673E101A"/>
    <w:multiLevelType w:val="hybridMultilevel"/>
    <w:tmpl w:val="C924FDFC"/>
    <w:lvl w:ilvl="0" w:tplc="30628A52">
      <w:start w:val="1"/>
      <w:numFmt w:val="upperLetter"/>
      <w:lvlText w:val="7. %1"/>
      <w:lvlJc w:val="left"/>
      <w:pPr>
        <w:ind w:left="454"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D163596"/>
    <w:multiLevelType w:val="hybridMultilevel"/>
    <w:tmpl w:val="908854C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232D24"/>
    <w:multiLevelType w:val="multilevel"/>
    <w:tmpl w:val="6E1494BC"/>
    <w:name w:val="Single Schedule"/>
    <w:lvl w:ilvl="0">
      <w:start w:val="1"/>
      <w:numFmt w:val="none"/>
      <w:pStyle w:val="ScheduleHeadingSingle"/>
      <w:suff w:val="nothing"/>
      <w:lvlText w:val="The Schedule"/>
      <w:lvlJc w:val="left"/>
      <w:pPr>
        <w:ind w:left="0" w:firstLine="0"/>
      </w:pPr>
      <w:rPr>
        <w:rFonts w:hint="default"/>
        <w:caps w:val="0"/>
      </w:rPr>
    </w:lvl>
    <w:lvl w:ilvl="1">
      <w:start w:val="1"/>
      <w:numFmt w:val="none"/>
      <w:pStyle w:val="ScheduleSubHeading"/>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1" w15:restartNumberingAfterBreak="0">
    <w:nsid w:val="75273564"/>
    <w:multiLevelType w:val="hybridMultilevel"/>
    <w:tmpl w:val="11AC3108"/>
    <w:name w:val="Style1"/>
    <w:lvl w:ilvl="0" w:tplc="664AAD6E">
      <w:start w:val="1"/>
      <w:numFmt w:val="upperLetter"/>
      <w:pStyle w:val="Style1"/>
      <w:lvlText w:val="Appendix %1"/>
      <w:lvlJc w:val="left"/>
      <w:pPr>
        <w:tabs>
          <w:tab w:val="num" w:pos="283"/>
        </w:tabs>
        <w:ind w:left="283" w:hanging="283"/>
      </w:pPr>
      <w:rPr>
        <w:rFonts w:ascii="Arial" w:hAnsi="Arial" w:hint="default"/>
        <w:b w:val="0"/>
        <w:i w:val="0"/>
        <w:color w:val="009966"/>
        <w:sz w:val="28"/>
      </w:rPr>
    </w:lvl>
    <w:lvl w:ilvl="1" w:tplc="08090019" w:tentative="1">
      <w:start w:val="1"/>
      <w:numFmt w:val="lowerLetter"/>
      <w:lvlText w:val="%2."/>
      <w:lvlJc w:val="left"/>
      <w:pPr>
        <w:tabs>
          <w:tab w:val="num" w:pos="730"/>
        </w:tabs>
        <w:ind w:left="730" w:hanging="360"/>
      </w:pPr>
    </w:lvl>
    <w:lvl w:ilvl="2" w:tplc="0809001B" w:tentative="1">
      <w:start w:val="1"/>
      <w:numFmt w:val="lowerRoman"/>
      <w:lvlText w:val="%3."/>
      <w:lvlJc w:val="right"/>
      <w:pPr>
        <w:tabs>
          <w:tab w:val="num" w:pos="1450"/>
        </w:tabs>
        <w:ind w:left="1450" w:hanging="180"/>
      </w:pPr>
    </w:lvl>
    <w:lvl w:ilvl="3" w:tplc="0809000F" w:tentative="1">
      <w:start w:val="1"/>
      <w:numFmt w:val="decimal"/>
      <w:lvlText w:val="%4."/>
      <w:lvlJc w:val="left"/>
      <w:pPr>
        <w:tabs>
          <w:tab w:val="num" w:pos="2170"/>
        </w:tabs>
        <w:ind w:left="2170" w:hanging="360"/>
      </w:pPr>
    </w:lvl>
    <w:lvl w:ilvl="4" w:tplc="08090019" w:tentative="1">
      <w:start w:val="1"/>
      <w:numFmt w:val="lowerLetter"/>
      <w:lvlText w:val="%5."/>
      <w:lvlJc w:val="left"/>
      <w:pPr>
        <w:tabs>
          <w:tab w:val="num" w:pos="2890"/>
        </w:tabs>
        <w:ind w:left="2890" w:hanging="360"/>
      </w:pPr>
    </w:lvl>
    <w:lvl w:ilvl="5" w:tplc="0809001B" w:tentative="1">
      <w:start w:val="1"/>
      <w:numFmt w:val="lowerRoman"/>
      <w:lvlText w:val="%6."/>
      <w:lvlJc w:val="right"/>
      <w:pPr>
        <w:tabs>
          <w:tab w:val="num" w:pos="3610"/>
        </w:tabs>
        <w:ind w:left="3610" w:hanging="180"/>
      </w:pPr>
    </w:lvl>
    <w:lvl w:ilvl="6" w:tplc="0809000F" w:tentative="1">
      <w:start w:val="1"/>
      <w:numFmt w:val="decimal"/>
      <w:lvlText w:val="%7."/>
      <w:lvlJc w:val="left"/>
      <w:pPr>
        <w:tabs>
          <w:tab w:val="num" w:pos="4330"/>
        </w:tabs>
        <w:ind w:left="4330" w:hanging="360"/>
      </w:pPr>
    </w:lvl>
    <w:lvl w:ilvl="7" w:tplc="08090019" w:tentative="1">
      <w:start w:val="1"/>
      <w:numFmt w:val="lowerLetter"/>
      <w:lvlText w:val="%8."/>
      <w:lvlJc w:val="left"/>
      <w:pPr>
        <w:tabs>
          <w:tab w:val="num" w:pos="5050"/>
        </w:tabs>
        <w:ind w:left="5050" w:hanging="360"/>
      </w:pPr>
    </w:lvl>
    <w:lvl w:ilvl="8" w:tplc="0809001B" w:tentative="1">
      <w:start w:val="1"/>
      <w:numFmt w:val="lowerRoman"/>
      <w:lvlText w:val="%9."/>
      <w:lvlJc w:val="right"/>
      <w:pPr>
        <w:tabs>
          <w:tab w:val="num" w:pos="5770"/>
        </w:tabs>
        <w:ind w:left="5770" w:hanging="180"/>
      </w:pPr>
    </w:lvl>
  </w:abstractNum>
  <w:abstractNum w:abstractNumId="32" w15:restartNumberingAfterBreak="0">
    <w:nsid w:val="7C5C23D8"/>
    <w:multiLevelType w:val="hybridMultilevel"/>
    <w:tmpl w:val="8C8A2582"/>
    <w:name w:val="Heading22"/>
    <w:lvl w:ilvl="0" w:tplc="163C795A">
      <w:start w:val="1"/>
      <w:numFmt w:val="decimal"/>
      <w:pStyle w:val="MRNumberedHeading3"/>
      <w:lvlText w:val="1.1.%1."/>
      <w:lvlJc w:val="left"/>
      <w:pPr>
        <w:ind w:left="1854" w:hanging="360"/>
      </w:pPr>
      <w:rPr>
        <w:rFonts w:hint="default"/>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num w:numId="1" w16cid:durableId="1404328092">
    <w:abstractNumId w:val="7"/>
  </w:num>
  <w:num w:numId="2" w16cid:durableId="941035233">
    <w:abstractNumId w:val="5"/>
  </w:num>
  <w:num w:numId="3" w16cid:durableId="1663846531">
    <w:abstractNumId w:val="18"/>
  </w:num>
  <w:num w:numId="4" w16cid:durableId="1231650189">
    <w:abstractNumId w:val="20"/>
  </w:num>
  <w:num w:numId="5" w16cid:durableId="1402171626">
    <w:abstractNumId w:val="20"/>
  </w:num>
  <w:num w:numId="6" w16cid:durableId="1231382760">
    <w:abstractNumId w:val="3"/>
  </w:num>
  <w:num w:numId="7" w16cid:durableId="622535963">
    <w:abstractNumId w:val="11"/>
  </w:num>
  <w:num w:numId="8" w16cid:durableId="2024553145">
    <w:abstractNumId w:val="25"/>
  </w:num>
  <w:num w:numId="9" w16cid:durableId="255090666">
    <w:abstractNumId w:val="0"/>
  </w:num>
  <w:num w:numId="10" w16cid:durableId="1574663662">
    <w:abstractNumId w:val="30"/>
  </w:num>
  <w:num w:numId="11" w16cid:durableId="1311976869">
    <w:abstractNumId w:val="22"/>
  </w:num>
  <w:num w:numId="12" w16cid:durableId="2054767712">
    <w:abstractNumId w:val="23"/>
  </w:num>
  <w:num w:numId="13" w16cid:durableId="1253277572">
    <w:abstractNumId w:val="27"/>
  </w:num>
  <w:num w:numId="14" w16cid:durableId="1743747456">
    <w:abstractNumId w:val="10"/>
  </w:num>
  <w:num w:numId="15" w16cid:durableId="1746998083">
    <w:abstractNumId w:val="12"/>
  </w:num>
  <w:num w:numId="16" w16cid:durableId="1612199210">
    <w:abstractNumId w:val="31"/>
  </w:num>
  <w:num w:numId="17" w16cid:durableId="97986188">
    <w:abstractNumId w:val="15"/>
  </w:num>
  <w:num w:numId="18" w16cid:durableId="719206069">
    <w:abstractNumId w:val="26"/>
  </w:num>
  <w:num w:numId="19" w16cid:durableId="245193019">
    <w:abstractNumId w:val="2"/>
  </w:num>
  <w:num w:numId="20" w16cid:durableId="300039283">
    <w:abstractNumId w:val="4"/>
  </w:num>
  <w:num w:numId="21" w16cid:durableId="2144494883">
    <w:abstractNumId w:val="16"/>
  </w:num>
  <w:num w:numId="22" w16cid:durableId="2013871371">
    <w:abstractNumId w:val="24"/>
  </w:num>
  <w:num w:numId="23" w16cid:durableId="71854135">
    <w:abstractNumId w:val="14"/>
  </w:num>
  <w:num w:numId="24" w16cid:durableId="15499565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41948027">
    <w:abstractNumId w:val="32"/>
  </w:num>
  <w:num w:numId="26" w16cid:durableId="17365085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41196623">
    <w:abstractNumId w:val="6"/>
  </w:num>
  <w:num w:numId="28" w16cid:durableId="1800956121">
    <w:abstractNumId w:val="21"/>
  </w:num>
  <w:num w:numId="29" w16cid:durableId="576478226">
    <w:abstractNumId w:val="8"/>
  </w:num>
  <w:num w:numId="30" w16cid:durableId="2017220429">
    <w:abstractNumId w:val="19"/>
  </w:num>
  <w:num w:numId="31" w16cid:durableId="332496030">
    <w:abstractNumId w:val="13"/>
  </w:num>
  <w:num w:numId="32" w16cid:durableId="1278177806">
    <w:abstractNumId w:val="28"/>
  </w:num>
  <w:num w:numId="33" w16cid:durableId="811992733">
    <w:abstractNumId w:val="29"/>
  </w:num>
  <w:num w:numId="34" w16cid:durableId="105049354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074474369">
    <w:abstractNumId w:val="9"/>
  </w:num>
  <w:num w:numId="36" w16cid:durableId="667754855">
    <w:abstractNumId w:val="14"/>
  </w:num>
  <w:num w:numId="37" w16cid:durableId="1933974309">
    <w:abstractNumId w:val="14"/>
  </w:num>
  <w:num w:numId="38" w16cid:durableId="80833346">
    <w:abstractNumId w:val="14"/>
  </w:num>
  <w:num w:numId="39" w16cid:durableId="1421827718">
    <w:abstractNumId w:val="20"/>
  </w:num>
  <w:num w:numId="40" w16cid:durableId="2091660484">
    <w:abstractNumId w:val="17"/>
  </w:num>
  <w:num w:numId="41" w16cid:durableId="214582533">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85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SSOCID" w:val="188684"/>
    <w:docVar w:name="CLIENTID" w:val="215922"/>
    <w:docVar w:name="COMPANYID" w:val="2122615784"/>
    <w:docVar w:name="D3_TOC_c_1" w:val="&lt;TOC&gt;&lt;Name&gt;b78e6a3d-cb97-4783-853b-89ccf0addc48&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Annexure Heading Single&lt;/Style&gt;&lt;Style&gt;Heading 1&lt;/Style&gt;&lt;Style&gt;Schedule Heading&lt;/Style&gt;&lt;Style&gt;Schedule Heading Single&lt;/Style&gt;&lt;/Styles&gt;&lt;Format Value=&quot;&quot; /&gt;&lt;Type Value=&quot;Whole Paragraph&quot; /&gt;&lt;TabLeader&gt;Dots&lt;/TabLeader&gt;&lt;/Level&gt;&lt;Level ID=&quot;2&quot; IncludePageNumber=&quot;TRUE&quot;&gt;&lt;Styles&gt;&lt;Style&gt;M&amp;amp;R Numbered Heading 2&lt;/Style&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3_TOC_d_1" w:val="&lt;TOC&gt;&lt;Name&gt;24637a18-1aa9-4d19-b1e7-aedf9e45197f&lt;/Name&gt;&lt;UseHyperlink&gt;True&lt;/UseHyperlink&gt;&lt;PageAlignment&gt;True&lt;/PageAlignment&gt;&lt;KeepDirectFormatting&gt;True&lt;/KeepDirectFormatting&gt;&lt;KeepTabChars&gt;False&lt;/KeepTabChars&gt;&lt;KeepNewlineChars&gt;False&lt;/KeepNewlineChars&gt;&lt;Levels&gt;&lt;Level ID=&quot;1&quot; IncludePageNumber=&quot;TRUE&quot;&gt;&lt;Styles&gt;&lt;Style&gt;Annexure&lt;/Style&gt;&lt;Style&gt;Heading 1&lt;/Style&gt;&lt;Style&gt;Schedule Heading&lt;/Style&gt;&lt;/Styles&gt;&lt;Format Value=&quot;&quot; /&gt;&lt;Type Value=&quot;Whole Paragraph&quot; /&gt;&lt;TabLeader&gt;Dots&lt;/TabLeader&gt;&lt;/Level&gt;&lt;Level ID=&quot;2&quot; IncludePageNumber=&quot;TRUE&quot;&gt;&lt;Styles&gt;&lt;Style&gt;Part Heading&lt;/Style&gt;&lt;Style&gt;Sub Heading&lt;/Style&gt;&lt;/Styles&gt;&lt;Format Value=&quot;&quot; /&gt;&lt;Type Value=&quot;Whole Paragraph&quot; /&gt;&lt;TabLeader&gt;Dots&lt;/TabLeader&gt;&lt;/Level&gt;&lt;/Levels&gt;&lt;SectionProperties xmlns:xsi=&quot;http://www.w3.org/2001/XMLSchema-instance&quot; xmlns:xsd=&quot;http://www.w3.org/2001/XMLSchema&quot;&gt;&lt;MarginTop&gt;2.5399999618530273&lt;/MarginTop&gt;&lt;MarginLeft&gt;2.5399999618530273&lt;/MarginLeft&gt;&lt;MarginRight&gt;2.5399999618530273&lt;/MarginRight&gt;&lt;MarginBottom&gt;2.5399999618530273&lt;/MarginBottom&gt;&lt;IncludeSection&gt;false&lt;/IncludeSection&gt;&lt;DifferentFirstPage&gt;true&lt;/DifferentFirstPage&gt;&lt;PageTitleText&gt;Table of Contents&lt;/PageTitleText&gt;&lt;InheritSectionProperties&gt;false&lt;/InheritSectionProperties&gt;&lt;NumberTitleText&gt;Page&lt;/NumberTitleText&gt;&lt;SecondaryTitleText&gt;Table of Contents (continued)&lt;/SecondaryTitleText&gt;&lt;SecondaryNumberTitleText&gt;Page&lt;/SecondaryNumberTitleText&gt;&lt;ContinuePageNumberFromPrevious&gt;false&lt;/ContinuePageNumberFromPrevious&gt;&lt;TitleStyle&gt;Normal&lt;/TitleStyle&gt;&lt;PageNumberPrefix /&gt;&lt;PageNumberStyle&gt;roman&lt;/PageNumberStyle&gt;&lt;PageNumberSuffix /&gt;&lt;PageNumberAlignment&gt;wdAlignPageNumberCenter&lt;/PageNumberAlignment&gt;&lt;ColumnCount&gt;1&lt;/ColumnCount&gt;&lt;TabLeader&gt;wdTabLeaderDots&lt;/TabLeader&gt;&lt;TabLeaderSelected&gt;false&lt;/TabLeaderSelected&gt;&lt;TabLeaderOverridenByLevels&gt;false&lt;/TabLeaderOverridenByLevels&gt;&lt;TurnOffSameAsPreviousForNextSection&gt;false&lt;/TurnOffSameAsPreviousForNextSection&gt;&lt;/SectionProperties&gt;&lt;/TOC&gt;"/>
    <w:docVar w:name="DOCID" w:val=" "/>
    <w:docVar w:name="EDITION" w:val="FM"/>
    <w:docVar w:name="FILEID" w:val="188350"/>
    <w:docVar w:name="SERIALNO" w:val="11956"/>
  </w:docVars>
  <w:rsids>
    <w:rsidRoot w:val="00EE5EB0"/>
    <w:rsid w:val="000052A2"/>
    <w:rsid w:val="00007458"/>
    <w:rsid w:val="00010DCA"/>
    <w:rsid w:val="0001507C"/>
    <w:rsid w:val="00016C69"/>
    <w:rsid w:val="00017AD9"/>
    <w:rsid w:val="000226A1"/>
    <w:rsid w:val="00030477"/>
    <w:rsid w:val="00030FC3"/>
    <w:rsid w:val="000320FF"/>
    <w:rsid w:val="000330DE"/>
    <w:rsid w:val="000354F5"/>
    <w:rsid w:val="00036C7D"/>
    <w:rsid w:val="00040181"/>
    <w:rsid w:val="00041C11"/>
    <w:rsid w:val="00044A46"/>
    <w:rsid w:val="0005222A"/>
    <w:rsid w:val="00053672"/>
    <w:rsid w:val="00060F58"/>
    <w:rsid w:val="00061ED1"/>
    <w:rsid w:val="000627AD"/>
    <w:rsid w:val="000631C3"/>
    <w:rsid w:val="00065291"/>
    <w:rsid w:val="00070790"/>
    <w:rsid w:val="0007136D"/>
    <w:rsid w:val="00076883"/>
    <w:rsid w:val="00076CFE"/>
    <w:rsid w:val="000800FA"/>
    <w:rsid w:val="00081B88"/>
    <w:rsid w:val="000831C0"/>
    <w:rsid w:val="00083AC5"/>
    <w:rsid w:val="000849EC"/>
    <w:rsid w:val="00087CBF"/>
    <w:rsid w:val="00094EC7"/>
    <w:rsid w:val="00097408"/>
    <w:rsid w:val="000974B1"/>
    <w:rsid w:val="000A0DF7"/>
    <w:rsid w:val="000A14E0"/>
    <w:rsid w:val="000A1883"/>
    <w:rsid w:val="000A4844"/>
    <w:rsid w:val="000B1075"/>
    <w:rsid w:val="000B31A2"/>
    <w:rsid w:val="000B6A00"/>
    <w:rsid w:val="000C031E"/>
    <w:rsid w:val="000C4455"/>
    <w:rsid w:val="000C49BF"/>
    <w:rsid w:val="000C567D"/>
    <w:rsid w:val="000C5A46"/>
    <w:rsid w:val="000C6F71"/>
    <w:rsid w:val="000C7354"/>
    <w:rsid w:val="000D1451"/>
    <w:rsid w:val="000D5CAA"/>
    <w:rsid w:val="000D7C50"/>
    <w:rsid w:val="000E0132"/>
    <w:rsid w:val="000E07E4"/>
    <w:rsid w:val="000E189B"/>
    <w:rsid w:val="000E363E"/>
    <w:rsid w:val="000E408B"/>
    <w:rsid w:val="000E5634"/>
    <w:rsid w:val="000E56A8"/>
    <w:rsid w:val="000E5C37"/>
    <w:rsid w:val="000E6412"/>
    <w:rsid w:val="000E7265"/>
    <w:rsid w:val="000E7C13"/>
    <w:rsid w:val="000F106A"/>
    <w:rsid w:val="000F79D6"/>
    <w:rsid w:val="0010037F"/>
    <w:rsid w:val="001039C4"/>
    <w:rsid w:val="00105BDB"/>
    <w:rsid w:val="001065C5"/>
    <w:rsid w:val="00112B59"/>
    <w:rsid w:val="00113020"/>
    <w:rsid w:val="00116860"/>
    <w:rsid w:val="00116A2C"/>
    <w:rsid w:val="001215FE"/>
    <w:rsid w:val="0012295A"/>
    <w:rsid w:val="0012533E"/>
    <w:rsid w:val="00127E19"/>
    <w:rsid w:val="00130B5F"/>
    <w:rsid w:val="00131271"/>
    <w:rsid w:val="001338B0"/>
    <w:rsid w:val="00134D04"/>
    <w:rsid w:val="00134E47"/>
    <w:rsid w:val="00136596"/>
    <w:rsid w:val="001375C3"/>
    <w:rsid w:val="0013762C"/>
    <w:rsid w:val="00145A4D"/>
    <w:rsid w:val="00151149"/>
    <w:rsid w:val="00152179"/>
    <w:rsid w:val="00152C7C"/>
    <w:rsid w:val="001601C8"/>
    <w:rsid w:val="00161FF0"/>
    <w:rsid w:val="00162244"/>
    <w:rsid w:val="001664D9"/>
    <w:rsid w:val="0017043F"/>
    <w:rsid w:val="00173842"/>
    <w:rsid w:val="00173E4A"/>
    <w:rsid w:val="00173FAB"/>
    <w:rsid w:val="00181236"/>
    <w:rsid w:val="00184371"/>
    <w:rsid w:val="00193011"/>
    <w:rsid w:val="001930C3"/>
    <w:rsid w:val="00194490"/>
    <w:rsid w:val="001945BD"/>
    <w:rsid w:val="001A0407"/>
    <w:rsid w:val="001A0E3F"/>
    <w:rsid w:val="001A3B2A"/>
    <w:rsid w:val="001A425A"/>
    <w:rsid w:val="001A504D"/>
    <w:rsid w:val="001A5DF8"/>
    <w:rsid w:val="001A77DC"/>
    <w:rsid w:val="001A786B"/>
    <w:rsid w:val="001B1C55"/>
    <w:rsid w:val="001B25EC"/>
    <w:rsid w:val="001B5F4F"/>
    <w:rsid w:val="001B7E88"/>
    <w:rsid w:val="001C30BB"/>
    <w:rsid w:val="001C4CA0"/>
    <w:rsid w:val="001C747B"/>
    <w:rsid w:val="001D0A60"/>
    <w:rsid w:val="001D1FC8"/>
    <w:rsid w:val="001D1FDF"/>
    <w:rsid w:val="001D268B"/>
    <w:rsid w:val="001D5911"/>
    <w:rsid w:val="001D5A96"/>
    <w:rsid w:val="001D79DD"/>
    <w:rsid w:val="001E27EC"/>
    <w:rsid w:val="001E2F05"/>
    <w:rsid w:val="001E5F7F"/>
    <w:rsid w:val="001E7C74"/>
    <w:rsid w:val="001E7D3C"/>
    <w:rsid w:val="001F110F"/>
    <w:rsid w:val="001F3352"/>
    <w:rsid w:val="001F37D7"/>
    <w:rsid w:val="00200E60"/>
    <w:rsid w:val="00203270"/>
    <w:rsid w:val="00204EF0"/>
    <w:rsid w:val="0020513D"/>
    <w:rsid w:val="00210AD3"/>
    <w:rsid w:val="002110DD"/>
    <w:rsid w:val="00211D34"/>
    <w:rsid w:val="002151AE"/>
    <w:rsid w:val="00220C70"/>
    <w:rsid w:val="00223555"/>
    <w:rsid w:val="00223569"/>
    <w:rsid w:val="002236C5"/>
    <w:rsid w:val="00223A3D"/>
    <w:rsid w:val="00223F6E"/>
    <w:rsid w:val="0022652F"/>
    <w:rsid w:val="0022707C"/>
    <w:rsid w:val="002273F5"/>
    <w:rsid w:val="00231397"/>
    <w:rsid w:val="00235829"/>
    <w:rsid w:val="00235EDA"/>
    <w:rsid w:val="0023694C"/>
    <w:rsid w:val="00236A55"/>
    <w:rsid w:val="0024400B"/>
    <w:rsid w:val="002449D5"/>
    <w:rsid w:val="00246BC4"/>
    <w:rsid w:val="00246C62"/>
    <w:rsid w:val="002471B4"/>
    <w:rsid w:val="00247F0F"/>
    <w:rsid w:val="00250427"/>
    <w:rsid w:val="0025200C"/>
    <w:rsid w:val="002529D8"/>
    <w:rsid w:val="0025300A"/>
    <w:rsid w:val="002532E6"/>
    <w:rsid w:val="0025411E"/>
    <w:rsid w:val="002556D8"/>
    <w:rsid w:val="002557EB"/>
    <w:rsid w:val="00257686"/>
    <w:rsid w:val="00257EF9"/>
    <w:rsid w:val="00260C2B"/>
    <w:rsid w:val="0026116A"/>
    <w:rsid w:val="00262D1B"/>
    <w:rsid w:val="002651E8"/>
    <w:rsid w:val="00270180"/>
    <w:rsid w:val="002705A5"/>
    <w:rsid w:val="002734C0"/>
    <w:rsid w:val="002741B5"/>
    <w:rsid w:val="0027505F"/>
    <w:rsid w:val="00276E1B"/>
    <w:rsid w:val="00277BB6"/>
    <w:rsid w:val="002820AF"/>
    <w:rsid w:val="002830AC"/>
    <w:rsid w:val="0028393A"/>
    <w:rsid w:val="002869D0"/>
    <w:rsid w:val="00287298"/>
    <w:rsid w:val="00287614"/>
    <w:rsid w:val="00287834"/>
    <w:rsid w:val="00296E12"/>
    <w:rsid w:val="002A3489"/>
    <w:rsid w:val="002A718A"/>
    <w:rsid w:val="002A73DD"/>
    <w:rsid w:val="002B3866"/>
    <w:rsid w:val="002B7BAF"/>
    <w:rsid w:val="002C0B25"/>
    <w:rsid w:val="002C1FFB"/>
    <w:rsid w:val="002C28D2"/>
    <w:rsid w:val="002C56F6"/>
    <w:rsid w:val="002C6631"/>
    <w:rsid w:val="002D2E91"/>
    <w:rsid w:val="002D35EC"/>
    <w:rsid w:val="002E072D"/>
    <w:rsid w:val="002E0D88"/>
    <w:rsid w:val="002E1DD8"/>
    <w:rsid w:val="002E22B8"/>
    <w:rsid w:val="002E2E62"/>
    <w:rsid w:val="002F1591"/>
    <w:rsid w:val="002F18DD"/>
    <w:rsid w:val="002F23DC"/>
    <w:rsid w:val="002F4080"/>
    <w:rsid w:val="002F5AFD"/>
    <w:rsid w:val="003003CB"/>
    <w:rsid w:val="0030158B"/>
    <w:rsid w:val="00302870"/>
    <w:rsid w:val="003039A0"/>
    <w:rsid w:val="00305D5B"/>
    <w:rsid w:val="0030746C"/>
    <w:rsid w:val="00307758"/>
    <w:rsid w:val="00311BD5"/>
    <w:rsid w:val="003219DA"/>
    <w:rsid w:val="00322A20"/>
    <w:rsid w:val="003273D3"/>
    <w:rsid w:val="003318CA"/>
    <w:rsid w:val="00334102"/>
    <w:rsid w:val="00334F1A"/>
    <w:rsid w:val="003362C5"/>
    <w:rsid w:val="003369CD"/>
    <w:rsid w:val="003379FF"/>
    <w:rsid w:val="00337F61"/>
    <w:rsid w:val="0034181A"/>
    <w:rsid w:val="00342053"/>
    <w:rsid w:val="00343763"/>
    <w:rsid w:val="00345B84"/>
    <w:rsid w:val="00345E83"/>
    <w:rsid w:val="00347CA3"/>
    <w:rsid w:val="00353901"/>
    <w:rsid w:val="003549F4"/>
    <w:rsid w:val="0035766D"/>
    <w:rsid w:val="00362AE0"/>
    <w:rsid w:val="00366F30"/>
    <w:rsid w:val="003702BE"/>
    <w:rsid w:val="0038098B"/>
    <w:rsid w:val="0038417A"/>
    <w:rsid w:val="00390E8B"/>
    <w:rsid w:val="003A031F"/>
    <w:rsid w:val="003A0A98"/>
    <w:rsid w:val="003A0D57"/>
    <w:rsid w:val="003A1D39"/>
    <w:rsid w:val="003A1E3E"/>
    <w:rsid w:val="003A2543"/>
    <w:rsid w:val="003A3DAC"/>
    <w:rsid w:val="003A5CAB"/>
    <w:rsid w:val="003B0F3B"/>
    <w:rsid w:val="003B7C51"/>
    <w:rsid w:val="003B7E1D"/>
    <w:rsid w:val="003C0D5C"/>
    <w:rsid w:val="003C35CA"/>
    <w:rsid w:val="003C3C19"/>
    <w:rsid w:val="003D6B24"/>
    <w:rsid w:val="003E082E"/>
    <w:rsid w:val="003E1425"/>
    <w:rsid w:val="003E3276"/>
    <w:rsid w:val="003E3454"/>
    <w:rsid w:val="003E3EE7"/>
    <w:rsid w:val="003F1B1F"/>
    <w:rsid w:val="003F7434"/>
    <w:rsid w:val="004010FB"/>
    <w:rsid w:val="00401301"/>
    <w:rsid w:val="00401D33"/>
    <w:rsid w:val="00401FF0"/>
    <w:rsid w:val="0040342C"/>
    <w:rsid w:val="0040543D"/>
    <w:rsid w:val="004164C8"/>
    <w:rsid w:val="00421E7D"/>
    <w:rsid w:val="004230E7"/>
    <w:rsid w:val="00424A57"/>
    <w:rsid w:val="004251F8"/>
    <w:rsid w:val="00425400"/>
    <w:rsid w:val="0042670B"/>
    <w:rsid w:val="004270D9"/>
    <w:rsid w:val="00430158"/>
    <w:rsid w:val="004411D8"/>
    <w:rsid w:val="00441450"/>
    <w:rsid w:val="00442895"/>
    <w:rsid w:val="00453A99"/>
    <w:rsid w:val="00456FE6"/>
    <w:rsid w:val="00457D9A"/>
    <w:rsid w:val="00461A05"/>
    <w:rsid w:val="00465EF9"/>
    <w:rsid w:val="004736F8"/>
    <w:rsid w:val="004834F5"/>
    <w:rsid w:val="00483E47"/>
    <w:rsid w:val="00486F32"/>
    <w:rsid w:val="004900DB"/>
    <w:rsid w:val="00490EBA"/>
    <w:rsid w:val="00491808"/>
    <w:rsid w:val="00496B53"/>
    <w:rsid w:val="004B1A24"/>
    <w:rsid w:val="004B6544"/>
    <w:rsid w:val="004C3605"/>
    <w:rsid w:val="004C3B98"/>
    <w:rsid w:val="004C58D8"/>
    <w:rsid w:val="004D1477"/>
    <w:rsid w:val="004D33A7"/>
    <w:rsid w:val="004E1ABD"/>
    <w:rsid w:val="004E51D1"/>
    <w:rsid w:val="004E71FF"/>
    <w:rsid w:val="004E775C"/>
    <w:rsid w:val="004F02F9"/>
    <w:rsid w:val="004F1B68"/>
    <w:rsid w:val="004F391B"/>
    <w:rsid w:val="00503BB6"/>
    <w:rsid w:val="005049C1"/>
    <w:rsid w:val="00504FA1"/>
    <w:rsid w:val="00505AD7"/>
    <w:rsid w:val="00520787"/>
    <w:rsid w:val="005207B7"/>
    <w:rsid w:val="00522365"/>
    <w:rsid w:val="00523CAB"/>
    <w:rsid w:val="005275E6"/>
    <w:rsid w:val="005308BB"/>
    <w:rsid w:val="00533CB2"/>
    <w:rsid w:val="0053546C"/>
    <w:rsid w:val="00541CDA"/>
    <w:rsid w:val="00547486"/>
    <w:rsid w:val="00550EFF"/>
    <w:rsid w:val="00556A0A"/>
    <w:rsid w:val="00556B66"/>
    <w:rsid w:val="00557DBA"/>
    <w:rsid w:val="00561F1C"/>
    <w:rsid w:val="00562B64"/>
    <w:rsid w:val="0056384C"/>
    <w:rsid w:val="00570C7F"/>
    <w:rsid w:val="005717F4"/>
    <w:rsid w:val="00574026"/>
    <w:rsid w:val="00581A29"/>
    <w:rsid w:val="00585FA5"/>
    <w:rsid w:val="00586837"/>
    <w:rsid w:val="005957B2"/>
    <w:rsid w:val="005A16A5"/>
    <w:rsid w:val="005A1CC2"/>
    <w:rsid w:val="005A2E47"/>
    <w:rsid w:val="005A2EA3"/>
    <w:rsid w:val="005A36D3"/>
    <w:rsid w:val="005A53CA"/>
    <w:rsid w:val="005A5EF5"/>
    <w:rsid w:val="005A7AD6"/>
    <w:rsid w:val="005B39A7"/>
    <w:rsid w:val="005B4FA2"/>
    <w:rsid w:val="005B59B7"/>
    <w:rsid w:val="005C16F0"/>
    <w:rsid w:val="005C423B"/>
    <w:rsid w:val="005C47BD"/>
    <w:rsid w:val="005C55FB"/>
    <w:rsid w:val="005C5973"/>
    <w:rsid w:val="005C64CE"/>
    <w:rsid w:val="005D52ED"/>
    <w:rsid w:val="005D7098"/>
    <w:rsid w:val="005E08D0"/>
    <w:rsid w:val="005E10B8"/>
    <w:rsid w:val="005E16C4"/>
    <w:rsid w:val="005E195E"/>
    <w:rsid w:val="005E4E9D"/>
    <w:rsid w:val="005E6E15"/>
    <w:rsid w:val="005E7402"/>
    <w:rsid w:val="005F3F33"/>
    <w:rsid w:val="005F42C5"/>
    <w:rsid w:val="005F4C9F"/>
    <w:rsid w:val="005F7A77"/>
    <w:rsid w:val="00600BCE"/>
    <w:rsid w:val="00601937"/>
    <w:rsid w:val="006032F2"/>
    <w:rsid w:val="00603452"/>
    <w:rsid w:val="00603A0D"/>
    <w:rsid w:val="00610AC8"/>
    <w:rsid w:val="00611712"/>
    <w:rsid w:val="00612B4A"/>
    <w:rsid w:val="00623252"/>
    <w:rsid w:val="00630843"/>
    <w:rsid w:val="00631612"/>
    <w:rsid w:val="00636468"/>
    <w:rsid w:val="00637C62"/>
    <w:rsid w:val="00642D2E"/>
    <w:rsid w:val="00643075"/>
    <w:rsid w:val="0064464B"/>
    <w:rsid w:val="00644D27"/>
    <w:rsid w:val="00645517"/>
    <w:rsid w:val="00647144"/>
    <w:rsid w:val="00647ADF"/>
    <w:rsid w:val="006501D8"/>
    <w:rsid w:val="0065066E"/>
    <w:rsid w:val="00651438"/>
    <w:rsid w:val="00652792"/>
    <w:rsid w:val="006534CF"/>
    <w:rsid w:val="00653DCC"/>
    <w:rsid w:val="006550B3"/>
    <w:rsid w:val="006705FE"/>
    <w:rsid w:val="006710E0"/>
    <w:rsid w:val="0067402D"/>
    <w:rsid w:val="00680879"/>
    <w:rsid w:val="006856A7"/>
    <w:rsid w:val="006867FA"/>
    <w:rsid w:val="00686F31"/>
    <w:rsid w:val="00687267"/>
    <w:rsid w:val="00690AAF"/>
    <w:rsid w:val="0069159F"/>
    <w:rsid w:val="00692B07"/>
    <w:rsid w:val="00693E67"/>
    <w:rsid w:val="00694024"/>
    <w:rsid w:val="00696981"/>
    <w:rsid w:val="006A3BFB"/>
    <w:rsid w:val="006A4011"/>
    <w:rsid w:val="006A7F8F"/>
    <w:rsid w:val="006B3EFA"/>
    <w:rsid w:val="006B54D6"/>
    <w:rsid w:val="006B60E4"/>
    <w:rsid w:val="006C158D"/>
    <w:rsid w:val="006C1E7E"/>
    <w:rsid w:val="006C6F4A"/>
    <w:rsid w:val="006D186C"/>
    <w:rsid w:val="006D1E00"/>
    <w:rsid w:val="006D2CD0"/>
    <w:rsid w:val="006D312E"/>
    <w:rsid w:val="006E2D76"/>
    <w:rsid w:val="006E3892"/>
    <w:rsid w:val="006E500B"/>
    <w:rsid w:val="006E7E7E"/>
    <w:rsid w:val="006F1E47"/>
    <w:rsid w:val="006F4A5B"/>
    <w:rsid w:val="006F6ABF"/>
    <w:rsid w:val="006F73DC"/>
    <w:rsid w:val="006F782D"/>
    <w:rsid w:val="007000CF"/>
    <w:rsid w:val="0070095E"/>
    <w:rsid w:val="007013C5"/>
    <w:rsid w:val="0070356D"/>
    <w:rsid w:val="00703A4B"/>
    <w:rsid w:val="00706A06"/>
    <w:rsid w:val="0071468F"/>
    <w:rsid w:val="00714F0B"/>
    <w:rsid w:val="00721F4F"/>
    <w:rsid w:val="00727643"/>
    <w:rsid w:val="007301E9"/>
    <w:rsid w:val="00730C14"/>
    <w:rsid w:val="007325DB"/>
    <w:rsid w:val="0073556F"/>
    <w:rsid w:val="00737549"/>
    <w:rsid w:val="00740710"/>
    <w:rsid w:val="00740C0F"/>
    <w:rsid w:val="00742A8D"/>
    <w:rsid w:val="00746CCF"/>
    <w:rsid w:val="00750F40"/>
    <w:rsid w:val="00752AA8"/>
    <w:rsid w:val="0075474E"/>
    <w:rsid w:val="0075483B"/>
    <w:rsid w:val="007637CE"/>
    <w:rsid w:val="0077089B"/>
    <w:rsid w:val="007724D1"/>
    <w:rsid w:val="0077317D"/>
    <w:rsid w:val="007779DB"/>
    <w:rsid w:val="007829E9"/>
    <w:rsid w:val="00785747"/>
    <w:rsid w:val="00785D65"/>
    <w:rsid w:val="00785DDF"/>
    <w:rsid w:val="00786A4A"/>
    <w:rsid w:val="00791CF0"/>
    <w:rsid w:val="00792F42"/>
    <w:rsid w:val="0079332F"/>
    <w:rsid w:val="007A3602"/>
    <w:rsid w:val="007B03E7"/>
    <w:rsid w:val="007B068A"/>
    <w:rsid w:val="007B2282"/>
    <w:rsid w:val="007B6206"/>
    <w:rsid w:val="007B719F"/>
    <w:rsid w:val="007B74E1"/>
    <w:rsid w:val="007C0526"/>
    <w:rsid w:val="007C198C"/>
    <w:rsid w:val="007C2491"/>
    <w:rsid w:val="007C2F2F"/>
    <w:rsid w:val="007C364A"/>
    <w:rsid w:val="007C3AE6"/>
    <w:rsid w:val="007C7232"/>
    <w:rsid w:val="007D7562"/>
    <w:rsid w:val="007E1147"/>
    <w:rsid w:val="007E124C"/>
    <w:rsid w:val="007E269D"/>
    <w:rsid w:val="007E379F"/>
    <w:rsid w:val="007F118B"/>
    <w:rsid w:val="007F1943"/>
    <w:rsid w:val="007F5F02"/>
    <w:rsid w:val="00805C92"/>
    <w:rsid w:val="00807CF7"/>
    <w:rsid w:val="00811FA0"/>
    <w:rsid w:val="00812EFF"/>
    <w:rsid w:val="00814588"/>
    <w:rsid w:val="00814642"/>
    <w:rsid w:val="00815813"/>
    <w:rsid w:val="00816028"/>
    <w:rsid w:val="00820B6B"/>
    <w:rsid w:val="00824926"/>
    <w:rsid w:val="00824E99"/>
    <w:rsid w:val="00825263"/>
    <w:rsid w:val="00825FC5"/>
    <w:rsid w:val="008306CC"/>
    <w:rsid w:val="00830FE1"/>
    <w:rsid w:val="00831204"/>
    <w:rsid w:val="00831521"/>
    <w:rsid w:val="008347D9"/>
    <w:rsid w:val="0083677A"/>
    <w:rsid w:val="008371D6"/>
    <w:rsid w:val="008413F3"/>
    <w:rsid w:val="00844254"/>
    <w:rsid w:val="00844E05"/>
    <w:rsid w:val="00846B8F"/>
    <w:rsid w:val="008523D8"/>
    <w:rsid w:val="00852A24"/>
    <w:rsid w:val="00852C8E"/>
    <w:rsid w:val="008543D2"/>
    <w:rsid w:val="00861604"/>
    <w:rsid w:val="00863629"/>
    <w:rsid w:val="008644BC"/>
    <w:rsid w:val="0087001B"/>
    <w:rsid w:val="00871C8E"/>
    <w:rsid w:val="008731E8"/>
    <w:rsid w:val="00873459"/>
    <w:rsid w:val="00873854"/>
    <w:rsid w:val="00874EA8"/>
    <w:rsid w:val="00876C2C"/>
    <w:rsid w:val="008824CC"/>
    <w:rsid w:val="008824ED"/>
    <w:rsid w:val="008852C8"/>
    <w:rsid w:val="0088639D"/>
    <w:rsid w:val="00891FFA"/>
    <w:rsid w:val="00893339"/>
    <w:rsid w:val="00897556"/>
    <w:rsid w:val="0089780F"/>
    <w:rsid w:val="008A00B3"/>
    <w:rsid w:val="008A01C3"/>
    <w:rsid w:val="008A1ABF"/>
    <w:rsid w:val="008A56A2"/>
    <w:rsid w:val="008B0CA8"/>
    <w:rsid w:val="008B2936"/>
    <w:rsid w:val="008D2128"/>
    <w:rsid w:val="008D3217"/>
    <w:rsid w:val="008D5BFA"/>
    <w:rsid w:val="008E2B30"/>
    <w:rsid w:val="008E363A"/>
    <w:rsid w:val="008E6BB3"/>
    <w:rsid w:val="008E6EC7"/>
    <w:rsid w:val="008E7E5A"/>
    <w:rsid w:val="008E7F55"/>
    <w:rsid w:val="008F22F7"/>
    <w:rsid w:val="008F25B4"/>
    <w:rsid w:val="008F3D2C"/>
    <w:rsid w:val="008F6885"/>
    <w:rsid w:val="008F79E8"/>
    <w:rsid w:val="00901017"/>
    <w:rsid w:val="0090173A"/>
    <w:rsid w:val="00905CAE"/>
    <w:rsid w:val="00911444"/>
    <w:rsid w:val="00912243"/>
    <w:rsid w:val="0091349E"/>
    <w:rsid w:val="00914926"/>
    <w:rsid w:val="009158CB"/>
    <w:rsid w:val="0092512E"/>
    <w:rsid w:val="0092538F"/>
    <w:rsid w:val="0092698E"/>
    <w:rsid w:val="0093337B"/>
    <w:rsid w:val="009349DC"/>
    <w:rsid w:val="00935045"/>
    <w:rsid w:val="009353CA"/>
    <w:rsid w:val="00937D0D"/>
    <w:rsid w:val="00944251"/>
    <w:rsid w:val="009443CF"/>
    <w:rsid w:val="009464EA"/>
    <w:rsid w:val="00947820"/>
    <w:rsid w:val="0095006A"/>
    <w:rsid w:val="0095142A"/>
    <w:rsid w:val="00951656"/>
    <w:rsid w:val="00951B7E"/>
    <w:rsid w:val="00953953"/>
    <w:rsid w:val="00953B6C"/>
    <w:rsid w:val="00955490"/>
    <w:rsid w:val="00955E7B"/>
    <w:rsid w:val="009570B6"/>
    <w:rsid w:val="0095789C"/>
    <w:rsid w:val="0096561D"/>
    <w:rsid w:val="009675E1"/>
    <w:rsid w:val="009719DE"/>
    <w:rsid w:val="0097584E"/>
    <w:rsid w:val="00975E97"/>
    <w:rsid w:val="00982C42"/>
    <w:rsid w:val="009852C1"/>
    <w:rsid w:val="00986ACE"/>
    <w:rsid w:val="00986C82"/>
    <w:rsid w:val="00990CF5"/>
    <w:rsid w:val="00993534"/>
    <w:rsid w:val="00994051"/>
    <w:rsid w:val="009A32E3"/>
    <w:rsid w:val="009A3E29"/>
    <w:rsid w:val="009A5AE5"/>
    <w:rsid w:val="009A6B8A"/>
    <w:rsid w:val="009B12C4"/>
    <w:rsid w:val="009B1F2C"/>
    <w:rsid w:val="009B2C0F"/>
    <w:rsid w:val="009B2F74"/>
    <w:rsid w:val="009B4115"/>
    <w:rsid w:val="009C41C3"/>
    <w:rsid w:val="009C4CA5"/>
    <w:rsid w:val="009C5E46"/>
    <w:rsid w:val="009D5F0B"/>
    <w:rsid w:val="009D71FB"/>
    <w:rsid w:val="009D7244"/>
    <w:rsid w:val="009D7A7A"/>
    <w:rsid w:val="009E25A6"/>
    <w:rsid w:val="009E27B6"/>
    <w:rsid w:val="009E2E40"/>
    <w:rsid w:val="009E4D46"/>
    <w:rsid w:val="009E70CC"/>
    <w:rsid w:val="009F2165"/>
    <w:rsid w:val="009F36AB"/>
    <w:rsid w:val="009F3AF8"/>
    <w:rsid w:val="009F7574"/>
    <w:rsid w:val="009F79AA"/>
    <w:rsid w:val="00A04307"/>
    <w:rsid w:val="00A109FC"/>
    <w:rsid w:val="00A14C3B"/>
    <w:rsid w:val="00A15ADC"/>
    <w:rsid w:val="00A21DFB"/>
    <w:rsid w:val="00A242B7"/>
    <w:rsid w:val="00A30764"/>
    <w:rsid w:val="00A3127A"/>
    <w:rsid w:val="00A34191"/>
    <w:rsid w:val="00A35294"/>
    <w:rsid w:val="00A36736"/>
    <w:rsid w:val="00A42A70"/>
    <w:rsid w:val="00A432D4"/>
    <w:rsid w:val="00A4489A"/>
    <w:rsid w:val="00A51144"/>
    <w:rsid w:val="00A52A19"/>
    <w:rsid w:val="00A53B21"/>
    <w:rsid w:val="00A57D02"/>
    <w:rsid w:val="00A60BD1"/>
    <w:rsid w:val="00A62099"/>
    <w:rsid w:val="00A6558E"/>
    <w:rsid w:val="00A66B5D"/>
    <w:rsid w:val="00A7044C"/>
    <w:rsid w:val="00A740CF"/>
    <w:rsid w:val="00A7423D"/>
    <w:rsid w:val="00A77338"/>
    <w:rsid w:val="00A80B50"/>
    <w:rsid w:val="00A80F52"/>
    <w:rsid w:val="00A858C9"/>
    <w:rsid w:val="00A935BB"/>
    <w:rsid w:val="00A93755"/>
    <w:rsid w:val="00A93A32"/>
    <w:rsid w:val="00A9537F"/>
    <w:rsid w:val="00AA2C15"/>
    <w:rsid w:val="00AA3CCC"/>
    <w:rsid w:val="00AA402D"/>
    <w:rsid w:val="00AA41E6"/>
    <w:rsid w:val="00AA56AE"/>
    <w:rsid w:val="00AA6914"/>
    <w:rsid w:val="00AB6D43"/>
    <w:rsid w:val="00AB7050"/>
    <w:rsid w:val="00AC10C4"/>
    <w:rsid w:val="00AC2151"/>
    <w:rsid w:val="00AD0C96"/>
    <w:rsid w:val="00AD14A4"/>
    <w:rsid w:val="00AD1926"/>
    <w:rsid w:val="00AD2346"/>
    <w:rsid w:val="00AD3446"/>
    <w:rsid w:val="00AD4DB1"/>
    <w:rsid w:val="00AE00ED"/>
    <w:rsid w:val="00AE18C1"/>
    <w:rsid w:val="00AE4ABC"/>
    <w:rsid w:val="00AE7ABC"/>
    <w:rsid w:val="00AF3418"/>
    <w:rsid w:val="00AF3925"/>
    <w:rsid w:val="00AF5A12"/>
    <w:rsid w:val="00AF5CF2"/>
    <w:rsid w:val="00AF6234"/>
    <w:rsid w:val="00B00C70"/>
    <w:rsid w:val="00B02442"/>
    <w:rsid w:val="00B12F1E"/>
    <w:rsid w:val="00B22731"/>
    <w:rsid w:val="00B30006"/>
    <w:rsid w:val="00B339EB"/>
    <w:rsid w:val="00B33B1E"/>
    <w:rsid w:val="00B33EB1"/>
    <w:rsid w:val="00B35665"/>
    <w:rsid w:val="00B37EF8"/>
    <w:rsid w:val="00B42156"/>
    <w:rsid w:val="00B44457"/>
    <w:rsid w:val="00B44E25"/>
    <w:rsid w:val="00B45130"/>
    <w:rsid w:val="00B46DA5"/>
    <w:rsid w:val="00B471B3"/>
    <w:rsid w:val="00B50EAD"/>
    <w:rsid w:val="00B51C48"/>
    <w:rsid w:val="00B61061"/>
    <w:rsid w:val="00B62334"/>
    <w:rsid w:val="00B6397F"/>
    <w:rsid w:val="00B667F9"/>
    <w:rsid w:val="00B6728A"/>
    <w:rsid w:val="00B76C31"/>
    <w:rsid w:val="00B80A50"/>
    <w:rsid w:val="00B853EE"/>
    <w:rsid w:val="00B863A2"/>
    <w:rsid w:val="00B904C2"/>
    <w:rsid w:val="00B97D75"/>
    <w:rsid w:val="00BA0984"/>
    <w:rsid w:val="00BA09A1"/>
    <w:rsid w:val="00BA0AB7"/>
    <w:rsid w:val="00BA173E"/>
    <w:rsid w:val="00BA1850"/>
    <w:rsid w:val="00BA1B00"/>
    <w:rsid w:val="00BB03F9"/>
    <w:rsid w:val="00BB233A"/>
    <w:rsid w:val="00BB500C"/>
    <w:rsid w:val="00BC2A7C"/>
    <w:rsid w:val="00BC373F"/>
    <w:rsid w:val="00BC39C2"/>
    <w:rsid w:val="00BC4757"/>
    <w:rsid w:val="00BC5E86"/>
    <w:rsid w:val="00BD09FF"/>
    <w:rsid w:val="00BD1F42"/>
    <w:rsid w:val="00BD2C5B"/>
    <w:rsid w:val="00BD4D8C"/>
    <w:rsid w:val="00BD53EA"/>
    <w:rsid w:val="00BD5DCC"/>
    <w:rsid w:val="00BD5DF5"/>
    <w:rsid w:val="00BE0FBA"/>
    <w:rsid w:val="00BE10FD"/>
    <w:rsid w:val="00BE38AA"/>
    <w:rsid w:val="00BE3F9E"/>
    <w:rsid w:val="00BE4061"/>
    <w:rsid w:val="00BE4069"/>
    <w:rsid w:val="00BE6503"/>
    <w:rsid w:val="00BF22E3"/>
    <w:rsid w:val="00BF396F"/>
    <w:rsid w:val="00BF48A1"/>
    <w:rsid w:val="00BF698B"/>
    <w:rsid w:val="00C03863"/>
    <w:rsid w:val="00C06438"/>
    <w:rsid w:val="00C07130"/>
    <w:rsid w:val="00C12C7F"/>
    <w:rsid w:val="00C1403F"/>
    <w:rsid w:val="00C1440D"/>
    <w:rsid w:val="00C14AA9"/>
    <w:rsid w:val="00C14D48"/>
    <w:rsid w:val="00C2061F"/>
    <w:rsid w:val="00C21DD3"/>
    <w:rsid w:val="00C23B02"/>
    <w:rsid w:val="00C259A7"/>
    <w:rsid w:val="00C261A8"/>
    <w:rsid w:val="00C264FF"/>
    <w:rsid w:val="00C26BAF"/>
    <w:rsid w:val="00C27CC2"/>
    <w:rsid w:val="00C30389"/>
    <w:rsid w:val="00C31C00"/>
    <w:rsid w:val="00C33C6D"/>
    <w:rsid w:val="00C34D42"/>
    <w:rsid w:val="00C37ED5"/>
    <w:rsid w:val="00C4191F"/>
    <w:rsid w:val="00C41E96"/>
    <w:rsid w:val="00C45A8E"/>
    <w:rsid w:val="00C45B3B"/>
    <w:rsid w:val="00C50E44"/>
    <w:rsid w:val="00C51528"/>
    <w:rsid w:val="00C516F4"/>
    <w:rsid w:val="00C52D6B"/>
    <w:rsid w:val="00C553C7"/>
    <w:rsid w:val="00C571B3"/>
    <w:rsid w:val="00C57361"/>
    <w:rsid w:val="00C573A4"/>
    <w:rsid w:val="00C577E6"/>
    <w:rsid w:val="00C66EE9"/>
    <w:rsid w:val="00C7276F"/>
    <w:rsid w:val="00C75317"/>
    <w:rsid w:val="00C76F69"/>
    <w:rsid w:val="00C77F13"/>
    <w:rsid w:val="00C80692"/>
    <w:rsid w:val="00C81A31"/>
    <w:rsid w:val="00C82318"/>
    <w:rsid w:val="00C83805"/>
    <w:rsid w:val="00C863F5"/>
    <w:rsid w:val="00C9108B"/>
    <w:rsid w:val="00C92F81"/>
    <w:rsid w:val="00C94594"/>
    <w:rsid w:val="00C95CD4"/>
    <w:rsid w:val="00CA690D"/>
    <w:rsid w:val="00CA6C8A"/>
    <w:rsid w:val="00CB1B63"/>
    <w:rsid w:val="00CB4D1B"/>
    <w:rsid w:val="00CB59C3"/>
    <w:rsid w:val="00CC0535"/>
    <w:rsid w:val="00CC15CC"/>
    <w:rsid w:val="00CC2B5A"/>
    <w:rsid w:val="00CC3915"/>
    <w:rsid w:val="00CC3C75"/>
    <w:rsid w:val="00CC4072"/>
    <w:rsid w:val="00CC6A3C"/>
    <w:rsid w:val="00CD1C9B"/>
    <w:rsid w:val="00CD3F79"/>
    <w:rsid w:val="00CD6046"/>
    <w:rsid w:val="00CD62B6"/>
    <w:rsid w:val="00CD778C"/>
    <w:rsid w:val="00CE0819"/>
    <w:rsid w:val="00CE133E"/>
    <w:rsid w:val="00CE2251"/>
    <w:rsid w:val="00CE2FEF"/>
    <w:rsid w:val="00CE369C"/>
    <w:rsid w:val="00CE39D1"/>
    <w:rsid w:val="00CE4B87"/>
    <w:rsid w:val="00CE66B9"/>
    <w:rsid w:val="00CF3319"/>
    <w:rsid w:val="00CF3813"/>
    <w:rsid w:val="00CF3C3F"/>
    <w:rsid w:val="00CF5955"/>
    <w:rsid w:val="00CF60B2"/>
    <w:rsid w:val="00CF6718"/>
    <w:rsid w:val="00CF6B32"/>
    <w:rsid w:val="00CF72F4"/>
    <w:rsid w:val="00D11BC1"/>
    <w:rsid w:val="00D134FB"/>
    <w:rsid w:val="00D146E1"/>
    <w:rsid w:val="00D17A11"/>
    <w:rsid w:val="00D21BF8"/>
    <w:rsid w:val="00D27579"/>
    <w:rsid w:val="00D27683"/>
    <w:rsid w:val="00D3206D"/>
    <w:rsid w:val="00D3489C"/>
    <w:rsid w:val="00D375C0"/>
    <w:rsid w:val="00D4251F"/>
    <w:rsid w:val="00D433DF"/>
    <w:rsid w:val="00D610CB"/>
    <w:rsid w:val="00D64977"/>
    <w:rsid w:val="00D64EA9"/>
    <w:rsid w:val="00D66B01"/>
    <w:rsid w:val="00D77AFC"/>
    <w:rsid w:val="00D82A34"/>
    <w:rsid w:val="00D91E2C"/>
    <w:rsid w:val="00D92C7C"/>
    <w:rsid w:val="00D938CE"/>
    <w:rsid w:val="00D944E3"/>
    <w:rsid w:val="00D94FBD"/>
    <w:rsid w:val="00D955B3"/>
    <w:rsid w:val="00D9565A"/>
    <w:rsid w:val="00D95FE4"/>
    <w:rsid w:val="00DA07F4"/>
    <w:rsid w:val="00DA1E23"/>
    <w:rsid w:val="00DA7146"/>
    <w:rsid w:val="00DB5CBF"/>
    <w:rsid w:val="00DB6EAC"/>
    <w:rsid w:val="00DC0F21"/>
    <w:rsid w:val="00DC3206"/>
    <w:rsid w:val="00DC3FA9"/>
    <w:rsid w:val="00DC6E9A"/>
    <w:rsid w:val="00DD5A7F"/>
    <w:rsid w:val="00DE48E3"/>
    <w:rsid w:val="00DE4917"/>
    <w:rsid w:val="00DE4A99"/>
    <w:rsid w:val="00DE6938"/>
    <w:rsid w:val="00DE72A1"/>
    <w:rsid w:val="00DE7630"/>
    <w:rsid w:val="00DE7A8C"/>
    <w:rsid w:val="00DF2836"/>
    <w:rsid w:val="00DF5E45"/>
    <w:rsid w:val="00DF6087"/>
    <w:rsid w:val="00E015A3"/>
    <w:rsid w:val="00E02618"/>
    <w:rsid w:val="00E0262D"/>
    <w:rsid w:val="00E02FBA"/>
    <w:rsid w:val="00E03FBF"/>
    <w:rsid w:val="00E0408F"/>
    <w:rsid w:val="00E04A53"/>
    <w:rsid w:val="00E11947"/>
    <w:rsid w:val="00E17A66"/>
    <w:rsid w:val="00E20603"/>
    <w:rsid w:val="00E2328D"/>
    <w:rsid w:val="00E23574"/>
    <w:rsid w:val="00E271B9"/>
    <w:rsid w:val="00E27AC2"/>
    <w:rsid w:val="00E30C8C"/>
    <w:rsid w:val="00E32CF2"/>
    <w:rsid w:val="00E335DF"/>
    <w:rsid w:val="00E35A17"/>
    <w:rsid w:val="00E37725"/>
    <w:rsid w:val="00E41C42"/>
    <w:rsid w:val="00E427D8"/>
    <w:rsid w:val="00E43AB8"/>
    <w:rsid w:val="00E47F1B"/>
    <w:rsid w:val="00E50C43"/>
    <w:rsid w:val="00E51E85"/>
    <w:rsid w:val="00E5394A"/>
    <w:rsid w:val="00E5640E"/>
    <w:rsid w:val="00E56C05"/>
    <w:rsid w:val="00E56F27"/>
    <w:rsid w:val="00E62354"/>
    <w:rsid w:val="00E6376E"/>
    <w:rsid w:val="00E64C52"/>
    <w:rsid w:val="00E66D1F"/>
    <w:rsid w:val="00E67223"/>
    <w:rsid w:val="00E67376"/>
    <w:rsid w:val="00E6739E"/>
    <w:rsid w:val="00E6774E"/>
    <w:rsid w:val="00E70C9A"/>
    <w:rsid w:val="00E7163F"/>
    <w:rsid w:val="00E71A83"/>
    <w:rsid w:val="00E82493"/>
    <w:rsid w:val="00E84011"/>
    <w:rsid w:val="00E84532"/>
    <w:rsid w:val="00E85257"/>
    <w:rsid w:val="00E852D8"/>
    <w:rsid w:val="00E9322B"/>
    <w:rsid w:val="00E93328"/>
    <w:rsid w:val="00E9451F"/>
    <w:rsid w:val="00E9460D"/>
    <w:rsid w:val="00E95B41"/>
    <w:rsid w:val="00E971AF"/>
    <w:rsid w:val="00EA15AE"/>
    <w:rsid w:val="00EA3E9E"/>
    <w:rsid w:val="00EA3ED0"/>
    <w:rsid w:val="00EA7D29"/>
    <w:rsid w:val="00EB00F8"/>
    <w:rsid w:val="00ED0968"/>
    <w:rsid w:val="00ED2376"/>
    <w:rsid w:val="00ED4669"/>
    <w:rsid w:val="00EE2543"/>
    <w:rsid w:val="00EE3A88"/>
    <w:rsid w:val="00EE3E27"/>
    <w:rsid w:val="00EE5E83"/>
    <w:rsid w:val="00EE5EB0"/>
    <w:rsid w:val="00EF19F5"/>
    <w:rsid w:val="00EF6D74"/>
    <w:rsid w:val="00EF71DD"/>
    <w:rsid w:val="00F00FE7"/>
    <w:rsid w:val="00F01C1D"/>
    <w:rsid w:val="00F02C90"/>
    <w:rsid w:val="00F03443"/>
    <w:rsid w:val="00F102F0"/>
    <w:rsid w:val="00F10ACE"/>
    <w:rsid w:val="00F1709A"/>
    <w:rsid w:val="00F204D3"/>
    <w:rsid w:val="00F23ECD"/>
    <w:rsid w:val="00F24035"/>
    <w:rsid w:val="00F269B7"/>
    <w:rsid w:val="00F30D1D"/>
    <w:rsid w:val="00F3175D"/>
    <w:rsid w:val="00F35E09"/>
    <w:rsid w:val="00F36F19"/>
    <w:rsid w:val="00F36FE2"/>
    <w:rsid w:val="00F370BE"/>
    <w:rsid w:val="00F4540C"/>
    <w:rsid w:val="00F5045A"/>
    <w:rsid w:val="00F53CC3"/>
    <w:rsid w:val="00F54160"/>
    <w:rsid w:val="00F54543"/>
    <w:rsid w:val="00F56B38"/>
    <w:rsid w:val="00F6415F"/>
    <w:rsid w:val="00F64183"/>
    <w:rsid w:val="00F70121"/>
    <w:rsid w:val="00F7166A"/>
    <w:rsid w:val="00F721F3"/>
    <w:rsid w:val="00F72447"/>
    <w:rsid w:val="00F72C04"/>
    <w:rsid w:val="00F72E98"/>
    <w:rsid w:val="00F73857"/>
    <w:rsid w:val="00F76258"/>
    <w:rsid w:val="00F77A11"/>
    <w:rsid w:val="00F80535"/>
    <w:rsid w:val="00F81325"/>
    <w:rsid w:val="00F821A1"/>
    <w:rsid w:val="00F85C8C"/>
    <w:rsid w:val="00F867C8"/>
    <w:rsid w:val="00F9018D"/>
    <w:rsid w:val="00F91289"/>
    <w:rsid w:val="00F91F7B"/>
    <w:rsid w:val="00F92753"/>
    <w:rsid w:val="00F94E38"/>
    <w:rsid w:val="00F977E8"/>
    <w:rsid w:val="00FA1419"/>
    <w:rsid w:val="00FA504A"/>
    <w:rsid w:val="00FA6C22"/>
    <w:rsid w:val="00FB0878"/>
    <w:rsid w:val="00FB21E9"/>
    <w:rsid w:val="00FB2FE9"/>
    <w:rsid w:val="00FB6821"/>
    <w:rsid w:val="00FB6FA0"/>
    <w:rsid w:val="00FB7F37"/>
    <w:rsid w:val="00FC24F6"/>
    <w:rsid w:val="00FC39E4"/>
    <w:rsid w:val="00FC3E34"/>
    <w:rsid w:val="00FC6237"/>
    <w:rsid w:val="00FD597F"/>
    <w:rsid w:val="00FD6702"/>
    <w:rsid w:val="00FD68D3"/>
    <w:rsid w:val="00FD7107"/>
    <w:rsid w:val="00FE07BA"/>
    <w:rsid w:val="00FF18B7"/>
    <w:rsid w:val="00FF264E"/>
    <w:rsid w:val="00FF6B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20C73684"/>
  <w15:docId w15:val="{E51E2C66-F212-4485-9036-BC1CF256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 w:unhideWhenUsed="1"/>
    <w:lsdException w:name="annotation reference" w:semiHidden="1" w:unhideWhenUsed="1"/>
    <w:lsdException w:name="line number" w:semiHidden="1" w:unhideWhenUsed="1"/>
    <w:lsdException w:name="page number" w:semiHidden="1" w:uiPriority="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4FB"/>
    <w:pPr>
      <w:spacing w:after="0"/>
      <w:jc w:val="both"/>
    </w:pPr>
  </w:style>
  <w:style w:type="paragraph" w:styleId="Heading1">
    <w:name w:val="heading 1"/>
    <w:aliases w:val="Section Heading,Paragraph No,Oscar Faber 1,h1,A MAJOR/BOLD,Schedheading,Heading 1(Report Only),h1 chapter heading,H1,Attribute Heading 1,Roman 14 B Heading,Roman 14 B Heading1,Roman 14 B Heading2,Roman 14 B Heading11,new page/chapter"/>
    <w:next w:val="Body1"/>
    <w:link w:val="Heading1Char"/>
    <w:uiPriority w:val="1"/>
    <w:qFormat/>
    <w:rsid w:val="00334F1A"/>
    <w:pPr>
      <w:keepNext/>
      <w:jc w:val="both"/>
      <w:outlineLvl w:val="0"/>
    </w:pPr>
    <w:rPr>
      <w:rFonts w:eastAsia="Times New Roman" w:cs="Times New Roman"/>
      <w:b/>
      <w:color w:val="000000" w:themeColor="text1"/>
      <w:lang w:eastAsia="en-GB"/>
    </w:rPr>
  </w:style>
  <w:style w:type="paragraph" w:styleId="Heading2">
    <w:name w:val="heading 2"/>
    <w:aliases w:val="1.2 Heading,•H2,H21,•H21,H22,H23,H211,H221,H24,H212,H222,H231,H2111,H2211,h2,(Alt+2),PARA2,h 3,Numbered - 2,Heading Two,(1.1,1.2,1.3 etc),Prophead 2,2,RFP Heading 2,Activity,l2,H2,m,Body Text (Reset numbering),Reset numbering,TF-Overskrit 2"/>
    <w:link w:val="Heading2Char"/>
    <w:uiPriority w:val="1"/>
    <w:qFormat/>
    <w:rsid w:val="00334F1A"/>
    <w:pPr>
      <w:numPr>
        <w:ilvl w:val="1"/>
        <w:numId w:val="5"/>
      </w:numPr>
      <w:jc w:val="both"/>
      <w:outlineLvl w:val="1"/>
    </w:pPr>
    <w:rPr>
      <w:rFonts w:eastAsia="Times New Roman" w:cs="Times New Roman"/>
      <w:color w:val="000000" w:themeColor="text1"/>
      <w:lang w:eastAsia="en-GB"/>
    </w:rPr>
  </w:style>
  <w:style w:type="paragraph" w:styleId="Heading3">
    <w:name w:val="heading 3"/>
    <w:aliases w:val="MCheading3"/>
    <w:link w:val="Heading3Char"/>
    <w:uiPriority w:val="1"/>
    <w:qFormat/>
    <w:rsid w:val="00334F1A"/>
    <w:pPr>
      <w:numPr>
        <w:ilvl w:val="2"/>
        <w:numId w:val="5"/>
      </w:numPr>
      <w:jc w:val="both"/>
      <w:outlineLvl w:val="2"/>
    </w:pPr>
    <w:rPr>
      <w:rFonts w:eastAsia="Times New Roman" w:cs="Times New Roman"/>
      <w:color w:val="000000" w:themeColor="text1"/>
      <w:lang w:eastAsia="en-GB"/>
    </w:rPr>
  </w:style>
  <w:style w:type="paragraph" w:styleId="Heading4">
    <w:name w:val="heading 4"/>
    <w:aliases w:val="MCheadin4"/>
    <w:link w:val="Heading4Char"/>
    <w:uiPriority w:val="1"/>
    <w:qFormat/>
    <w:rsid w:val="00334F1A"/>
    <w:pPr>
      <w:numPr>
        <w:ilvl w:val="3"/>
        <w:numId w:val="5"/>
      </w:numPr>
      <w:jc w:val="both"/>
      <w:outlineLvl w:val="3"/>
    </w:pPr>
    <w:rPr>
      <w:rFonts w:eastAsia="Times New Roman" w:cs="Times New Roman"/>
      <w:color w:val="000000" w:themeColor="text1"/>
      <w:lang w:eastAsia="en-GB"/>
    </w:rPr>
  </w:style>
  <w:style w:type="paragraph" w:styleId="Heading5">
    <w:name w:val="heading 5"/>
    <w:link w:val="Heading5Char"/>
    <w:uiPriority w:val="1"/>
    <w:qFormat/>
    <w:rsid w:val="00334F1A"/>
    <w:pPr>
      <w:numPr>
        <w:ilvl w:val="4"/>
        <w:numId w:val="5"/>
      </w:numPr>
      <w:jc w:val="both"/>
      <w:outlineLvl w:val="4"/>
    </w:pPr>
    <w:rPr>
      <w:rFonts w:eastAsia="Times New Roman" w:cs="Times New Roman"/>
      <w:color w:val="000000" w:themeColor="text1"/>
      <w:lang w:eastAsia="en-GB"/>
    </w:rPr>
  </w:style>
  <w:style w:type="paragraph" w:styleId="Heading6">
    <w:name w:val="heading 6"/>
    <w:link w:val="Heading6Char"/>
    <w:uiPriority w:val="1"/>
    <w:qFormat/>
    <w:rsid w:val="00334F1A"/>
    <w:pPr>
      <w:numPr>
        <w:ilvl w:val="5"/>
        <w:numId w:val="5"/>
      </w:numPr>
      <w:jc w:val="both"/>
      <w:outlineLvl w:val="5"/>
    </w:pPr>
    <w:rPr>
      <w:rFonts w:eastAsia="Times New Roman" w:cs="Times New Roman"/>
      <w:color w:val="000000" w:themeColor="text1"/>
      <w:lang w:eastAsia="en-GB"/>
    </w:rPr>
  </w:style>
  <w:style w:type="paragraph" w:styleId="Heading7">
    <w:name w:val="heading 7"/>
    <w:basedOn w:val="Normal"/>
    <w:next w:val="Normal"/>
    <w:link w:val="Heading7Char"/>
    <w:uiPriority w:val="99"/>
    <w:semiHidden/>
    <w:qFormat/>
    <w:rsid w:val="00017AD9"/>
    <w:pPr>
      <w:outlineLvl w:val="6"/>
    </w:pPr>
  </w:style>
  <w:style w:type="paragraph" w:styleId="Heading8">
    <w:name w:val="heading 8"/>
    <w:basedOn w:val="Normal"/>
    <w:next w:val="Normal"/>
    <w:link w:val="Heading8Char"/>
    <w:uiPriority w:val="99"/>
    <w:semiHidden/>
    <w:qFormat/>
    <w:rsid w:val="00017AD9"/>
    <w:pPr>
      <w:outlineLvl w:val="7"/>
    </w:pPr>
  </w:style>
  <w:style w:type="paragraph" w:styleId="Heading9">
    <w:name w:val="heading 9"/>
    <w:basedOn w:val="Normal"/>
    <w:next w:val="Normal"/>
    <w:link w:val="Heading9Char"/>
    <w:uiPriority w:val="99"/>
    <w:semiHidden/>
    <w:qFormat/>
    <w:rsid w:val="00017AD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qFormat/>
    <w:rsid w:val="00017AD9"/>
    <w:pPr>
      <w:jc w:val="both"/>
    </w:pPr>
    <w:rPr>
      <w:rFonts w:eastAsia="Times New Roman" w:cs="Times New Roman"/>
      <w:color w:val="000000" w:themeColor="text1"/>
      <w:lang w:eastAsia="en-GB"/>
    </w:rPr>
  </w:style>
  <w:style w:type="paragraph" w:customStyle="1" w:styleId="Body1">
    <w:name w:val="Body 1"/>
    <w:qFormat/>
    <w:rsid w:val="00017AD9"/>
    <w:pPr>
      <w:ind w:left="851"/>
      <w:jc w:val="both"/>
    </w:pPr>
    <w:rPr>
      <w:rFonts w:eastAsia="Times New Roman" w:cs="Times New Roman"/>
      <w:color w:val="000000" w:themeColor="text1"/>
      <w:lang w:eastAsia="en-GB"/>
    </w:rPr>
  </w:style>
  <w:style w:type="paragraph" w:customStyle="1" w:styleId="Body2">
    <w:name w:val="Body 2"/>
    <w:qFormat/>
    <w:rsid w:val="00017AD9"/>
    <w:pPr>
      <w:ind w:left="1701"/>
      <w:jc w:val="both"/>
    </w:pPr>
    <w:rPr>
      <w:rFonts w:eastAsia="Times New Roman" w:cs="Times New Roman"/>
      <w:color w:val="000000" w:themeColor="text1"/>
      <w:lang w:eastAsia="en-GB"/>
    </w:rPr>
  </w:style>
  <w:style w:type="paragraph" w:customStyle="1" w:styleId="Body3">
    <w:name w:val="Body 3"/>
    <w:qFormat/>
    <w:rsid w:val="00017AD9"/>
    <w:pPr>
      <w:ind w:left="2552"/>
      <w:jc w:val="both"/>
    </w:pPr>
    <w:rPr>
      <w:rFonts w:eastAsia="Times New Roman" w:cs="Times New Roman"/>
      <w:color w:val="000000" w:themeColor="text1"/>
      <w:lang w:eastAsia="en-GB"/>
    </w:rPr>
  </w:style>
  <w:style w:type="paragraph" w:customStyle="1" w:styleId="Body4">
    <w:name w:val="Body 4"/>
    <w:qFormat/>
    <w:rsid w:val="00017AD9"/>
    <w:pPr>
      <w:ind w:left="3402"/>
      <w:jc w:val="both"/>
    </w:pPr>
    <w:rPr>
      <w:rFonts w:eastAsia="Times New Roman" w:cs="Times New Roman"/>
      <w:color w:val="000000" w:themeColor="text1"/>
      <w:lang w:eastAsia="en-GB"/>
    </w:rPr>
  </w:style>
  <w:style w:type="paragraph" w:customStyle="1" w:styleId="Body5">
    <w:name w:val="Body 5"/>
    <w:qFormat/>
    <w:rsid w:val="00017AD9"/>
    <w:pPr>
      <w:ind w:left="4253"/>
      <w:jc w:val="both"/>
    </w:pPr>
    <w:rPr>
      <w:rFonts w:eastAsia="Times New Roman" w:cs="Times New Roman"/>
      <w:color w:val="000000" w:themeColor="text1"/>
      <w:lang w:eastAsia="en-GB"/>
    </w:rPr>
  </w:style>
  <w:style w:type="paragraph" w:customStyle="1" w:styleId="BodyCentred">
    <w:name w:val="Body Centred"/>
    <w:next w:val="Body"/>
    <w:qFormat/>
    <w:rsid w:val="00017AD9"/>
    <w:pPr>
      <w:jc w:val="center"/>
    </w:pPr>
    <w:rPr>
      <w:rFonts w:eastAsia="Times New Roman" w:cs="Times New Roman"/>
      <w:color w:val="000000" w:themeColor="text1"/>
      <w:lang w:eastAsia="en-GB"/>
    </w:rPr>
  </w:style>
  <w:style w:type="paragraph" w:customStyle="1" w:styleId="BodyIndentedList">
    <w:name w:val="Body Indented List"/>
    <w:qFormat/>
    <w:rsid w:val="00223569"/>
    <w:pPr>
      <w:spacing w:after="0"/>
      <w:ind w:left="851"/>
    </w:pPr>
    <w:rPr>
      <w:rFonts w:eastAsia="Times New Roman" w:cs="Times New Roman"/>
      <w:color w:val="000000" w:themeColor="text1"/>
      <w:lang w:eastAsia="en-GB"/>
    </w:rPr>
  </w:style>
  <w:style w:type="paragraph" w:customStyle="1" w:styleId="BodyList">
    <w:name w:val="Body List"/>
    <w:qFormat/>
    <w:rsid w:val="00017AD9"/>
    <w:pPr>
      <w:spacing w:after="0"/>
    </w:pPr>
    <w:rPr>
      <w:rFonts w:eastAsia="Times New Roman" w:cs="Times New Roman"/>
      <w:color w:val="000000" w:themeColor="text1"/>
      <w:lang w:eastAsia="en-GB"/>
    </w:rPr>
  </w:style>
  <w:style w:type="paragraph" w:customStyle="1" w:styleId="BoldHeading">
    <w:name w:val="Bold Heading"/>
    <w:next w:val="Body"/>
    <w:qFormat/>
    <w:rsid w:val="00017AD9"/>
    <w:pPr>
      <w:keepNext/>
      <w:jc w:val="both"/>
    </w:pPr>
    <w:rPr>
      <w:rFonts w:eastAsia="Times New Roman" w:cs="Times New Roman"/>
      <w:b/>
      <w:color w:val="000000" w:themeColor="text1"/>
      <w:lang w:eastAsia="en-GB"/>
    </w:rPr>
  </w:style>
  <w:style w:type="paragraph" w:customStyle="1" w:styleId="Bullet1">
    <w:name w:val="Bullet 1"/>
    <w:uiPriority w:val="1"/>
    <w:rsid w:val="00017AD9"/>
    <w:pPr>
      <w:numPr>
        <w:numId w:val="1"/>
      </w:numPr>
      <w:jc w:val="both"/>
    </w:pPr>
    <w:rPr>
      <w:rFonts w:eastAsia="Times New Roman" w:cs="Times New Roman"/>
      <w:color w:val="000000" w:themeColor="text1"/>
      <w:lang w:eastAsia="en-GB"/>
    </w:rPr>
  </w:style>
  <w:style w:type="paragraph" w:customStyle="1" w:styleId="Bullet2">
    <w:name w:val="Bullet 2"/>
    <w:uiPriority w:val="1"/>
    <w:rsid w:val="00017AD9"/>
    <w:pPr>
      <w:numPr>
        <w:ilvl w:val="1"/>
        <w:numId w:val="1"/>
      </w:numPr>
      <w:jc w:val="both"/>
    </w:pPr>
    <w:rPr>
      <w:rFonts w:eastAsia="Times New Roman" w:cs="Times New Roman"/>
      <w:color w:val="000000" w:themeColor="text1"/>
      <w:lang w:eastAsia="en-GB"/>
    </w:rPr>
  </w:style>
  <w:style w:type="paragraph" w:customStyle="1" w:styleId="Bullet3">
    <w:name w:val="Bullet 3"/>
    <w:uiPriority w:val="1"/>
    <w:rsid w:val="00017AD9"/>
    <w:pPr>
      <w:numPr>
        <w:ilvl w:val="2"/>
        <w:numId w:val="1"/>
      </w:numPr>
      <w:jc w:val="both"/>
    </w:pPr>
    <w:rPr>
      <w:rFonts w:eastAsia="Times New Roman" w:cs="Times New Roman"/>
      <w:color w:val="000000" w:themeColor="text1"/>
      <w:lang w:eastAsia="en-GB"/>
    </w:rPr>
  </w:style>
  <w:style w:type="paragraph" w:customStyle="1" w:styleId="BulletList1">
    <w:name w:val="Bullet List 1"/>
    <w:uiPriority w:val="1"/>
    <w:rsid w:val="00017AD9"/>
    <w:pPr>
      <w:numPr>
        <w:numId w:val="2"/>
      </w:numPr>
      <w:spacing w:after="0"/>
      <w:jc w:val="both"/>
    </w:pPr>
    <w:rPr>
      <w:rFonts w:eastAsia="Times New Roman" w:cs="Times New Roman"/>
      <w:color w:val="000000" w:themeColor="text1"/>
      <w:lang w:eastAsia="en-GB"/>
    </w:rPr>
  </w:style>
  <w:style w:type="paragraph" w:customStyle="1" w:styleId="BulletList2">
    <w:name w:val="Bullet List 2"/>
    <w:uiPriority w:val="1"/>
    <w:rsid w:val="00017AD9"/>
    <w:pPr>
      <w:numPr>
        <w:ilvl w:val="1"/>
        <w:numId w:val="2"/>
      </w:numPr>
      <w:spacing w:after="0"/>
      <w:jc w:val="both"/>
    </w:pPr>
    <w:rPr>
      <w:rFonts w:eastAsia="Times New Roman" w:cs="Times New Roman"/>
      <w:color w:val="000000" w:themeColor="text1"/>
      <w:lang w:eastAsia="en-GB"/>
    </w:rPr>
  </w:style>
  <w:style w:type="paragraph" w:customStyle="1" w:styleId="BulletList3">
    <w:name w:val="Bullet List 3"/>
    <w:uiPriority w:val="1"/>
    <w:rsid w:val="00017AD9"/>
    <w:pPr>
      <w:numPr>
        <w:ilvl w:val="2"/>
        <w:numId w:val="2"/>
      </w:numPr>
      <w:spacing w:after="0"/>
      <w:jc w:val="both"/>
    </w:pPr>
    <w:rPr>
      <w:rFonts w:eastAsia="Times New Roman" w:cs="Times New Roman"/>
      <w:color w:val="000000" w:themeColor="text1"/>
      <w:lang w:eastAsia="en-GB"/>
    </w:rPr>
  </w:style>
  <w:style w:type="paragraph" w:customStyle="1" w:styleId="ContentsHeading">
    <w:name w:val="Contents Heading"/>
    <w:next w:val="Body"/>
    <w:qFormat/>
    <w:rsid w:val="002F4080"/>
    <w:pPr>
      <w:ind w:left="851"/>
    </w:pPr>
    <w:rPr>
      <w:rFonts w:eastAsia="Times New Roman" w:cs="Times New Roman"/>
      <w:b/>
      <w:caps/>
      <w:color w:val="000000" w:themeColor="text1"/>
      <w:lang w:eastAsia="en-GB"/>
    </w:rPr>
  </w:style>
  <w:style w:type="paragraph" w:customStyle="1" w:styleId="Definition">
    <w:name w:val="Definition"/>
    <w:rsid w:val="00E015A3"/>
    <w:pPr>
      <w:numPr>
        <w:numId w:val="3"/>
      </w:numPr>
      <w:jc w:val="both"/>
    </w:pPr>
    <w:rPr>
      <w:rFonts w:eastAsia="Times New Roman" w:cs="Times New Roman"/>
      <w:color w:val="000000" w:themeColor="text1"/>
      <w:lang w:eastAsia="en-GB"/>
    </w:rPr>
  </w:style>
  <w:style w:type="paragraph" w:customStyle="1" w:styleId="Definitiona">
    <w:name w:val="Definition (a)"/>
    <w:uiPriority w:val="1"/>
    <w:rsid w:val="00017AD9"/>
    <w:pPr>
      <w:numPr>
        <w:ilvl w:val="1"/>
        <w:numId w:val="3"/>
      </w:numPr>
      <w:jc w:val="both"/>
    </w:pPr>
    <w:rPr>
      <w:rFonts w:eastAsia="Times New Roman" w:cs="Times New Roman"/>
      <w:color w:val="000000" w:themeColor="text1"/>
      <w:lang w:eastAsia="en-GB"/>
    </w:rPr>
  </w:style>
  <w:style w:type="paragraph" w:customStyle="1" w:styleId="Definitioni">
    <w:name w:val="Definition (i)"/>
    <w:uiPriority w:val="1"/>
    <w:rsid w:val="00017AD9"/>
    <w:pPr>
      <w:numPr>
        <w:ilvl w:val="2"/>
        <w:numId w:val="3"/>
      </w:numPr>
      <w:jc w:val="both"/>
    </w:pPr>
    <w:rPr>
      <w:rFonts w:eastAsia="Times New Roman" w:cs="Times New Roman"/>
      <w:color w:val="000000" w:themeColor="text1"/>
      <w:lang w:eastAsia="en-GB"/>
    </w:rPr>
  </w:style>
  <w:style w:type="character" w:styleId="FollowedHyperlink">
    <w:name w:val="FollowedHyperlink"/>
    <w:basedOn w:val="DefaultParagraphFont"/>
    <w:uiPriority w:val="1"/>
    <w:rsid w:val="00017AD9"/>
    <w:rPr>
      <w:color w:val="800080" w:themeColor="followedHyperlink"/>
      <w:u w:val="single"/>
    </w:rPr>
  </w:style>
  <w:style w:type="paragraph" w:styleId="Footer">
    <w:name w:val="footer"/>
    <w:link w:val="FooterChar"/>
    <w:uiPriority w:val="99"/>
    <w:rsid w:val="00017AD9"/>
    <w:pPr>
      <w:tabs>
        <w:tab w:val="center" w:pos="4678"/>
        <w:tab w:val="right" w:pos="9356"/>
      </w:tabs>
      <w:spacing w:after="0"/>
    </w:pPr>
    <w:rPr>
      <w:rFonts w:eastAsia="Times New Roman" w:cs="Times New Roman"/>
      <w:color w:val="000000" w:themeColor="text1"/>
      <w:sz w:val="16"/>
      <w:lang w:eastAsia="en-GB"/>
    </w:rPr>
  </w:style>
  <w:style w:type="character" w:customStyle="1" w:styleId="FooterChar">
    <w:name w:val="Footer Char"/>
    <w:basedOn w:val="DefaultParagraphFont"/>
    <w:link w:val="Footer"/>
    <w:uiPriority w:val="99"/>
    <w:rsid w:val="00017AD9"/>
    <w:rPr>
      <w:rFonts w:ascii="Arial" w:eastAsia="Times New Roman" w:hAnsi="Arial" w:cs="Times New Roman"/>
      <w:color w:val="000000" w:themeColor="text1"/>
      <w:sz w:val="16"/>
      <w:szCs w:val="20"/>
      <w:lang w:eastAsia="en-GB"/>
    </w:rPr>
  </w:style>
  <w:style w:type="character" w:styleId="FootnoteReference">
    <w:name w:val="footnote reference"/>
    <w:basedOn w:val="DefaultParagraphFont"/>
    <w:uiPriority w:val="1"/>
    <w:rsid w:val="00017AD9"/>
    <w:rPr>
      <w:vertAlign w:val="superscript"/>
    </w:rPr>
  </w:style>
  <w:style w:type="paragraph" w:styleId="FootnoteText">
    <w:name w:val="footnote text"/>
    <w:link w:val="FootnoteTextChar"/>
    <w:uiPriority w:val="1"/>
    <w:rsid w:val="00017AD9"/>
    <w:pPr>
      <w:spacing w:after="0"/>
      <w:jc w:val="both"/>
    </w:pPr>
    <w:rPr>
      <w:rFonts w:eastAsia="Times New Roman" w:cs="Times New Roman"/>
      <w:color w:val="000000" w:themeColor="text1"/>
      <w:sz w:val="18"/>
      <w:lang w:eastAsia="en-GB"/>
    </w:rPr>
  </w:style>
  <w:style w:type="character" w:customStyle="1" w:styleId="FootnoteTextChar">
    <w:name w:val="Footnote Text Char"/>
    <w:basedOn w:val="DefaultParagraphFont"/>
    <w:link w:val="FootnoteText"/>
    <w:uiPriority w:val="1"/>
    <w:rsid w:val="00017AD9"/>
    <w:rPr>
      <w:rFonts w:ascii="Arial" w:eastAsia="Times New Roman" w:hAnsi="Arial" w:cs="Times New Roman"/>
      <w:color w:val="000000" w:themeColor="text1"/>
      <w:sz w:val="18"/>
      <w:szCs w:val="20"/>
      <w:lang w:eastAsia="en-GB"/>
    </w:rPr>
  </w:style>
  <w:style w:type="paragraph" w:styleId="Header">
    <w:name w:val="header"/>
    <w:link w:val="HeaderChar"/>
    <w:uiPriority w:val="1"/>
    <w:rsid w:val="00017AD9"/>
    <w:pPr>
      <w:spacing w:after="0"/>
    </w:pPr>
    <w:rPr>
      <w:rFonts w:eastAsia="Times New Roman" w:cs="Times New Roman"/>
      <w:color w:val="000000" w:themeColor="text1"/>
      <w:lang w:eastAsia="en-GB"/>
    </w:rPr>
  </w:style>
  <w:style w:type="character" w:customStyle="1" w:styleId="HeaderChar">
    <w:name w:val="Header Char"/>
    <w:basedOn w:val="DefaultParagraphFont"/>
    <w:link w:val="Header"/>
    <w:uiPriority w:val="1"/>
    <w:rsid w:val="00017AD9"/>
    <w:rPr>
      <w:rFonts w:ascii="Arial" w:eastAsia="Times New Roman" w:hAnsi="Arial" w:cs="Times New Roman"/>
      <w:color w:val="000000" w:themeColor="text1"/>
      <w:sz w:val="20"/>
      <w:szCs w:val="20"/>
      <w:lang w:eastAsia="en-GB"/>
    </w:rPr>
  </w:style>
  <w:style w:type="character" w:customStyle="1" w:styleId="Heading1Char">
    <w:name w:val="Heading 1 Char"/>
    <w:aliases w:val="Section Heading Char,Paragraph No Char,Oscar Faber 1 Char,h1 Char,A MAJOR/BOLD Char,Schedheading Char,Heading 1(Report Only) Char,h1 chapter heading Char,H1 Char,Attribute Heading 1 Char,Roman 14 B Heading Char,Roman 14 B Heading1 Char"/>
    <w:basedOn w:val="DefaultParagraphFont"/>
    <w:link w:val="Heading1"/>
    <w:uiPriority w:val="1"/>
    <w:rsid w:val="000E0132"/>
    <w:rPr>
      <w:rFonts w:eastAsia="Times New Roman" w:cs="Times New Roman"/>
      <w:b/>
      <w:color w:val="000000" w:themeColor="text1"/>
      <w:lang w:eastAsia="en-GB"/>
    </w:rPr>
  </w:style>
  <w:style w:type="character" w:customStyle="1" w:styleId="Heading2Char">
    <w:name w:val="Heading 2 Char"/>
    <w:aliases w:val="1.2 Heading Char,•H2 Char,H21 Char,•H21 Char,H22 Char,H23 Char,H211 Char,H221 Char,H24 Char,H212 Char,H222 Char,H231 Char,H2111 Char,H2211 Char,h2 Char,(Alt+2) Char,PARA2 Char,h 3 Char,Numbered - 2 Char,Heading Two Char,(1.1 Char,1.2 Char"/>
    <w:basedOn w:val="DefaultParagraphFont"/>
    <w:link w:val="Heading2"/>
    <w:uiPriority w:val="1"/>
    <w:rsid w:val="000E0132"/>
    <w:rPr>
      <w:rFonts w:eastAsia="Times New Roman" w:cs="Times New Roman"/>
      <w:color w:val="000000" w:themeColor="text1"/>
      <w:lang w:eastAsia="en-GB"/>
    </w:rPr>
  </w:style>
  <w:style w:type="character" w:customStyle="1" w:styleId="Heading3Char">
    <w:name w:val="Heading 3 Char"/>
    <w:aliases w:val="MCheading3 Char"/>
    <w:basedOn w:val="DefaultParagraphFont"/>
    <w:link w:val="Heading3"/>
    <w:uiPriority w:val="1"/>
    <w:rsid w:val="000E0132"/>
    <w:rPr>
      <w:rFonts w:eastAsia="Times New Roman" w:cs="Times New Roman"/>
      <w:color w:val="000000" w:themeColor="text1"/>
      <w:lang w:eastAsia="en-GB"/>
    </w:rPr>
  </w:style>
  <w:style w:type="character" w:customStyle="1" w:styleId="Heading4Char">
    <w:name w:val="Heading 4 Char"/>
    <w:aliases w:val="MCheadin4 Char"/>
    <w:basedOn w:val="DefaultParagraphFont"/>
    <w:link w:val="Heading4"/>
    <w:uiPriority w:val="1"/>
    <w:rsid w:val="000E0132"/>
    <w:rPr>
      <w:rFonts w:eastAsia="Times New Roman" w:cs="Times New Roman"/>
      <w:color w:val="000000" w:themeColor="text1"/>
      <w:lang w:eastAsia="en-GB"/>
    </w:rPr>
  </w:style>
  <w:style w:type="character" w:customStyle="1" w:styleId="Heading5Char">
    <w:name w:val="Heading 5 Char"/>
    <w:basedOn w:val="DefaultParagraphFont"/>
    <w:link w:val="Heading5"/>
    <w:uiPriority w:val="1"/>
    <w:rsid w:val="000E0132"/>
    <w:rPr>
      <w:rFonts w:eastAsia="Times New Roman" w:cs="Times New Roman"/>
      <w:color w:val="000000" w:themeColor="text1"/>
      <w:lang w:eastAsia="en-GB"/>
    </w:rPr>
  </w:style>
  <w:style w:type="character" w:customStyle="1" w:styleId="Heading6Char">
    <w:name w:val="Heading 6 Char"/>
    <w:basedOn w:val="DefaultParagraphFont"/>
    <w:link w:val="Heading6"/>
    <w:uiPriority w:val="1"/>
    <w:rsid w:val="000E0132"/>
    <w:rPr>
      <w:rFonts w:eastAsia="Times New Roman" w:cs="Times New Roman"/>
      <w:color w:val="000000" w:themeColor="text1"/>
      <w:lang w:eastAsia="en-GB"/>
    </w:rPr>
  </w:style>
  <w:style w:type="character" w:customStyle="1" w:styleId="Heading7Char">
    <w:name w:val="Heading 7 Char"/>
    <w:basedOn w:val="DefaultParagraphFont"/>
    <w:link w:val="Heading7"/>
    <w:uiPriority w:val="99"/>
    <w:semiHidden/>
    <w:rsid w:val="00017AD9"/>
    <w:rPr>
      <w:rFonts w:ascii="Arial" w:eastAsia="Times New Roman" w:hAnsi="Arial" w:cs="Times New Roman"/>
      <w:color w:val="000000" w:themeColor="text1"/>
      <w:sz w:val="20"/>
      <w:szCs w:val="20"/>
      <w:lang w:eastAsia="en-GB"/>
    </w:rPr>
  </w:style>
  <w:style w:type="character" w:customStyle="1" w:styleId="Heading8Char">
    <w:name w:val="Heading 8 Char"/>
    <w:basedOn w:val="DefaultParagraphFont"/>
    <w:link w:val="Heading8"/>
    <w:uiPriority w:val="99"/>
    <w:semiHidden/>
    <w:rsid w:val="00017AD9"/>
    <w:rPr>
      <w:rFonts w:ascii="Arial" w:eastAsia="Times New Roman" w:hAnsi="Arial" w:cs="Times New Roman"/>
      <w:color w:val="000000" w:themeColor="text1"/>
      <w:sz w:val="20"/>
      <w:szCs w:val="20"/>
      <w:lang w:eastAsia="en-GB"/>
    </w:rPr>
  </w:style>
  <w:style w:type="character" w:customStyle="1" w:styleId="Heading9Char">
    <w:name w:val="Heading 9 Char"/>
    <w:basedOn w:val="DefaultParagraphFont"/>
    <w:link w:val="Heading9"/>
    <w:uiPriority w:val="99"/>
    <w:semiHidden/>
    <w:rsid w:val="00017AD9"/>
    <w:rPr>
      <w:rFonts w:ascii="Arial" w:eastAsia="Times New Roman" w:hAnsi="Arial" w:cs="Times New Roman"/>
      <w:color w:val="000000" w:themeColor="text1"/>
      <w:sz w:val="20"/>
      <w:szCs w:val="20"/>
      <w:lang w:eastAsia="en-GB"/>
    </w:rPr>
  </w:style>
  <w:style w:type="character" w:styleId="Hyperlink">
    <w:name w:val="Hyperlink"/>
    <w:basedOn w:val="DefaultParagraphFont"/>
    <w:uiPriority w:val="99"/>
    <w:rsid w:val="00017AD9"/>
    <w:rPr>
      <w:color w:val="0000FF" w:themeColor="hyperlink"/>
      <w:u w:val="single"/>
    </w:rPr>
  </w:style>
  <w:style w:type="paragraph" w:customStyle="1" w:styleId="Level1">
    <w:name w:val="Level 1"/>
    <w:uiPriority w:val="1"/>
    <w:qFormat/>
    <w:rsid w:val="00017AD9"/>
    <w:pPr>
      <w:numPr>
        <w:ilvl w:val="2"/>
        <w:numId w:val="8"/>
      </w:numPr>
      <w:jc w:val="both"/>
      <w:outlineLvl w:val="2"/>
    </w:pPr>
    <w:rPr>
      <w:rFonts w:eastAsia="Times New Roman" w:cs="Times New Roman"/>
      <w:color w:val="000000" w:themeColor="text1"/>
      <w:lang w:eastAsia="en-GB"/>
    </w:rPr>
  </w:style>
  <w:style w:type="paragraph" w:customStyle="1" w:styleId="Level2">
    <w:name w:val="Level 2"/>
    <w:uiPriority w:val="1"/>
    <w:qFormat/>
    <w:rsid w:val="00017AD9"/>
    <w:pPr>
      <w:numPr>
        <w:ilvl w:val="3"/>
        <w:numId w:val="8"/>
      </w:numPr>
      <w:jc w:val="both"/>
      <w:outlineLvl w:val="3"/>
    </w:pPr>
    <w:rPr>
      <w:rFonts w:eastAsia="Times New Roman" w:cs="Times New Roman"/>
      <w:color w:val="000000" w:themeColor="text1"/>
      <w:lang w:eastAsia="en-GB"/>
    </w:rPr>
  </w:style>
  <w:style w:type="paragraph" w:customStyle="1" w:styleId="Level3">
    <w:name w:val="Level 3"/>
    <w:uiPriority w:val="1"/>
    <w:qFormat/>
    <w:rsid w:val="00017AD9"/>
    <w:pPr>
      <w:numPr>
        <w:ilvl w:val="4"/>
        <w:numId w:val="8"/>
      </w:numPr>
      <w:jc w:val="both"/>
      <w:outlineLvl w:val="4"/>
    </w:pPr>
    <w:rPr>
      <w:rFonts w:eastAsia="Times New Roman" w:cs="Times New Roman"/>
      <w:color w:val="000000" w:themeColor="text1"/>
      <w:lang w:eastAsia="en-GB"/>
    </w:rPr>
  </w:style>
  <w:style w:type="paragraph" w:customStyle="1" w:styleId="Level4">
    <w:name w:val="Level 4"/>
    <w:uiPriority w:val="1"/>
    <w:qFormat/>
    <w:rsid w:val="00017AD9"/>
    <w:pPr>
      <w:numPr>
        <w:ilvl w:val="5"/>
        <w:numId w:val="8"/>
      </w:numPr>
      <w:jc w:val="both"/>
      <w:outlineLvl w:val="5"/>
    </w:pPr>
    <w:rPr>
      <w:rFonts w:eastAsia="Times New Roman" w:cs="Times New Roman"/>
      <w:color w:val="000000" w:themeColor="text1"/>
      <w:lang w:eastAsia="en-GB"/>
    </w:rPr>
  </w:style>
  <w:style w:type="paragraph" w:customStyle="1" w:styleId="Level5">
    <w:name w:val="Level 5"/>
    <w:uiPriority w:val="1"/>
    <w:qFormat/>
    <w:rsid w:val="00017AD9"/>
    <w:pPr>
      <w:numPr>
        <w:ilvl w:val="6"/>
        <w:numId w:val="8"/>
      </w:numPr>
      <w:jc w:val="both"/>
      <w:outlineLvl w:val="6"/>
    </w:pPr>
    <w:rPr>
      <w:rFonts w:eastAsia="Times New Roman" w:cs="Times New Roman"/>
      <w:color w:val="000000" w:themeColor="text1"/>
      <w:lang w:eastAsia="en-GB"/>
    </w:rPr>
  </w:style>
  <w:style w:type="paragraph" w:customStyle="1" w:styleId="Level6">
    <w:name w:val="Level 6"/>
    <w:uiPriority w:val="1"/>
    <w:qFormat/>
    <w:rsid w:val="00017AD9"/>
    <w:pPr>
      <w:numPr>
        <w:ilvl w:val="7"/>
        <w:numId w:val="8"/>
      </w:numPr>
      <w:jc w:val="both"/>
      <w:outlineLvl w:val="7"/>
    </w:pPr>
    <w:rPr>
      <w:rFonts w:eastAsia="Times New Roman" w:cs="Times New Roman"/>
      <w:color w:val="000000" w:themeColor="text1"/>
      <w:lang w:eastAsia="en-GB"/>
    </w:rPr>
  </w:style>
  <w:style w:type="paragraph" w:customStyle="1" w:styleId="MainHeading">
    <w:name w:val="Main Heading"/>
    <w:next w:val="Body"/>
    <w:link w:val="MainHeadingChar"/>
    <w:qFormat/>
    <w:rsid w:val="00DF6087"/>
    <w:pPr>
      <w:keepNext/>
      <w:tabs>
        <w:tab w:val="right" w:pos="9072"/>
      </w:tabs>
      <w:ind w:left="851"/>
    </w:pPr>
    <w:rPr>
      <w:rFonts w:eastAsia="Times New Roman" w:cs="Times New Roman"/>
      <w:caps/>
      <w:color w:val="000000" w:themeColor="text1"/>
      <w:lang w:eastAsia="en-GB"/>
    </w:rPr>
  </w:style>
  <w:style w:type="character" w:styleId="PageNumber">
    <w:name w:val="page number"/>
    <w:basedOn w:val="DefaultParagraphFont"/>
    <w:uiPriority w:val="1"/>
    <w:rsid w:val="00017AD9"/>
    <w:rPr>
      <w:rFonts w:ascii="Arial" w:hAnsi="Arial" w:cs="Times New Roman"/>
      <w:sz w:val="20"/>
    </w:rPr>
  </w:style>
  <w:style w:type="paragraph" w:customStyle="1" w:styleId="PartHeading">
    <w:name w:val="Part Heading"/>
    <w:next w:val="Body"/>
    <w:uiPriority w:val="1"/>
    <w:rsid w:val="00017AD9"/>
    <w:pPr>
      <w:numPr>
        <w:ilvl w:val="1"/>
        <w:numId w:val="8"/>
      </w:numPr>
      <w:jc w:val="center"/>
      <w:outlineLvl w:val="1"/>
    </w:pPr>
    <w:rPr>
      <w:rFonts w:eastAsia="Times New Roman" w:cs="Times New Roman"/>
      <w:b/>
      <w:color w:val="000000" w:themeColor="text1"/>
      <w:lang w:eastAsia="en-GB"/>
    </w:rPr>
  </w:style>
  <w:style w:type="paragraph" w:customStyle="1" w:styleId="PartSubHeading">
    <w:name w:val="Part Sub Heading"/>
    <w:next w:val="Body"/>
    <w:qFormat/>
    <w:rsid w:val="00017AD9"/>
    <w:pPr>
      <w:jc w:val="center"/>
    </w:pPr>
    <w:rPr>
      <w:rFonts w:eastAsia="Times New Roman" w:cs="Times New Roman"/>
      <w:b/>
      <w:color w:val="000000" w:themeColor="text1"/>
      <w:lang w:eastAsia="en-GB"/>
    </w:rPr>
  </w:style>
  <w:style w:type="paragraph" w:customStyle="1" w:styleId="Parties">
    <w:name w:val="Parties"/>
    <w:uiPriority w:val="1"/>
    <w:rsid w:val="00017AD9"/>
    <w:pPr>
      <w:numPr>
        <w:numId w:val="6"/>
      </w:numPr>
      <w:jc w:val="both"/>
    </w:pPr>
    <w:rPr>
      <w:rFonts w:eastAsia="Times New Roman" w:cs="Times New Roman"/>
      <w:color w:val="000000" w:themeColor="text1"/>
      <w:lang w:eastAsia="en-GB"/>
    </w:rPr>
  </w:style>
  <w:style w:type="paragraph" w:customStyle="1" w:styleId="Background">
    <w:name w:val="Background"/>
    <w:uiPriority w:val="1"/>
    <w:rsid w:val="00017AD9"/>
    <w:pPr>
      <w:numPr>
        <w:numId w:val="7"/>
      </w:numPr>
      <w:jc w:val="both"/>
    </w:pPr>
    <w:rPr>
      <w:rFonts w:eastAsia="Times New Roman" w:cs="Times New Roman"/>
      <w:color w:val="000000" w:themeColor="text1"/>
      <w:lang w:eastAsia="en-GB"/>
    </w:rPr>
  </w:style>
  <w:style w:type="paragraph" w:customStyle="1" w:styleId="ScheduleHeading">
    <w:name w:val="Schedule Heading"/>
    <w:next w:val="Body"/>
    <w:uiPriority w:val="1"/>
    <w:rsid w:val="00017AD9"/>
    <w:pPr>
      <w:keepNext/>
      <w:pageBreakBefore/>
      <w:numPr>
        <w:numId w:val="8"/>
      </w:numPr>
      <w:jc w:val="center"/>
      <w:outlineLvl w:val="0"/>
    </w:pPr>
    <w:rPr>
      <w:rFonts w:eastAsia="Times New Roman" w:cs="Times New Roman"/>
      <w:b/>
      <w:color w:val="000000" w:themeColor="text1"/>
      <w:lang w:eastAsia="en-GB"/>
    </w:rPr>
  </w:style>
  <w:style w:type="paragraph" w:customStyle="1" w:styleId="ScheduleSubHeading">
    <w:name w:val="Schedule Sub Heading"/>
    <w:next w:val="Body"/>
    <w:uiPriority w:val="1"/>
    <w:rsid w:val="00DD5A7F"/>
    <w:pPr>
      <w:keepNext/>
      <w:numPr>
        <w:ilvl w:val="1"/>
        <w:numId w:val="10"/>
      </w:numPr>
      <w:jc w:val="center"/>
    </w:pPr>
    <w:rPr>
      <w:rFonts w:eastAsia="Times New Roman" w:cs="Times New Roman"/>
      <w:b/>
      <w:color w:val="000000" w:themeColor="text1"/>
      <w:lang w:eastAsia="en-GB"/>
    </w:rPr>
  </w:style>
  <w:style w:type="paragraph" w:customStyle="1" w:styleId="SubHeading">
    <w:name w:val="Sub Heading"/>
    <w:next w:val="Body1"/>
    <w:qFormat/>
    <w:rsid w:val="00AE7ABC"/>
    <w:pPr>
      <w:keepNext/>
      <w:ind w:left="851"/>
      <w:jc w:val="both"/>
    </w:pPr>
    <w:rPr>
      <w:rFonts w:eastAsia="Times New Roman" w:cs="Times New Roman"/>
      <w:i/>
      <w:color w:val="000000" w:themeColor="text1"/>
      <w:lang w:eastAsia="en-GB"/>
    </w:rPr>
  </w:style>
  <w:style w:type="paragraph" w:styleId="TOC1">
    <w:name w:val="toc 1"/>
    <w:next w:val="Normal"/>
    <w:autoRedefine/>
    <w:uiPriority w:val="39"/>
    <w:qFormat/>
    <w:rsid w:val="004270D9"/>
    <w:pPr>
      <w:tabs>
        <w:tab w:val="left" w:pos="1418"/>
        <w:tab w:val="right" w:leader="dot" w:pos="9061"/>
      </w:tabs>
      <w:spacing w:after="0" w:line="360" w:lineRule="auto"/>
      <w:ind w:left="567" w:hanging="567"/>
    </w:pPr>
    <w:rPr>
      <w:rFonts w:eastAsia="Times New Roman" w:cs="Times New Roman"/>
      <w:b/>
      <w:color w:val="000000" w:themeColor="text1"/>
      <w:lang w:eastAsia="en-GB"/>
    </w:rPr>
  </w:style>
  <w:style w:type="paragraph" w:styleId="TOC2">
    <w:name w:val="toc 2"/>
    <w:next w:val="Normal"/>
    <w:autoRedefine/>
    <w:uiPriority w:val="39"/>
    <w:qFormat/>
    <w:rsid w:val="00830FE1"/>
    <w:pPr>
      <w:spacing w:after="0" w:line="300" w:lineRule="exact"/>
      <w:ind w:left="1418"/>
    </w:pPr>
    <w:rPr>
      <w:rFonts w:eastAsia="Times New Roman" w:cs="Times New Roman"/>
      <w:color w:val="000000" w:themeColor="text1"/>
      <w:lang w:eastAsia="en-GB"/>
    </w:rPr>
  </w:style>
  <w:style w:type="table" w:styleId="TableGrid">
    <w:name w:val="Table Grid"/>
    <w:basedOn w:val="TableNormal"/>
    <w:uiPriority w:val="59"/>
    <w:rsid w:val="00AB705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Heading1">
    <w:name w:val="Level Heading 1"/>
    <w:basedOn w:val="Level1"/>
    <w:next w:val="Body1"/>
    <w:uiPriority w:val="1"/>
    <w:qFormat/>
    <w:rsid w:val="00E0408F"/>
    <w:pPr>
      <w:keepNext/>
    </w:pPr>
    <w:rPr>
      <w:b/>
    </w:rPr>
  </w:style>
  <w:style w:type="paragraph" w:customStyle="1" w:styleId="AnnexureSubHeading">
    <w:name w:val="Annexure Sub Heading"/>
    <w:next w:val="Body"/>
    <w:uiPriority w:val="1"/>
    <w:rsid w:val="00C66EE9"/>
    <w:pPr>
      <w:numPr>
        <w:ilvl w:val="1"/>
        <w:numId w:val="11"/>
      </w:numPr>
      <w:jc w:val="center"/>
    </w:pPr>
    <w:rPr>
      <w:rFonts w:eastAsia="Times New Roman" w:cs="Times New Roman"/>
      <w:b/>
      <w:color w:val="000000" w:themeColor="text1"/>
      <w:lang w:eastAsia="en-GB"/>
    </w:rPr>
  </w:style>
  <w:style w:type="paragraph" w:customStyle="1" w:styleId="Annexure">
    <w:name w:val="Annexure"/>
    <w:next w:val="Body"/>
    <w:uiPriority w:val="1"/>
    <w:rsid w:val="00DD5A7F"/>
    <w:pPr>
      <w:pageBreakBefore/>
      <w:numPr>
        <w:numId w:val="9"/>
      </w:numPr>
      <w:jc w:val="center"/>
    </w:pPr>
    <w:rPr>
      <w:rFonts w:eastAsia="Times New Roman" w:cs="Times New Roman"/>
      <w:b/>
      <w:color w:val="000000" w:themeColor="text1"/>
      <w:lang w:eastAsia="en-GB"/>
    </w:rPr>
  </w:style>
  <w:style w:type="paragraph" w:customStyle="1" w:styleId="Bullet4">
    <w:name w:val="Bullet 4"/>
    <w:uiPriority w:val="1"/>
    <w:rsid w:val="00C66EE9"/>
    <w:pPr>
      <w:numPr>
        <w:ilvl w:val="3"/>
        <w:numId w:val="1"/>
      </w:numPr>
    </w:pPr>
  </w:style>
  <w:style w:type="paragraph" w:customStyle="1" w:styleId="Bullet5">
    <w:name w:val="Bullet 5"/>
    <w:uiPriority w:val="1"/>
    <w:rsid w:val="00C66EE9"/>
    <w:pPr>
      <w:numPr>
        <w:ilvl w:val="4"/>
        <w:numId w:val="1"/>
      </w:numPr>
    </w:pPr>
  </w:style>
  <w:style w:type="paragraph" w:customStyle="1" w:styleId="Bullet6">
    <w:name w:val="Bullet 6"/>
    <w:uiPriority w:val="1"/>
    <w:rsid w:val="00C66EE9"/>
    <w:pPr>
      <w:numPr>
        <w:ilvl w:val="5"/>
        <w:numId w:val="1"/>
      </w:numPr>
    </w:pPr>
  </w:style>
  <w:style w:type="paragraph" w:customStyle="1" w:styleId="BulletList4">
    <w:name w:val="Bullet List 4"/>
    <w:uiPriority w:val="1"/>
    <w:rsid w:val="00257EF9"/>
    <w:pPr>
      <w:numPr>
        <w:ilvl w:val="3"/>
        <w:numId w:val="2"/>
      </w:numPr>
      <w:spacing w:after="0"/>
    </w:pPr>
  </w:style>
  <w:style w:type="paragraph" w:customStyle="1" w:styleId="BulletList5">
    <w:name w:val="Bullet List 5"/>
    <w:uiPriority w:val="1"/>
    <w:rsid w:val="00257EF9"/>
    <w:pPr>
      <w:numPr>
        <w:ilvl w:val="4"/>
        <w:numId w:val="2"/>
      </w:numPr>
      <w:spacing w:after="0"/>
    </w:pPr>
  </w:style>
  <w:style w:type="paragraph" w:customStyle="1" w:styleId="BulletList6">
    <w:name w:val="Bullet List 6"/>
    <w:uiPriority w:val="1"/>
    <w:rsid w:val="00257EF9"/>
    <w:pPr>
      <w:numPr>
        <w:ilvl w:val="5"/>
        <w:numId w:val="2"/>
      </w:numPr>
      <w:spacing w:after="0"/>
    </w:pPr>
  </w:style>
  <w:style w:type="character" w:customStyle="1" w:styleId="MainHeadingChar">
    <w:name w:val="Main Heading Char"/>
    <w:basedOn w:val="DefaultParagraphFont"/>
    <w:link w:val="MainHeading"/>
    <w:rsid w:val="00DF6087"/>
    <w:rPr>
      <w:rFonts w:eastAsia="Times New Roman" w:cs="Times New Roman"/>
      <w:caps/>
      <w:color w:val="000000" w:themeColor="text1"/>
      <w:lang w:eastAsia="en-GB"/>
    </w:rPr>
  </w:style>
  <w:style w:type="paragraph" w:customStyle="1" w:styleId="ScheduleHeadingSingle">
    <w:name w:val="Schedule Heading Single"/>
    <w:next w:val="Body"/>
    <w:uiPriority w:val="1"/>
    <w:rsid w:val="00DD5A7F"/>
    <w:pPr>
      <w:keepNext/>
      <w:pageBreakBefore/>
      <w:numPr>
        <w:numId w:val="10"/>
      </w:numPr>
      <w:jc w:val="center"/>
    </w:pPr>
    <w:rPr>
      <w:b/>
    </w:rPr>
  </w:style>
  <w:style w:type="paragraph" w:customStyle="1" w:styleId="AnnexureHeadingSingle">
    <w:name w:val="Annexure Heading Single"/>
    <w:next w:val="Body"/>
    <w:qFormat/>
    <w:rsid w:val="00BD09FF"/>
    <w:pPr>
      <w:pageBreakBefore/>
      <w:numPr>
        <w:numId w:val="11"/>
      </w:numPr>
      <w:jc w:val="center"/>
    </w:pPr>
    <w:rPr>
      <w:b/>
      <w:color w:val="000000" w:themeColor="text1"/>
    </w:rPr>
  </w:style>
  <w:style w:type="paragraph" w:styleId="TOC3">
    <w:name w:val="toc 3"/>
    <w:basedOn w:val="Normal"/>
    <w:next w:val="Normal"/>
    <w:autoRedefine/>
    <w:uiPriority w:val="39"/>
    <w:unhideWhenUsed/>
    <w:qFormat/>
    <w:rsid w:val="007B2282"/>
    <w:pPr>
      <w:spacing w:after="100"/>
      <w:ind w:left="400"/>
      <w:jc w:val="left"/>
    </w:pPr>
  </w:style>
  <w:style w:type="paragraph" w:styleId="TOC4">
    <w:name w:val="toc 4"/>
    <w:basedOn w:val="Normal"/>
    <w:next w:val="Normal"/>
    <w:autoRedefine/>
    <w:uiPriority w:val="39"/>
    <w:unhideWhenUsed/>
    <w:rsid w:val="007B2282"/>
    <w:pPr>
      <w:spacing w:after="100"/>
      <w:ind w:left="600"/>
      <w:jc w:val="left"/>
    </w:pPr>
  </w:style>
  <w:style w:type="paragraph" w:styleId="TOC5">
    <w:name w:val="toc 5"/>
    <w:basedOn w:val="Normal"/>
    <w:next w:val="Normal"/>
    <w:autoRedefine/>
    <w:uiPriority w:val="39"/>
    <w:unhideWhenUsed/>
    <w:rsid w:val="007B2282"/>
    <w:pPr>
      <w:spacing w:after="100"/>
      <w:ind w:left="800"/>
      <w:jc w:val="left"/>
    </w:pPr>
  </w:style>
  <w:style w:type="paragraph" w:styleId="TOC6">
    <w:name w:val="toc 6"/>
    <w:basedOn w:val="Normal"/>
    <w:next w:val="Normal"/>
    <w:autoRedefine/>
    <w:uiPriority w:val="39"/>
    <w:unhideWhenUsed/>
    <w:rsid w:val="007B2282"/>
    <w:pPr>
      <w:spacing w:after="100"/>
      <w:ind w:left="1000"/>
      <w:jc w:val="left"/>
    </w:pPr>
  </w:style>
  <w:style w:type="paragraph" w:styleId="TOC7">
    <w:name w:val="toc 7"/>
    <w:basedOn w:val="Normal"/>
    <w:next w:val="Normal"/>
    <w:autoRedefine/>
    <w:uiPriority w:val="39"/>
    <w:unhideWhenUsed/>
    <w:rsid w:val="007B2282"/>
    <w:pPr>
      <w:spacing w:after="100"/>
      <w:ind w:left="1200"/>
      <w:jc w:val="left"/>
    </w:pPr>
  </w:style>
  <w:style w:type="paragraph" w:styleId="TOC8">
    <w:name w:val="toc 8"/>
    <w:basedOn w:val="Normal"/>
    <w:next w:val="Normal"/>
    <w:autoRedefine/>
    <w:uiPriority w:val="39"/>
    <w:unhideWhenUsed/>
    <w:rsid w:val="007B2282"/>
    <w:pPr>
      <w:spacing w:after="100"/>
      <w:ind w:left="1400"/>
      <w:jc w:val="left"/>
    </w:pPr>
  </w:style>
  <w:style w:type="paragraph" w:styleId="TOC9">
    <w:name w:val="toc 9"/>
    <w:basedOn w:val="Normal"/>
    <w:next w:val="Normal"/>
    <w:autoRedefine/>
    <w:uiPriority w:val="39"/>
    <w:unhideWhenUsed/>
    <w:rsid w:val="007B2282"/>
    <w:pPr>
      <w:spacing w:after="100"/>
      <w:ind w:left="1600"/>
      <w:jc w:val="left"/>
    </w:pPr>
  </w:style>
  <w:style w:type="paragraph" w:styleId="TOCHeading">
    <w:name w:val="TOC Heading"/>
    <w:basedOn w:val="Heading1"/>
    <w:next w:val="Normal"/>
    <w:uiPriority w:val="39"/>
    <w:semiHidden/>
    <w:unhideWhenUsed/>
    <w:qFormat/>
    <w:rsid w:val="00557DBA"/>
    <w:pPr>
      <w:keepLines/>
      <w:spacing w:before="480" w:after="0" w:line="276" w:lineRule="auto"/>
      <w:jc w:val="left"/>
      <w:outlineLvl w:val="9"/>
    </w:pPr>
    <w:rPr>
      <w:rFonts w:asciiTheme="majorHAnsi" w:eastAsiaTheme="majorEastAsia" w:hAnsiTheme="majorHAnsi" w:cstheme="majorBidi"/>
      <w:bCs/>
      <w:color w:val="365F91" w:themeColor="accent1" w:themeShade="BF"/>
      <w:sz w:val="28"/>
      <w:szCs w:val="28"/>
      <w:lang w:val="en-US" w:eastAsia="ja-JP"/>
    </w:rPr>
  </w:style>
  <w:style w:type="paragraph" w:styleId="BalloonText">
    <w:name w:val="Balloon Text"/>
    <w:basedOn w:val="Normal"/>
    <w:link w:val="BalloonTextChar"/>
    <w:uiPriority w:val="99"/>
    <w:semiHidden/>
    <w:unhideWhenUsed/>
    <w:rsid w:val="00557DBA"/>
    <w:rPr>
      <w:rFonts w:ascii="Tahoma" w:hAnsi="Tahoma" w:cs="Tahoma"/>
      <w:sz w:val="16"/>
      <w:szCs w:val="16"/>
    </w:rPr>
  </w:style>
  <w:style w:type="character" w:customStyle="1" w:styleId="BalloonTextChar">
    <w:name w:val="Balloon Text Char"/>
    <w:basedOn w:val="DefaultParagraphFont"/>
    <w:link w:val="BalloonText"/>
    <w:uiPriority w:val="99"/>
    <w:semiHidden/>
    <w:rsid w:val="00557DBA"/>
    <w:rPr>
      <w:rFonts w:ascii="Tahoma" w:hAnsi="Tahoma" w:cs="Tahoma"/>
      <w:sz w:val="16"/>
      <w:szCs w:val="16"/>
    </w:rPr>
  </w:style>
  <w:style w:type="paragraph" w:customStyle="1" w:styleId="LeftSide">
    <w:name w:val="LeftSide"/>
    <w:basedOn w:val="Normal"/>
    <w:link w:val="LeftSideChar"/>
    <w:rsid w:val="00184371"/>
    <w:pPr>
      <w:spacing w:before="60" w:after="60"/>
    </w:pPr>
    <w:rPr>
      <w:rFonts w:eastAsia="Times New Roman" w:cs="Arial"/>
      <w:sz w:val="22"/>
    </w:rPr>
  </w:style>
  <w:style w:type="character" w:customStyle="1" w:styleId="LeftSideChar">
    <w:name w:val="LeftSide Char"/>
    <w:link w:val="LeftSide"/>
    <w:rsid w:val="00184371"/>
    <w:rPr>
      <w:rFonts w:eastAsia="Times New Roman" w:cs="Arial"/>
      <w:sz w:val="22"/>
    </w:rPr>
  </w:style>
  <w:style w:type="paragraph" w:styleId="NormalWeb">
    <w:name w:val="Normal (Web)"/>
    <w:basedOn w:val="Normal"/>
    <w:uiPriority w:val="99"/>
    <w:unhideWhenUsed/>
    <w:rsid w:val="00951656"/>
    <w:pPr>
      <w:spacing w:before="100" w:beforeAutospacing="1" w:after="100" w:afterAutospacing="1"/>
      <w:jc w:val="left"/>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E37725"/>
    <w:rPr>
      <w:i/>
      <w:iCs/>
    </w:rPr>
  </w:style>
  <w:style w:type="character" w:styleId="Strong">
    <w:name w:val="Strong"/>
    <w:basedOn w:val="DefaultParagraphFont"/>
    <w:uiPriority w:val="22"/>
    <w:qFormat/>
    <w:rsid w:val="009852C1"/>
    <w:rPr>
      <w:b/>
      <w:bCs/>
    </w:rPr>
  </w:style>
  <w:style w:type="paragraph" w:customStyle="1" w:styleId="ONEH1">
    <w:name w:val="ONE_H1"/>
    <w:basedOn w:val="Normal"/>
    <w:next w:val="Normal"/>
    <w:autoRedefine/>
    <w:rsid w:val="003E3EE7"/>
    <w:pPr>
      <w:keepNext/>
      <w:numPr>
        <w:numId w:val="12"/>
      </w:numPr>
      <w:tabs>
        <w:tab w:val="clear" w:pos="360"/>
        <w:tab w:val="num" w:pos="709"/>
      </w:tabs>
      <w:spacing w:before="120" w:after="120"/>
      <w:ind w:left="709" w:hanging="709"/>
      <w:jc w:val="left"/>
    </w:pPr>
    <w:rPr>
      <w:rFonts w:ascii="Arial Bold" w:eastAsia="Times New Roman" w:hAnsi="Arial Bold" w:cs="Arial"/>
      <w:b/>
      <w:smallCaps/>
      <w:sz w:val="28"/>
      <w:szCs w:val="28"/>
    </w:rPr>
  </w:style>
  <w:style w:type="paragraph" w:customStyle="1" w:styleId="ONEH2">
    <w:name w:val="ONE_H2"/>
    <w:basedOn w:val="Normal"/>
    <w:autoRedefine/>
    <w:rsid w:val="00CC6A3C"/>
    <w:pPr>
      <w:spacing w:before="60" w:after="60"/>
      <w:ind w:left="851" w:hanging="1"/>
    </w:pPr>
    <w:rPr>
      <w:rFonts w:eastAsia="Times New Roman" w:cs="Arial"/>
    </w:rPr>
  </w:style>
  <w:style w:type="paragraph" w:customStyle="1" w:styleId="ONEH3">
    <w:name w:val="ONE_H3"/>
    <w:basedOn w:val="Normal"/>
    <w:autoRedefine/>
    <w:rsid w:val="001039C4"/>
    <w:pPr>
      <w:spacing w:before="60" w:after="60"/>
      <w:jc w:val="left"/>
    </w:pPr>
    <w:rPr>
      <w:rFonts w:eastAsia="Times New Roman" w:cs="Arial"/>
      <w:i/>
      <w:color w:val="808080" w:themeColor="background1" w:themeShade="80"/>
    </w:rPr>
  </w:style>
  <w:style w:type="character" w:customStyle="1" w:styleId="printlink1">
    <w:name w:val="printlink1"/>
    <w:basedOn w:val="DefaultParagraphFont"/>
    <w:rsid w:val="00504FA1"/>
    <w:rPr>
      <w:vanish/>
      <w:webHidden w:val="0"/>
      <w:specVanish w:val="0"/>
    </w:rPr>
  </w:style>
  <w:style w:type="paragraph" w:customStyle="1" w:styleId="StyleSectionXBottomSinglesolidlineAuto05ptLinewi1">
    <w:name w:val="Style Section X + Bottom: (Single solid line Auto  0.5 pt Line wi...1"/>
    <w:basedOn w:val="Normal"/>
    <w:autoRedefine/>
    <w:rsid w:val="001664D9"/>
    <w:pPr>
      <w:pageBreakBefore/>
      <w:numPr>
        <w:numId w:val="13"/>
      </w:numPr>
      <w:pBdr>
        <w:bottom w:val="single" w:sz="4" w:space="0" w:color="auto"/>
      </w:pBdr>
      <w:tabs>
        <w:tab w:val="left" w:pos="2552"/>
      </w:tabs>
      <w:jc w:val="left"/>
    </w:pPr>
    <w:rPr>
      <w:rFonts w:eastAsia="Times New Roman" w:cs="Arial"/>
      <w:b/>
      <w:color w:val="009966"/>
      <w:sz w:val="32"/>
      <w:szCs w:val="32"/>
    </w:rPr>
  </w:style>
  <w:style w:type="paragraph" w:customStyle="1" w:styleId="10">
    <w:name w:val="10"/>
    <w:basedOn w:val="Normal"/>
    <w:rsid w:val="00491808"/>
    <w:pPr>
      <w:numPr>
        <w:ilvl w:val="6"/>
        <w:numId w:val="14"/>
      </w:numPr>
      <w:tabs>
        <w:tab w:val="clear" w:pos="4252"/>
        <w:tab w:val="num" w:pos="0"/>
      </w:tabs>
      <w:spacing w:after="240"/>
      <w:ind w:left="0" w:firstLine="0"/>
    </w:pPr>
    <w:rPr>
      <w:rFonts w:eastAsia="Times New Roman" w:cs="Arial"/>
      <w:i/>
      <w:sz w:val="22"/>
      <w:szCs w:val="22"/>
    </w:rPr>
  </w:style>
  <w:style w:type="paragraph" w:customStyle="1" w:styleId="Indented">
    <w:name w:val="Indented"/>
    <w:basedOn w:val="Normal"/>
    <w:rsid w:val="00491808"/>
    <w:pPr>
      <w:ind w:left="851"/>
      <w:jc w:val="left"/>
    </w:pPr>
    <w:rPr>
      <w:rFonts w:eastAsia="Times New Roman" w:cs="Arial"/>
      <w:sz w:val="22"/>
    </w:rPr>
  </w:style>
  <w:style w:type="paragraph" w:customStyle="1" w:styleId="SIXH1">
    <w:name w:val="SIX_H1"/>
    <w:basedOn w:val="Normal"/>
    <w:next w:val="Normal"/>
    <w:autoRedefine/>
    <w:rsid w:val="00BF48A1"/>
    <w:pPr>
      <w:keepNext/>
      <w:numPr>
        <w:numId w:val="15"/>
      </w:numPr>
      <w:spacing w:before="120" w:after="120"/>
    </w:pPr>
    <w:rPr>
      <w:rFonts w:ascii="Arial Bold" w:eastAsia="Times New Roman" w:hAnsi="Arial Bold" w:cs="Arial"/>
      <w:b/>
      <w:bCs/>
      <w:smallCaps/>
      <w:sz w:val="28"/>
      <w:szCs w:val="28"/>
    </w:rPr>
  </w:style>
  <w:style w:type="paragraph" w:customStyle="1" w:styleId="SIXH2">
    <w:name w:val="SIX_H2"/>
    <w:basedOn w:val="Normal"/>
    <w:rsid w:val="00BF48A1"/>
    <w:pPr>
      <w:numPr>
        <w:ilvl w:val="1"/>
        <w:numId w:val="15"/>
      </w:numPr>
      <w:tabs>
        <w:tab w:val="clear" w:pos="1440"/>
        <w:tab w:val="num" w:pos="851"/>
      </w:tabs>
      <w:spacing w:before="60" w:after="60"/>
      <w:ind w:left="851" w:hanging="709"/>
    </w:pPr>
    <w:rPr>
      <w:rFonts w:eastAsia="Times New Roman" w:cs="Arial"/>
      <w:sz w:val="22"/>
    </w:rPr>
  </w:style>
  <w:style w:type="paragraph" w:customStyle="1" w:styleId="TableHead">
    <w:name w:val="Table Head"/>
    <w:basedOn w:val="Normal"/>
    <w:rsid w:val="006A7F8F"/>
    <w:pPr>
      <w:spacing w:before="120" w:after="120"/>
      <w:ind w:left="74"/>
      <w:jc w:val="left"/>
    </w:pPr>
    <w:rPr>
      <w:rFonts w:eastAsia="Times New Roman" w:cs="Arial"/>
      <w:b/>
      <w:iCs/>
      <w:smallCaps/>
      <w:sz w:val="22"/>
      <w:szCs w:val="22"/>
    </w:rPr>
  </w:style>
  <w:style w:type="paragraph" w:customStyle="1" w:styleId="Table">
    <w:name w:val="Table"/>
    <w:basedOn w:val="Normal"/>
    <w:link w:val="TableChar"/>
    <w:rsid w:val="006A7F8F"/>
    <w:pPr>
      <w:overflowPunct w:val="0"/>
      <w:autoSpaceDE w:val="0"/>
      <w:autoSpaceDN w:val="0"/>
      <w:adjustRightInd w:val="0"/>
      <w:spacing w:before="40" w:after="40"/>
      <w:ind w:right="130"/>
      <w:jc w:val="left"/>
      <w:textAlignment w:val="baseline"/>
    </w:pPr>
    <w:rPr>
      <w:rFonts w:eastAsia="Times New Roman" w:cs="Times New Roman"/>
      <w:bCs/>
    </w:rPr>
  </w:style>
  <w:style w:type="paragraph" w:customStyle="1" w:styleId="Style1">
    <w:name w:val="Style1"/>
    <w:basedOn w:val="Normal"/>
    <w:rsid w:val="006A7F8F"/>
    <w:pPr>
      <w:numPr>
        <w:numId w:val="16"/>
      </w:numPr>
      <w:jc w:val="left"/>
    </w:pPr>
    <w:rPr>
      <w:rFonts w:eastAsia="Times New Roman" w:cs="Arial"/>
      <w:color w:val="009966"/>
      <w:sz w:val="28"/>
    </w:rPr>
  </w:style>
  <w:style w:type="character" w:customStyle="1" w:styleId="TableChar">
    <w:name w:val="Table Char"/>
    <w:link w:val="Table"/>
    <w:rsid w:val="006A7F8F"/>
    <w:rPr>
      <w:rFonts w:eastAsia="Times New Roman" w:cs="Times New Roman"/>
      <w:bCs/>
    </w:rPr>
  </w:style>
  <w:style w:type="paragraph" w:customStyle="1" w:styleId="Section">
    <w:name w:val="Section"/>
    <w:basedOn w:val="Normal"/>
    <w:next w:val="Normal"/>
    <w:rsid w:val="006A7F8F"/>
    <w:pPr>
      <w:numPr>
        <w:numId w:val="17"/>
      </w:numPr>
      <w:spacing w:before="120" w:after="120"/>
      <w:jc w:val="left"/>
    </w:pPr>
    <w:rPr>
      <w:rFonts w:eastAsia="Times New Roman" w:cs="Times New Roman"/>
      <w:sz w:val="28"/>
      <w:szCs w:val="24"/>
      <w:lang w:eastAsia="en-GB"/>
    </w:rPr>
  </w:style>
  <w:style w:type="numbering" w:customStyle="1" w:styleId="Style2">
    <w:name w:val="Style2"/>
    <w:basedOn w:val="NoList"/>
    <w:rsid w:val="00CC2B5A"/>
    <w:pPr>
      <w:numPr>
        <w:numId w:val="18"/>
      </w:numPr>
    </w:pPr>
  </w:style>
  <w:style w:type="character" w:customStyle="1" w:styleId="st1">
    <w:name w:val="st1"/>
    <w:basedOn w:val="DefaultParagraphFont"/>
    <w:rsid w:val="00F73857"/>
  </w:style>
  <w:style w:type="character" w:customStyle="1" w:styleId="searchword1">
    <w:name w:val="searchword1"/>
    <w:basedOn w:val="DefaultParagraphFont"/>
    <w:rsid w:val="00B00C70"/>
    <w:rPr>
      <w:shd w:val="clear" w:color="auto" w:fill="FFFF00"/>
    </w:rPr>
  </w:style>
  <w:style w:type="character" w:styleId="CommentReference">
    <w:name w:val="annotation reference"/>
    <w:basedOn w:val="DefaultParagraphFont"/>
    <w:uiPriority w:val="99"/>
    <w:semiHidden/>
    <w:unhideWhenUsed/>
    <w:rsid w:val="00982C42"/>
    <w:rPr>
      <w:sz w:val="16"/>
      <w:szCs w:val="16"/>
    </w:rPr>
  </w:style>
  <w:style w:type="paragraph" w:styleId="CommentText">
    <w:name w:val="annotation text"/>
    <w:basedOn w:val="Normal"/>
    <w:link w:val="CommentTextChar"/>
    <w:uiPriority w:val="99"/>
    <w:semiHidden/>
    <w:unhideWhenUsed/>
    <w:rsid w:val="00982C42"/>
  </w:style>
  <w:style w:type="character" w:customStyle="1" w:styleId="CommentTextChar">
    <w:name w:val="Comment Text Char"/>
    <w:basedOn w:val="DefaultParagraphFont"/>
    <w:link w:val="CommentText"/>
    <w:uiPriority w:val="99"/>
    <w:semiHidden/>
    <w:rsid w:val="00982C42"/>
  </w:style>
  <w:style w:type="paragraph" w:styleId="CommentSubject">
    <w:name w:val="annotation subject"/>
    <w:basedOn w:val="CommentText"/>
    <w:next w:val="CommentText"/>
    <w:link w:val="CommentSubjectChar"/>
    <w:uiPriority w:val="99"/>
    <w:semiHidden/>
    <w:unhideWhenUsed/>
    <w:rsid w:val="00982C42"/>
    <w:rPr>
      <w:b/>
      <w:bCs/>
    </w:rPr>
  </w:style>
  <w:style w:type="character" w:customStyle="1" w:styleId="CommentSubjectChar">
    <w:name w:val="Comment Subject Char"/>
    <w:basedOn w:val="CommentTextChar"/>
    <w:link w:val="CommentSubject"/>
    <w:uiPriority w:val="99"/>
    <w:semiHidden/>
    <w:rsid w:val="00982C42"/>
    <w:rPr>
      <w:b/>
      <w:bCs/>
    </w:rPr>
  </w:style>
  <w:style w:type="paragraph" w:styleId="Revision">
    <w:name w:val="Revision"/>
    <w:hidden/>
    <w:uiPriority w:val="99"/>
    <w:semiHidden/>
    <w:rsid w:val="00982C42"/>
    <w:pPr>
      <w:spacing w:after="0"/>
    </w:pPr>
  </w:style>
  <w:style w:type="paragraph" w:customStyle="1" w:styleId="MRNumberedHeading2">
    <w:name w:val="M&amp;R Numbered Heading 2"/>
    <w:basedOn w:val="Normal"/>
    <w:rsid w:val="006B54D6"/>
    <w:pPr>
      <w:numPr>
        <w:ilvl w:val="1"/>
        <w:numId w:val="23"/>
      </w:numPr>
      <w:spacing w:before="240"/>
      <w:outlineLvl w:val="1"/>
    </w:pPr>
    <w:rPr>
      <w:rFonts w:eastAsia="Times New Roman" w:cs="Times New Roman"/>
      <w:szCs w:val="24"/>
      <w:lang w:eastAsia="en-GB"/>
    </w:rPr>
  </w:style>
  <w:style w:type="paragraph" w:customStyle="1" w:styleId="MRNumberedHeading1">
    <w:name w:val="M&amp;R Numbered Heading 1"/>
    <w:basedOn w:val="Normal"/>
    <w:rsid w:val="00E56C05"/>
    <w:pPr>
      <w:keepNext/>
      <w:keepLines/>
      <w:numPr>
        <w:numId w:val="23"/>
      </w:numPr>
      <w:spacing w:before="240" w:line="288" w:lineRule="auto"/>
      <w:jc w:val="left"/>
    </w:pPr>
    <w:rPr>
      <w:rFonts w:eastAsia="Calibri" w:cs="Arial"/>
      <w:b/>
      <w:sz w:val="22"/>
      <w:szCs w:val="22"/>
      <w:lang w:eastAsia="en-GB"/>
    </w:rPr>
  </w:style>
  <w:style w:type="paragraph" w:customStyle="1" w:styleId="MRNumberedHeading3">
    <w:name w:val="M&amp;R Numbered Heading 3"/>
    <w:basedOn w:val="Normal"/>
    <w:rsid w:val="00343763"/>
    <w:pPr>
      <w:numPr>
        <w:numId w:val="25"/>
      </w:numPr>
      <w:spacing w:before="240" w:line="288" w:lineRule="auto"/>
      <w:jc w:val="left"/>
      <w:outlineLvl w:val="2"/>
    </w:pPr>
    <w:rPr>
      <w:rFonts w:eastAsia="Times New Roman" w:cs="Times New Roman"/>
      <w:szCs w:val="24"/>
      <w:lang w:eastAsia="en-GB"/>
    </w:rPr>
  </w:style>
  <w:style w:type="paragraph" w:customStyle="1" w:styleId="MRNumberedHeading4">
    <w:name w:val="M&amp;R Numbered Heading 4"/>
    <w:basedOn w:val="Normal"/>
    <w:rsid w:val="003E3276"/>
    <w:pPr>
      <w:tabs>
        <w:tab w:val="num" w:pos="2520"/>
      </w:tabs>
      <w:spacing w:before="240" w:line="288" w:lineRule="auto"/>
      <w:ind w:left="2520" w:hanging="720"/>
      <w:jc w:val="left"/>
      <w:outlineLvl w:val="3"/>
    </w:pPr>
    <w:rPr>
      <w:rFonts w:eastAsia="Times New Roman" w:cs="Times New Roman"/>
      <w:szCs w:val="22"/>
      <w:lang w:eastAsia="en-GB"/>
    </w:rPr>
  </w:style>
  <w:style w:type="paragraph" w:customStyle="1" w:styleId="MRNumberedHeading5">
    <w:name w:val="M&amp;R Numbered Heading 5"/>
    <w:basedOn w:val="Normal"/>
    <w:rsid w:val="003E3276"/>
    <w:pPr>
      <w:tabs>
        <w:tab w:val="num" w:pos="3240"/>
      </w:tabs>
      <w:spacing w:before="240" w:line="288" w:lineRule="auto"/>
      <w:ind w:left="3240" w:hanging="720"/>
      <w:jc w:val="left"/>
      <w:outlineLvl w:val="4"/>
    </w:pPr>
    <w:rPr>
      <w:rFonts w:eastAsia="Times New Roman" w:cs="Times New Roman"/>
      <w:szCs w:val="22"/>
      <w:lang w:eastAsia="en-GB"/>
    </w:rPr>
  </w:style>
  <w:style w:type="paragraph" w:customStyle="1" w:styleId="MRNumberedHeading6">
    <w:name w:val="M&amp;R Numbered Heading 6"/>
    <w:basedOn w:val="Normal"/>
    <w:rsid w:val="003E3276"/>
    <w:pPr>
      <w:tabs>
        <w:tab w:val="num" w:pos="3960"/>
      </w:tabs>
      <w:spacing w:before="240" w:line="288" w:lineRule="auto"/>
      <w:ind w:left="3960" w:hanging="720"/>
      <w:jc w:val="left"/>
      <w:outlineLvl w:val="5"/>
    </w:pPr>
    <w:rPr>
      <w:rFonts w:eastAsia="Times New Roman" w:cs="Times New Roman"/>
      <w:szCs w:val="24"/>
      <w:lang w:eastAsia="en-GB"/>
    </w:rPr>
  </w:style>
  <w:style w:type="paragraph" w:customStyle="1" w:styleId="MRNumberedHeading7">
    <w:name w:val="M&amp;R Numbered Heading 7"/>
    <w:basedOn w:val="Normal"/>
    <w:rsid w:val="003E3276"/>
    <w:pPr>
      <w:tabs>
        <w:tab w:val="num" w:pos="4680"/>
      </w:tabs>
      <w:spacing w:before="240" w:line="288" w:lineRule="auto"/>
      <w:ind w:left="4680" w:hanging="720"/>
      <w:jc w:val="left"/>
      <w:outlineLvl w:val="6"/>
    </w:pPr>
    <w:rPr>
      <w:rFonts w:eastAsia="Times New Roman" w:cs="Times New Roman"/>
      <w:szCs w:val="24"/>
      <w:lang w:eastAsia="en-GB"/>
    </w:rPr>
  </w:style>
  <w:style w:type="paragraph" w:customStyle="1" w:styleId="MRNumberedHeading8">
    <w:name w:val="M&amp;R Numbered Heading 8"/>
    <w:basedOn w:val="Normal"/>
    <w:rsid w:val="003E3276"/>
    <w:pPr>
      <w:tabs>
        <w:tab w:val="num" w:pos="5400"/>
      </w:tabs>
      <w:spacing w:before="240" w:line="288" w:lineRule="auto"/>
      <w:ind w:left="5400" w:hanging="720"/>
      <w:jc w:val="left"/>
      <w:outlineLvl w:val="7"/>
    </w:pPr>
    <w:rPr>
      <w:rFonts w:eastAsia="Times New Roman" w:cs="Times New Roman"/>
      <w:szCs w:val="24"/>
      <w:lang w:eastAsia="en-GB"/>
    </w:rPr>
  </w:style>
  <w:style w:type="paragraph" w:customStyle="1" w:styleId="MRNumberedHeading9">
    <w:name w:val="M&amp;R Numbered Heading 9"/>
    <w:basedOn w:val="Normal"/>
    <w:rsid w:val="003E3276"/>
    <w:pPr>
      <w:tabs>
        <w:tab w:val="num" w:pos="6120"/>
      </w:tabs>
      <w:spacing w:before="240" w:line="288" w:lineRule="auto"/>
      <w:ind w:left="6120" w:hanging="720"/>
      <w:jc w:val="left"/>
      <w:outlineLvl w:val="8"/>
    </w:pPr>
    <w:rPr>
      <w:rFonts w:eastAsia="Times New Roman" w:cs="Times New Roman"/>
      <w:szCs w:val="24"/>
      <w:lang w:eastAsia="en-GB"/>
    </w:rPr>
  </w:style>
  <w:style w:type="paragraph" w:styleId="ListParagraph">
    <w:name w:val="List Paragraph"/>
    <w:basedOn w:val="Normal"/>
    <w:uiPriority w:val="34"/>
    <w:unhideWhenUsed/>
    <w:qFormat/>
    <w:rsid w:val="0035766D"/>
    <w:pPr>
      <w:ind w:left="720"/>
      <w:contextualSpacing/>
    </w:pPr>
  </w:style>
  <w:style w:type="paragraph" w:customStyle="1" w:styleId="Normal1">
    <w:name w:val="Normal1"/>
    <w:rsid w:val="00134D04"/>
    <w:pPr>
      <w:spacing w:after="0"/>
    </w:pPr>
    <w:rPr>
      <w:rFonts w:ascii="Times New Roman" w:eastAsia="Times New Roman" w:hAnsi="Times New Roman" w:cs="Times New Roman"/>
      <w:color w:val="000000"/>
      <w:sz w:val="24"/>
      <w:szCs w:val="24"/>
    </w:rPr>
  </w:style>
  <w:style w:type="character" w:customStyle="1" w:styleId="ui-provider">
    <w:name w:val="ui-provider"/>
    <w:basedOn w:val="DefaultParagraphFont"/>
    <w:rsid w:val="002529D8"/>
  </w:style>
  <w:style w:type="character" w:styleId="UnresolvedMention">
    <w:name w:val="Unresolved Mention"/>
    <w:basedOn w:val="DefaultParagraphFont"/>
    <w:uiPriority w:val="99"/>
    <w:semiHidden/>
    <w:unhideWhenUsed/>
    <w:rsid w:val="002529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827368">
      <w:bodyDiv w:val="1"/>
      <w:marLeft w:val="0"/>
      <w:marRight w:val="0"/>
      <w:marTop w:val="0"/>
      <w:marBottom w:val="0"/>
      <w:divBdr>
        <w:top w:val="none" w:sz="0" w:space="0" w:color="auto"/>
        <w:left w:val="none" w:sz="0" w:space="0" w:color="auto"/>
        <w:bottom w:val="none" w:sz="0" w:space="0" w:color="auto"/>
        <w:right w:val="none" w:sz="0" w:space="0" w:color="auto"/>
      </w:divBdr>
    </w:div>
    <w:div w:id="800155546">
      <w:bodyDiv w:val="1"/>
      <w:marLeft w:val="0"/>
      <w:marRight w:val="0"/>
      <w:marTop w:val="0"/>
      <w:marBottom w:val="0"/>
      <w:divBdr>
        <w:top w:val="none" w:sz="0" w:space="0" w:color="auto"/>
        <w:left w:val="none" w:sz="0" w:space="0" w:color="auto"/>
        <w:bottom w:val="none" w:sz="0" w:space="0" w:color="auto"/>
        <w:right w:val="none" w:sz="0" w:space="0" w:color="auto"/>
      </w:divBdr>
    </w:div>
    <w:div w:id="130010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4.xml"/><Relationship Id="rId2" Type="http://schemas.openxmlformats.org/officeDocument/2006/relationships/customXml" Target="../customXml/item1.xml"/><Relationship Id="rId16"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health-family.force.com/s/Welcome"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CCC09D15C37A045ABD3AA965BDF4171" ma:contentTypeVersion="13" ma:contentTypeDescription="Create a new document." ma:contentTypeScope="" ma:versionID="90b926f5096ba3d3e957c9449b9a0c2a">
  <xsd:schema xmlns:xsd="http://www.w3.org/2001/XMLSchema" xmlns:xs="http://www.w3.org/2001/XMLSchema" xmlns:p="http://schemas.microsoft.com/office/2006/metadata/properties" xmlns:ns3="8cc20530-06dc-4406-8c2c-3ade2740e145" xmlns:ns4="2fea5551-7d60-423e-85dc-7b91b33a5210" targetNamespace="http://schemas.microsoft.com/office/2006/metadata/properties" ma:root="true" ma:fieldsID="aaa5aa006e32699fadc44dc0055fa9ce" ns3:_="" ns4:_="">
    <xsd:import namespace="8cc20530-06dc-4406-8c2c-3ade2740e145"/>
    <xsd:import namespace="2fea5551-7d60-423e-85dc-7b91b33a521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c20530-06dc-4406-8c2c-3ade2740e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ea5551-7d60-423e-85dc-7b91b33a521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16CF0CD-D522-47B8-B998-7D3C525ECA76}">
  <ds:schemaRefs>
    <ds:schemaRef ds:uri="http://schemas.openxmlformats.org/officeDocument/2006/bibliography"/>
  </ds:schemaRefs>
</ds:datastoreItem>
</file>

<file path=customXml/itemProps2.xml><?xml version="1.0" encoding="utf-8"?>
<ds:datastoreItem xmlns:ds="http://schemas.openxmlformats.org/officeDocument/2006/customXml" ds:itemID="{B99961DE-DA65-4E92-AD51-DDD3B7C0E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c20530-06dc-4406-8c2c-3ade2740e145"/>
    <ds:schemaRef ds:uri="2fea5551-7d60-423e-85dc-7b91b33a52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8E6F1-C18B-4462-B4C4-AE0FE48B9F67}">
  <ds:schemaRefs>
    <ds:schemaRef ds:uri="http://schemas.microsoft.com/office/2006/documentManagement/types"/>
    <ds:schemaRef ds:uri="http://purl.org/dc/dcmitype/"/>
    <ds:schemaRef ds:uri="http://purl.org/dc/terms/"/>
    <ds:schemaRef ds:uri="2fea5551-7d60-423e-85dc-7b91b33a5210"/>
    <ds:schemaRef ds:uri="http://www.w3.org/XML/1998/namespace"/>
    <ds:schemaRef ds:uri="http://schemas.microsoft.com/office/infopath/2007/PartnerControls"/>
    <ds:schemaRef ds:uri="http://purl.org/dc/elements/1.1/"/>
    <ds:schemaRef ds:uri="http://schemas.openxmlformats.org/package/2006/metadata/core-properties"/>
    <ds:schemaRef ds:uri="8cc20530-06dc-4406-8c2c-3ade2740e145"/>
    <ds:schemaRef ds:uri="http://schemas.microsoft.com/office/2006/metadata/properties"/>
  </ds:schemaRefs>
</ds:datastoreItem>
</file>

<file path=customXml/itemProps4.xml><?xml version="1.0" encoding="utf-8"?>
<ds:datastoreItem xmlns:ds="http://schemas.openxmlformats.org/officeDocument/2006/customXml" ds:itemID="{D9245BA3-E6F7-4A5A-A840-9698401B9A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18</Pages>
  <Words>4693</Words>
  <Characters>25423</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
    </vt:vector>
  </TitlesOfParts>
  <Company>Foot Anstey LLP</Company>
  <LinksUpToDate>false</LinksUpToDate>
  <CharactersWithSpaces>30056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Foot Anstey (MS3)</dc:creator>
  <cp:lastModifiedBy>Clem Peters</cp:lastModifiedBy>
  <cp:revision>11</cp:revision>
  <cp:lastPrinted>2015-02-26T10:49:00Z</cp:lastPrinted>
  <dcterms:created xsi:type="dcterms:W3CDTF">2023-12-04T15:17:00Z</dcterms:created>
  <dcterms:modified xsi:type="dcterms:W3CDTF">2023-12-14T13:22:00Z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aRef">
    <vt:lpwstr>D/14303408/1</vt:lpwstr>
  </property>
  <property fmtid="{D5CDD505-2E9C-101B-9397-08002B2CF9AE}" pid="3" name="DOCID">
    <vt:lpwstr> </vt:lpwstr>
  </property>
  <property fmtid="{D5CDD505-2E9C-101B-9397-08002B2CF9AE}" pid="4" name="COMPANYID">
    <vt:i4>2122615784</vt:i4>
  </property>
  <property fmtid="{D5CDD505-2E9C-101B-9397-08002B2CF9AE}" pid="5" name="SERIALNO">
    <vt:i4>11956</vt:i4>
  </property>
  <property fmtid="{D5CDD505-2E9C-101B-9397-08002B2CF9AE}" pid="6" name="EDITION">
    <vt:lpwstr>FM</vt:lpwstr>
  </property>
  <property fmtid="{D5CDD505-2E9C-101B-9397-08002B2CF9AE}" pid="7" name="ASSOCID">
    <vt:i4>188684</vt:i4>
  </property>
  <property fmtid="{D5CDD505-2E9C-101B-9397-08002B2CF9AE}" pid="8" name="CLIENTID">
    <vt:i4>215922</vt:i4>
  </property>
  <property fmtid="{D5CDD505-2E9C-101B-9397-08002B2CF9AE}" pid="9" name="FILEID">
    <vt:i4>188350</vt:i4>
  </property>
  <property fmtid="{D5CDD505-2E9C-101B-9397-08002B2CF9AE}" pid="10" name="ContentTypeId">
    <vt:lpwstr>0x0101008CCC09D15C37A045ABD3AA965BDF4171</vt:lpwstr>
  </property>
  <property fmtid="{D5CDD505-2E9C-101B-9397-08002B2CF9AE}" pid="11" name="GrammarlyDocumentId">
    <vt:lpwstr>afb4dfaace6dc6e2e1f67089e9d5c0274eb8a2023cbc7c3585676c9b764a59e4</vt:lpwstr>
  </property>
</Properties>
</file>