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444746"/>
        </w:rPr>
      </w:pPr>
      <w:r w:rsidDel="00000000" w:rsidR="00000000" w:rsidRPr="00000000">
        <w:rPr>
          <w:b w:val="1"/>
          <w:color w:val="444746"/>
          <w:rtl w:val="0"/>
        </w:rPr>
        <w:t xml:space="preserve">Overview of contract - Income Generation from Estates &amp; Assets RM6349 </w:t>
      </w:r>
      <w:r w:rsidDel="00000000" w:rsidR="00000000" w:rsidRPr="00000000">
        <w:rPr>
          <w:rtl w:val="0"/>
        </w:rPr>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We are using the Public Sector Contract for this agreement. These are CCS’ standard framework terms aimed at </w:t>
      </w:r>
      <w:r w:rsidDel="00000000" w:rsidR="00000000" w:rsidRPr="00000000">
        <w:rPr>
          <w:color w:val="222222"/>
          <w:highlight w:val="white"/>
          <w:rtl w:val="0"/>
        </w:rPr>
        <w:t xml:space="preserve">providing</w:t>
      </w:r>
      <w:r w:rsidDel="00000000" w:rsidR="00000000" w:rsidRPr="00000000">
        <w:rPr>
          <w:color w:val="222222"/>
          <w:highlight w:val="white"/>
          <w:rtl w:val="0"/>
        </w:rPr>
        <w:t xml:space="preserve">  a consistent approach to government contracting. The terms and schedules are presented </w:t>
      </w:r>
      <w:r w:rsidDel="00000000" w:rsidR="00000000" w:rsidRPr="00000000">
        <w:rPr>
          <w:color w:val="222222"/>
          <w:highlight w:val="white"/>
          <w:rtl w:val="0"/>
        </w:rPr>
        <w:t xml:space="preserve">in a modular format and are brought together to form the:</w:t>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numPr>
          <w:ilvl w:val="0"/>
          <w:numId w:val="1"/>
        </w:numPr>
        <w:ind w:left="720" w:hanging="360"/>
        <w:rPr>
          <w:color w:val="222222"/>
          <w:highlight w:val="white"/>
        </w:rPr>
      </w:pPr>
      <w:r w:rsidDel="00000000" w:rsidR="00000000" w:rsidRPr="00000000">
        <w:rPr>
          <w:color w:val="222222"/>
          <w:highlight w:val="white"/>
          <w:rtl w:val="0"/>
        </w:rPr>
        <w:t xml:space="preserve">Framework Contract - this is the overarching contract defining the legal terms between CCS and the individual Suppliers on the Framework Agreement.  </w:t>
      </w:r>
    </w:p>
    <w:p w:rsidR="00000000" w:rsidDel="00000000" w:rsidP="00000000" w:rsidRDefault="00000000" w:rsidRPr="00000000" w14:paraId="00000006">
      <w:pPr>
        <w:numPr>
          <w:ilvl w:val="0"/>
          <w:numId w:val="1"/>
        </w:numPr>
        <w:ind w:left="720" w:hanging="360"/>
        <w:rPr>
          <w:color w:val="222222"/>
          <w:highlight w:val="white"/>
        </w:rPr>
      </w:pPr>
      <w:r w:rsidDel="00000000" w:rsidR="00000000" w:rsidRPr="00000000">
        <w:rPr>
          <w:color w:val="222222"/>
          <w:highlight w:val="white"/>
          <w:rtl w:val="0"/>
        </w:rPr>
        <w:t xml:space="preserve">Call-Off Contract - this is the contract Buyers will use to define the legal terms when appointing a Supplier through the Framework Agreement. </w:t>
      </w:r>
    </w:p>
    <w:p w:rsidR="00000000" w:rsidDel="00000000" w:rsidP="00000000" w:rsidRDefault="00000000" w:rsidRPr="00000000" w14:paraId="00000007">
      <w:pPr>
        <w:rPr>
          <w:color w:val="222222"/>
          <w:highlight w:val="white"/>
        </w:rPr>
      </w:pPr>
      <w:r w:rsidDel="00000000" w:rsidR="00000000" w:rsidRPr="00000000">
        <w:rPr>
          <w:rtl w:val="0"/>
        </w:rPr>
      </w:r>
    </w:p>
    <w:p w:rsidR="00000000" w:rsidDel="00000000" w:rsidP="00000000" w:rsidRDefault="00000000" w:rsidRPr="00000000" w14:paraId="00000008">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Core Terms </w:t>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These are legal terms which apply to both the Framework Contract and the Call-Off contract. The Core Terms govern the Supplier’s relationship with CCS at framework level and with each Buyer at call-off level.</w:t>
      </w:r>
    </w:p>
    <w:p w:rsidR="00000000" w:rsidDel="00000000" w:rsidP="00000000" w:rsidRDefault="00000000" w:rsidRPr="00000000" w14:paraId="0000000B">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The Core Terms are supplemented with a number of Schedules, comprising: </w:t>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       </w:t>
        <w:tab/>
        <w:t xml:space="preserve">Framework schedules (for the Framework Contract between CCS and the Supplier) </w:t>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       </w:t>
        <w:tab/>
        <w:t xml:space="preserve">Joint schedules (for both the Framework Contract between CCS and the Supplier and the Call-Off Contract between the Buyer and the Supplier)</w:t>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       </w:t>
        <w:tab/>
        <w:t xml:space="preserve">Call-Off schedules (for the Call-Off Contract between the Buyer and the Supplier) </w:t>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1">
      <w:pPr>
        <w:rPr>
          <w:color w:val="222222"/>
          <w:highlight w:val="white"/>
          <w:u w:val="single"/>
        </w:rPr>
      </w:pPr>
      <w:r w:rsidDel="00000000" w:rsidR="00000000" w:rsidRPr="00000000">
        <w:rPr>
          <w:color w:val="222222"/>
          <w:highlight w:val="white"/>
          <w:u w:val="single"/>
          <w:rtl w:val="0"/>
        </w:rPr>
        <w:t xml:space="preserve">The Framework Contract </w:t>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This comprises:</w:t>
      </w:r>
    </w:p>
    <w:p w:rsidR="00000000" w:rsidDel="00000000" w:rsidP="00000000" w:rsidRDefault="00000000" w:rsidRPr="00000000" w14:paraId="00000014">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5">
      <w:pPr>
        <w:ind w:left="1080" w:hanging="360"/>
        <w:rPr>
          <w:color w:val="222222"/>
          <w:highlight w:val="white"/>
        </w:rPr>
      </w:pPr>
      <w:r w:rsidDel="00000000" w:rsidR="00000000" w:rsidRPr="00000000">
        <w:rPr>
          <w:color w:val="222222"/>
          <w:highlight w:val="white"/>
          <w:rtl w:val="0"/>
        </w:rPr>
        <w:t xml:space="preserve">●</w:t>
      </w:r>
      <w:r w:rsidDel="00000000" w:rsidR="00000000" w:rsidRPr="00000000">
        <w:rPr>
          <w:color w:val="222222"/>
          <w:highlight w:val="white"/>
          <w:rtl w:val="0"/>
        </w:rPr>
        <w:t xml:space="preserve">  </w:t>
        <w:tab/>
      </w:r>
      <w:r w:rsidDel="00000000" w:rsidR="00000000" w:rsidRPr="00000000">
        <w:rPr>
          <w:color w:val="222222"/>
          <w:highlight w:val="white"/>
          <w:rtl w:val="0"/>
        </w:rPr>
        <w:t xml:space="preserve">The Specification which sets out the range of services to be provided through the Framework Agreement (Framework Schedule 1)</w:t>
      </w:r>
      <w:r w:rsidDel="00000000" w:rsidR="00000000" w:rsidRPr="00000000">
        <w:rPr>
          <w:color w:val="222222"/>
          <w:highlight w:val="white"/>
          <w:rtl w:val="0"/>
        </w:rPr>
        <w:tab/>
      </w:r>
      <w:r w:rsidDel="00000000" w:rsidR="00000000" w:rsidRPr="00000000">
        <w:rPr>
          <w:rtl w:val="0"/>
        </w:rPr>
      </w:r>
    </w:p>
    <w:p w:rsidR="00000000" w:rsidDel="00000000" w:rsidP="00000000" w:rsidRDefault="00000000" w:rsidRPr="00000000" w14:paraId="00000016">
      <w:pPr>
        <w:ind w:left="1080" w:hanging="360"/>
        <w:rPr>
          <w:color w:val="222222"/>
          <w:highlight w:val="white"/>
        </w:rPr>
      </w:pPr>
      <w:r w:rsidDel="00000000" w:rsidR="00000000" w:rsidRPr="00000000">
        <w:rPr>
          <w:color w:val="222222"/>
          <w:highlight w:val="white"/>
          <w:rtl w:val="0"/>
        </w:rPr>
        <w:t xml:space="preserve">●</w:t>
      </w:r>
      <w:r w:rsidDel="00000000" w:rsidR="00000000" w:rsidRPr="00000000">
        <w:rPr>
          <w:color w:val="222222"/>
          <w:highlight w:val="white"/>
          <w:rtl w:val="0"/>
        </w:rPr>
        <w:t xml:space="preserve">  </w:t>
        <w:tab/>
      </w:r>
      <w:r w:rsidDel="00000000" w:rsidR="00000000" w:rsidRPr="00000000">
        <w:rPr>
          <w:color w:val="222222"/>
          <w:highlight w:val="white"/>
          <w:rtl w:val="0"/>
        </w:rPr>
        <w:t xml:space="preserve">The Core Terms and Joint Schedules of the contract, which apply to both the Framework Contract and the Call-Off Contract as above</w:t>
      </w:r>
    </w:p>
    <w:p w:rsidR="00000000" w:rsidDel="00000000" w:rsidP="00000000" w:rsidRDefault="00000000" w:rsidRPr="00000000" w14:paraId="00000017">
      <w:pPr>
        <w:ind w:left="1080" w:hanging="360"/>
        <w:rPr>
          <w:color w:val="222222"/>
          <w:highlight w:val="white"/>
        </w:rPr>
      </w:pPr>
      <w:r w:rsidDel="00000000" w:rsidR="00000000" w:rsidRPr="00000000">
        <w:rPr>
          <w:color w:val="222222"/>
          <w:highlight w:val="white"/>
          <w:rtl w:val="0"/>
        </w:rPr>
        <w:t xml:space="preserve">●</w:t>
      </w:r>
      <w:r w:rsidDel="00000000" w:rsidR="00000000" w:rsidRPr="00000000">
        <w:rPr>
          <w:color w:val="222222"/>
          <w:highlight w:val="white"/>
          <w:rtl w:val="0"/>
        </w:rPr>
        <w:t xml:space="preserve">  </w:t>
        <w:tab/>
      </w:r>
      <w:r w:rsidDel="00000000" w:rsidR="00000000" w:rsidRPr="00000000">
        <w:rPr>
          <w:color w:val="222222"/>
          <w:highlight w:val="white"/>
          <w:rtl w:val="0"/>
        </w:rPr>
        <w:t xml:space="preserve">Specific Framework Schedules relating to the Framework Contract between CCS and the Supplier</w:t>
      </w:r>
    </w:p>
    <w:p w:rsidR="00000000" w:rsidDel="00000000" w:rsidP="00000000" w:rsidRDefault="00000000" w:rsidRPr="00000000" w14:paraId="00000018">
      <w:pPr>
        <w:spacing w:after="240" w:lineRule="auto"/>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9">
      <w:pPr>
        <w:rPr>
          <w:color w:val="222222"/>
          <w:highlight w:val="white"/>
          <w:u w:val="single"/>
        </w:rPr>
      </w:pPr>
      <w:r w:rsidDel="00000000" w:rsidR="00000000" w:rsidRPr="00000000">
        <w:rPr>
          <w:color w:val="222222"/>
          <w:highlight w:val="white"/>
          <w:u w:val="single"/>
          <w:rtl w:val="0"/>
        </w:rPr>
        <w:t xml:space="preserve">The Call-Off Contract</w:t>
      </w:r>
    </w:p>
    <w:p w:rsidR="00000000" w:rsidDel="00000000" w:rsidP="00000000" w:rsidRDefault="00000000" w:rsidRPr="00000000" w14:paraId="0000001A">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This comprises: </w:t>
        <w:br w:type="textWrapping"/>
      </w:r>
    </w:p>
    <w:p w:rsidR="00000000" w:rsidDel="00000000" w:rsidP="00000000" w:rsidRDefault="00000000" w:rsidRPr="00000000" w14:paraId="0000001C">
      <w:pPr>
        <w:ind w:left="1080" w:hanging="360"/>
        <w:rPr>
          <w:color w:val="222222"/>
          <w:highlight w:val="white"/>
        </w:rPr>
      </w:pPr>
      <w:r w:rsidDel="00000000" w:rsidR="00000000" w:rsidRPr="00000000">
        <w:rPr>
          <w:color w:val="222222"/>
          <w:highlight w:val="white"/>
          <w:rtl w:val="0"/>
        </w:rPr>
        <w:t xml:space="preserve">●</w:t>
      </w:r>
      <w:r w:rsidDel="00000000" w:rsidR="00000000" w:rsidRPr="00000000">
        <w:rPr>
          <w:color w:val="222222"/>
          <w:highlight w:val="white"/>
          <w:rtl w:val="0"/>
        </w:rPr>
        <w:t xml:space="preserve">  </w:t>
        <w:tab/>
      </w:r>
      <w:r w:rsidDel="00000000" w:rsidR="00000000" w:rsidRPr="00000000">
        <w:rPr>
          <w:color w:val="222222"/>
          <w:highlight w:val="white"/>
          <w:rtl w:val="0"/>
        </w:rPr>
        <w:t xml:space="preserve">The Order Form t</w:t>
      </w:r>
      <w:r w:rsidDel="00000000" w:rsidR="00000000" w:rsidRPr="00000000">
        <w:rPr>
          <w:color w:val="222222"/>
          <w:highlight w:val="white"/>
          <w:rtl w:val="0"/>
        </w:rPr>
        <w:t xml:space="preserve">emplate (also known as Framework Schedule 6) is used to form the contract between the Buyer  and the Supplier and incorporates the Core Terms, Joint and Call-Off Schedules plus any special terms from the Buyer in the Order Form </w:t>
      </w:r>
    </w:p>
    <w:p w:rsidR="00000000" w:rsidDel="00000000" w:rsidP="00000000" w:rsidRDefault="00000000" w:rsidRPr="00000000" w14:paraId="0000001D">
      <w:pPr>
        <w:spacing w:after="240" w:lineRule="auto"/>
        <w:rPr>
          <w:color w:val="222222"/>
          <w:highlight w:val="white"/>
        </w:rPr>
      </w:pPr>
      <w:r w:rsidDel="00000000" w:rsidR="00000000" w:rsidRPr="00000000">
        <w:rPr>
          <w:rtl w:val="0"/>
        </w:rPr>
      </w:r>
    </w:p>
    <w:p w:rsidR="00000000" w:rsidDel="00000000" w:rsidP="00000000" w:rsidRDefault="00000000" w:rsidRPr="00000000" w14:paraId="0000001E">
      <w:pPr>
        <w:rPr>
          <w:color w:val="222222"/>
          <w:highlight w:val="white"/>
          <w:u w:val="single"/>
        </w:rPr>
      </w:pPr>
      <w:r w:rsidDel="00000000" w:rsidR="00000000" w:rsidRPr="00000000">
        <w:rPr>
          <w:color w:val="222222"/>
          <w:highlight w:val="white"/>
          <w:u w:val="single"/>
          <w:rtl w:val="0"/>
        </w:rPr>
        <w:t xml:space="preserve">The process</w:t>
      </w:r>
    </w:p>
    <w:p w:rsidR="00000000" w:rsidDel="00000000" w:rsidP="00000000" w:rsidRDefault="00000000" w:rsidRPr="00000000" w14:paraId="0000001F">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20">
      <w:pPr>
        <w:rPr>
          <w:color w:val="222222"/>
          <w:highlight w:val="white"/>
        </w:rPr>
      </w:pPr>
      <w:r w:rsidDel="00000000" w:rsidR="00000000" w:rsidRPr="00000000">
        <w:rPr>
          <w:color w:val="222222"/>
          <w:highlight w:val="white"/>
          <w:rtl w:val="0"/>
        </w:rPr>
        <w:t xml:space="preserve">To appoint a Supplier through the framework, Buyers will follow the process outlined in the </w:t>
      </w:r>
      <w:r w:rsidDel="00000000" w:rsidR="00000000" w:rsidRPr="00000000">
        <w:rPr>
          <w:color w:val="222222"/>
          <w:highlight w:val="white"/>
          <w:rtl w:val="0"/>
        </w:rPr>
        <w:t xml:space="preserve">Call-Off Procedure and Award Criteria </w:t>
      </w:r>
      <w:r w:rsidDel="00000000" w:rsidR="00000000" w:rsidRPr="00000000">
        <w:rPr>
          <w:color w:val="222222"/>
          <w:highlight w:val="white"/>
          <w:rtl w:val="0"/>
        </w:rPr>
        <w:t xml:space="preserve">(Framework Schedule 7) of the Framework Contract. </w:t>
      </w:r>
    </w:p>
    <w:p w:rsidR="00000000" w:rsidDel="00000000" w:rsidP="00000000" w:rsidRDefault="00000000" w:rsidRPr="00000000" w14:paraId="00000021">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22">
      <w:pPr>
        <w:rPr>
          <w:color w:val="222222"/>
          <w:highlight w:val="white"/>
        </w:rPr>
      </w:pPr>
      <w:r w:rsidDel="00000000" w:rsidR="00000000" w:rsidRPr="00000000">
        <w:rPr>
          <w:color w:val="222222"/>
          <w:highlight w:val="white"/>
          <w:rtl w:val="0"/>
        </w:rPr>
        <w:t xml:space="preserve">The Buyer will then use the Call-Off Order Form Template </w:t>
      </w:r>
      <w:r w:rsidDel="00000000" w:rsidR="00000000" w:rsidRPr="00000000">
        <w:rPr>
          <w:color w:val="222222"/>
          <w:highlight w:val="white"/>
          <w:rtl w:val="0"/>
        </w:rPr>
        <w:t xml:space="preserve">(Framework Schedule 6) </w:t>
      </w:r>
      <w:r w:rsidDel="00000000" w:rsidR="00000000" w:rsidRPr="00000000">
        <w:rPr>
          <w:color w:val="222222"/>
          <w:highlight w:val="white"/>
          <w:rtl w:val="0"/>
        </w:rPr>
        <w:t xml:space="preserve">and incorporate the Core Terms, Joint and Call-Off Schedules to form the Call-Off contract with the Supplier. </w:t>
      </w:r>
    </w:p>
    <w:p w:rsidR="00000000" w:rsidDel="00000000" w:rsidP="00000000" w:rsidRDefault="00000000" w:rsidRPr="00000000" w14:paraId="00000023">
      <w:pPr>
        <w:rPr>
          <w:color w:val="222222"/>
          <w:highlight w:val="white"/>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Please note that some of the schedules have been adapted to reflect the specifics of the commercial out of home advertising and car parking markets ieCall-off </w:t>
      </w:r>
      <w:r w:rsidDel="00000000" w:rsidR="00000000" w:rsidRPr="00000000">
        <w:rPr>
          <w:color w:val="222222"/>
          <w:highlight w:val="white"/>
          <w:rtl w:val="0"/>
        </w:rPr>
        <w:t xml:space="preserve">schedules</w:t>
      </w:r>
      <w:r w:rsidDel="00000000" w:rsidR="00000000" w:rsidRPr="00000000">
        <w:rPr>
          <w:color w:val="222222"/>
          <w:highlight w:val="white"/>
          <w:rtl w:val="0"/>
        </w:rPr>
        <w:t xml:space="preserve"> 25 and 26.</w:t>
      </w:r>
    </w:p>
    <w:p w:rsidR="00000000" w:rsidDel="00000000" w:rsidP="00000000" w:rsidRDefault="00000000" w:rsidRPr="00000000" w14:paraId="00000025">
      <w:pPr>
        <w:rPr>
          <w:color w:val="444746"/>
        </w:rPr>
      </w:pPr>
      <w:r w:rsidDel="00000000" w:rsidR="00000000" w:rsidRPr="00000000">
        <w:rPr>
          <w:rtl w:val="0"/>
        </w:rPr>
      </w:r>
    </w:p>
    <w:p w:rsidR="00000000" w:rsidDel="00000000" w:rsidP="00000000" w:rsidRDefault="00000000" w:rsidRPr="00000000" w14:paraId="00000026">
      <w:pPr>
        <w:rPr>
          <w:color w:val="444746"/>
        </w:rPr>
      </w:pPr>
      <w:r w:rsidDel="00000000" w:rsidR="00000000" w:rsidRPr="00000000">
        <w:rPr>
          <w:color w:val="222222"/>
          <w:highlight w:val="white"/>
          <w:rtl w:val="0"/>
        </w:rPr>
        <w:t xml:space="preserve">A number of the Core Terms have also been amended for  this agreement. You can find these changes in the Framework Award Form.  Please read these in conjunction with the Core Terms.</w:t>
      </w:r>
      <w:r w:rsidDel="00000000" w:rsidR="00000000" w:rsidRPr="00000000">
        <w:rPr>
          <w:rtl w:val="0"/>
        </w:rPr>
      </w:r>
    </w:p>
    <w:p w:rsidR="00000000" w:rsidDel="00000000" w:rsidP="00000000" w:rsidRDefault="00000000" w:rsidRPr="00000000" w14:paraId="00000027">
      <w:pPr>
        <w:spacing w:before="260" w:line="254.40054545454544" w:lineRule="auto"/>
        <w:ind w:left="0" w:right="780" w:firstLine="0"/>
        <w:rPr>
          <w:color w:val="424242"/>
        </w:rPr>
      </w:pPr>
      <w:r w:rsidDel="00000000" w:rsidR="00000000" w:rsidRPr="00000000">
        <w:rPr>
          <w:color w:val="424242"/>
          <w:rtl w:val="0"/>
        </w:rPr>
        <w:t xml:space="preserve">Please refer to RM6349 - Attachment 1 About the Framework V1.0 for an explanation of the terms and schedules for the Framework Agreement. </w:t>
      </w:r>
    </w:p>
    <w:p w:rsidR="00000000" w:rsidDel="00000000" w:rsidP="00000000" w:rsidRDefault="00000000" w:rsidRPr="00000000" w14:paraId="00000028">
      <w:pPr>
        <w:spacing w:before="260" w:line="254.40054545454544" w:lineRule="auto"/>
        <w:ind w:left="0" w:right="780" w:firstLine="0"/>
        <w:rPr>
          <w:color w:val="222222"/>
          <w:highlight w:val="white"/>
        </w:rPr>
      </w:pPr>
      <w:r w:rsidDel="00000000" w:rsidR="00000000" w:rsidRPr="00000000">
        <w:rPr>
          <w:rtl w:val="0"/>
        </w:rPr>
      </w:r>
    </w:p>
    <w:p w:rsidR="00000000" w:rsidDel="00000000" w:rsidP="00000000" w:rsidRDefault="00000000" w:rsidRPr="00000000" w14:paraId="00000029">
      <w:pPr>
        <w:rPr>
          <w:color w:val="444746"/>
        </w:rPr>
      </w:pPr>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rtl w:val="0"/>
        </w:rPr>
      </w:r>
    </w:p>
    <w:p w:rsidR="00000000" w:rsidDel="00000000" w:rsidP="00000000" w:rsidRDefault="00000000" w:rsidRPr="00000000" w14:paraId="0000002B">
      <w:pPr>
        <w:rPr>
          <w:color w:val="444746"/>
        </w:rPr>
      </w:pPr>
      <w:r w:rsidDel="00000000" w:rsidR="00000000" w:rsidRPr="00000000">
        <w:rPr>
          <w:rtl w:val="0"/>
        </w:rPr>
      </w:r>
    </w:p>
    <w:p w:rsidR="00000000" w:rsidDel="00000000" w:rsidP="00000000" w:rsidRDefault="00000000" w:rsidRPr="00000000" w14:paraId="0000002C">
      <w:pPr>
        <w:rPr>
          <w:color w:val="444746"/>
        </w:rPr>
      </w:pPr>
      <w:r w:rsidDel="00000000" w:rsidR="00000000" w:rsidRPr="00000000">
        <w:rPr>
          <w:color w:val="444746"/>
          <w:rtl w:val="0"/>
        </w:rPr>
        <w:t xml:space="preserve"> </w:t>
      </w:r>
    </w:p>
    <w:p w:rsidR="00000000" w:rsidDel="00000000" w:rsidP="00000000" w:rsidRDefault="00000000" w:rsidRPr="00000000" w14:paraId="0000002D">
      <w:pPr>
        <w:rPr>
          <w:color w:val="444746"/>
        </w:rPr>
      </w:pPr>
      <w:r w:rsidDel="00000000" w:rsidR="00000000" w:rsidRPr="00000000">
        <w:rPr>
          <w:color w:val="444746"/>
          <w:rtl w:val="0"/>
        </w:rPr>
        <w:t xml:space="preserve"> </w:t>
      </w:r>
    </w:p>
    <w:p w:rsidR="00000000" w:rsidDel="00000000" w:rsidP="00000000" w:rsidRDefault="00000000" w:rsidRPr="00000000" w14:paraId="0000002E">
      <w:pPr>
        <w:rPr>
          <w:color w:val="444746"/>
        </w:rPr>
      </w:pPr>
      <w:r w:rsidDel="00000000" w:rsidR="00000000" w:rsidRPr="00000000">
        <w:rPr>
          <w:color w:val="444746"/>
          <w:rtl w:val="0"/>
        </w:rPr>
        <w:t xml:space="preserve"> </w:t>
      </w:r>
    </w:p>
    <w:p w:rsidR="00000000" w:rsidDel="00000000" w:rsidP="00000000" w:rsidRDefault="00000000" w:rsidRPr="00000000" w14:paraId="0000002F">
      <w:pPr>
        <w:spacing w:before="100" w:line="254.40054545454544" w:lineRule="auto"/>
        <w:ind w:left="1000" w:right="880" w:firstLine="0"/>
        <w:rPr>
          <w:color w:val="424242"/>
        </w:rPr>
      </w:pPr>
      <w:r w:rsidDel="00000000" w:rsidR="00000000" w:rsidRPr="00000000">
        <w:rPr>
          <w:rtl w:val="0"/>
        </w:rPr>
      </w:r>
    </w:p>
    <w:p w:rsidR="00000000" w:rsidDel="00000000" w:rsidP="00000000" w:rsidRDefault="00000000" w:rsidRPr="00000000" w14:paraId="00000030">
      <w:pPr>
        <w:rPr>
          <w:color w:val="444746"/>
        </w:rPr>
      </w:pPr>
      <w:r w:rsidDel="00000000" w:rsidR="00000000" w:rsidRPr="00000000">
        <w:rPr>
          <w:color w:val="444746"/>
          <w:rtl w:val="0"/>
        </w:rPr>
        <w:t xml:space="preserve"> </w:t>
      </w:r>
    </w:p>
    <w:p w:rsidR="00000000" w:rsidDel="00000000" w:rsidP="00000000" w:rsidRDefault="00000000" w:rsidRPr="00000000" w14:paraId="00000031">
      <w:pPr>
        <w:spacing w:line="254.40054545454544" w:lineRule="auto"/>
        <w:rPr>
          <w:color w:val="444746"/>
        </w:rPr>
      </w:pPr>
      <w:r w:rsidDel="00000000" w:rsidR="00000000" w:rsidRPr="00000000">
        <w:rPr>
          <w:rtl w:val="0"/>
        </w:rPr>
      </w:r>
    </w:p>
    <w:p w:rsidR="00000000" w:rsidDel="00000000" w:rsidP="00000000" w:rsidRDefault="00000000" w:rsidRPr="00000000" w14:paraId="00000032">
      <w:pPr>
        <w:rPr>
          <w:color w:val="444746"/>
        </w:rPr>
      </w:pPr>
      <w:r w:rsidDel="00000000" w:rsidR="00000000" w:rsidRPr="00000000">
        <w:rPr>
          <w:color w:val="444746"/>
          <w:rtl w:val="0"/>
        </w:rPr>
        <w:t xml:space="preserve"> </w:t>
      </w:r>
    </w:p>
    <w:p w:rsidR="00000000" w:rsidDel="00000000" w:rsidP="00000000" w:rsidRDefault="00000000" w:rsidRPr="00000000" w14:paraId="00000033">
      <w:pPr>
        <w:rPr>
          <w:rFonts w:ascii="Roboto" w:cs="Roboto" w:eastAsia="Roboto" w:hAnsi="Roboto"/>
          <w:color w:val="444746"/>
          <w:sz w:val="21"/>
          <w:szCs w:val="2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