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A63" w:rsidRDefault="00433643">
      <w:pPr>
        <w:spacing w:after="0"/>
        <w:rPr>
          <w:color w:val="000000"/>
          <w:sz w:val="44"/>
          <w:szCs w:val="44"/>
        </w:rPr>
      </w:pPr>
      <w:r>
        <w:rPr>
          <w:rFonts w:ascii="Calibri" w:hAnsi="Calibri" w:cs="Calibri"/>
          <w:color w:val="000000"/>
        </w:rPr>
        <w:t> </w:t>
      </w:r>
      <w:r w:rsidRPr="00433643">
        <w:rPr>
          <w:color w:val="000000"/>
          <w:sz w:val="44"/>
          <w:szCs w:val="44"/>
        </w:rPr>
        <w:t>Security Schedule (9)</w:t>
      </w:r>
    </w:p>
    <w:p w:rsidR="00294A63" w:rsidRDefault="003B2D48">
      <w:pPr>
        <w:pStyle w:val="Heading1"/>
        <w:numPr>
          <w:ilvl w:val="0"/>
          <w:numId w:val="2"/>
        </w:numPr>
      </w:pPr>
      <w:bookmarkStart w:id="0" w:name="_heading=h.30j0zll" w:colFirst="0" w:colLast="0"/>
      <w:bookmarkEnd w:id="0"/>
      <w:r>
        <w:t>S</w:t>
      </w:r>
      <w:r>
        <w:t>upplier obligations</w:t>
      </w:r>
      <w:bookmarkStart w:id="1" w:name="_GoBack"/>
      <w:bookmarkEnd w:id="1"/>
    </w:p>
    <w:p w:rsidR="00294A63" w:rsidRDefault="003B2D48">
      <w:pPr>
        <w:keepNext/>
        <w:pBdr>
          <w:top w:val="nil"/>
          <w:left w:val="nil"/>
          <w:bottom w:val="nil"/>
          <w:right w:val="nil"/>
          <w:between w:val="nil"/>
        </w:pBdr>
        <w:ind w:left="720"/>
        <w:rPr>
          <w:rFonts w:eastAsia="Arial" w:cs="Arial"/>
          <w:b/>
          <w:color w:val="000000"/>
          <w:szCs w:val="20"/>
        </w:rPr>
      </w:pPr>
      <w:r>
        <w:rPr>
          <w:rFonts w:eastAsia="Arial" w:cs="Arial"/>
          <w:b/>
          <w:color w:val="000000"/>
          <w:szCs w:val="20"/>
        </w:rPr>
        <w:t>Core requirements</w:t>
      </w:r>
    </w:p>
    <w:p w:rsidR="00294A63" w:rsidRDefault="003B2D48">
      <w:pPr>
        <w:pStyle w:val="Heading2"/>
        <w:numPr>
          <w:ilvl w:val="1"/>
          <w:numId w:val="2"/>
        </w:numPr>
      </w:pPr>
      <w:r>
        <w:t xml:space="preserve">The Supplier must comply with the core requirements set out in Paragraphs 4 to 9. </w:t>
      </w:r>
    </w:p>
    <w:p w:rsidR="00294A63" w:rsidRDefault="003B2D48">
      <w:pPr>
        <w:pStyle w:val="Heading2"/>
        <w:numPr>
          <w:ilvl w:val="1"/>
          <w:numId w:val="2"/>
        </w:numPr>
      </w:pPr>
      <w:bookmarkStart w:id="2" w:name="_heading=h.1fob9te" w:colFirst="0" w:colLast="0"/>
      <w:bookmarkEnd w:id="2"/>
      <w:r>
        <w:t>Where the Buyer has selected an option in the table below, the Supplier must comply with the requirements relating to that option set out in the relevant Paragraph:</w:t>
      </w:r>
    </w:p>
    <w:tbl>
      <w:tblPr>
        <w:tblStyle w:val="a"/>
        <w:tblW w:w="891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3"/>
        <w:gridCol w:w="4713"/>
        <w:gridCol w:w="708"/>
      </w:tblGrid>
      <w:tr w:rsidR="00294A63">
        <w:tc>
          <w:tcPr>
            <w:tcW w:w="8914" w:type="dxa"/>
            <w:gridSpan w:val="3"/>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 xml:space="preserve">Certifications </w:t>
            </w:r>
            <w:r>
              <w:rPr>
                <w:rFonts w:eastAsia="Arial" w:cs="Arial"/>
                <w:color w:val="000000"/>
                <w:szCs w:val="20"/>
              </w:rPr>
              <w:t>(see Paragraph 4)</w:t>
            </w:r>
          </w:p>
        </w:tc>
      </w:tr>
      <w:tr w:rsidR="00294A63">
        <w:tc>
          <w:tcPr>
            <w:tcW w:w="3493" w:type="dxa"/>
            <w:vMerge w:val="restart"/>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have the following Certifications (or e</w:t>
            </w:r>
            <w:r>
              <w:rPr>
                <w:rFonts w:eastAsia="Arial" w:cs="Arial"/>
                <w:color w:val="000000"/>
                <w:szCs w:val="20"/>
              </w:rPr>
              <w:t>quivalent):</w:t>
            </w:r>
          </w:p>
        </w:tc>
        <w:tc>
          <w:tcPr>
            <w:tcW w:w="4713"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ISO/IEC 27001:2022 by a UKAS-recognised Certification Body</w:t>
            </w:r>
          </w:p>
        </w:tc>
        <w:tc>
          <w:tcPr>
            <w:tcW w:w="70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3493" w:type="dxa"/>
            <w:vMerge/>
          </w:tcPr>
          <w:p w:rsidR="00294A63" w:rsidRDefault="00294A63">
            <w:pPr>
              <w:widowControl w:val="0"/>
              <w:pBdr>
                <w:top w:val="nil"/>
                <w:left w:val="nil"/>
                <w:bottom w:val="nil"/>
                <w:right w:val="nil"/>
                <w:between w:val="nil"/>
              </w:pBdr>
              <w:spacing w:after="0" w:line="276" w:lineRule="auto"/>
              <w:rPr>
                <w:rFonts w:eastAsia="Arial" w:cs="Arial"/>
                <w:color w:val="000000"/>
                <w:szCs w:val="20"/>
              </w:rPr>
            </w:pPr>
          </w:p>
        </w:tc>
        <w:tc>
          <w:tcPr>
            <w:tcW w:w="4713"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Cyber Essentials Plus</w:t>
            </w:r>
          </w:p>
        </w:tc>
        <w:tc>
          <w:tcPr>
            <w:tcW w:w="70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3493" w:type="dxa"/>
            <w:vMerge/>
          </w:tcPr>
          <w:p w:rsidR="00294A63" w:rsidRDefault="00294A63">
            <w:pPr>
              <w:widowControl w:val="0"/>
              <w:pBdr>
                <w:top w:val="nil"/>
                <w:left w:val="nil"/>
                <w:bottom w:val="nil"/>
                <w:right w:val="nil"/>
                <w:between w:val="nil"/>
              </w:pBdr>
              <w:spacing w:after="0" w:line="276" w:lineRule="auto"/>
              <w:rPr>
                <w:rFonts w:eastAsia="Arial" w:cs="Arial"/>
                <w:color w:val="000000"/>
                <w:szCs w:val="20"/>
              </w:rPr>
            </w:pPr>
          </w:p>
        </w:tc>
        <w:tc>
          <w:tcPr>
            <w:tcW w:w="4713"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Cyber Essentials</w:t>
            </w:r>
          </w:p>
        </w:tc>
        <w:tc>
          <w:tcPr>
            <w:tcW w:w="70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3493" w:type="dxa"/>
            <w:vMerge/>
          </w:tcPr>
          <w:p w:rsidR="00294A63" w:rsidRDefault="00294A63">
            <w:pPr>
              <w:widowControl w:val="0"/>
              <w:pBdr>
                <w:top w:val="nil"/>
                <w:left w:val="nil"/>
                <w:bottom w:val="nil"/>
                <w:right w:val="nil"/>
                <w:between w:val="nil"/>
              </w:pBdr>
              <w:spacing w:after="0" w:line="276" w:lineRule="auto"/>
              <w:rPr>
                <w:rFonts w:eastAsia="Arial" w:cs="Arial"/>
                <w:color w:val="000000"/>
                <w:szCs w:val="20"/>
              </w:rPr>
            </w:pPr>
          </w:p>
        </w:tc>
        <w:tc>
          <w:tcPr>
            <w:tcW w:w="4713"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No certification required</w:t>
            </w:r>
          </w:p>
        </w:tc>
        <w:tc>
          <w:tcPr>
            <w:tcW w:w="70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3493" w:type="dxa"/>
            <w:vMerge w:val="restart"/>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Subcontractors that Handle Government Data must have the following Certifications (or equivalent):</w:t>
            </w:r>
          </w:p>
        </w:tc>
        <w:tc>
          <w:tcPr>
            <w:tcW w:w="4713"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ISO/IEC 27001:2022 by a UKAS-recognised Certification Body</w:t>
            </w:r>
          </w:p>
        </w:tc>
        <w:tc>
          <w:tcPr>
            <w:tcW w:w="70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3493" w:type="dxa"/>
            <w:vMerge/>
          </w:tcPr>
          <w:p w:rsidR="00294A63" w:rsidRDefault="00294A63">
            <w:pPr>
              <w:widowControl w:val="0"/>
              <w:pBdr>
                <w:top w:val="nil"/>
                <w:left w:val="nil"/>
                <w:bottom w:val="nil"/>
                <w:right w:val="nil"/>
                <w:between w:val="nil"/>
              </w:pBdr>
              <w:spacing w:after="0" w:line="276" w:lineRule="auto"/>
              <w:rPr>
                <w:rFonts w:eastAsia="Arial" w:cs="Arial"/>
                <w:color w:val="000000"/>
                <w:szCs w:val="20"/>
              </w:rPr>
            </w:pPr>
          </w:p>
        </w:tc>
        <w:tc>
          <w:tcPr>
            <w:tcW w:w="4713"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Cyber Essentials Plus</w:t>
            </w:r>
          </w:p>
        </w:tc>
        <w:tc>
          <w:tcPr>
            <w:tcW w:w="70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3493" w:type="dxa"/>
            <w:vMerge/>
          </w:tcPr>
          <w:p w:rsidR="00294A63" w:rsidRDefault="00294A63">
            <w:pPr>
              <w:widowControl w:val="0"/>
              <w:pBdr>
                <w:top w:val="nil"/>
                <w:left w:val="nil"/>
                <w:bottom w:val="nil"/>
                <w:right w:val="nil"/>
                <w:between w:val="nil"/>
              </w:pBdr>
              <w:spacing w:after="0" w:line="276" w:lineRule="auto"/>
              <w:rPr>
                <w:rFonts w:eastAsia="Arial" w:cs="Arial"/>
                <w:color w:val="000000"/>
                <w:szCs w:val="20"/>
              </w:rPr>
            </w:pPr>
          </w:p>
        </w:tc>
        <w:tc>
          <w:tcPr>
            <w:tcW w:w="4713"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Cyber Essentials</w:t>
            </w:r>
          </w:p>
        </w:tc>
        <w:tc>
          <w:tcPr>
            <w:tcW w:w="70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3493" w:type="dxa"/>
            <w:vMerge/>
          </w:tcPr>
          <w:p w:rsidR="00294A63" w:rsidRDefault="00294A63">
            <w:pPr>
              <w:widowControl w:val="0"/>
              <w:pBdr>
                <w:top w:val="nil"/>
                <w:left w:val="nil"/>
                <w:bottom w:val="nil"/>
                <w:right w:val="nil"/>
                <w:between w:val="nil"/>
              </w:pBdr>
              <w:spacing w:after="0" w:line="276" w:lineRule="auto"/>
              <w:rPr>
                <w:rFonts w:eastAsia="Arial" w:cs="Arial"/>
                <w:color w:val="000000"/>
                <w:szCs w:val="20"/>
              </w:rPr>
            </w:pPr>
          </w:p>
        </w:tc>
        <w:tc>
          <w:tcPr>
            <w:tcW w:w="4713"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No certification required</w:t>
            </w:r>
          </w:p>
        </w:tc>
        <w:tc>
          <w:tcPr>
            <w:tcW w:w="70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8914" w:type="dxa"/>
            <w:gridSpan w:val="3"/>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Locations</w:t>
            </w:r>
            <w:r>
              <w:rPr>
                <w:rFonts w:eastAsia="Arial" w:cs="Arial"/>
                <w:color w:val="000000"/>
                <w:szCs w:val="20"/>
              </w:rPr>
              <w:t xml:space="preserve"> (see Paragraph 5)</w:t>
            </w:r>
          </w:p>
        </w:tc>
      </w:tr>
      <w:tr w:rsidR="00294A63">
        <w:tc>
          <w:tcPr>
            <w:tcW w:w="3493" w:type="dxa"/>
            <w:vMerge w:val="restart"/>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and Subcontractors may store, access or Handle Government Data in:</w:t>
            </w:r>
          </w:p>
        </w:tc>
        <w:tc>
          <w:tcPr>
            <w:tcW w:w="4713"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United Kingdom only</w:t>
            </w:r>
          </w:p>
        </w:tc>
        <w:tc>
          <w:tcPr>
            <w:tcW w:w="708" w:type="dxa"/>
            <w:vAlign w:val="center"/>
          </w:tcPr>
          <w:p w:rsidR="00294A63" w:rsidRDefault="003B2D48">
            <w:pPr>
              <w:spacing w:before="120" w:after="120"/>
              <w:jc w:val="center"/>
              <w:rPr>
                <w:rFonts w:ascii="MS Gothic" w:eastAsia="MS Gothic" w:hAnsi="MS Gothic" w:cs="MS Gothic"/>
              </w:rPr>
            </w:pPr>
            <w:r>
              <w:rPr>
                <w:rFonts w:ascii="MS Gothic" w:eastAsia="MS Gothic" w:hAnsi="MS Gothic" w:cs="MS Gothic"/>
              </w:rPr>
              <w:t>☐</w:t>
            </w:r>
          </w:p>
        </w:tc>
      </w:tr>
      <w:tr w:rsidR="00294A63">
        <w:tc>
          <w:tcPr>
            <w:tcW w:w="3493" w:type="dxa"/>
            <w:vMerge/>
          </w:tcPr>
          <w:p w:rsidR="00294A63" w:rsidRDefault="00294A63">
            <w:pPr>
              <w:widowControl w:val="0"/>
              <w:pBdr>
                <w:top w:val="nil"/>
                <w:left w:val="nil"/>
                <w:bottom w:val="nil"/>
                <w:right w:val="nil"/>
                <w:between w:val="nil"/>
              </w:pBdr>
              <w:spacing w:after="0" w:line="276" w:lineRule="auto"/>
              <w:rPr>
                <w:rFonts w:eastAsia="Arial" w:cs="Arial"/>
                <w:color w:val="000000"/>
                <w:szCs w:val="20"/>
              </w:rPr>
            </w:pPr>
          </w:p>
        </w:tc>
        <w:tc>
          <w:tcPr>
            <w:tcW w:w="4713"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a location permitted by and in accordance with any regulations for the time being in force made under section 17A of the Data Protection Act 2018 (adequacy decisions by the Secretary of State).</w:t>
            </w:r>
          </w:p>
        </w:tc>
        <w:tc>
          <w:tcPr>
            <w:tcW w:w="70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3493" w:type="dxa"/>
            <w:vMerge/>
          </w:tcPr>
          <w:p w:rsidR="00294A63" w:rsidRDefault="00294A63">
            <w:pPr>
              <w:widowControl w:val="0"/>
              <w:pBdr>
                <w:top w:val="nil"/>
                <w:left w:val="nil"/>
                <w:bottom w:val="nil"/>
                <w:right w:val="nil"/>
                <w:between w:val="nil"/>
              </w:pBdr>
              <w:spacing w:after="0" w:line="276" w:lineRule="auto"/>
              <w:rPr>
                <w:rFonts w:eastAsia="Arial" w:cs="Arial"/>
                <w:color w:val="000000"/>
                <w:szCs w:val="20"/>
              </w:rPr>
            </w:pPr>
          </w:p>
        </w:tc>
        <w:tc>
          <w:tcPr>
            <w:tcW w:w="4713"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anywhere in the world not prohibited by the Buyer</w:t>
            </w:r>
          </w:p>
        </w:tc>
        <w:tc>
          <w:tcPr>
            <w:tcW w:w="70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8914" w:type="dxa"/>
            <w:gridSpan w:val="3"/>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Staff Vetting Procedure</w:t>
            </w:r>
            <w:r>
              <w:rPr>
                <w:rFonts w:eastAsia="Arial" w:cs="Arial"/>
                <w:color w:val="000000"/>
                <w:szCs w:val="20"/>
              </w:rPr>
              <w:t xml:space="preserve"> (see Paragraph 6)</w:t>
            </w:r>
          </w:p>
        </w:tc>
      </w:tr>
      <w:tr w:rsidR="00294A63">
        <w:tc>
          <w:tcPr>
            <w:tcW w:w="8206" w:type="dxa"/>
            <w:gridSpan w:val="2"/>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Buyer requires a Staff Vetting Procedure other than BPSS</w:t>
            </w:r>
          </w:p>
        </w:tc>
        <w:tc>
          <w:tcPr>
            <w:tcW w:w="70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8914" w:type="dxa"/>
            <w:gridSpan w:val="3"/>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Where an alternative Staff Vetting Procedure is required, that procedure is:</w:t>
            </w:r>
          </w:p>
          <w:p w:rsidR="00294A63" w:rsidRDefault="003B2D48">
            <w:pPr>
              <w:pBdr>
                <w:top w:val="nil"/>
                <w:left w:val="nil"/>
                <w:bottom w:val="nil"/>
                <w:right w:val="nil"/>
                <w:between w:val="nil"/>
              </w:pBdr>
              <w:spacing w:before="120" w:after="120"/>
              <w:rPr>
                <w:rFonts w:eastAsia="Arial" w:cs="Arial"/>
                <w:color w:val="000000"/>
                <w:szCs w:val="20"/>
              </w:rPr>
            </w:pPr>
            <w:r>
              <w:t>N/A</w:t>
            </w:r>
          </w:p>
        </w:tc>
      </w:tr>
    </w:tbl>
    <w:p w:rsidR="00294A63" w:rsidRDefault="00294A63">
      <w:pPr>
        <w:pBdr>
          <w:top w:val="nil"/>
          <w:left w:val="nil"/>
          <w:bottom w:val="nil"/>
          <w:right w:val="nil"/>
          <w:between w:val="nil"/>
        </w:pBdr>
        <w:spacing w:after="0"/>
        <w:rPr>
          <w:rFonts w:eastAsia="Arial" w:cs="Arial"/>
          <w:color w:val="000000"/>
          <w:szCs w:val="20"/>
        </w:rPr>
      </w:pPr>
    </w:p>
    <w:p w:rsidR="00294A63" w:rsidRDefault="003B2D48">
      <w:pPr>
        <w:keepNext/>
        <w:pBdr>
          <w:top w:val="nil"/>
          <w:left w:val="nil"/>
          <w:bottom w:val="nil"/>
          <w:right w:val="nil"/>
          <w:between w:val="nil"/>
        </w:pBdr>
        <w:ind w:left="720"/>
        <w:rPr>
          <w:rFonts w:eastAsia="Arial" w:cs="Arial"/>
          <w:b/>
          <w:color w:val="000000"/>
          <w:szCs w:val="20"/>
        </w:rPr>
      </w:pPr>
      <w:r>
        <w:rPr>
          <w:rFonts w:eastAsia="Arial" w:cs="Arial"/>
          <w:b/>
          <w:color w:val="000000"/>
          <w:szCs w:val="20"/>
        </w:rPr>
        <w:lastRenderedPageBreak/>
        <w:t>Optional requirements</w:t>
      </w:r>
    </w:p>
    <w:p w:rsidR="00294A63" w:rsidRDefault="003B2D48">
      <w:pPr>
        <w:pStyle w:val="Heading2"/>
        <w:numPr>
          <w:ilvl w:val="1"/>
          <w:numId w:val="2"/>
        </w:numPr>
      </w:pPr>
      <w:bookmarkStart w:id="3" w:name="_heading=h.3znysh7" w:colFirst="0" w:colLast="0"/>
      <w:bookmarkEnd w:id="3"/>
      <w:r>
        <w:t>Where the Buyer has selected an option in the table below, the Supplier must comply with the requirements of the corresponding Paragraph. Where the Buyer has not selected an option, the corresponding requirement does not apply.</w:t>
      </w:r>
    </w:p>
    <w:tbl>
      <w:tblPr>
        <w:tblStyle w:val="a0"/>
        <w:tblW w:w="849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11"/>
        <w:gridCol w:w="688"/>
      </w:tblGrid>
      <w:tr w:rsidR="00294A63">
        <w:tc>
          <w:tcPr>
            <w:tcW w:w="8499" w:type="dxa"/>
            <w:gridSpan w:val="2"/>
          </w:tcPr>
          <w:p w:rsidR="00294A63" w:rsidRDefault="003B2D48">
            <w:pPr>
              <w:pBdr>
                <w:top w:val="nil"/>
                <w:left w:val="nil"/>
                <w:bottom w:val="nil"/>
                <w:right w:val="nil"/>
                <w:between w:val="nil"/>
              </w:pBdr>
              <w:spacing w:before="120" w:after="120"/>
              <w:rPr>
                <w:rFonts w:eastAsia="Arial" w:cs="Arial"/>
                <w:color w:val="000000"/>
                <w:szCs w:val="20"/>
              </w:rPr>
            </w:pPr>
            <w:bookmarkStart w:id="4" w:name="_heading=h.2et92p0" w:colFirst="0" w:colLast="0"/>
            <w:bookmarkEnd w:id="4"/>
            <w:r>
              <w:rPr>
                <w:rFonts w:eastAsia="Arial" w:cs="Arial"/>
                <w:b/>
                <w:color w:val="000000"/>
                <w:szCs w:val="20"/>
              </w:rPr>
              <w:t>Securi</w:t>
            </w:r>
            <w:r>
              <w:rPr>
                <w:rFonts w:eastAsia="Arial" w:cs="Arial"/>
                <w:b/>
                <w:color w:val="000000"/>
                <w:szCs w:val="20"/>
              </w:rPr>
              <w:t>ty Management Plan</w:t>
            </w:r>
            <w:r>
              <w:rPr>
                <w:rFonts w:eastAsia="Arial" w:cs="Arial"/>
                <w:color w:val="000000"/>
                <w:szCs w:val="20"/>
              </w:rPr>
              <w:t xml:space="preserve"> (see Paragraph 1)</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provide the Buyer with a Security Management Plan detailing how the requirements for the options selected in this table have been met.</w:t>
            </w:r>
          </w:p>
        </w:tc>
        <w:tc>
          <w:tcPr>
            <w:tcW w:w="688" w:type="dxa"/>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8499" w:type="dxa"/>
            <w:gridSpan w:val="2"/>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Buyer Security Policies</w:t>
            </w:r>
            <w:r>
              <w:rPr>
                <w:rFonts w:eastAsia="Arial" w:cs="Arial"/>
                <w:color w:val="000000"/>
                <w:szCs w:val="20"/>
              </w:rPr>
              <w:t xml:space="preserve"> (see Paragraph 11)</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Buyer requires the Supplier to comply with the following policies relating to security management:</w:t>
            </w:r>
          </w:p>
          <w:p w:rsidR="00294A63" w:rsidRDefault="003B2D48">
            <w:pPr>
              <w:numPr>
                <w:ilvl w:val="0"/>
                <w:numId w:val="9"/>
              </w:numPr>
              <w:pBdr>
                <w:top w:val="nil"/>
                <w:left w:val="nil"/>
                <w:bottom w:val="nil"/>
                <w:right w:val="nil"/>
                <w:between w:val="nil"/>
              </w:pBdr>
              <w:spacing w:before="120" w:after="120"/>
              <w:ind w:left="357" w:hanging="357"/>
            </w:pPr>
            <w:r w:rsidRPr="00433643">
              <w:rPr>
                <w:rFonts w:eastAsia="Arial" w:cs="Arial"/>
                <w:color w:val="000000"/>
                <w:szCs w:val="20"/>
              </w:rPr>
              <w:t>[</w:t>
            </w:r>
            <w:r w:rsidRPr="00433643">
              <w:rPr>
                <w:rFonts w:eastAsia="Arial" w:cs="Arial"/>
                <w:b/>
                <w:color w:val="000000"/>
                <w:szCs w:val="20"/>
              </w:rPr>
              <w:t>List Buyer security policies with which the Supplier and Sub-contractors must comply</w:t>
            </w:r>
            <w:r w:rsidRPr="00433643">
              <w:rPr>
                <w:rFonts w:eastAsia="Arial" w:cs="Arial"/>
                <w:b/>
                <w:color w:val="000000"/>
                <w:szCs w:val="20"/>
              </w:rPr>
              <w:t>]</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8499" w:type="dxa"/>
            <w:gridSpan w:val="2"/>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Security testing</w:t>
            </w:r>
            <w:r>
              <w:rPr>
                <w:rFonts w:eastAsia="Arial" w:cs="Arial"/>
                <w:color w:val="000000"/>
                <w:szCs w:val="20"/>
              </w:rPr>
              <w:t xml:space="preserve"> (see Paragraph 12)</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undertake security testing at least once every Contract Year and remediate any vulnerabilities, where it is technically feasible to do so</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Cloud Security Principles</w:t>
            </w:r>
            <w:r>
              <w:rPr>
                <w:rFonts w:eastAsia="Arial" w:cs="Arial"/>
                <w:color w:val="000000"/>
                <w:szCs w:val="20"/>
              </w:rPr>
              <w:t xml:space="preserve"> (see Paragraph 13)</w:t>
            </w:r>
          </w:p>
        </w:tc>
        <w:tc>
          <w:tcPr>
            <w:tcW w:w="688" w:type="dxa"/>
          </w:tcPr>
          <w:p w:rsidR="00294A63" w:rsidRDefault="00294A63">
            <w:pPr>
              <w:pBdr>
                <w:top w:val="nil"/>
                <w:left w:val="nil"/>
                <w:bottom w:val="nil"/>
                <w:right w:val="nil"/>
                <w:between w:val="nil"/>
              </w:pBdr>
              <w:spacing w:before="120" w:after="120"/>
              <w:rPr>
                <w:rFonts w:eastAsia="Arial" w:cs="Arial"/>
                <w:color w:val="000000"/>
                <w:szCs w:val="20"/>
              </w:rPr>
            </w:pP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assess the Supplier System against the Cloud Security Principles</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8499" w:type="dxa"/>
            <w:gridSpan w:val="2"/>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Record keeping</w:t>
            </w:r>
            <w:r>
              <w:rPr>
                <w:rFonts w:eastAsia="Arial" w:cs="Arial"/>
                <w:color w:val="000000"/>
                <w:szCs w:val="20"/>
              </w:rPr>
              <w:t xml:space="preserve"> (see Paragraph 14)</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keep records relating to Subcontractors, Sites, Third-party Tools and third parties</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8499" w:type="dxa"/>
            <w:gridSpan w:val="2"/>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Encryption</w:t>
            </w:r>
            <w:r>
              <w:rPr>
                <w:rFonts w:eastAsia="Arial" w:cs="Arial"/>
                <w:color w:val="000000"/>
                <w:szCs w:val="20"/>
              </w:rPr>
              <w:t xml:space="preserve"> (see Paragraph 15)</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encrypt Government Data while at rest or in transit</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Protective Monitoring System</w:t>
            </w:r>
            <w:r>
              <w:rPr>
                <w:rFonts w:eastAsia="Arial" w:cs="Arial"/>
                <w:color w:val="000000"/>
                <w:szCs w:val="20"/>
              </w:rPr>
              <w:t xml:space="preserve"> (see Paragraph 16)</w:t>
            </w:r>
          </w:p>
        </w:tc>
        <w:tc>
          <w:tcPr>
            <w:tcW w:w="688" w:type="dxa"/>
          </w:tcPr>
          <w:p w:rsidR="00294A63" w:rsidRDefault="00294A63">
            <w:pPr>
              <w:pBdr>
                <w:top w:val="nil"/>
                <w:left w:val="nil"/>
                <w:bottom w:val="nil"/>
                <w:right w:val="nil"/>
                <w:between w:val="nil"/>
              </w:pBdr>
              <w:spacing w:before="120" w:after="120"/>
              <w:rPr>
                <w:rFonts w:eastAsia="Arial" w:cs="Arial"/>
                <w:color w:val="000000"/>
                <w:szCs w:val="20"/>
              </w:rPr>
            </w:pP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implement an effective Protective Monitoring System</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Patching</w:t>
            </w:r>
            <w:r>
              <w:rPr>
                <w:rFonts w:eastAsia="Arial" w:cs="Arial"/>
                <w:color w:val="000000"/>
                <w:szCs w:val="20"/>
              </w:rPr>
              <w:t xml:space="preserve"> (see Paragraph 17)</w:t>
            </w:r>
          </w:p>
        </w:tc>
        <w:tc>
          <w:tcPr>
            <w:tcW w:w="688" w:type="dxa"/>
          </w:tcPr>
          <w:p w:rsidR="00294A63" w:rsidRDefault="00294A63">
            <w:pPr>
              <w:pBdr>
                <w:top w:val="nil"/>
                <w:left w:val="nil"/>
                <w:bottom w:val="nil"/>
                <w:right w:val="nil"/>
                <w:between w:val="nil"/>
              </w:pBdr>
              <w:spacing w:before="120" w:after="120"/>
              <w:rPr>
                <w:rFonts w:eastAsia="Arial" w:cs="Arial"/>
                <w:color w:val="000000"/>
                <w:szCs w:val="20"/>
              </w:rPr>
            </w:pP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patch vulnerabilities in the Supplier System promptly</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Malware protection</w:t>
            </w:r>
            <w:r>
              <w:rPr>
                <w:rFonts w:eastAsia="Arial" w:cs="Arial"/>
                <w:color w:val="000000"/>
                <w:szCs w:val="20"/>
              </w:rPr>
              <w:t xml:space="preserve"> (see Paragraph 18)</w:t>
            </w:r>
          </w:p>
        </w:tc>
        <w:tc>
          <w:tcPr>
            <w:tcW w:w="688" w:type="dxa"/>
          </w:tcPr>
          <w:p w:rsidR="00294A63" w:rsidRDefault="00294A63">
            <w:pPr>
              <w:pBdr>
                <w:top w:val="nil"/>
                <w:left w:val="nil"/>
                <w:bottom w:val="nil"/>
                <w:right w:val="nil"/>
                <w:between w:val="nil"/>
              </w:pBdr>
              <w:spacing w:before="120" w:after="120"/>
              <w:rPr>
                <w:rFonts w:eastAsia="Arial" w:cs="Arial"/>
                <w:color w:val="000000"/>
                <w:szCs w:val="20"/>
              </w:rPr>
            </w:pP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use appropriate Anti-virus Software</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End-user Devices</w:t>
            </w:r>
            <w:r>
              <w:rPr>
                <w:rFonts w:eastAsia="Arial" w:cs="Arial"/>
                <w:color w:val="000000"/>
                <w:szCs w:val="20"/>
              </w:rPr>
              <w:t xml:space="preserve"> (see Paragraph 19)</w:t>
            </w:r>
          </w:p>
        </w:tc>
        <w:tc>
          <w:tcPr>
            <w:tcW w:w="688" w:type="dxa"/>
          </w:tcPr>
          <w:p w:rsidR="00294A63" w:rsidRDefault="00294A63">
            <w:pPr>
              <w:pBdr>
                <w:top w:val="nil"/>
                <w:left w:val="nil"/>
                <w:bottom w:val="nil"/>
                <w:right w:val="nil"/>
                <w:between w:val="nil"/>
              </w:pBdr>
              <w:spacing w:before="120" w:after="120"/>
              <w:rPr>
                <w:rFonts w:eastAsia="Arial" w:cs="Arial"/>
                <w:color w:val="000000"/>
                <w:szCs w:val="20"/>
              </w:rPr>
            </w:pP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manage End-user Devices appropriately</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8499" w:type="dxa"/>
            <w:gridSpan w:val="2"/>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Vulnerability scanning</w:t>
            </w:r>
            <w:r>
              <w:rPr>
                <w:rFonts w:eastAsia="Arial" w:cs="Arial"/>
                <w:color w:val="000000"/>
                <w:szCs w:val="20"/>
              </w:rPr>
              <w:t xml:space="preserve"> (see Paragraph 20)</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scan the Supplier System monthly for unpatched vulnerabilities</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lastRenderedPageBreak/>
              <w:t>Access control</w:t>
            </w:r>
            <w:r>
              <w:rPr>
                <w:rFonts w:eastAsia="Arial" w:cs="Arial"/>
                <w:color w:val="000000"/>
                <w:szCs w:val="20"/>
              </w:rPr>
              <w:t xml:space="preserve"> (see Paragraph 21)</w:t>
            </w:r>
          </w:p>
        </w:tc>
        <w:tc>
          <w:tcPr>
            <w:tcW w:w="688" w:type="dxa"/>
          </w:tcPr>
          <w:p w:rsidR="00294A63" w:rsidRDefault="00294A63">
            <w:pPr>
              <w:pBdr>
                <w:top w:val="nil"/>
                <w:left w:val="nil"/>
                <w:bottom w:val="nil"/>
                <w:right w:val="nil"/>
                <w:between w:val="nil"/>
              </w:pBdr>
              <w:spacing w:before="120" w:after="120"/>
              <w:rPr>
                <w:rFonts w:eastAsia="Arial" w:cs="Arial"/>
                <w:color w:val="000000"/>
                <w:szCs w:val="20"/>
              </w:rPr>
            </w:pP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implement effective access control measures for those accessing Government Data and for Privileged Users</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8499" w:type="dxa"/>
            <w:gridSpan w:val="2"/>
          </w:tcPr>
          <w:p w:rsidR="00294A63" w:rsidRDefault="003B2D48">
            <w:pPr>
              <w:pBdr>
                <w:top w:val="nil"/>
                <w:left w:val="nil"/>
                <w:bottom w:val="nil"/>
                <w:right w:val="nil"/>
                <w:between w:val="nil"/>
              </w:pBdr>
              <w:spacing w:before="120" w:after="120"/>
              <w:rPr>
                <w:rFonts w:eastAsia="Arial" w:cs="Arial"/>
                <w:color w:val="000000"/>
                <w:szCs w:val="20"/>
              </w:rPr>
            </w:pPr>
            <w:bookmarkStart w:id="5" w:name="_heading=h.tyjcwt" w:colFirst="0" w:colLast="0"/>
            <w:bookmarkEnd w:id="5"/>
            <w:r>
              <w:rPr>
                <w:rFonts w:eastAsia="Arial" w:cs="Arial"/>
                <w:b/>
                <w:color w:val="000000"/>
                <w:szCs w:val="20"/>
              </w:rPr>
              <w:t>Remote Working</w:t>
            </w:r>
            <w:r>
              <w:rPr>
                <w:rFonts w:eastAsia="Arial" w:cs="Arial"/>
                <w:color w:val="000000"/>
                <w:szCs w:val="20"/>
              </w:rPr>
              <w:t xml:space="preserve"> (see Paragraph 22)</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may allow Supplier Staff to undertake Remote Working once an approved Remote Working Policy is in place</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8499" w:type="dxa"/>
            <w:gridSpan w:val="2"/>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Backup and recovery of Government Data</w:t>
            </w:r>
            <w:r>
              <w:rPr>
                <w:rFonts w:eastAsia="Arial" w:cs="Arial"/>
                <w:color w:val="000000"/>
                <w:szCs w:val="20"/>
              </w:rPr>
              <w:t xml:space="preserve"> (see Paragraph 23)</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have in place systems for the backup and recovery of Government Data</w:t>
            </w:r>
          </w:p>
        </w:tc>
        <w:tc>
          <w:tcPr>
            <w:tcW w:w="688" w:type="dxa"/>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8499" w:type="dxa"/>
            <w:gridSpan w:val="2"/>
          </w:tcPr>
          <w:p w:rsidR="00294A63" w:rsidRDefault="003B2D48">
            <w:pPr>
              <w:pBdr>
                <w:top w:val="nil"/>
                <w:left w:val="nil"/>
                <w:bottom w:val="nil"/>
                <w:right w:val="nil"/>
                <w:between w:val="nil"/>
              </w:pBdr>
              <w:spacing w:before="120" w:after="120"/>
              <w:rPr>
                <w:rFonts w:eastAsia="Arial" w:cs="Arial"/>
                <w:color w:val="000000"/>
                <w:szCs w:val="20"/>
              </w:rPr>
            </w:pPr>
            <w:bookmarkStart w:id="6" w:name="_heading=h.3dy6vkm" w:colFirst="0" w:colLast="0"/>
            <w:bookmarkEnd w:id="6"/>
            <w:r>
              <w:rPr>
                <w:rFonts w:eastAsia="Arial" w:cs="Arial"/>
                <w:b/>
                <w:color w:val="000000"/>
                <w:szCs w:val="20"/>
              </w:rPr>
              <w:t>Return and deletion of Government Data</w:t>
            </w:r>
            <w:r>
              <w:rPr>
                <w:rFonts w:eastAsia="Arial" w:cs="Arial"/>
                <w:color w:val="000000"/>
                <w:szCs w:val="20"/>
              </w:rPr>
              <w:t xml:space="preserve"> (see Paragraph 24)</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return or delete Government Data when requested by the Buyer</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8499" w:type="dxa"/>
            <w:gridSpan w:val="2"/>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Physical security</w:t>
            </w:r>
            <w:r>
              <w:rPr>
                <w:rFonts w:eastAsia="Arial" w:cs="Arial"/>
                <w:color w:val="000000"/>
                <w:szCs w:val="20"/>
              </w:rPr>
              <w:t xml:space="preserve"> (see Paragraph 25)</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store Government Data in physically secure locations</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r w:rsidR="00294A63">
        <w:tc>
          <w:tcPr>
            <w:tcW w:w="8499" w:type="dxa"/>
            <w:gridSpan w:val="2"/>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b/>
                <w:color w:val="000000"/>
                <w:szCs w:val="20"/>
              </w:rPr>
              <w:t>Security breaches</w:t>
            </w:r>
            <w:r>
              <w:rPr>
                <w:rFonts w:eastAsia="Arial" w:cs="Arial"/>
                <w:color w:val="000000"/>
                <w:szCs w:val="20"/>
              </w:rPr>
              <w:t xml:space="preserve"> (see Paragraph 26)</w:t>
            </w:r>
          </w:p>
        </w:tc>
      </w:tr>
      <w:tr w:rsidR="00294A63">
        <w:tc>
          <w:tcPr>
            <w:tcW w:w="7811"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The Supplier must report any Breach of Security to the Buyer promptly</w:t>
            </w:r>
          </w:p>
        </w:tc>
        <w:tc>
          <w:tcPr>
            <w:tcW w:w="688" w:type="dxa"/>
            <w:vAlign w:val="center"/>
          </w:tcPr>
          <w:p w:rsidR="00294A63" w:rsidRDefault="003B2D48">
            <w:pPr>
              <w:pBdr>
                <w:top w:val="nil"/>
                <w:left w:val="nil"/>
                <w:bottom w:val="nil"/>
                <w:right w:val="nil"/>
                <w:between w:val="nil"/>
              </w:pBdr>
              <w:spacing w:before="120" w:after="120"/>
              <w:jc w:val="center"/>
              <w:rPr>
                <w:rFonts w:eastAsia="Arial" w:cs="Arial"/>
                <w:color w:val="000000"/>
                <w:szCs w:val="20"/>
              </w:rPr>
            </w:pPr>
            <w:r>
              <w:rPr>
                <w:rFonts w:ascii="MS Gothic" w:eastAsia="MS Gothic" w:hAnsi="MS Gothic" w:cs="MS Gothic"/>
                <w:color w:val="000000"/>
                <w:szCs w:val="20"/>
              </w:rPr>
              <w:t>☐</w:t>
            </w:r>
          </w:p>
        </w:tc>
      </w:tr>
    </w:tbl>
    <w:p w:rsidR="00294A63" w:rsidRDefault="003B2D48">
      <w:pPr>
        <w:pStyle w:val="Heading1"/>
        <w:numPr>
          <w:ilvl w:val="0"/>
          <w:numId w:val="2"/>
        </w:numPr>
      </w:pPr>
      <w:r>
        <w:t>Definitions</w:t>
      </w:r>
    </w:p>
    <w:tbl>
      <w:tblPr>
        <w:tblStyle w:val="a1"/>
        <w:tblW w:w="8914" w:type="dxa"/>
        <w:tblInd w:w="720" w:type="dxa"/>
        <w:tblBorders>
          <w:top w:val="nil"/>
          <w:left w:val="nil"/>
          <w:bottom w:val="nil"/>
          <w:right w:val="nil"/>
          <w:insideH w:val="nil"/>
          <w:insideV w:val="nil"/>
        </w:tblBorders>
        <w:tblLayout w:type="fixed"/>
        <w:tblLook w:val="0400" w:firstRow="0" w:lastRow="0" w:firstColumn="0" w:lastColumn="0" w:noHBand="0" w:noVBand="1"/>
      </w:tblPr>
      <w:tblGrid>
        <w:gridCol w:w="1695"/>
        <w:gridCol w:w="7219"/>
      </w:tblGrid>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“Anti-virus Software”</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software that:</w:t>
            </w:r>
          </w:p>
          <w:p w:rsidR="00294A63" w:rsidRDefault="003B2D48">
            <w:pPr>
              <w:numPr>
                <w:ilvl w:val="2"/>
                <w:numId w:val="7"/>
              </w:numPr>
              <w:pBdr>
                <w:top w:val="nil"/>
                <w:left w:val="nil"/>
                <w:bottom w:val="nil"/>
                <w:right w:val="nil"/>
                <w:between w:val="nil"/>
              </w:pBdr>
              <w:spacing w:before="120" w:after="120"/>
            </w:pPr>
            <w:r>
              <w:rPr>
                <w:rFonts w:eastAsia="Arial" w:cs="Arial"/>
                <w:color w:val="000000"/>
                <w:szCs w:val="20"/>
              </w:rPr>
              <w:t>protects the Supplier System from the possible introduction of Malicious Software;</w:t>
            </w:r>
          </w:p>
          <w:p w:rsidR="00294A63" w:rsidRDefault="003B2D48">
            <w:pPr>
              <w:numPr>
                <w:ilvl w:val="2"/>
                <w:numId w:val="7"/>
              </w:numPr>
              <w:pBdr>
                <w:top w:val="nil"/>
                <w:left w:val="nil"/>
                <w:bottom w:val="nil"/>
                <w:right w:val="nil"/>
                <w:between w:val="nil"/>
              </w:pBdr>
              <w:spacing w:before="120" w:after="120"/>
            </w:pPr>
            <w:r>
              <w:rPr>
                <w:rFonts w:eastAsia="Arial" w:cs="Arial"/>
                <w:color w:val="000000"/>
                <w:szCs w:val="20"/>
              </w:rPr>
              <w:t>scans for and identifies possible Malicious Software in the Supplier System;</w:t>
            </w:r>
          </w:p>
          <w:p w:rsidR="00294A63" w:rsidRDefault="003B2D48">
            <w:pPr>
              <w:numPr>
                <w:ilvl w:val="2"/>
                <w:numId w:val="7"/>
              </w:numPr>
              <w:pBdr>
                <w:top w:val="nil"/>
                <w:left w:val="nil"/>
                <w:bottom w:val="nil"/>
                <w:right w:val="nil"/>
                <w:between w:val="nil"/>
              </w:pBdr>
              <w:spacing w:before="120" w:after="120"/>
            </w:pPr>
            <w:r>
              <w:rPr>
                <w:rFonts w:eastAsia="Arial" w:cs="Arial"/>
                <w:color w:val="000000"/>
                <w:szCs w:val="20"/>
              </w:rPr>
              <w:t>if Malicious Software is detected in the Supplier System, so far as possibl</w:t>
            </w:r>
            <w:r>
              <w:rPr>
                <w:rFonts w:eastAsia="Arial" w:cs="Arial"/>
                <w:color w:val="000000"/>
                <w:szCs w:val="20"/>
              </w:rPr>
              <w:t>e:</w:t>
            </w:r>
          </w:p>
          <w:p w:rsidR="00294A63" w:rsidRDefault="003B2D48">
            <w:pPr>
              <w:numPr>
                <w:ilvl w:val="3"/>
                <w:numId w:val="7"/>
              </w:numPr>
              <w:pBdr>
                <w:top w:val="nil"/>
                <w:left w:val="nil"/>
                <w:bottom w:val="nil"/>
                <w:right w:val="nil"/>
                <w:between w:val="nil"/>
              </w:pBdr>
            </w:pPr>
            <w:r>
              <w:rPr>
                <w:rFonts w:eastAsia="Arial" w:cs="Arial"/>
                <w:color w:val="000000"/>
                <w:szCs w:val="20"/>
              </w:rPr>
              <w:t>prevents the harmful effects of the Malicious Software; and</w:t>
            </w:r>
          </w:p>
          <w:p w:rsidR="00294A63" w:rsidRDefault="003B2D48">
            <w:pPr>
              <w:numPr>
                <w:ilvl w:val="3"/>
                <w:numId w:val="7"/>
              </w:numPr>
              <w:pBdr>
                <w:top w:val="nil"/>
                <w:left w:val="nil"/>
                <w:bottom w:val="nil"/>
                <w:right w:val="nil"/>
                <w:between w:val="nil"/>
              </w:pBdr>
            </w:pPr>
            <w:r>
              <w:rPr>
                <w:rFonts w:eastAsia="Arial" w:cs="Arial"/>
                <w:color w:val="000000"/>
                <w:szCs w:val="20"/>
              </w:rPr>
              <w:t>removes the Malicious Software from the Supplier System;</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“BPSS”</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the employment controls applied to any individual member of the Supplier Staff that performs any activity relating to the provision or management of the Services, as set out in “HMG Baseline Personnel Standard”, Version 7.0, June 2024  (</w:t>
            </w:r>
            <w:hyperlink r:id="rId8">
              <w:r>
                <w:rPr>
                  <w:rFonts w:eastAsia="Arial" w:cs="Arial"/>
                  <w:color w:val="0000FF"/>
                  <w:szCs w:val="20"/>
                  <w:u w:val="single"/>
                </w:rPr>
                <w:t>https://www.gov.uk/government/publications/government-baseline-personnel-security-standard</w:t>
              </w:r>
            </w:hyperlink>
            <w:r>
              <w:rPr>
                <w:rFonts w:eastAsia="Arial" w:cs="Arial"/>
                <w:color w:val="000000"/>
                <w:szCs w:val="20"/>
              </w:rPr>
              <w:t>), as that document is updated from time to time;</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“Breach of Securit</w:t>
            </w:r>
            <w:r>
              <w:rPr>
                <w:rFonts w:eastAsia="Arial" w:cs="Arial"/>
                <w:b/>
                <w:color w:val="000000"/>
                <w:szCs w:val="20"/>
              </w:rPr>
              <w:t>y”</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the occurrence of:</w:t>
            </w:r>
          </w:p>
          <w:p w:rsidR="00294A63" w:rsidRDefault="003B2D48">
            <w:pPr>
              <w:numPr>
                <w:ilvl w:val="2"/>
                <w:numId w:val="6"/>
              </w:numPr>
              <w:pBdr>
                <w:top w:val="nil"/>
                <w:left w:val="nil"/>
                <w:bottom w:val="nil"/>
                <w:right w:val="nil"/>
                <w:between w:val="nil"/>
              </w:pBdr>
              <w:spacing w:before="120" w:after="120"/>
            </w:pPr>
            <w:bookmarkStart w:id="7" w:name="_heading=h.1t3h5sf" w:colFirst="0" w:colLast="0"/>
            <w:bookmarkEnd w:id="7"/>
            <w:r>
              <w:rPr>
                <w:rFonts w:eastAsia="Arial" w:cs="Arial"/>
                <w:color w:val="000000"/>
                <w:szCs w:val="20"/>
              </w:rPr>
              <w:t xml:space="preserve">any unauthorised access to or use of the Services, the Sites, the Supplier System and/or the Government Data; </w:t>
            </w:r>
          </w:p>
          <w:p w:rsidR="00294A63" w:rsidRDefault="003B2D48">
            <w:pPr>
              <w:numPr>
                <w:ilvl w:val="2"/>
                <w:numId w:val="8"/>
              </w:numPr>
              <w:pBdr>
                <w:top w:val="nil"/>
                <w:left w:val="nil"/>
                <w:bottom w:val="nil"/>
                <w:right w:val="nil"/>
                <w:between w:val="nil"/>
              </w:pBdr>
              <w:spacing w:before="120" w:after="120"/>
            </w:pPr>
            <w:r>
              <w:rPr>
                <w:rFonts w:eastAsia="Arial" w:cs="Arial"/>
                <w:color w:val="000000"/>
                <w:szCs w:val="20"/>
              </w:rPr>
              <w:lastRenderedPageBreak/>
              <w:t>the loss (physical or otherwise), corruption and/or unauthorised disclosure of any Government Data, including copies of such Government Data; and/or</w:t>
            </w:r>
          </w:p>
          <w:p w:rsidR="00294A63" w:rsidRDefault="003B2D48">
            <w:pPr>
              <w:numPr>
                <w:ilvl w:val="2"/>
                <w:numId w:val="8"/>
              </w:numPr>
              <w:pBdr>
                <w:top w:val="nil"/>
                <w:left w:val="nil"/>
                <w:bottom w:val="nil"/>
                <w:right w:val="nil"/>
                <w:between w:val="nil"/>
              </w:pBdr>
              <w:spacing w:before="120" w:after="120"/>
            </w:pPr>
            <w:r>
              <w:rPr>
                <w:rFonts w:eastAsia="Arial" w:cs="Arial"/>
                <w:color w:val="000000"/>
                <w:szCs w:val="20"/>
              </w:rPr>
              <w:t>any part of the Supplier System ceasing to be compliant with the required Certifications;</w:t>
            </w:r>
          </w:p>
          <w:p w:rsidR="00294A63" w:rsidRDefault="003B2D48">
            <w:pPr>
              <w:numPr>
                <w:ilvl w:val="2"/>
                <w:numId w:val="8"/>
              </w:numPr>
              <w:pBdr>
                <w:top w:val="nil"/>
                <w:left w:val="nil"/>
                <w:bottom w:val="nil"/>
                <w:right w:val="nil"/>
                <w:between w:val="nil"/>
              </w:pBdr>
              <w:spacing w:before="120" w:after="120"/>
            </w:pPr>
            <w:r>
              <w:rPr>
                <w:rFonts w:eastAsia="Arial" w:cs="Arial"/>
                <w:color w:val="000000"/>
                <w:szCs w:val="20"/>
              </w:rPr>
              <w:t xml:space="preserve">the installation </w:t>
            </w:r>
            <w:r>
              <w:rPr>
                <w:rFonts w:eastAsia="Arial" w:cs="Arial"/>
                <w:color w:val="000000"/>
                <w:szCs w:val="20"/>
              </w:rPr>
              <w:t>of Malicious Software in the Supplier System:</w:t>
            </w:r>
          </w:p>
          <w:p w:rsidR="00294A63" w:rsidRDefault="003B2D48">
            <w:pPr>
              <w:numPr>
                <w:ilvl w:val="2"/>
                <w:numId w:val="8"/>
              </w:numPr>
              <w:pBdr>
                <w:top w:val="nil"/>
                <w:left w:val="nil"/>
                <w:bottom w:val="nil"/>
                <w:right w:val="nil"/>
                <w:between w:val="nil"/>
              </w:pBdr>
            </w:pPr>
            <w:r>
              <w:rPr>
                <w:rFonts w:eastAsia="Arial" w:cs="Arial"/>
                <w:color w:val="000000"/>
                <w:szCs w:val="20"/>
              </w:rPr>
              <w:t>any loss of operational efficiency or failure to operate to specification as the result of the installation or operation of Malicious Software in the Supplier System; and</w:t>
            </w:r>
          </w:p>
          <w:p w:rsidR="00294A63" w:rsidRDefault="003B2D48">
            <w:pPr>
              <w:numPr>
                <w:ilvl w:val="2"/>
                <w:numId w:val="8"/>
              </w:numPr>
              <w:pBdr>
                <w:top w:val="nil"/>
                <w:left w:val="nil"/>
                <w:bottom w:val="nil"/>
                <w:right w:val="nil"/>
                <w:between w:val="nil"/>
              </w:pBdr>
              <w:spacing w:before="120" w:after="120"/>
            </w:pPr>
            <w:r>
              <w:rPr>
                <w:rFonts w:eastAsia="Arial" w:cs="Arial"/>
                <w:color w:val="000000"/>
                <w:szCs w:val="20"/>
              </w:rPr>
              <w:t>includes any attempt to undertake the a</w:t>
            </w:r>
            <w:r>
              <w:rPr>
                <w:rFonts w:eastAsia="Arial" w:cs="Arial"/>
                <w:color w:val="000000"/>
                <w:szCs w:val="20"/>
              </w:rPr>
              <w:t>ctivities listed in sub-Paragraph (a) where the Supplier has reasonable grounds to suspect that attempt:</w:t>
            </w:r>
          </w:p>
          <w:p w:rsidR="00294A63" w:rsidRDefault="003B2D48">
            <w:pPr>
              <w:numPr>
                <w:ilvl w:val="3"/>
                <w:numId w:val="8"/>
              </w:numPr>
              <w:pBdr>
                <w:top w:val="nil"/>
                <w:left w:val="nil"/>
                <w:bottom w:val="nil"/>
                <w:right w:val="nil"/>
                <w:between w:val="nil"/>
              </w:pBdr>
            </w:pPr>
            <w:r>
              <w:rPr>
                <w:rFonts w:eastAsia="Arial" w:cs="Arial"/>
                <w:color w:val="000000"/>
                <w:szCs w:val="20"/>
              </w:rPr>
              <w:t>was part of a wider effort to access information and communications technology operated by or on behalf of Central Government Bodies; or</w:t>
            </w:r>
          </w:p>
          <w:p w:rsidR="00294A63" w:rsidRDefault="003B2D48">
            <w:pPr>
              <w:numPr>
                <w:ilvl w:val="3"/>
                <w:numId w:val="8"/>
              </w:numPr>
              <w:pBdr>
                <w:top w:val="nil"/>
                <w:left w:val="nil"/>
                <w:bottom w:val="nil"/>
                <w:right w:val="nil"/>
                <w:between w:val="nil"/>
              </w:pBdr>
            </w:pPr>
            <w:r>
              <w:rPr>
                <w:rFonts w:eastAsia="Arial" w:cs="Arial"/>
                <w:color w:val="000000"/>
                <w:szCs w:val="20"/>
              </w:rPr>
              <w:t>was undertaken, or directed by, a state other than the United Kingdom;</w:t>
            </w:r>
          </w:p>
        </w:tc>
      </w:tr>
      <w:tr w:rsidR="00294A63">
        <w:trPr>
          <w:trHeight w:val="300"/>
        </w:trPr>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lastRenderedPageBreak/>
              <w:t>“Buyer Equipment”</w:t>
            </w:r>
          </w:p>
        </w:tc>
        <w:tc>
          <w:tcPr>
            <w:tcW w:w="7219" w:type="dxa"/>
          </w:tcPr>
          <w:p w:rsidR="00294A63" w:rsidRDefault="003B2D48">
            <w:pPr>
              <w:pBdr>
                <w:top w:val="nil"/>
                <w:left w:val="nil"/>
                <w:bottom w:val="nil"/>
                <w:right w:val="nil"/>
                <w:between w:val="nil"/>
              </w:pBdr>
              <w:spacing w:before="120" w:after="120"/>
              <w:ind w:left="1440" w:hanging="720"/>
              <w:rPr>
                <w:rFonts w:eastAsia="Arial" w:cs="Arial"/>
                <w:color w:val="000000"/>
                <w:szCs w:val="20"/>
              </w:rPr>
            </w:pPr>
            <w:r>
              <w:rPr>
                <w:rFonts w:eastAsia="Arial" w:cs="Arial"/>
                <w:color w:val="000000"/>
                <w:szCs w:val="20"/>
              </w:rPr>
              <w:t>means any hardware, computer or telecoms devices, and equipment that forms part of the Buyer System;</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“Buyer Security Policies”</w:t>
            </w:r>
          </w:p>
        </w:tc>
        <w:tc>
          <w:tcPr>
            <w:tcW w:w="7219" w:type="dxa"/>
          </w:tcPr>
          <w:p w:rsidR="00294A63" w:rsidRDefault="003B2D48">
            <w:pPr>
              <w:pBdr>
                <w:top w:val="nil"/>
                <w:left w:val="nil"/>
                <w:bottom w:val="nil"/>
                <w:right w:val="nil"/>
                <w:between w:val="nil"/>
              </w:pBdr>
              <w:spacing w:before="120" w:after="120"/>
              <w:ind w:left="1440" w:hanging="720"/>
              <w:rPr>
                <w:rFonts w:eastAsia="Arial" w:cs="Arial"/>
                <w:color w:val="000000"/>
                <w:szCs w:val="20"/>
              </w:rPr>
            </w:pPr>
            <w:r>
              <w:rPr>
                <w:rFonts w:eastAsia="Arial" w:cs="Arial"/>
                <w:color w:val="000000"/>
                <w:szCs w:val="20"/>
              </w:rPr>
              <w:t>means those securities specified by the Buyer in Paragraph 1.3;</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“Certifications”</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one or more of the following certifications (or equivalent):</w:t>
            </w:r>
          </w:p>
          <w:p w:rsidR="00294A63" w:rsidRDefault="003B2D48">
            <w:pPr>
              <w:numPr>
                <w:ilvl w:val="2"/>
                <w:numId w:val="11"/>
              </w:numPr>
              <w:pBdr>
                <w:top w:val="nil"/>
                <w:left w:val="nil"/>
                <w:bottom w:val="nil"/>
                <w:right w:val="nil"/>
                <w:between w:val="nil"/>
              </w:pBdr>
            </w:pPr>
            <w:r>
              <w:rPr>
                <w:rFonts w:eastAsia="Arial" w:cs="Arial"/>
                <w:color w:val="000000"/>
                <w:szCs w:val="20"/>
              </w:rPr>
              <w:t>ISO/IEC 27001:2022 by a UKAS-recognised Certification Body in respect of the Supplier System, or in respect of a wider system of which the Supplier System forms part; and</w:t>
            </w:r>
          </w:p>
          <w:p w:rsidR="00294A63" w:rsidRDefault="003B2D48">
            <w:pPr>
              <w:numPr>
                <w:ilvl w:val="2"/>
                <w:numId w:val="3"/>
              </w:numPr>
              <w:pBdr>
                <w:top w:val="nil"/>
                <w:left w:val="nil"/>
                <w:bottom w:val="nil"/>
                <w:right w:val="nil"/>
                <w:between w:val="nil"/>
              </w:pBdr>
            </w:pPr>
            <w:r>
              <w:rPr>
                <w:rFonts w:eastAsia="Arial" w:cs="Arial"/>
                <w:color w:val="000000"/>
                <w:szCs w:val="20"/>
              </w:rPr>
              <w:t>Cyber Essentials Plus; and/or</w:t>
            </w:r>
          </w:p>
          <w:p w:rsidR="00294A63" w:rsidRDefault="003B2D48">
            <w:pPr>
              <w:numPr>
                <w:ilvl w:val="2"/>
                <w:numId w:val="11"/>
              </w:numPr>
              <w:pBdr>
                <w:top w:val="nil"/>
                <w:left w:val="nil"/>
                <w:bottom w:val="nil"/>
                <w:right w:val="nil"/>
                <w:between w:val="nil"/>
              </w:pBdr>
            </w:pPr>
            <w:r>
              <w:rPr>
                <w:rFonts w:eastAsia="Arial" w:cs="Arial"/>
                <w:color w:val="000000"/>
                <w:szCs w:val="20"/>
              </w:rPr>
              <w:t>Cyber Essentials;</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“CHECK Scheme”</w:t>
            </w:r>
          </w:p>
        </w:tc>
        <w:tc>
          <w:tcPr>
            <w:tcW w:w="7219"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color w:val="000000"/>
                <w:szCs w:val="20"/>
              </w:rPr>
              <w:t>means the NCSC’s scheme under which approved companies can conduct authorised penetration tests of public sector and critical national infrastructure systems and networks;</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“CHECK Service Provider”</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a company which, under the CHECK Scheme:</w:t>
            </w:r>
          </w:p>
          <w:p w:rsidR="00294A63" w:rsidRDefault="003B2D48">
            <w:pPr>
              <w:numPr>
                <w:ilvl w:val="2"/>
                <w:numId w:val="4"/>
              </w:numPr>
              <w:pBdr>
                <w:top w:val="nil"/>
                <w:left w:val="nil"/>
                <w:bottom w:val="nil"/>
                <w:right w:val="nil"/>
                <w:between w:val="nil"/>
              </w:pBdr>
              <w:spacing w:before="120" w:after="120"/>
            </w:pPr>
            <w:r>
              <w:rPr>
                <w:rFonts w:eastAsia="Arial" w:cs="Arial"/>
                <w:color w:val="000000"/>
                <w:szCs w:val="20"/>
              </w:rPr>
              <w:t>has been ce</w:t>
            </w:r>
            <w:r>
              <w:rPr>
                <w:rFonts w:eastAsia="Arial" w:cs="Arial"/>
                <w:color w:val="000000"/>
                <w:szCs w:val="20"/>
              </w:rPr>
              <w:t>rtified by the NCSC;</w:t>
            </w:r>
          </w:p>
          <w:p w:rsidR="00294A63" w:rsidRDefault="003B2D48">
            <w:pPr>
              <w:numPr>
                <w:ilvl w:val="2"/>
                <w:numId w:val="4"/>
              </w:numPr>
              <w:pBdr>
                <w:top w:val="nil"/>
                <w:left w:val="nil"/>
                <w:bottom w:val="nil"/>
                <w:right w:val="nil"/>
                <w:between w:val="nil"/>
              </w:pBdr>
              <w:spacing w:before="120" w:after="120"/>
            </w:pPr>
            <w:r>
              <w:rPr>
                <w:rFonts w:eastAsia="Arial" w:cs="Arial"/>
                <w:color w:val="000000"/>
                <w:szCs w:val="20"/>
              </w:rPr>
              <w:t>holds “Green Light” status; and</w:t>
            </w:r>
          </w:p>
          <w:p w:rsidR="00294A63" w:rsidRDefault="003B2D48">
            <w:pPr>
              <w:numPr>
                <w:ilvl w:val="2"/>
                <w:numId w:val="4"/>
              </w:numPr>
              <w:pBdr>
                <w:top w:val="nil"/>
                <w:left w:val="nil"/>
                <w:bottom w:val="nil"/>
                <w:right w:val="nil"/>
                <w:between w:val="nil"/>
              </w:pBdr>
              <w:spacing w:before="120" w:after="120"/>
            </w:pPr>
            <w:r>
              <w:rPr>
                <w:rFonts w:eastAsia="Arial" w:cs="Arial"/>
                <w:color w:val="000000"/>
                <w:szCs w:val="20"/>
              </w:rPr>
              <w:t>is authorised to provide the IT Health Check services required by Paragraph 7 (</w:t>
            </w:r>
            <w:r>
              <w:rPr>
                <w:rFonts w:eastAsia="Arial" w:cs="Arial"/>
                <w:i/>
                <w:color w:val="000000"/>
                <w:szCs w:val="20"/>
              </w:rPr>
              <w:t>Security Testing</w:t>
            </w:r>
            <w:r>
              <w:rPr>
                <w:rFonts w:eastAsia="Arial" w:cs="Arial"/>
                <w:color w:val="000000"/>
                <w:szCs w:val="20"/>
              </w:rPr>
              <w:t>);</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“Cloud Security Principles”</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 xml:space="preserve">means the NCSC’s document “Implementing the Cloud Security Principles” as updated or replaced from time to time and found at </w:t>
            </w:r>
            <w:hyperlink r:id="rId9">
              <w:r>
                <w:rPr>
                  <w:rFonts w:eastAsia="Arial" w:cs="Arial"/>
                  <w:color w:val="0000FF"/>
                  <w:szCs w:val="20"/>
                  <w:u w:val="single"/>
                </w:rPr>
                <w:t>https://www.ncsc.gov.uk/collection/cloud-security/</w:t>
              </w:r>
              <w:r>
                <w:rPr>
                  <w:rFonts w:eastAsia="Arial" w:cs="Arial"/>
                  <w:color w:val="0000FF"/>
                  <w:szCs w:val="20"/>
                  <w:u w:val="single"/>
                </w:rPr>
                <w:br/>
                <w:t>implementing-the-cloud-security-principles</w:t>
              </w:r>
            </w:hyperlink>
            <w:r>
              <w:rPr>
                <w:rFonts w:eastAsia="Arial" w:cs="Arial"/>
                <w:color w:val="000000"/>
                <w:szCs w:val="20"/>
              </w:rPr>
              <w:t>;</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lastRenderedPageBreak/>
              <w:t>“CREST Service Provider”</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a company with an information security accreditation of a security operations centre qualification from CREST International;</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“Cy</w:t>
            </w:r>
            <w:r>
              <w:rPr>
                <w:rFonts w:eastAsia="Arial" w:cs="Arial"/>
                <w:b/>
                <w:color w:val="000000"/>
                <w:szCs w:val="20"/>
              </w:rPr>
              <w:t>ber Essentials”</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the Cyber Essentials certificate issued under the Cyber Essentials Scheme;</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“Cyber Essentials Plus”</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the Cyber Essentials Plus certificate issued under the Cyber Essentials Scheme;</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“Cyber Essentials Scheme”</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the Cyber Essen</w:t>
            </w:r>
            <w:r>
              <w:rPr>
                <w:rFonts w:eastAsia="Arial" w:cs="Arial"/>
                <w:color w:val="000000"/>
                <w:szCs w:val="20"/>
              </w:rPr>
              <w:t>tials scheme operated by the NCSC;</w:t>
            </w:r>
          </w:p>
        </w:tc>
      </w:tr>
      <w:tr w:rsidR="00294A63">
        <w:trPr>
          <w:trHeight w:val="300"/>
        </w:trPr>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“Developed System”</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the software or system that the Supplier is required to develop under this Contract;</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“End-user Device”</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any personal computers, laptops, tablets, terminals, smartphones or other portable electronic devices used in the provision of the Services;</w:t>
            </w:r>
          </w:p>
        </w:tc>
      </w:tr>
      <w:tr w:rsidR="00294A63">
        <w:tc>
          <w:tcPr>
            <w:tcW w:w="1695" w:type="dxa"/>
          </w:tcPr>
          <w:p w:rsidR="00294A63" w:rsidRDefault="003B2D48">
            <w:pPr>
              <w:keepNext/>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“Expected Behaviours”</w:t>
            </w:r>
          </w:p>
        </w:tc>
        <w:tc>
          <w:tcPr>
            <w:tcW w:w="7219" w:type="dxa"/>
          </w:tcPr>
          <w:p w:rsidR="00294A63" w:rsidRDefault="003B2D48">
            <w:pPr>
              <w:keepNext/>
              <w:pBdr>
                <w:top w:val="nil"/>
                <w:left w:val="nil"/>
                <w:bottom w:val="nil"/>
                <w:right w:val="nil"/>
                <w:between w:val="nil"/>
              </w:pBdr>
              <w:spacing w:before="120" w:after="120"/>
              <w:rPr>
                <w:rFonts w:eastAsia="Arial" w:cs="Arial"/>
                <w:color w:val="000000"/>
                <w:szCs w:val="20"/>
              </w:rPr>
            </w:pPr>
            <w:r>
              <w:rPr>
                <w:rFonts w:eastAsia="Arial" w:cs="Arial"/>
                <w:color w:val="000000"/>
                <w:szCs w:val="20"/>
              </w:rPr>
              <w:t xml:space="preserve">means the expected behaviours set out and updated from time to time in the Government Security Classification Policy, currently found at paragraphs 12 to 16 and in the table below paragraph 16 of </w:t>
            </w:r>
            <w:hyperlink r:id="rId10">
              <w:r>
                <w:rPr>
                  <w:rFonts w:eastAsia="Arial" w:cs="Arial"/>
                  <w:color w:val="0000FF"/>
                  <w:szCs w:val="20"/>
                  <w:u w:val="single"/>
                </w:rPr>
                <w:t>https://www.gov.uk/government/publications/government-security-classifications/guidance-11-working-at-official-html</w:t>
              </w:r>
            </w:hyperlink>
            <w:r>
              <w:rPr>
                <w:rFonts w:eastAsia="Arial" w:cs="Arial"/>
                <w:color w:val="000000"/>
                <w:szCs w:val="20"/>
              </w:rPr>
              <w:t>;</w:t>
            </w:r>
          </w:p>
        </w:tc>
      </w:tr>
      <w:tr w:rsidR="00294A63">
        <w:tc>
          <w:tcPr>
            <w:tcW w:w="1695" w:type="dxa"/>
          </w:tcPr>
          <w:p w:rsidR="00294A63" w:rsidRDefault="003B2D48">
            <w:pPr>
              <w:keepNext/>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“Government Security Classification Policy”</w:t>
            </w:r>
          </w:p>
        </w:tc>
        <w:tc>
          <w:tcPr>
            <w:tcW w:w="7219" w:type="dxa"/>
          </w:tcPr>
          <w:p w:rsidR="00294A63" w:rsidRDefault="003B2D48">
            <w:pPr>
              <w:keepNext/>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the policy, as updated from time to time, establishing an administrative system to protect information assets appropriately against prevalent threats, including classification tiers, protective security controls and baseline behaviours, the current v</w:t>
            </w:r>
            <w:r>
              <w:rPr>
                <w:rFonts w:eastAsia="Arial" w:cs="Arial"/>
                <w:color w:val="000000"/>
                <w:szCs w:val="20"/>
              </w:rPr>
              <w:t xml:space="preserve">ersion of which is found at </w:t>
            </w:r>
            <w:hyperlink r:id="rId11">
              <w:r>
                <w:rPr>
                  <w:rFonts w:eastAsia="Arial" w:cs="Arial"/>
                  <w:color w:val="0000FF"/>
                  <w:szCs w:val="20"/>
                  <w:u w:val="single"/>
                </w:rPr>
                <w:t>https://www.gov.uk/</w:t>
              </w:r>
              <w:r>
                <w:rPr>
                  <w:rFonts w:eastAsia="Arial" w:cs="Arial"/>
                  <w:color w:val="0000FF"/>
                  <w:szCs w:val="20"/>
                  <w:u w:val="single"/>
                </w:rPr>
                <w:br/>
                <w:t>government/publications/government-security-classifications</w:t>
              </w:r>
            </w:hyperlink>
            <w:r>
              <w:rPr>
                <w:rFonts w:eastAsia="Arial" w:cs="Arial"/>
                <w:color w:val="000000"/>
                <w:szCs w:val="20"/>
              </w:rPr>
              <w:t>;</w:t>
            </w:r>
          </w:p>
        </w:tc>
      </w:tr>
      <w:tr w:rsidR="00294A63">
        <w:trPr>
          <w:trHeight w:val="300"/>
        </w:trPr>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“Handle”</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w:t>
            </w:r>
            <w:r>
              <w:rPr>
                <w:rFonts w:eastAsia="Arial" w:cs="Arial"/>
                <w:color w:val="000000"/>
                <w:szCs w:val="20"/>
              </w:rPr>
              <w:t>ans any operation performed on data, whether or not by automated means, including collection, recording, organisation, structuring, storage, adaptation or alteration, retrieval, consultation, use, disclosure by transmission, dissemination or otherwise maki</w:t>
            </w:r>
            <w:r>
              <w:rPr>
                <w:rFonts w:eastAsia="Arial" w:cs="Arial"/>
                <w:color w:val="000000"/>
                <w:szCs w:val="20"/>
              </w:rPr>
              <w:t>ng available, alignment or combination, restriction, erasure or destruction of that data;</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“IT Health Check”</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the security testing of the Supplier System;</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“NCSC”</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the National Cyber Security Centre, or any successor body performing the functions of the National Cyber Security Centre;</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“NCSC Device Guidance”</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 xml:space="preserve">means the NCSC’s document “Device Security Guidance”, as updated or replaced from time to time and found at </w:t>
            </w:r>
            <w:hyperlink r:id="rId12">
              <w:r>
                <w:rPr>
                  <w:rFonts w:eastAsia="Arial" w:cs="Arial"/>
                  <w:color w:val="0000FF"/>
                  <w:szCs w:val="20"/>
                  <w:u w:val="single"/>
                </w:rPr>
                <w:t>https://www.ncsc.gov.uk/collection/device-security-guidance</w:t>
              </w:r>
            </w:hyperlink>
            <w:r>
              <w:rPr>
                <w:rFonts w:eastAsia="Arial" w:cs="Arial"/>
                <w:color w:val="000000"/>
                <w:szCs w:val="20"/>
              </w:rPr>
              <w:t xml:space="preserve">; </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“Privi</w:t>
            </w:r>
            <w:r>
              <w:rPr>
                <w:rFonts w:eastAsia="Arial" w:cs="Arial"/>
                <w:b/>
                <w:color w:val="000000"/>
                <w:szCs w:val="20"/>
              </w:rPr>
              <w:t>leged User”</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a user with system administration access to the Supplier System, or substantially similar access privileges;</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“Prohibition Notice”</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the meaning given to that term by Paragraph 5.4.</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lastRenderedPageBreak/>
              <w:t>“Protective Monitoring System”</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has the meaning given to that term by Paragraph 16.1;</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“Relevant Conviction”</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any previous or pending prosecution, conviction or caution (excluding any spent conviction under the Rehabilitation of Offenders Act 1974) relating to offences involving dis</w:t>
            </w:r>
            <w:r>
              <w:rPr>
                <w:rFonts w:eastAsia="Arial" w:cs="Arial"/>
                <w:color w:val="000000"/>
                <w:szCs w:val="20"/>
              </w:rPr>
              <w:t>honesty, terrorism, immigration, firearms, fraud, forgery, tax evasion, offences against people (including sexual offences) or any other offences relevant to Services as the Buyer may specify;</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“Remote Location”</w:t>
            </w:r>
          </w:p>
        </w:tc>
        <w:tc>
          <w:tcPr>
            <w:tcW w:w="7219" w:type="dxa"/>
          </w:tcPr>
          <w:p w:rsidR="00294A63" w:rsidRDefault="003B2D48">
            <w:pPr>
              <w:keepNext/>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[the relevant Supplier Staff’s permanent home address authorised by the Supplier or Sub-contractor (as applicable) for Remote Working OR a location other than a Supplier’s or a Sub-contractor’s Site];</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“Remote Working”</w:t>
            </w:r>
          </w:p>
        </w:tc>
        <w:tc>
          <w:tcPr>
            <w:tcW w:w="7219" w:type="dxa"/>
          </w:tcPr>
          <w:p w:rsidR="00294A63" w:rsidRDefault="003B2D48">
            <w:pPr>
              <w:keepNext/>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the provision or manageme</w:t>
            </w:r>
            <w:r>
              <w:rPr>
                <w:rFonts w:eastAsia="Arial" w:cs="Arial"/>
                <w:color w:val="000000"/>
                <w:szCs w:val="20"/>
              </w:rPr>
              <w:t>nt of the Services by Supplier Staff from a location other than a Supplier’s or a Sub-contractor’s Site;</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“Remote Working Policy”</w:t>
            </w:r>
          </w:p>
        </w:tc>
        <w:tc>
          <w:tcPr>
            <w:tcW w:w="7219" w:type="dxa"/>
          </w:tcPr>
          <w:p w:rsidR="00294A63" w:rsidRDefault="003B2D48">
            <w:pPr>
              <w:keepNext/>
              <w:pBdr>
                <w:top w:val="nil"/>
                <w:left w:val="nil"/>
                <w:bottom w:val="nil"/>
                <w:right w:val="nil"/>
                <w:between w:val="nil"/>
              </w:pBdr>
              <w:spacing w:before="120" w:after="120"/>
              <w:rPr>
                <w:rFonts w:eastAsia="Arial" w:cs="Arial"/>
                <w:color w:val="000000"/>
                <w:szCs w:val="20"/>
              </w:rPr>
            </w:pPr>
            <w:r>
              <w:rPr>
                <w:rFonts w:eastAsia="Arial" w:cs="Arial"/>
                <w:color w:val="000000"/>
                <w:szCs w:val="20"/>
              </w:rPr>
              <w:t>the policy prepared and approved under Paragraph 22 under which Supplier Staff are permitted to undertake Remote Working;</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“Security Controls”</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 xml:space="preserve">means the security controls set out and updated from time to time in the Government Security Classification Policy, currently found at Paragraph 12 of </w:t>
            </w:r>
            <w:hyperlink r:id="rId13">
              <w:r>
                <w:rPr>
                  <w:rFonts w:eastAsia="Arial" w:cs="Arial"/>
                  <w:color w:val="0000FF"/>
                  <w:szCs w:val="20"/>
                  <w:u w:val="single"/>
                </w:rPr>
                <w:t>https://www.gov.uk/government/publications/government-security-classifications/guidance-15-considerations-for-security-advisors-html</w:t>
              </w:r>
            </w:hyperlink>
            <w:r>
              <w:rPr>
                <w:rFonts w:eastAsia="Arial" w:cs="Arial"/>
                <w:color w:val="000000"/>
                <w:szCs w:val="20"/>
              </w:rPr>
              <w:t>;</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“Staff Vetting Procedure”</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the procedure for vett</w:t>
            </w:r>
            <w:r>
              <w:rPr>
                <w:rFonts w:eastAsia="Arial" w:cs="Arial"/>
                <w:color w:val="000000"/>
                <w:szCs w:val="20"/>
              </w:rPr>
              <w:t>ing Supplier Staff set out in Paragraph 6;</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“Subcontractor Staff”</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w:t>
            </w:r>
          </w:p>
          <w:p w:rsidR="00294A63" w:rsidRDefault="003B2D48">
            <w:pPr>
              <w:numPr>
                <w:ilvl w:val="2"/>
                <w:numId w:val="5"/>
              </w:numPr>
              <w:pBdr>
                <w:top w:val="nil"/>
                <w:left w:val="nil"/>
                <w:bottom w:val="nil"/>
                <w:right w:val="nil"/>
                <w:between w:val="nil"/>
              </w:pBdr>
              <w:spacing w:before="120" w:after="120"/>
            </w:pPr>
            <w:r>
              <w:rPr>
                <w:rFonts w:eastAsia="Arial" w:cs="Arial"/>
                <w:color w:val="000000"/>
                <w:szCs w:val="20"/>
              </w:rPr>
              <w:t>any individual engaged, directly or indirectly, or employed, by any Subcontractor; and</w:t>
            </w:r>
          </w:p>
          <w:p w:rsidR="00294A63" w:rsidRDefault="003B2D48">
            <w:pPr>
              <w:numPr>
                <w:ilvl w:val="2"/>
                <w:numId w:val="5"/>
              </w:numPr>
              <w:pBdr>
                <w:top w:val="nil"/>
                <w:left w:val="nil"/>
                <w:bottom w:val="nil"/>
                <w:right w:val="nil"/>
                <w:between w:val="nil"/>
              </w:pBdr>
              <w:spacing w:before="120" w:after="120"/>
            </w:pPr>
            <w:r>
              <w:rPr>
                <w:rFonts w:eastAsia="Arial" w:cs="Arial"/>
                <w:color w:val="000000"/>
                <w:szCs w:val="20"/>
              </w:rPr>
              <w:t>engaged in or likely to be engaged in:</w:t>
            </w:r>
          </w:p>
          <w:p w:rsidR="00294A63" w:rsidRDefault="003B2D48">
            <w:pPr>
              <w:numPr>
                <w:ilvl w:val="3"/>
                <w:numId w:val="5"/>
              </w:numPr>
              <w:pBdr>
                <w:top w:val="nil"/>
                <w:left w:val="nil"/>
                <w:bottom w:val="nil"/>
                <w:right w:val="nil"/>
                <w:between w:val="nil"/>
              </w:pBdr>
              <w:spacing w:before="120" w:after="120"/>
            </w:pPr>
            <w:r>
              <w:rPr>
                <w:rFonts w:eastAsia="Arial" w:cs="Arial"/>
                <w:color w:val="000000"/>
                <w:szCs w:val="20"/>
              </w:rPr>
              <w:t>the performance or management of the Services; or</w:t>
            </w:r>
          </w:p>
          <w:p w:rsidR="00294A63" w:rsidRDefault="003B2D48">
            <w:pPr>
              <w:numPr>
                <w:ilvl w:val="3"/>
                <w:numId w:val="5"/>
              </w:numPr>
              <w:pBdr>
                <w:top w:val="nil"/>
                <w:left w:val="nil"/>
                <w:bottom w:val="nil"/>
                <w:right w:val="nil"/>
                <w:between w:val="nil"/>
              </w:pBdr>
              <w:spacing w:before="120" w:after="120"/>
            </w:pPr>
            <w:r>
              <w:rPr>
                <w:rFonts w:eastAsia="Arial" w:cs="Arial"/>
                <w:color w:val="000000"/>
                <w:szCs w:val="20"/>
              </w:rPr>
              <w:t>the provision of facilities or services that are necessary for the provision of the Services;</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r>
              <w:rPr>
                <w:rFonts w:eastAsia="Arial" w:cs="Arial"/>
                <w:b/>
                <w:color w:val="000000"/>
                <w:szCs w:val="20"/>
              </w:rPr>
              <w:t>“Third-party Tool”</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 any software used by the Supplier by which the Government Data is accessed, analysed or modified, or some form of operation is performed on it;</w:t>
            </w:r>
          </w:p>
        </w:tc>
      </w:tr>
      <w:tr w:rsidR="00294A63">
        <w:tc>
          <w:tcPr>
            <w:tcW w:w="1695" w:type="dxa"/>
          </w:tcPr>
          <w:p w:rsidR="00294A63" w:rsidRDefault="003B2D48">
            <w:pPr>
              <w:pBdr>
                <w:top w:val="nil"/>
                <w:left w:val="nil"/>
                <w:bottom w:val="nil"/>
                <w:right w:val="nil"/>
                <w:between w:val="nil"/>
              </w:pBdr>
              <w:spacing w:before="120" w:after="120"/>
              <w:rPr>
                <w:rFonts w:eastAsia="Arial" w:cs="Arial"/>
                <w:b/>
                <w:color w:val="000000"/>
                <w:szCs w:val="20"/>
              </w:rPr>
            </w:pPr>
            <w:bookmarkStart w:id="8" w:name="_heading=h.4d34og8" w:colFirst="0" w:colLast="0"/>
            <w:bookmarkEnd w:id="8"/>
            <w:r>
              <w:rPr>
                <w:rFonts w:eastAsia="Arial" w:cs="Arial"/>
                <w:b/>
                <w:color w:val="000000"/>
                <w:szCs w:val="20"/>
              </w:rPr>
              <w:t>UKAS-recognised Certification Body</w:t>
            </w:r>
          </w:p>
        </w:tc>
        <w:tc>
          <w:tcPr>
            <w:tcW w:w="7219" w:type="dxa"/>
          </w:tcPr>
          <w:p w:rsidR="00294A63" w:rsidRDefault="003B2D48">
            <w:pPr>
              <w:pBdr>
                <w:top w:val="nil"/>
                <w:left w:val="nil"/>
                <w:bottom w:val="nil"/>
                <w:right w:val="nil"/>
                <w:between w:val="nil"/>
              </w:pBdr>
              <w:spacing w:before="120" w:after="120"/>
              <w:rPr>
                <w:rFonts w:eastAsia="Arial" w:cs="Arial"/>
                <w:color w:val="000000"/>
                <w:szCs w:val="20"/>
              </w:rPr>
            </w:pPr>
            <w:r>
              <w:rPr>
                <w:rFonts w:eastAsia="Arial" w:cs="Arial"/>
                <w:color w:val="000000"/>
                <w:szCs w:val="20"/>
              </w:rPr>
              <w:t>means:</w:t>
            </w:r>
          </w:p>
          <w:p w:rsidR="00294A63" w:rsidRDefault="003B2D48">
            <w:pPr>
              <w:numPr>
                <w:ilvl w:val="2"/>
                <w:numId w:val="12"/>
              </w:numPr>
              <w:pBdr>
                <w:top w:val="nil"/>
                <w:left w:val="nil"/>
                <w:bottom w:val="nil"/>
                <w:right w:val="nil"/>
                <w:between w:val="nil"/>
              </w:pBdr>
              <w:spacing w:before="120" w:after="120"/>
              <w:ind w:left="720"/>
              <w:rPr>
                <w:rFonts w:eastAsia="Arial" w:cs="Arial"/>
                <w:color w:val="000000"/>
                <w:szCs w:val="20"/>
              </w:rPr>
            </w:pPr>
            <w:r>
              <w:rPr>
                <w:rFonts w:eastAsia="Arial" w:cs="Arial"/>
                <w:color w:val="000000"/>
                <w:szCs w:val="20"/>
              </w:rPr>
              <w:t xml:space="preserve">an organisation accredited by UKAS to provide certification of </w:t>
            </w:r>
            <w:r>
              <w:rPr>
                <w:rFonts w:eastAsia="Arial" w:cs="Arial"/>
                <w:color w:val="000000"/>
                <w:szCs w:val="20"/>
              </w:rPr>
              <w:t>ISO/IEC27001:2013 and/or ISO/IEC27001:2022; or</w:t>
            </w:r>
          </w:p>
          <w:p w:rsidR="00294A63" w:rsidRDefault="003B2D48">
            <w:pPr>
              <w:numPr>
                <w:ilvl w:val="2"/>
                <w:numId w:val="3"/>
              </w:numPr>
              <w:pBdr>
                <w:top w:val="nil"/>
                <w:left w:val="nil"/>
                <w:bottom w:val="nil"/>
                <w:right w:val="nil"/>
                <w:between w:val="nil"/>
              </w:pBdr>
              <w:spacing w:before="120" w:after="120"/>
              <w:ind w:left="720"/>
              <w:rPr>
                <w:rFonts w:eastAsia="Arial" w:cs="Arial"/>
                <w:color w:val="000000"/>
                <w:szCs w:val="20"/>
              </w:rPr>
            </w:pPr>
            <w:r>
              <w:rPr>
                <w:rFonts w:eastAsia="Arial" w:cs="Arial"/>
                <w:color w:val="000000"/>
                <w:szCs w:val="20"/>
              </w:rPr>
              <w:t>an organisation accredited to provide certification of ISO/IEC27001:2013 and/or ISO/IEC27001:2022 by a body with the equivalent functions as UKAS in a state with which the UK has a mutual recognition agreement recognising the technical equivalence of accre</w:t>
            </w:r>
            <w:r>
              <w:rPr>
                <w:rFonts w:eastAsia="Arial" w:cs="Arial"/>
                <w:color w:val="000000"/>
                <w:szCs w:val="20"/>
              </w:rPr>
              <w:t>dited conformity assessment.</w:t>
            </w:r>
          </w:p>
        </w:tc>
      </w:tr>
    </w:tbl>
    <w:p w:rsidR="00294A63" w:rsidRDefault="003B2D48">
      <w:pPr>
        <w:pStyle w:val="Heading1"/>
        <w:pageBreakBefore/>
        <w:jc w:val="center"/>
      </w:pPr>
      <w:r>
        <w:lastRenderedPageBreak/>
        <w:t>Part One: Core Requirements</w:t>
      </w:r>
    </w:p>
    <w:p w:rsidR="00294A63" w:rsidRDefault="003B2D48">
      <w:pPr>
        <w:pStyle w:val="Heading1"/>
        <w:numPr>
          <w:ilvl w:val="0"/>
          <w:numId w:val="2"/>
        </w:numPr>
      </w:pPr>
      <w:r>
        <w:t>Handling Government Data</w:t>
      </w:r>
    </w:p>
    <w:p w:rsidR="00294A63" w:rsidRDefault="003B2D48">
      <w:pPr>
        <w:pStyle w:val="Heading2"/>
        <w:numPr>
          <w:ilvl w:val="1"/>
          <w:numId w:val="2"/>
        </w:numPr>
      </w:pPr>
      <w:r>
        <w:t>The Supplier acknowledges that it:</w:t>
      </w:r>
    </w:p>
    <w:p w:rsidR="00294A63" w:rsidRDefault="003B2D48">
      <w:pPr>
        <w:pStyle w:val="Heading3"/>
        <w:numPr>
          <w:ilvl w:val="2"/>
          <w:numId w:val="2"/>
        </w:numPr>
      </w:pPr>
      <w:r>
        <w:t>must only Handle Government Data that is classified as OFFICIAL; and</w:t>
      </w:r>
    </w:p>
    <w:p w:rsidR="00294A63" w:rsidRDefault="003B2D48">
      <w:pPr>
        <w:pStyle w:val="Heading3"/>
        <w:numPr>
          <w:ilvl w:val="2"/>
          <w:numId w:val="2"/>
        </w:numPr>
      </w:pPr>
      <w:r>
        <w:t>must not Handle Government Data that is classified as SECRET of TOP S</w:t>
      </w:r>
      <w:r>
        <w:t>ECRET.</w:t>
      </w:r>
    </w:p>
    <w:p w:rsidR="00294A63" w:rsidRDefault="003B2D48">
      <w:pPr>
        <w:pStyle w:val="Heading2"/>
        <w:numPr>
          <w:ilvl w:val="1"/>
          <w:numId w:val="2"/>
        </w:numPr>
      </w:pPr>
      <w:r>
        <w:t>The Supplier must:</w:t>
      </w:r>
    </w:p>
    <w:p w:rsidR="00294A63" w:rsidRDefault="003B2D48">
      <w:pPr>
        <w:pStyle w:val="Heading3"/>
        <w:numPr>
          <w:ilvl w:val="2"/>
          <w:numId w:val="2"/>
        </w:numPr>
      </w:pPr>
      <w:r>
        <w:t>not alter the classification of any Government Data</w:t>
      </w:r>
    </w:p>
    <w:p w:rsidR="00294A63" w:rsidRDefault="003B2D48">
      <w:pPr>
        <w:pStyle w:val="Heading3"/>
        <w:numPr>
          <w:ilvl w:val="2"/>
          <w:numId w:val="2"/>
        </w:numPr>
      </w:pPr>
      <w:r>
        <w:t>if it becomes aware that it has Handled any Government Data classified as SECRET or TOP SECRET the Supplier must:</w:t>
      </w:r>
    </w:p>
    <w:p w:rsidR="00294A63" w:rsidRDefault="003B2D48">
      <w:pPr>
        <w:pStyle w:val="Heading4"/>
        <w:numPr>
          <w:ilvl w:val="3"/>
          <w:numId w:val="2"/>
        </w:numPr>
      </w:pPr>
      <w:r>
        <w:t>immediately inform the Buyer; and</w:t>
      </w:r>
    </w:p>
    <w:p w:rsidR="00294A63" w:rsidRDefault="003B2D48">
      <w:pPr>
        <w:pStyle w:val="Heading4"/>
        <w:numPr>
          <w:ilvl w:val="3"/>
          <w:numId w:val="2"/>
        </w:numPr>
      </w:pPr>
      <w:r>
        <w:t>follow any instructions from t</w:t>
      </w:r>
      <w:r>
        <w:t>he Buyer concerning that Government Data.</w:t>
      </w:r>
    </w:p>
    <w:p w:rsidR="00294A63" w:rsidRDefault="003B2D48">
      <w:pPr>
        <w:pStyle w:val="Heading2"/>
        <w:numPr>
          <w:ilvl w:val="1"/>
          <w:numId w:val="2"/>
        </w:numPr>
      </w:pPr>
      <w:r>
        <w:t>The Supplier must, and must ensure that Sub-contractors and Supplier Staff, when Handling Government Data, comply with:</w:t>
      </w:r>
    </w:p>
    <w:p w:rsidR="00294A63" w:rsidRDefault="003B2D48">
      <w:pPr>
        <w:pStyle w:val="Heading3"/>
        <w:numPr>
          <w:ilvl w:val="2"/>
          <w:numId w:val="2"/>
        </w:numPr>
      </w:pPr>
      <w:r>
        <w:t>the Expected Behaviours; and</w:t>
      </w:r>
    </w:p>
    <w:p w:rsidR="00294A63" w:rsidRDefault="003B2D48">
      <w:pPr>
        <w:pStyle w:val="Heading3"/>
        <w:numPr>
          <w:ilvl w:val="2"/>
          <w:numId w:val="2"/>
        </w:numPr>
      </w:pPr>
      <w:r>
        <w:t>the Security Controls.</w:t>
      </w:r>
    </w:p>
    <w:p w:rsidR="00294A63" w:rsidRDefault="003B2D48">
      <w:pPr>
        <w:pStyle w:val="Heading1"/>
        <w:numPr>
          <w:ilvl w:val="0"/>
          <w:numId w:val="2"/>
        </w:numPr>
      </w:pPr>
      <w:bookmarkStart w:id="9" w:name="_heading=h.2s8eyo1" w:colFirst="0" w:colLast="0"/>
      <w:bookmarkEnd w:id="9"/>
      <w:r>
        <w:t>Certification Requirements</w:t>
      </w:r>
    </w:p>
    <w:p w:rsidR="00294A63" w:rsidRDefault="003B2D48">
      <w:pPr>
        <w:pStyle w:val="Heading2"/>
        <w:numPr>
          <w:ilvl w:val="1"/>
          <w:numId w:val="2"/>
        </w:numPr>
      </w:pPr>
      <w:r>
        <w:t>Where the Buyer has not specified Certifications under Paragraph 1, the Supplier must ensure that it and any Subcontractors that Handle Government Data are certified as compliant with Cyber Essentials (or equivalent).</w:t>
      </w:r>
    </w:p>
    <w:p w:rsidR="00294A63" w:rsidRDefault="003B2D48">
      <w:pPr>
        <w:pStyle w:val="Heading2"/>
        <w:numPr>
          <w:ilvl w:val="1"/>
          <w:numId w:val="2"/>
        </w:numPr>
      </w:pPr>
      <w:r>
        <w:t>Where the Buyer has specified Certific</w:t>
      </w:r>
      <w:r>
        <w:t>ations under Paragraph 1, the Supplier must ensure that both:</w:t>
      </w:r>
    </w:p>
    <w:p w:rsidR="00294A63" w:rsidRDefault="003B2D48">
      <w:pPr>
        <w:pStyle w:val="Heading3"/>
        <w:numPr>
          <w:ilvl w:val="2"/>
          <w:numId w:val="2"/>
        </w:numPr>
      </w:pPr>
      <w:r>
        <w:t>it; and</w:t>
      </w:r>
    </w:p>
    <w:p w:rsidR="00294A63" w:rsidRDefault="003B2D48">
      <w:pPr>
        <w:pStyle w:val="Heading3"/>
        <w:numPr>
          <w:ilvl w:val="2"/>
          <w:numId w:val="2"/>
        </w:numPr>
      </w:pPr>
      <w:r>
        <w:t>any Subcontractor that Handles Government Data,</w:t>
      </w:r>
    </w:p>
    <w:p w:rsidR="00294A63" w:rsidRDefault="003B2D48">
      <w:pPr>
        <w:pStyle w:val="Heading2"/>
        <w:ind w:left="720" w:firstLine="0"/>
      </w:pPr>
      <w:r>
        <w:t>are certified as compliant with the Certifications specified by the Buyer in Paragraph 1 (or equivalent certifications).</w:t>
      </w:r>
    </w:p>
    <w:p w:rsidR="00294A63" w:rsidRDefault="003B2D48">
      <w:pPr>
        <w:pStyle w:val="Heading2"/>
        <w:numPr>
          <w:ilvl w:val="1"/>
          <w:numId w:val="2"/>
        </w:numPr>
      </w:pPr>
      <w:r>
        <w:t>The Supplier must ensure that the specified Certifications (or their equivalent) are in place for it and any relevant Subcontractor:</w:t>
      </w:r>
    </w:p>
    <w:p w:rsidR="00294A63" w:rsidRDefault="003B2D48">
      <w:pPr>
        <w:pStyle w:val="Heading3"/>
        <w:numPr>
          <w:ilvl w:val="2"/>
          <w:numId w:val="2"/>
        </w:numPr>
      </w:pPr>
      <w:r>
        <w:t>before the Supplier or any Subcontractor Handles Government Data; and</w:t>
      </w:r>
    </w:p>
    <w:p w:rsidR="00294A63" w:rsidRDefault="003B2D48">
      <w:pPr>
        <w:pStyle w:val="Heading3"/>
        <w:numPr>
          <w:ilvl w:val="2"/>
          <w:numId w:val="2"/>
        </w:numPr>
      </w:pPr>
      <w:r>
        <w:t>throughout the Term.</w:t>
      </w:r>
    </w:p>
    <w:p w:rsidR="00294A63" w:rsidRDefault="003B2D48">
      <w:pPr>
        <w:pStyle w:val="Heading1"/>
        <w:numPr>
          <w:ilvl w:val="0"/>
          <w:numId w:val="2"/>
        </w:numPr>
      </w:pPr>
      <w:bookmarkStart w:id="10" w:name="_heading=h.17dp8vu" w:colFirst="0" w:colLast="0"/>
      <w:bookmarkEnd w:id="10"/>
      <w:r>
        <w:t>Location</w:t>
      </w:r>
    </w:p>
    <w:p w:rsidR="00294A63" w:rsidRDefault="003B2D48">
      <w:pPr>
        <w:pStyle w:val="Heading2"/>
        <w:numPr>
          <w:ilvl w:val="1"/>
          <w:numId w:val="2"/>
        </w:numPr>
      </w:pPr>
      <w:r>
        <w:t>Where the Buyer has not</w:t>
      </w:r>
      <w:r>
        <w:t xml:space="preserve"> specified any locations or territories in Paragraph 1, the Supplier must not, and ensure that Subcontractors do not store, access or Handle Government Data outside:</w:t>
      </w:r>
    </w:p>
    <w:p w:rsidR="00294A63" w:rsidRDefault="003B2D48">
      <w:pPr>
        <w:pStyle w:val="Heading3"/>
        <w:numPr>
          <w:ilvl w:val="2"/>
          <w:numId w:val="2"/>
        </w:numPr>
      </w:pPr>
      <w:r>
        <w:t>the United Kingdom; or</w:t>
      </w:r>
    </w:p>
    <w:p w:rsidR="00294A63" w:rsidRDefault="003B2D48">
      <w:pPr>
        <w:pStyle w:val="Heading3"/>
        <w:numPr>
          <w:ilvl w:val="2"/>
          <w:numId w:val="2"/>
        </w:numPr>
      </w:pPr>
      <w:r>
        <w:lastRenderedPageBreak/>
        <w:t xml:space="preserve">a location permitted by and in accordance with any regulations for </w:t>
      </w:r>
      <w:r>
        <w:t>the time being in force made under section 17A of the Data Protection Act 2018 (adequacy decisions by the Secretary of State).</w:t>
      </w:r>
    </w:p>
    <w:p w:rsidR="00294A63" w:rsidRDefault="003B2D48">
      <w:pPr>
        <w:pStyle w:val="Heading2"/>
        <w:numPr>
          <w:ilvl w:val="1"/>
          <w:numId w:val="2"/>
        </w:numPr>
      </w:pPr>
      <w:r>
        <w:t xml:space="preserve">Where the Buyer has specified locations or territories in Paragraph 1, the Supplier must, and ensure that all Subcontractors, at </w:t>
      </w:r>
      <w:r>
        <w:t>all times store, access or Handle Government Data only in or from the geographic areas specified by the Buyer.</w:t>
      </w:r>
    </w:p>
    <w:p w:rsidR="00294A63" w:rsidRDefault="003B2D48">
      <w:pPr>
        <w:pStyle w:val="Heading2"/>
        <w:numPr>
          <w:ilvl w:val="1"/>
          <w:numId w:val="2"/>
        </w:numPr>
      </w:pPr>
      <w:bookmarkStart w:id="11" w:name="_heading=h.3rdcrjn" w:colFirst="0" w:colLast="0"/>
      <w:bookmarkEnd w:id="11"/>
      <w:r>
        <w:t>The Supplier must, and must ensure that its Subcontractors store, access or Handle Government Data in a facility operated by an entity where:</w:t>
      </w:r>
    </w:p>
    <w:p w:rsidR="00294A63" w:rsidRDefault="003B2D48">
      <w:pPr>
        <w:pStyle w:val="Heading3"/>
        <w:numPr>
          <w:ilvl w:val="2"/>
          <w:numId w:val="2"/>
        </w:numPr>
      </w:pPr>
      <w:r>
        <w:t>the</w:t>
      </w:r>
      <w:r>
        <w:t xml:space="preserve"> entity has entered into a binding agreement with the Supplier or Subcontractor (as applicable);</w:t>
      </w:r>
    </w:p>
    <w:p w:rsidR="00294A63" w:rsidRDefault="003B2D48">
      <w:pPr>
        <w:pStyle w:val="Heading3"/>
        <w:numPr>
          <w:ilvl w:val="2"/>
          <w:numId w:val="2"/>
        </w:numPr>
      </w:pPr>
      <w:bookmarkStart w:id="12" w:name="_heading=h.26in1rg" w:colFirst="0" w:colLast="0"/>
      <w:bookmarkEnd w:id="12"/>
      <w:r>
        <w:t>that binding agreement includes obligations on the entity in relation to security management at least as onerous as those relating to Sub-contractors in this S</w:t>
      </w:r>
      <w:r>
        <w:t>chedule 16 (Security);</w:t>
      </w:r>
    </w:p>
    <w:p w:rsidR="00294A63" w:rsidRDefault="003B2D48">
      <w:pPr>
        <w:pStyle w:val="Heading3"/>
        <w:numPr>
          <w:ilvl w:val="2"/>
          <w:numId w:val="2"/>
        </w:numPr>
      </w:pPr>
      <w:r>
        <w:t>the Supplier or Subcontractor has taken reasonable steps to assure itself that:</w:t>
      </w:r>
    </w:p>
    <w:p w:rsidR="00294A63" w:rsidRDefault="003B2D48">
      <w:pPr>
        <w:pStyle w:val="Heading4"/>
        <w:numPr>
          <w:ilvl w:val="3"/>
          <w:numId w:val="2"/>
        </w:numPr>
      </w:pPr>
      <w:r>
        <w:t>the entity complies with the binding agreement; and</w:t>
      </w:r>
    </w:p>
    <w:p w:rsidR="00294A63" w:rsidRDefault="003B2D48">
      <w:pPr>
        <w:pStyle w:val="Heading4"/>
        <w:numPr>
          <w:ilvl w:val="3"/>
          <w:numId w:val="2"/>
        </w:numPr>
      </w:pPr>
      <w:r>
        <w:t>the Subcontractor’s system has in place appropriate technical and organisational measures to ensure t</w:t>
      </w:r>
      <w:r>
        <w:t>hat the Sub-contractor will store, access, manage and/or Handle the Government Data as required by this Schedule 16 (Security);</w:t>
      </w:r>
    </w:p>
    <w:p w:rsidR="00294A63" w:rsidRDefault="003B2D48">
      <w:pPr>
        <w:pStyle w:val="Heading3"/>
        <w:numPr>
          <w:ilvl w:val="2"/>
          <w:numId w:val="2"/>
        </w:numPr>
      </w:pPr>
      <w:r>
        <w:t>the Buyer has not given the Supplier a Prohibition Notice under Paragraph 5.4.</w:t>
      </w:r>
    </w:p>
    <w:p w:rsidR="00294A63" w:rsidRDefault="003B2D48">
      <w:pPr>
        <w:pStyle w:val="Heading2"/>
        <w:numPr>
          <w:ilvl w:val="1"/>
          <w:numId w:val="2"/>
        </w:numPr>
      </w:pPr>
      <w:bookmarkStart w:id="13" w:name="_heading=h.lnxbz9" w:colFirst="0" w:colLast="0"/>
      <w:bookmarkEnd w:id="13"/>
      <w:r>
        <w:t>The Buyer may by notice in writing at any time gi</w:t>
      </w:r>
      <w:r>
        <w:t>ve notice to the Supplier that it and its Subcontractors must not undertake or permit to be undertaken the storage, accessing or Handling of Government Data in one or more countries or territories (a “</w:t>
      </w:r>
      <w:r>
        <w:rPr>
          <w:b/>
        </w:rPr>
        <w:t>Prohibition Notice</w:t>
      </w:r>
      <w:r>
        <w:t>”).</w:t>
      </w:r>
    </w:p>
    <w:p w:rsidR="00294A63" w:rsidRDefault="003B2D48">
      <w:pPr>
        <w:pStyle w:val="Heading2"/>
        <w:numPr>
          <w:ilvl w:val="1"/>
          <w:numId w:val="2"/>
        </w:numPr>
      </w:pPr>
      <w:r>
        <w:t xml:space="preserve">Where the Supplier must and must </w:t>
      </w:r>
      <w:r>
        <w:t>ensure Subcontractors comply with the requirements of a Prohibition Notice within 40 Working Days of the date of the notice.</w:t>
      </w:r>
    </w:p>
    <w:p w:rsidR="00294A63" w:rsidRDefault="003B2D48">
      <w:pPr>
        <w:pStyle w:val="Heading1"/>
        <w:numPr>
          <w:ilvl w:val="0"/>
          <w:numId w:val="2"/>
        </w:numPr>
      </w:pPr>
      <w:bookmarkStart w:id="14" w:name="_heading=h.35nkun2" w:colFirst="0" w:colLast="0"/>
      <w:bookmarkEnd w:id="14"/>
      <w:r>
        <w:t>Staff vetting</w:t>
      </w:r>
    </w:p>
    <w:p w:rsidR="00294A63" w:rsidRDefault="003B2D48">
      <w:pPr>
        <w:pStyle w:val="Heading2"/>
        <w:numPr>
          <w:ilvl w:val="1"/>
          <w:numId w:val="2"/>
        </w:numPr>
      </w:pPr>
      <w:bookmarkStart w:id="15" w:name="_heading=h.1ksv4uv" w:colFirst="0" w:colLast="0"/>
      <w:bookmarkEnd w:id="15"/>
      <w:r>
        <w:t>The Supplier must not allow Supplier Staff, and must ensure that Subcontractors do not allow Subcontractor Staff, to access or Handle Government Data, if that person:</w:t>
      </w:r>
    </w:p>
    <w:p w:rsidR="00294A63" w:rsidRDefault="003B2D48">
      <w:pPr>
        <w:pStyle w:val="Heading3"/>
        <w:numPr>
          <w:ilvl w:val="2"/>
          <w:numId w:val="2"/>
        </w:numPr>
      </w:pPr>
      <w:r>
        <w:t>has not completed the Staff Vetting Procedure; or</w:t>
      </w:r>
    </w:p>
    <w:p w:rsidR="00294A63" w:rsidRDefault="003B2D48">
      <w:pPr>
        <w:pStyle w:val="Heading3"/>
        <w:numPr>
          <w:ilvl w:val="2"/>
          <w:numId w:val="2"/>
        </w:numPr>
      </w:pPr>
      <w:r>
        <w:t>where no Staff Vetting Procedure is spe</w:t>
      </w:r>
      <w:r>
        <w:t>cified in the Order Form:</w:t>
      </w:r>
    </w:p>
    <w:p w:rsidR="00294A63" w:rsidRDefault="003B2D48">
      <w:pPr>
        <w:pStyle w:val="Heading4"/>
        <w:numPr>
          <w:ilvl w:val="3"/>
          <w:numId w:val="2"/>
        </w:numPr>
      </w:pPr>
      <w:r>
        <w:t xml:space="preserve">has not undergone the checks required for the BPSS to verify: </w:t>
      </w:r>
    </w:p>
    <w:p w:rsidR="00294A63" w:rsidRDefault="003B2D48">
      <w:pPr>
        <w:pStyle w:val="Heading5"/>
        <w:numPr>
          <w:ilvl w:val="4"/>
          <w:numId w:val="2"/>
        </w:numPr>
      </w:pPr>
      <w:r>
        <w:t>the individual’s identity;</w:t>
      </w:r>
    </w:p>
    <w:p w:rsidR="00294A63" w:rsidRDefault="003B2D48">
      <w:pPr>
        <w:pStyle w:val="Heading5"/>
        <w:numPr>
          <w:ilvl w:val="4"/>
          <w:numId w:val="2"/>
        </w:numPr>
      </w:pPr>
      <w:r>
        <w:t>where that individual will work in the United Kingdom, the individual’s nationality and immigration status so as to demonstrate that they ha</w:t>
      </w:r>
      <w:r>
        <w:t>ve a right to work in the United Kingdom; and</w:t>
      </w:r>
    </w:p>
    <w:p w:rsidR="00294A63" w:rsidRDefault="003B2D48">
      <w:pPr>
        <w:pStyle w:val="Heading5"/>
        <w:numPr>
          <w:ilvl w:val="4"/>
          <w:numId w:val="2"/>
        </w:numPr>
      </w:pPr>
      <w:r>
        <w:t>the individual’s previous employment history; and</w:t>
      </w:r>
    </w:p>
    <w:p w:rsidR="00294A63" w:rsidRDefault="003B2D48">
      <w:pPr>
        <w:pStyle w:val="Heading5"/>
        <w:numPr>
          <w:ilvl w:val="4"/>
          <w:numId w:val="2"/>
        </w:numPr>
      </w:pPr>
      <w:r>
        <w:t>that the individual has no Relevant Convictions; and</w:t>
      </w:r>
    </w:p>
    <w:p w:rsidR="00294A63" w:rsidRDefault="003B2D48">
      <w:pPr>
        <w:pStyle w:val="Heading4"/>
        <w:numPr>
          <w:ilvl w:val="3"/>
          <w:numId w:val="2"/>
        </w:numPr>
      </w:pPr>
      <w:r>
        <w:t xml:space="preserve">national security vetting clearance to the level specified by the Buyer for such individuals or such roles </w:t>
      </w:r>
      <w:r>
        <w:t>as the Buyer may specify.</w:t>
      </w:r>
    </w:p>
    <w:p w:rsidR="00294A63" w:rsidRDefault="003B2D48">
      <w:pPr>
        <w:pStyle w:val="Heading2"/>
        <w:numPr>
          <w:ilvl w:val="1"/>
          <w:numId w:val="2"/>
        </w:numPr>
      </w:pPr>
      <w:r>
        <w:lastRenderedPageBreak/>
        <w:t>Where the Supplier considers it cannot ensure that a Sub-contractors will undertake the relevant security checks on any Sub-contractor Staff, it must:</w:t>
      </w:r>
    </w:p>
    <w:p w:rsidR="00294A63" w:rsidRDefault="003B2D48">
      <w:pPr>
        <w:pStyle w:val="Heading3"/>
        <w:numPr>
          <w:ilvl w:val="2"/>
          <w:numId w:val="2"/>
        </w:numPr>
      </w:pPr>
      <w:r>
        <w:t>as soon as practicable, and in any event within 20 Working Days of becoming awa</w:t>
      </w:r>
      <w:r>
        <w:t>re of the issue, notify the Buyer;</w:t>
      </w:r>
    </w:p>
    <w:p w:rsidR="00294A63" w:rsidRDefault="003B2D48">
      <w:pPr>
        <w:pStyle w:val="Heading3"/>
        <w:numPr>
          <w:ilvl w:val="2"/>
          <w:numId w:val="2"/>
        </w:numPr>
      </w:pPr>
      <w:r>
        <w:t>provide such information relating to the Sub-contractor, its vetting processes and the roles the affected Sub-contractor Staff will perform as the Buyer reasonably requires; and</w:t>
      </w:r>
    </w:p>
    <w:p w:rsidR="00294A63" w:rsidRDefault="003B2D48">
      <w:pPr>
        <w:pStyle w:val="Heading3"/>
        <w:numPr>
          <w:ilvl w:val="2"/>
          <w:numId w:val="2"/>
        </w:numPr>
      </w:pPr>
      <w:r>
        <w:t>comply, at the Supplier’s cost, with all di</w:t>
      </w:r>
      <w:r>
        <w:t>rections the Buyer may provide concerning the vetting of the affected Sub-contractor Staff and the management of the Sub-contractor.</w:t>
      </w:r>
    </w:p>
    <w:p w:rsidR="00294A63" w:rsidRDefault="003B2D48">
      <w:pPr>
        <w:pStyle w:val="Heading1"/>
        <w:numPr>
          <w:ilvl w:val="0"/>
          <w:numId w:val="2"/>
        </w:numPr>
      </w:pPr>
      <w:bookmarkStart w:id="16" w:name="_heading=h.44sinio" w:colFirst="0" w:colLast="0"/>
      <w:bookmarkEnd w:id="16"/>
      <w:r>
        <w:t>Supplier assurance letter</w:t>
      </w:r>
    </w:p>
    <w:p w:rsidR="00294A63" w:rsidRDefault="003B2D48">
      <w:pPr>
        <w:pStyle w:val="Heading2"/>
        <w:numPr>
          <w:ilvl w:val="1"/>
          <w:numId w:val="2"/>
        </w:numPr>
      </w:pPr>
      <w:bookmarkStart w:id="17" w:name="_heading=h.2jxsxqh" w:colFirst="0" w:colLast="0"/>
      <w:bookmarkEnd w:id="17"/>
      <w:r>
        <w:t>The Supplier must, no later than the last day of each Contract Year, provide to the Buyer a lette</w:t>
      </w:r>
      <w:r>
        <w:t>r from its chief technology officer (or equivalent officer) confirming that, having made due and careful enquiry:</w:t>
      </w:r>
    </w:p>
    <w:p w:rsidR="00294A63" w:rsidRDefault="003B2D48">
      <w:pPr>
        <w:pStyle w:val="Heading3"/>
        <w:numPr>
          <w:ilvl w:val="2"/>
          <w:numId w:val="2"/>
        </w:numPr>
      </w:pPr>
      <w:r>
        <w:t xml:space="preserve">the Supplier has in the previous year carried out all tests and has in place all procedures required in relation to security matters required </w:t>
      </w:r>
      <w:r>
        <w:t>by this Contract;</w:t>
      </w:r>
    </w:p>
    <w:p w:rsidR="00294A63" w:rsidRDefault="003B2D48">
      <w:pPr>
        <w:pStyle w:val="Heading3"/>
        <w:numPr>
          <w:ilvl w:val="2"/>
          <w:numId w:val="2"/>
        </w:numPr>
      </w:pPr>
      <w:r>
        <w:t>it has fully complied with all requirements of this Schedule 16 (Security); and</w:t>
      </w:r>
    </w:p>
    <w:p w:rsidR="00294A63" w:rsidRDefault="003B2D48">
      <w:pPr>
        <w:pStyle w:val="Heading3"/>
        <w:numPr>
          <w:ilvl w:val="2"/>
          <w:numId w:val="2"/>
        </w:numPr>
      </w:pPr>
      <w:r>
        <w:t>all Subcontractors have complied with the requirements of this Schedule 16 (Security) with which the Supplier is required to ensure they comply;</w:t>
      </w:r>
    </w:p>
    <w:p w:rsidR="00294A63" w:rsidRDefault="003B2D48">
      <w:pPr>
        <w:pStyle w:val="Heading3"/>
        <w:numPr>
          <w:ilvl w:val="2"/>
          <w:numId w:val="2"/>
        </w:numPr>
      </w:pPr>
      <w:r>
        <w:t xml:space="preserve">the Supplier </w:t>
      </w:r>
      <w:r>
        <w:t>considers that its security and risk mitigation procedures remain effective.</w:t>
      </w:r>
    </w:p>
    <w:p w:rsidR="00294A63" w:rsidRDefault="003B2D48">
      <w:pPr>
        <w:pStyle w:val="Heading1"/>
        <w:numPr>
          <w:ilvl w:val="0"/>
          <w:numId w:val="2"/>
        </w:numPr>
      </w:pPr>
      <w:r>
        <w:t>Assurance</w:t>
      </w:r>
    </w:p>
    <w:p w:rsidR="00294A63" w:rsidRDefault="003B2D48">
      <w:pPr>
        <w:pStyle w:val="Heading2"/>
        <w:numPr>
          <w:ilvl w:val="1"/>
          <w:numId w:val="2"/>
        </w:numPr>
      </w:pPr>
      <w:r>
        <w:t>The Supplier must provide such information and documents as the Buyer may request in order to demonstrate the Supplier’s and any Subcontractors’ compliance with this Sch</w:t>
      </w:r>
      <w:r>
        <w:t>edule 16 (Security).</w:t>
      </w:r>
    </w:p>
    <w:p w:rsidR="00294A63" w:rsidRDefault="003B2D48">
      <w:pPr>
        <w:pStyle w:val="Heading2"/>
        <w:numPr>
          <w:ilvl w:val="1"/>
          <w:numId w:val="2"/>
        </w:numPr>
      </w:pPr>
      <w:r>
        <w:t>The Supplier must provide that information and those documents:</w:t>
      </w:r>
    </w:p>
    <w:p w:rsidR="00294A63" w:rsidRDefault="003B2D48">
      <w:pPr>
        <w:pStyle w:val="Heading3"/>
        <w:numPr>
          <w:ilvl w:val="2"/>
          <w:numId w:val="2"/>
        </w:numPr>
      </w:pPr>
      <w:r>
        <w:t>at no cost to the Buyer;</w:t>
      </w:r>
    </w:p>
    <w:p w:rsidR="00294A63" w:rsidRDefault="003B2D48">
      <w:pPr>
        <w:pStyle w:val="Heading3"/>
        <w:numPr>
          <w:ilvl w:val="2"/>
          <w:numId w:val="2"/>
        </w:numPr>
      </w:pPr>
      <w:r>
        <w:t>within 10 Working Days of a request by the Buyer;</w:t>
      </w:r>
    </w:p>
    <w:p w:rsidR="00294A63" w:rsidRDefault="003B2D48">
      <w:pPr>
        <w:pStyle w:val="Heading3"/>
        <w:numPr>
          <w:ilvl w:val="2"/>
          <w:numId w:val="2"/>
        </w:numPr>
      </w:pPr>
      <w:r>
        <w:t>except in the case of original document, in the format and with the content and information requ</w:t>
      </w:r>
      <w:r>
        <w:t>ired by the Buyer; and</w:t>
      </w:r>
    </w:p>
    <w:p w:rsidR="00294A63" w:rsidRDefault="003B2D48">
      <w:pPr>
        <w:pStyle w:val="Heading3"/>
        <w:numPr>
          <w:ilvl w:val="2"/>
          <w:numId w:val="2"/>
        </w:numPr>
      </w:pPr>
      <w:r>
        <w:t>in the case of original document, as a full, unedited and unredacted copy.</w:t>
      </w:r>
    </w:p>
    <w:p w:rsidR="00294A63" w:rsidRDefault="003B2D48">
      <w:pPr>
        <w:pStyle w:val="Heading1"/>
        <w:numPr>
          <w:ilvl w:val="0"/>
          <w:numId w:val="2"/>
        </w:numPr>
      </w:pPr>
      <w:bookmarkStart w:id="18" w:name="_heading=h.z337ya" w:colFirst="0" w:colLast="0"/>
      <w:bookmarkEnd w:id="18"/>
      <w:r>
        <w:t>Use of Subcontractors and third parties</w:t>
      </w:r>
    </w:p>
    <w:p w:rsidR="00294A63" w:rsidRDefault="003B2D48">
      <w:pPr>
        <w:pStyle w:val="Heading2"/>
        <w:numPr>
          <w:ilvl w:val="1"/>
          <w:numId w:val="2"/>
        </w:numPr>
      </w:pPr>
      <w:r>
        <w:t>The Supplier must ensure that Subcontractors and any other third parties that store, have access to or Handle Government Data comply with the requirements of this Schedule 16 (Security).</w:t>
      </w:r>
    </w:p>
    <w:p w:rsidR="00294A63" w:rsidRDefault="003B2D48">
      <w:pPr>
        <w:pStyle w:val="Heading1"/>
        <w:pageBreakBefore/>
        <w:jc w:val="center"/>
      </w:pPr>
      <w:r>
        <w:lastRenderedPageBreak/>
        <w:t>Part Two: Additional Requirements</w:t>
      </w:r>
    </w:p>
    <w:p w:rsidR="00294A63" w:rsidRDefault="003B2D48">
      <w:pPr>
        <w:pStyle w:val="Heading1"/>
        <w:numPr>
          <w:ilvl w:val="0"/>
          <w:numId w:val="2"/>
        </w:numPr>
      </w:pPr>
      <w:bookmarkStart w:id="19" w:name="_heading=h.3j2qqm3" w:colFirst="0" w:colLast="0"/>
      <w:bookmarkEnd w:id="19"/>
      <w:r>
        <w:t>Security Management Plan</w:t>
      </w:r>
    </w:p>
    <w:p w:rsidR="00294A63" w:rsidRDefault="003B2D48">
      <w:pPr>
        <w:pStyle w:val="Heading2"/>
        <w:numPr>
          <w:ilvl w:val="1"/>
          <w:numId w:val="2"/>
        </w:numPr>
      </w:pPr>
      <w:r>
        <w:t>This Paragraph 10 applies only where the Buyer has selected this option in Paragraph 1.3.</w:t>
      </w:r>
    </w:p>
    <w:p w:rsidR="00294A63" w:rsidRDefault="003B2D48">
      <w:pPr>
        <w:keepNext/>
        <w:pBdr>
          <w:top w:val="nil"/>
          <w:left w:val="nil"/>
          <w:bottom w:val="nil"/>
          <w:right w:val="nil"/>
          <w:between w:val="nil"/>
        </w:pBdr>
        <w:ind w:left="720"/>
        <w:rPr>
          <w:rFonts w:eastAsia="Arial" w:cs="Arial"/>
          <w:b/>
          <w:color w:val="000000"/>
          <w:szCs w:val="20"/>
        </w:rPr>
      </w:pPr>
      <w:r>
        <w:rPr>
          <w:rFonts w:eastAsia="Arial" w:cs="Arial"/>
          <w:b/>
          <w:color w:val="000000"/>
          <w:szCs w:val="20"/>
        </w:rPr>
        <w:t>Preparation of Security Management Plan</w:t>
      </w:r>
    </w:p>
    <w:p w:rsidR="00294A63" w:rsidRDefault="003B2D48">
      <w:pPr>
        <w:pStyle w:val="Heading2"/>
        <w:numPr>
          <w:ilvl w:val="1"/>
          <w:numId w:val="2"/>
        </w:numPr>
      </w:pPr>
      <w:r>
        <w:t>The Supplier shall document in the Security Management Plan how the Supplier and its Sub-contractors shall comply with the req</w:t>
      </w:r>
      <w:r>
        <w:t xml:space="preserve">uirements set out in this Schedule 16 (Security) and the Contract in order to ensure the security of the Supplier solution and the Buyer data. </w:t>
      </w:r>
    </w:p>
    <w:p w:rsidR="00294A63" w:rsidRDefault="003B2D48">
      <w:pPr>
        <w:pStyle w:val="Heading2"/>
        <w:numPr>
          <w:ilvl w:val="1"/>
          <w:numId w:val="2"/>
        </w:numPr>
      </w:pPr>
      <w:r>
        <w:t>The Supplier shall prepare and submit to the Buyer within 20 Working Days of the date of this Contract, the Secu</w:t>
      </w:r>
      <w:r>
        <w:t>rity Management Plan, which must include a description of how all the options selected in this schedule are being met along with evidence of the required certifications for the Supplier and any Subcontractors specified in Paragraph 3.</w:t>
      </w:r>
    </w:p>
    <w:p w:rsidR="00294A63" w:rsidRDefault="003B2D48">
      <w:pPr>
        <w:keepNext/>
        <w:pBdr>
          <w:top w:val="nil"/>
          <w:left w:val="nil"/>
          <w:bottom w:val="nil"/>
          <w:right w:val="nil"/>
          <w:between w:val="nil"/>
        </w:pBdr>
        <w:ind w:left="720"/>
        <w:rPr>
          <w:rFonts w:eastAsia="Arial" w:cs="Arial"/>
          <w:b/>
          <w:color w:val="000000"/>
          <w:szCs w:val="20"/>
        </w:rPr>
      </w:pPr>
      <w:r>
        <w:rPr>
          <w:rFonts w:eastAsia="Arial" w:cs="Arial"/>
          <w:b/>
          <w:color w:val="000000"/>
          <w:szCs w:val="20"/>
        </w:rPr>
        <w:t xml:space="preserve">Approval of Security </w:t>
      </w:r>
      <w:r>
        <w:rPr>
          <w:rFonts w:eastAsia="Arial" w:cs="Arial"/>
          <w:b/>
          <w:color w:val="000000"/>
          <w:szCs w:val="20"/>
        </w:rPr>
        <w:t>Management Plan</w:t>
      </w:r>
    </w:p>
    <w:p w:rsidR="00294A63" w:rsidRDefault="003B2D48">
      <w:pPr>
        <w:pStyle w:val="Heading2"/>
        <w:numPr>
          <w:ilvl w:val="1"/>
          <w:numId w:val="2"/>
        </w:numPr>
      </w:pPr>
      <w:r>
        <w:t>The Buyer shall review the Supplier's proposed Security Management Plan as soon as possible and must issue the Supplier with either:</w:t>
      </w:r>
    </w:p>
    <w:p w:rsidR="00294A63" w:rsidRDefault="003B2D48">
      <w:pPr>
        <w:pStyle w:val="Heading3"/>
        <w:numPr>
          <w:ilvl w:val="2"/>
          <w:numId w:val="2"/>
        </w:numPr>
      </w:pPr>
      <w:r>
        <w:t>an information security approval statement, which shall confirm that the Supplier may operate the service a</w:t>
      </w:r>
      <w:r>
        <w:t>nd process Buyer data; or</w:t>
      </w:r>
    </w:p>
    <w:p w:rsidR="00294A63" w:rsidRDefault="003B2D48">
      <w:pPr>
        <w:pStyle w:val="Heading3"/>
        <w:numPr>
          <w:ilvl w:val="2"/>
          <w:numId w:val="2"/>
        </w:numPr>
      </w:pPr>
      <w:r>
        <w:t xml:space="preserve">a rejection notice, which shall set out the Buyer's reasons for rejecting the Security Management Plan. </w:t>
      </w:r>
    </w:p>
    <w:p w:rsidR="00294A63" w:rsidRDefault="003B2D48">
      <w:pPr>
        <w:pStyle w:val="Heading2"/>
        <w:numPr>
          <w:ilvl w:val="1"/>
          <w:numId w:val="2"/>
        </w:numPr>
      </w:pPr>
      <w:bookmarkStart w:id="20" w:name="_heading=h.1y810tw" w:colFirst="0" w:colLast="0"/>
      <w:bookmarkEnd w:id="20"/>
      <w:r>
        <w:t>If the Buyer rejects the Supplier's proposed Security Management Plan, the Supplier must prepare a revised Security Managemen</w:t>
      </w:r>
      <w:r>
        <w:t>t Plan taking the Buyer's reasons into account, which the Supplier must submit to the Buyer for review within 10 Working Days of the date of the rejection, or such other period agreed with the Buyer.</w:t>
      </w:r>
    </w:p>
    <w:p w:rsidR="00294A63" w:rsidRDefault="003B2D48">
      <w:pPr>
        <w:pStyle w:val="Heading2"/>
        <w:numPr>
          <w:ilvl w:val="1"/>
          <w:numId w:val="2"/>
        </w:numPr>
      </w:pPr>
      <w:r>
        <w:t xml:space="preserve">The process set out in Paragraph 10.5 shall be repeated </w:t>
      </w:r>
      <w:r>
        <w:t>until such time as the Authority issues a Risk Management Approval Statement to the Supplier or terminates this Contract.</w:t>
      </w:r>
    </w:p>
    <w:p w:rsidR="00294A63" w:rsidRDefault="003B2D48">
      <w:pPr>
        <w:pStyle w:val="Heading2"/>
        <w:numPr>
          <w:ilvl w:val="1"/>
          <w:numId w:val="2"/>
        </w:numPr>
      </w:pPr>
      <w:r>
        <w:t>The rejection by the Buyer of a second revised Security Management Plan is a material Default of this Contract.</w:t>
      </w:r>
    </w:p>
    <w:p w:rsidR="00294A63" w:rsidRDefault="003B2D48">
      <w:pPr>
        <w:keepNext/>
        <w:pBdr>
          <w:top w:val="nil"/>
          <w:left w:val="nil"/>
          <w:bottom w:val="nil"/>
          <w:right w:val="nil"/>
          <w:between w:val="nil"/>
        </w:pBdr>
        <w:ind w:left="720"/>
        <w:rPr>
          <w:rFonts w:eastAsia="Arial" w:cs="Arial"/>
          <w:b/>
          <w:color w:val="000000"/>
          <w:szCs w:val="20"/>
        </w:rPr>
      </w:pPr>
      <w:r>
        <w:rPr>
          <w:rFonts w:eastAsia="Arial" w:cs="Arial"/>
          <w:b/>
          <w:color w:val="000000"/>
          <w:szCs w:val="20"/>
        </w:rPr>
        <w:t>Updating Security Mana</w:t>
      </w:r>
      <w:r>
        <w:rPr>
          <w:rFonts w:eastAsia="Arial" w:cs="Arial"/>
          <w:b/>
          <w:color w:val="000000"/>
          <w:szCs w:val="20"/>
        </w:rPr>
        <w:t>gement Plan</w:t>
      </w:r>
    </w:p>
    <w:p w:rsidR="00294A63" w:rsidRDefault="003B2D48">
      <w:pPr>
        <w:pStyle w:val="Heading2"/>
        <w:numPr>
          <w:ilvl w:val="1"/>
          <w:numId w:val="2"/>
        </w:numPr>
      </w:pPr>
      <w:r>
        <w:t>The Supplier shall regularly review and update the Security Management Plan, and provide such to the Buyer, at least once each year and as required by this Paragraph.</w:t>
      </w:r>
    </w:p>
    <w:p w:rsidR="00294A63" w:rsidRDefault="003B2D48">
      <w:pPr>
        <w:keepNext/>
        <w:pBdr>
          <w:top w:val="nil"/>
          <w:left w:val="nil"/>
          <w:bottom w:val="nil"/>
          <w:right w:val="nil"/>
          <w:between w:val="nil"/>
        </w:pBdr>
        <w:ind w:left="720"/>
        <w:rPr>
          <w:rFonts w:eastAsia="Arial" w:cs="Arial"/>
          <w:b/>
          <w:color w:val="000000"/>
          <w:szCs w:val="20"/>
        </w:rPr>
      </w:pPr>
      <w:r>
        <w:rPr>
          <w:rFonts w:eastAsia="Arial" w:cs="Arial"/>
          <w:b/>
          <w:color w:val="000000"/>
          <w:szCs w:val="20"/>
        </w:rPr>
        <w:t>Monitoring</w:t>
      </w:r>
    </w:p>
    <w:p w:rsidR="00294A63" w:rsidRDefault="003B2D48">
      <w:pPr>
        <w:pStyle w:val="Heading2"/>
        <w:numPr>
          <w:ilvl w:val="1"/>
          <w:numId w:val="2"/>
        </w:numPr>
      </w:pPr>
      <w:r>
        <w:t>The Supplier shall notify the Buyer within 2 Working Days after be</w:t>
      </w:r>
      <w:r>
        <w:t>coming aware of:</w:t>
      </w:r>
    </w:p>
    <w:p w:rsidR="00294A63" w:rsidRDefault="003B2D48">
      <w:pPr>
        <w:pStyle w:val="Heading3"/>
        <w:numPr>
          <w:ilvl w:val="2"/>
          <w:numId w:val="2"/>
        </w:numPr>
      </w:pPr>
      <w:r>
        <w:t>a significant change to the components or architecture of the Supplier System;</w:t>
      </w:r>
    </w:p>
    <w:p w:rsidR="00294A63" w:rsidRDefault="003B2D48">
      <w:pPr>
        <w:pStyle w:val="Heading3"/>
        <w:numPr>
          <w:ilvl w:val="2"/>
          <w:numId w:val="2"/>
        </w:numPr>
      </w:pPr>
      <w:r>
        <w:t>a new risk to the components or architecture of the Supplier System;</w:t>
      </w:r>
    </w:p>
    <w:p w:rsidR="00294A63" w:rsidRDefault="003B2D48">
      <w:pPr>
        <w:pStyle w:val="Heading3"/>
        <w:numPr>
          <w:ilvl w:val="2"/>
          <w:numId w:val="2"/>
        </w:numPr>
      </w:pPr>
      <w:r>
        <w:t>a vulnerability to the components or architecture of the Supplier System using an industry standard vulnerability scoring mechanism;</w:t>
      </w:r>
    </w:p>
    <w:p w:rsidR="00294A63" w:rsidRDefault="003B2D48">
      <w:pPr>
        <w:pStyle w:val="Heading3"/>
        <w:numPr>
          <w:ilvl w:val="2"/>
          <w:numId w:val="2"/>
        </w:numPr>
      </w:pPr>
      <w:r>
        <w:t>a change in the threat profile;</w:t>
      </w:r>
    </w:p>
    <w:p w:rsidR="00294A63" w:rsidRDefault="003B2D48">
      <w:pPr>
        <w:pStyle w:val="Heading3"/>
        <w:numPr>
          <w:ilvl w:val="2"/>
          <w:numId w:val="2"/>
        </w:numPr>
      </w:pPr>
      <w:r>
        <w:lastRenderedPageBreak/>
        <w:t>a significant change to any risk component;</w:t>
      </w:r>
    </w:p>
    <w:p w:rsidR="00294A63" w:rsidRDefault="003B2D48">
      <w:pPr>
        <w:pStyle w:val="Heading3"/>
        <w:numPr>
          <w:ilvl w:val="2"/>
          <w:numId w:val="2"/>
        </w:numPr>
      </w:pPr>
      <w:r>
        <w:t>a significant change in the quantity of Persona</w:t>
      </w:r>
      <w:r>
        <w:t>l Data held within the Service;</w:t>
      </w:r>
    </w:p>
    <w:p w:rsidR="00294A63" w:rsidRDefault="003B2D48">
      <w:pPr>
        <w:pStyle w:val="Heading3"/>
        <w:numPr>
          <w:ilvl w:val="2"/>
          <w:numId w:val="2"/>
        </w:numPr>
      </w:pPr>
      <w:r>
        <w:t>a proposal to change any of the Sites from which any part of the Services are provided; and/or</w:t>
      </w:r>
    </w:p>
    <w:p w:rsidR="00294A63" w:rsidRDefault="003B2D48">
      <w:pPr>
        <w:pStyle w:val="Heading3"/>
        <w:numPr>
          <w:ilvl w:val="2"/>
          <w:numId w:val="2"/>
        </w:numPr>
      </w:pPr>
      <w:r>
        <w:t>an ISO27001 audit report produced in connection with the Certification indicates significant concerns.</w:t>
      </w:r>
    </w:p>
    <w:p w:rsidR="00294A63" w:rsidRDefault="003B2D48">
      <w:pPr>
        <w:pStyle w:val="Heading2"/>
        <w:numPr>
          <w:ilvl w:val="1"/>
          <w:numId w:val="2"/>
        </w:numPr>
      </w:pPr>
      <w:r>
        <w:t xml:space="preserve">Within 10 Working Days of </w:t>
      </w:r>
      <w:r>
        <w:t>such notifying the Buyer or such other timescale as may be agreed with the Buyer, the Supplier shall make the necessary changes to the Security Management Plan and submit the updated Security Management Plan to the Buyer for review and approval.</w:t>
      </w:r>
    </w:p>
    <w:p w:rsidR="00294A63" w:rsidRDefault="003B2D48">
      <w:pPr>
        <w:pStyle w:val="Heading1"/>
        <w:numPr>
          <w:ilvl w:val="0"/>
          <w:numId w:val="2"/>
        </w:numPr>
      </w:pPr>
      <w:bookmarkStart w:id="21" w:name="_heading=h.4i7ojhp" w:colFirst="0" w:colLast="0"/>
      <w:bookmarkEnd w:id="21"/>
      <w:r>
        <w:t>Buyer Secu</w:t>
      </w:r>
      <w:r>
        <w:t>rity Policies</w:t>
      </w:r>
    </w:p>
    <w:p w:rsidR="00294A63" w:rsidRDefault="003B2D48">
      <w:pPr>
        <w:pStyle w:val="Heading2"/>
        <w:numPr>
          <w:ilvl w:val="1"/>
          <w:numId w:val="2"/>
        </w:numPr>
      </w:pPr>
      <w:r>
        <w:t>The Supplier must comply, when it provides the Services and operates and manages the Supplier System, with all Buyer Security Policies identified in the relevant option in Paragraph 1.3.</w:t>
      </w:r>
    </w:p>
    <w:p w:rsidR="00294A63" w:rsidRDefault="003B2D48">
      <w:pPr>
        <w:pStyle w:val="Heading2"/>
        <w:numPr>
          <w:ilvl w:val="1"/>
          <w:numId w:val="2"/>
        </w:numPr>
      </w:pPr>
      <w:r>
        <w:t>If there is an inconsistency between the Buyer Security</w:t>
      </w:r>
      <w:r>
        <w:t xml:space="preserve"> Policies and the requirement of this Schedule 16 (Security), then the requirements of this Schedule will prevail to the extent of that inconsistency.</w:t>
      </w:r>
    </w:p>
    <w:p w:rsidR="00294A63" w:rsidRDefault="003B2D48">
      <w:pPr>
        <w:pStyle w:val="Heading1"/>
        <w:numPr>
          <w:ilvl w:val="0"/>
          <w:numId w:val="2"/>
        </w:numPr>
      </w:pPr>
      <w:bookmarkStart w:id="22" w:name="_heading=h.2xcytpi" w:colFirst="0" w:colLast="0"/>
      <w:bookmarkEnd w:id="22"/>
      <w:r>
        <w:t>Security testing</w:t>
      </w:r>
    </w:p>
    <w:p w:rsidR="00294A63" w:rsidRDefault="003B2D48">
      <w:pPr>
        <w:pStyle w:val="Heading2"/>
        <w:numPr>
          <w:ilvl w:val="1"/>
          <w:numId w:val="2"/>
        </w:numPr>
      </w:pPr>
      <w:bookmarkStart w:id="23" w:name="_heading=h.1ci93xb" w:colFirst="0" w:colLast="0"/>
      <w:bookmarkEnd w:id="23"/>
      <w:r>
        <w:t>The Supplier must:</w:t>
      </w:r>
    </w:p>
    <w:p w:rsidR="00294A63" w:rsidRDefault="003B2D48">
      <w:pPr>
        <w:pStyle w:val="Heading3"/>
        <w:numPr>
          <w:ilvl w:val="2"/>
          <w:numId w:val="2"/>
        </w:numPr>
      </w:pPr>
      <w:r>
        <w:t>before Handling Government Data;</w:t>
      </w:r>
    </w:p>
    <w:p w:rsidR="00294A63" w:rsidRDefault="003B2D48">
      <w:pPr>
        <w:pStyle w:val="Heading3"/>
        <w:numPr>
          <w:ilvl w:val="2"/>
          <w:numId w:val="2"/>
        </w:numPr>
      </w:pPr>
      <w:r>
        <w:t>at least once during each Contract Y</w:t>
      </w:r>
      <w:r>
        <w:t>ear; and</w:t>
      </w:r>
    </w:p>
    <w:p w:rsidR="00294A63" w:rsidRDefault="003B2D48">
      <w:pPr>
        <w:pStyle w:val="Heading2"/>
        <w:ind w:left="720" w:firstLine="0"/>
      </w:pPr>
      <w:r>
        <w:t>undertake the following activities:</w:t>
      </w:r>
    </w:p>
    <w:p w:rsidR="00294A63" w:rsidRDefault="003B2D48">
      <w:pPr>
        <w:pStyle w:val="Heading3"/>
        <w:numPr>
          <w:ilvl w:val="2"/>
          <w:numId w:val="2"/>
        </w:numPr>
      </w:pPr>
      <w:bookmarkStart w:id="24" w:name="_heading=h.3whwml4" w:colFirst="0" w:colLast="0"/>
      <w:bookmarkEnd w:id="24"/>
      <w:r>
        <w:t>conduct security testing of the Supplier System (an “</w:t>
      </w:r>
      <w:r>
        <w:rPr>
          <w:b/>
        </w:rPr>
        <w:t>IT Health Check</w:t>
      </w:r>
      <w:r>
        <w:t>”) in accordance with Paragraph 12.2; and</w:t>
      </w:r>
    </w:p>
    <w:p w:rsidR="00294A63" w:rsidRDefault="003B2D48">
      <w:pPr>
        <w:pStyle w:val="Heading3"/>
        <w:numPr>
          <w:ilvl w:val="2"/>
          <w:numId w:val="2"/>
        </w:numPr>
      </w:pPr>
      <w:r>
        <w:t>implement any findings, and remedy any vulnerabilities identified by the IT Health Check in accordanc</w:t>
      </w:r>
      <w:r>
        <w:t>e with Paragraph 12.3.</w:t>
      </w:r>
    </w:p>
    <w:p w:rsidR="00294A63" w:rsidRDefault="003B2D48">
      <w:pPr>
        <w:pStyle w:val="Heading2"/>
        <w:numPr>
          <w:ilvl w:val="1"/>
          <w:numId w:val="2"/>
        </w:numPr>
      </w:pPr>
      <w:bookmarkStart w:id="25" w:name="_heading=h.2bn6wsx" w:colFirst="0" w:colLast="0"/>
      <w:bookmarkEnd w:id="25"/>
      <w:r>
        <w:t>In arranging an IT Health Check, the Supplier must:</w:t>
      </w:r>
    </w:p>
    <w:p w:rsidR="00294A63" w:rsidRDefault="003B2D48">
      <w:pPr>
        <w:pStyle w:val="Heading3"/>
        <w:numPr>
          <w:ilvl w:val="2"/>
          <w:numId w:val="2"/>
        </w:numPr>
      </w:pPr>
      <w:r>
        <w:t xml:space="preserve">use only a CHECK Service Provider or CREST Service Provider to perform the IT Health Check; </w:t>
      </w:r>
    </w:p>
    <w:p w:rsidR="00294A63" w:rsidRDefault="003B2D48">
      <w:pPr>
        <w:pStyle w:val="Heading3"/>
        <w:numPr>
          <w:ilvl w:val="2"/>
          <w:numId w:val="2"/>
        </w:numPr>
      </w:pPr>
      <w:r>
        <w:t>design and plan for the IT Health Check so as to minimise the impact of the IT Health Check on the Supplier System and the delivery of the Services;</w:t>
      </w:r>
    </w:p>
    <w:p w:rsidR="00294A63" w:rsidRDefault="003B2D48">
      <w:pPr>
        <w:pStyle w:val="Heading3"/>
        <w:numPr>
          <w:ilvl w:val="2"/>
          <w:numId w:val="2"/>
        </w:numPr>
      </w:pPr>
      <w:r>
        <w:t>ensure that the scope of the IT Health Check encompasses the components of the Supplier System used to acce</w:t>
      </w:r>
      <w:r>
        <w:t>ss, store, Handle or manage Government Data; and</w:t>
      </w:r>
    </w:p>
    <w:p w:rsidR="00294A63" w:rsidRDefault="003B2D48">
      <w:pPr>
        <w:pStyle w:val="Heading3"/>
        <w:numPr>
          <w:ilvl w:val="2"/>
          <w:numId w:val="2"/>
        </w:numPr>
      </w:pPr>
      <w:r>
        <w:t>ensure that the IT Health Check provides for effective penetration testing of the Supplier System.</w:t>
      </w:r>
    </w:p>
    <w:p w:rsidR="00294A63" w:rsidRDefault="003B2D48">
      <w:pPr>
        <w:pStyle w:val="Heading2"/>
        <w:numPr>
          <w:ilvl w:val="1"/>
          <w:numId w:val="2"/>
        </w:numPr>
      </w:pPr>
      <w:bookmarkStart w:id="26" w:name="_heading=h.qsh70q" w:colFirst="0" w:colLast="0"/>
      <w:bookmarkEnd w:id="26"/>
      <w:r>
        <w:t>The Supplier treat any vulnerabilities as follows:</w:t>
      </w:r>
    </w:p>
    <w:p w:rsidR="00294A63" w:rsidRDefault="003B2D48">
      <w:pPr>
        <w:pStyle w:val="Heading3"/>
        <w:numPr>
          <w:ilvl w:val="2"/>
          <w:numId w:val="2"/>
        </w:numPr>
      </w:pPr>
      <w:r>
        <w:t>the Supplier must remedy any vulnerabilities classified a</w:t>
      </w:r>
      <w:r>
        <w:t>s high in the IT Health Check report:</w:t>
      </w:r>
    </w:p>
    <w:p w:rsidR="00294A63" w:rsidRDefault="003B2D48">
      <w:pPr>
        <w:pStyle w:val="Heading4"/>
        <w:numPr>
          <w:ilvl w:val="3"/>
          <w:numId w:val="2"/>
        </w:numPr>
      </w:pPr>
      <w:bookmarkStart w:id="27" w:name="_heading=h.3as4poj" w:colFirst="0" w:colLast="0"/>
      <w:bookmarkEnd w:id="27"/>
      <w:r>
        <w:lastRenderedPageBreak/>
        <w:t>if it is technically feasible to do so, within 5 Working Days of becoming aware of the vulnerability and its classification; or</w:t>
      </w:r>
    </w:p>
    <w:p w:rsidR="00294A63" w:rsidRDefault="003B2D48">
      <w:pPr>
        <w:pStyle w:val="Heading4"/>
        <w:numPr>
          <w:ilvl w:val="3"/>
          <w:numId w:val="2"/>
        </w:numPr>
      </w:pPr>
      <w:r>
        <w:t>if it is technical feasible to remedy the vulnerability but not technically feasible to do so as required by Paragraph 12.3(a)(i), then as soon as reasonably practicable after becoming aware of the vulnerability and its classification;</w:t>
      </w:r>
    </w:p>
    <w:p w:rsidR="00294A63" w:rsidRDefault="003B2D48">
      <w:pPr>
        <w:pStyle w:val="Heading3"/>
        <w:numPr>
          <w:ilvl w:val="2"/>
          <w:numId w:val="2"/>
        </w:numPr>
      </w:pPr>
      <w:r>
        <w:t>the Supplier must re</w:t>
      </w:r>
      <w:r>
        <w:t>medy any vulnerabilities classified as high in the IT Health Check report:</w:t>
      </w:r>
    </w:p>
    <w:p w:rsidR="00294A63" w:rsidRDefault="003B2D48">
      <w:pPr>
        <w:pStyle w:val="Heading4"/>
        <w:numPr>
          <w:ilvl w:val="3"/>
          <w:numId w:val="2"/>
        </w:numPr>
      </w:pPr>
      <w:bookmarkStart w:id="28" w:name="_heading=h.1pxezwc" w:colFirst="0" w:colLast="0"/>
      <w:bookmarkEnd w:id="28"/>
      <w:r>
        <w:t>if it is technically feasible to do so, within 1 month of becoming aware of the vulnerability and its classification; or</w:t>
      </w:r>
    </w:p>
    <w:p w:rsidR="00294A63" w:rsidRDefault="003B2D48">
      <w:pPr>
        <w:pStyle w:val="Heading4"/>
        <w:numPr>
          <w:ilvl w:val="3"/>
          <w:numId w:val="2"/>
        </w:numPr>
      </w:pPr>
      <w:r>
        <w:t xml:space="preserve">if it is technical feasible to remedy the vulnerability but </w:t>
      </w:r>
      <w:r>
        <w:t>not technically feasible to do so as required by Paragraph 12.3(b)(i), then as soon as reasonably practicable after becoming aware of the vulnerability and its classification;</w:t>
      </w:r>
    </w:p>
    <w:p w:rsidR="00294A63" w:rsidRDefault="003B2D48">
      <w:pPr>
        <w:pStyle w:val="Heading3"/>
        <w:numPr>
          <w:ilvl w:val="2"/>
          <w:numId w:val="2"/>
        </w:numPr>
      </w:pPr>
      <w:r>
        <w:t>the Supplier must remedy any vulnerabilities classified as medium in the IT Heat</w:t>
      </w:r>
      <w:r>
        <w:t>h Check report:</w:t>
      </w:r>
    </w:p>
    <w:p w:rsidR="00294A63" w:rsidRDefault="003B2D48">
      <w:pPr>
        <w:pStyle w:val="Heading4"/>
        <w:numPr>
          <w:ilvl w:val="3"/>
          <w:numId w:val="2"/>
        </w:numPr>
      </w:pPr>
      <w:bookmarkStart w:id="29" w:name="_heading=h.49x2ik5" w:colFirst="0" w:colLast="0"/>
      <w:bookmarkEnd w:id="29"/>
      <w:r>
        <w:t>if it is technically feasible to do so, within 3 months of becoming aware of the vulnerability and its classification; or</w:t>
      </w:r>
    </w:p>
    <w:p w:rsidR="00294A63" w:rsidRDefault="003B2D48">
      <w:pPr>
        <w:pStyle w:val="Heading4"/>
        <w:numPr>
          <w:ilvl w:val="3"/>
          <w:numId w:val="2"/>
        </w:numPr>
      </w:pPr>
      <w:r>
        <w:t>if it is technical feasible to remedy the vulnerability but not technically feasible to do so as required by Paragraph</w:t>
      </w:r>
      <w:r>
        <w:t> 12.3(c)(i), then as soon as reasonably practicable after becoming aware of the vulnerability and its classification;</w:t>
      </w:r>
    </w:p>
    <w:p w:rsidR="00294A63" w:rsidRDefault="003B2D48">
      <w:pPr>
        <w:pStyle w:val="Heading3"/>
        <w:numPr>
          <w:ilvl w:val="2"/>
          <w:numId w:val="2"/>
        </w:numPr>
      </w:pPr>
      <w:r>
        <w:t>where it is not technically feasible to remedy the vulnerability, the Supplier must implement appropriate technical and organisational mea</w:t>
      </w:r>
      <w:r>
        <w:t>sures to mitigate the risk posed by the vulnerability.</w:t>
      </w:r>
    </w:p>
    <w:p w:rsidR="00294A63" w:rsidRDefault="003B2D48">
      <w:pPr>
        <w:pStyle w:val="Heading1"/>
        <w:numPr>
          <w:ilvl w:val="0"/>
          <w:numId w:val="2"/>
        </w:numPr>
      </w:pPr>
      <w:bookmarkStart w:id="30" w:name="_heading=h.2p2csry" w:colFirst="0" w:colLast="0"/>
      <w:bookmarkEnd w:id="30"/>
      <w:r>
        <w:t>Cloud Security Principles</w:t>
      </w:r>
    </w:p>
    <w:p w:rsidR="00294A63" w:rsidRDefault="003B2D48">
      <w:pPr>
        <w:pStyle w:val="Heading2"/>
        <w:numPr>
          <w:ilvl w:val="1"/>
          <w:numId w:val="2"/>
        </w:numPr>
      </w:pPr>
      <w:bookmarkStart w:id="31" w:name="_heading=h.147n2zr" w:colFirst="0" w:colLast="0"/>
      <w:bookmarkEnd w:id="31"/>
      <w:r>
        <w:t>The Supplier must ensure that the Supplier System complies with the Cloud Security Principles.</w:t>
      </w:r>
    </w:p>
    <w:p w:rsidR="00294A63" w:rsidRDefault="003B2D48">
      <w:pPr>
        <w:pStyle w:val="Heading2"/>
        <w:numPr>
          <w:ilvl w:val="1"/>
          <w:numId w:val="2"/>
        </w:numPr>
      </w:pPr>
      <w:bookmarkStart w:id="32" w:name="_heading=h.3o7alnk" w:colFirst="0" w:colLast="0"/>
      <w:bookmarkEnd w:id="32"/>
      <w:r>
        <w:t>The Supplier must assess the Supplier System against the Cloud Security Principl</w:t>
      </w:r>
      <w:r>
        <w:t>es to assure itself that it complies with Paragraph 13.1:</w:t>
      </w:r>
    </w:p>
    <w:p w:rsidR="00294A63" w:rsidRDefault="003B2D48">
      <w:pPr>
        <w:pStyle w:val="Heading3"/>
        <w:numPr>
          <w:ilvl w:val="2"/>
          <w:numId w:val="2"/>
        </w:numPr>
      </w:pPr>
      <w:r>
        <w:t>before Handling Government Data;</w:t>
      </w:r>
    </w:p>
    <w:p w:rsidR="00294A63" w:rsidRDefault="003B2D48">
      <w:pPr>
        <w:pStyle w:val="Heading3"/>
        <w:numPr>
          <w:ilvl w:val="2"/>
          <w:numId w:val="2"/>
        </w:numPr>
      </w:pPr>
      <w:r>
        <w:t>at least once each Contract Year; and</w:t>
      </w:r>
    </w:p>
    <w:p w:rsidR="00294A63" w:rsidRDefault="003B2D48">
      <w:pPr>
        <w:pStyle w:val="Heading3"/>
        <w:numPr>
          <w:ilvl w:val="2"/>
          <w:numId w:val="2"/>
        </w:numPr>
      </w:pPr>
      <w:r>
        <w:t>when required by the Buyer.</w:t>
      </w:r>
    </w:p>
    <w:p w:rsidR="00294A63" w:rsidRDefault="003B2D48">
      <w:pPr>
        <w:pStyle w:val="Heading2"/>
        <w:numPr>
          <w:ilvl w:val="1"/>
          <w:numId w:val="2"/>
        </w:numPr>
      </w:pPr>
      <w:r>
        <w:t>Where the Cloud Security Principles provide for various options, the Supplier must document the opt</w:t>
      </w:r>
      <w:r>
        <w:t>ion it has chosen to implement and its reasons for doing so.</w:t>
      </w:r>
    </w:p>
    <w:p w:rsidR="00294A63" w:rsidRDefault="003B2D48">
      <w:pPr>
        <w:pStyle w:val="Heading2"/>
        <w:numPr>
          <w:ilvl w:val="1"/>
          <w:numId w:val="2"/>
        </w:numPr>
      </w:pPr>
      <w:r>
        <w:t>The Supplier must:</w:t>
      </w:r>
    </w:p>
    <w:p w:rsidR="00294A63" w:rsidRDefault="003B2D48">
      <w:pPr>
        <w:pStyle w:val="Heading3"/>
        <w:numPr>
          <w:ilvl w:val="2"/>
          <w:numId w:val="2"/>
        </w:numPr>
      </w:pPr>
      <w:r>
        <w:t>keep records of any assessment that it makes under Paragraph 13.2; and</w:t>
      </w:r>
    </w:p>
    <w:p w:rsidR="00294A63" w:rsidRDefault="003B2D48">
      <w:pPr>
        <w:pStyle w:val="Heading3"/>
        <w:numPr>
          <w:ilvl w:val="2"/>
          <w:numId w:val="2"/>
        </w:numPr>
      </w:pPr>
      <w:r>
        <w:t>provide copies of those records to the Buyer within 10 Working Days of any request by the Buyer.</w:t>
      </w:r>
    </w:p>
    <w:p w:rsidR="00294A63" w:rsidRDefault="003B2D48">
      <w:pPr>
        <w:pStyle w:val="Heading1"/>
        <w:numPr>
          <w:ilvl w:val="0"/>
          <w:numId w:val="2"/>
        </w:numPr>
      </w:pPr>
      <w:bookmarkStart w:id="33" w:name="_heading=h.23ckvvd" w:colFirst="0" w:colLast="0"/>
      <w:bookmarkEnd w:id="33"/>
      <w:r>
        <w:t>Informat</w:t>
      </w:r>
      <w:r>
        <w:t>ion about Subcontractors, Sites and Third-party Tools</w:t>
      </w:r>
    </w:p>
    <w:p w:rsidR="00294A63" w:rsidRDefault="003B2D48">
      <w:pPr>
        <w:pStyle w:val="Heading2"/>
        <w:numPr>
          <w:ilvl w:val="1"/>
          <w:numId w:val="2"/>
        </w:numPr>
      </w:pPr>
      <w:bookmarkStart w:id="34" w:name="_heading=h.ihv636" w:colFirst="0" w:colLast="0"/>
      <w:bookmarkEnd w:id="34"/>
      <w:r>
        <w:t>The Supplier must keep the following records:</w:t>
      </w:r>
    </w:p>
    <w:p w:rsidR="00294A63" w:rsidRDefault="003B2D48">
      <w:pPr>
        <w:pStyle w:val="Heading3"/>
        <w:numPr>
          <w:ilvl w:val="2"/>
          <w:numId w:val="2"/>
        </w:numPr>
      </w:pPr>
      <w:r>
        <w:lastRenderedPageBreak/>
        <w:t>for Subcontractors or third parties that store, have access to or Handle Government Data:</w:t>
      </w:r>
    </w:p>
    <w:p w:rsidR="00294A63" w:rsidRDefault="003B2D48">
      <w:pPr>
        <w:pStyle w:val="Heading4"/>
        <w:numPr>
          <w:ilvl w:val="3"/>
          <w:numId w:val="2"/>
        </w:numPr>
      </w:pPr>
      <w:r>
        <w:t>the Subcontractor or third-party’s name:</w:t>
      </w:r>
    </w:p>
    <w:p w:rsidR="00294A63" w:rsidRDefault="003B2D48">
      <w:pPr>
        <w:pStyle w:val="Heading5"/>
        <w:numPr>
          <w:ilvl w:val="4"/>
          <w:numId w:val="2"/>
        </w:numPr>
      </w:pPr>
      <w:r>
        <w:t>legal name;</w:t>
      </w:r>
    </w:p>
    <w:p w:rsidR="00294A63" w:rsidRDefault="003B2D48">
      <w:pPr>
        <w:pStyle w:val="Heading5"/>
        <w:numPr>
          <w:ilvl w:val="4"/>
          <w:numId w:val="2"/>
        </w:numPr>
      </w:pPr>
      <w:r>
        <w:t xml:space="preserve">trading name </w:t>
      </w:r>
      <w:r>
        <w:t xml:space="preserve">(if any); and </w:t>
      </w:r>
    </w:p>
    <w:p w:rsidR="00294A63" w:rsidRDefault="003B2D48">
      <w:pPr>
        <w:pStyle w:val="Heading5"/>
        <w:numPr>
          <w:ilvl w:val="4"/>
          <w:numId w:val="2"/>
        </w:numPr>
      </w:pPr>
      <w:r>
        <w:t>registration details (where the Subcontractor is not an individual), including:</w:t>
      </w:r>
    </w:p>
    <w:p w:rsidR="00294A63" w:rsidRDefault="003B2D48">
      <w:pPr>
        <w:pStyle w:val="Heading6"/>
        <w:numPr>
          <w:ilvl w:val="5"/>
          <w:numId w:val="2"/>
        </w:numPr>
      </w:pPr>
      <w:r>
        <w:t>country of registration;</w:t>
      </w:r>
    </w:p>
    <w:p w:rsidR="00294A63" w:rsidRDefault="003B2D48">
      <w:pPr>
        <w:pStyle w:val="Heading6"/>
        <w:numPr>
          <w:ilvl w:val="5"/>
          <w:numId w:val="2"/>
        </w:numPr>
      </w:pPr>
      <w:r>
        <w:t xml:space="preserve">registration number (if applicable); and </w:t>
      </w:r>
    </w:p>
    <w:p w:rsidR="00294A63" w:rsidRDefault="003B2D48">
      <w:pPr>
        <w:pStyle w:val="Heading6"/>
        <w:numPr>
          <w:ilvl w:val="5"/>
          <w:numId w:val="2"/>
        </w:numPr>
      </w:pPr>
      <w:r>
        <w:t>registered address;</w:t>
      </w:r>
    </w:p>
    <w:p w:rsidR="00294A63" w:rsidRDefault="003B2D48">
      <w:pPr>
        <w:pStyle w:val="Heading4"/>
        <w:numPr>
          <w:ilvl w:val="3"/>
          <w:numId w:val="2"/>
        </w:numPr>
      </w:pPr>
      <w:r>
        <w:t>the Certifications held by the Subcontractor or third party;</w:t>
      </w:r>
    </w:p>
    <w:p w:rsidR="00294A63" w:rsidRDefault="003B2D48">
      <w:pPr>
        <w:pStyle w:val="Heading4"/>
        <w:numPr>
          <w:ilvl w:val="3"/>
          <w:numId w:val="2"/>
        </w:numPr>
      </w:pPr>
      <w:r>
        <w:t>the Sites used by the Subcontractor or third party;</w:t>
      </w:r>
    </w:p>
    <w:p w:rsidR="00294A63" w:rsidRDefault="003B2D48">
      <w:pPr>
        <w:pStyle w:val="Heading4"/>
        <w:numPr>
          <w:ilvl w:val="3"/>
          <w:numId w:val="2"/>
        </w:numPr>
      </w:pPr>
      <w:r>
        <w:t>the Services provided or activities undertaken by the Subcontractor or third party;</w:t>
      </w:r>
    </w:p>
    <w:p w:rsidR="00294A63" w:rsidRDefault="003B2D48">
      <w:pPr>
        <w:pStyle w:val="Heading4"/>
        <w:numPr>
          <w:ilvl w:val="3"/>
          <w:numId w:val="2"/>
        </w:numPr>
      </w:pPr>
      <w:r>
        <w:t>the access the Subcontractor or third party has to the Supplier System;</w:t>
      </w:r>
    </w:p>
    <w:p w:rsidR="00294A63" w:rsidRDefault="003B2D48">
      <w:pPr>
        <w:pStyle w:val="Heading4"/>
        <w:numPr>
          <w:ilvl w:val="3"/>
          <w:numId w:val="2"/>
        </w:numPr>
      </w:pPr>
      <w:r>
        <w:t>the Government Data Handled by the Subcontractor</w:t>
      </w:r>
      <w:r>
        <w:t xml:space="preserve"> or third party; and</w:t>
      </w:r>
    </w:p>
    <w:p w:rsidR="00294A63" w:rsidRDefault="003B2D48">
      <w:pPr>
        <w:pStyle w:val="Heading4"/>
        <w:numPr>
          <w:ilvl w:val="3"/>
          <w:numId w:val="2"/>
        </w:numPr>
      </w:pPr>
      <w:r>
        <w:t>the measures the Subcontractor or third party has in place to comply with the requirements of this Schedule 16 (Security);</w:t>
      </w:r>
    </w:p>
    <w:p w:rsidR="00294A63" w:rsidRDefault="003B2D48">
      <w:pPr>
        <w:pStyle w:val="Heading3"/>
        <w:numPr>
          <w:ilvl w:val="2"/>
          <w:numId w:val="2"/>
        </w:numPr>
      </w:pPr>
      <w:r>
        <w:t>for Sites from or at which Government Data is accessed or Handled:</w:t>
      </w:r>
    </w:p>
    <w:p w:rsidR="00294A63" w:rsidRDefault="003B2D48">
      <w:pPr>
        <w:pStyle w:val="Heading4"/>
        <w:numPr>
          <w:ilvl w:val="3"/>
          <w:numId w:val="2"/>
        </w:numPr>
      </w:pPr>
      <w:r>
        <w:t>the location of the Site;</w:t>
      </w:r>
    </w:p>
    <w:p w:rsidR="00294A63" w:rsidRDefault="003B2D48">
      <w:pPr>
        <w:pStyle w:val="Heading4"/>
        <w:numPr>
          <w:ilvl w:val="3"/>
          <w:numId w:val="2"/>
        </w:numPr>
      </w:pPr>
      <w:r>
        <w:t>the operator of the</w:t>
      </w:r>
      <w:r>
        <w:t xml:space="preserve"> Site, including the operator’s:</w:t>
      </w:r>
    </w:p>
    <w:p w:rsidR="00294A63" w:rsidRDefault="003B2D48">
      <w:pPr>
        <w:pStyle w:val="Heading5"/>
        <w:numPr>
          <w:ilvl w:val="4"/>
          <w:numId w:val="2"/>
        </w:numPr>
      </w:pPr>
      <w:r>
        <w:t>legal name;</w:t>
      </w:r>
    </w:p>
    <w:p w:rsidR="00294A63" w:rsidRDefault="003B2D48">
      <w:pPr>
        <w:pStyle w:val="Heading5"/>
        <w:numPr>
          <w:ilvl w:val="4"/>
          <w:numId w:val="2"/>
        </w:numPr>
      </w:pPr>
      <w:r>
        <w:t xml:space="preserve">trading name (if any); and </w:t>
      </w:r>
    </w:p>
    <w:p w:rsidR="00294A63" w:rsidRDefault="003B2D48">
      <w:pPr>
        <w:pStyle w:val="Heading5"/>
        <w:numPr>
          <w:ilvl w:val="4"/>
          <w:numId w:val="2"/>
        </w:numPr>
      </w:pPr>
      <w:r>
        <w:t>registration details (where the Subcontractor is not an individual);</w:t>
      </w:r>
    </w:p>
    <w:p w:rsidR="00294A63" w:rsidRDefault="003B2D48">
      <w:pPr>
        <w:pStyle w:val="Heading4"/>
        <w:numPr>
          <w:ilvl w:val="3"/>
          <w:numId w:val="2"/>
        </w:numPr>
      </w:pPr>
      <w:r>
        <w:t>the Certifications that apply to the Site;</w:t>
      </w:r>
    </w:p>
    <w:p w:rsidR="00294A63" w:rsidRDefault="003B2D48">
      <w:pPr>
        <w:pStyle w:val="Heading4"/>
        <w:numPr>
          <w:ilvl w:val="3"/>
          <w:numId w:val="2"/>
        </w:numPr>
      </w:pPr>
      <w:r>
        <w:t>the Government Data stored at, or Handled from, the site; and</w:t>
      </w:r>
    </w:p>
    <w:p w:rsidR="00294A63" w:rsidRDefault="003B2D48">
      <w:pPr>
        <w:pStyle w:val="Heading3"/>
        <w:numPr>
          <w:ilvl w:val="2"/>
          <w:numId w:val="2"/>
        </w:numPr>
      </w:pPr>
      <w:r>
        <w:t>for Third</w:t>
      </w:r>
      <w:r>
        <w:t>-party Tools:</w:t>
      </w:r>
    </w:p>
    <w:p w:rsidR="00294A63" w:rsidRDefault="003B2D48">
      <w:pPr>
        <w:pStyle w:val="Heading4"/>
        <w:numPr>
          <w:ilvl w:val="3"/>
          <w:numId w:val="2"/>
        </w:numPr>
      </w:pPr>
      <w:r>
        <w:t>the name of the Third-party Tool;</w:t>
      </w:r>
    </w:p>
    <w:p w:rsidR="00294A63" w:rsidRDefault="003B2D48">
      <w:pPr>
        <w:pStyle w:val="Heading4"/>
        <w:numPr>
          <w:ilvl w:val="3"/>
          <w:numId w:val="2"/>
        </w:numPr>
      </w:pPr>
      <w:r>
        <w:t>the nature of the activity or operation performed by the Third-Party Tool on the Government Data; and</w:t>
      </w:r>
    </w:p>
    <w:p w:rsidR="00294A63" w:rsidRDefault="003B2D48">
      <w:pPr>
        <w:pStyle w:val="Heading4"/>
        <w:numPr>
          <w:ilvl w:val="3"/>
          <w:numId w:val="2"/>
        </w:numPr>
      </w:pPr>
      <w:r>
        <w:t>in respect of the entity providing the Third-Party Tool, its:</w:t>
      </w:r>
    </w:p>
    <w:p w:rsidR="00294A63" w:rsidRDefault="003B2D48">
      <w:pPr>
        <w:pStyle w:val="Heading5"/>
        <w:numPr>
          <w:ilvl w:val="4"/>
          <w:numId w:val="2"/>
        </w:numPr>
      </w:pPr>
      <w:r>
        <w:t>full legal name;</w:t>
      </w:r>
    </w:p>
    <w:p w:rsidR="00294A63" w:rsidRDefault="003B2D48">
      <w:pPr>
        <w:pStyle w:val="Heading5"/>
        <w:numPr>
          <w:ilvl w:val="4"/>
          <w:numId w:val="2"/>
        </w:numPr>
      </w:pPr>
      <w:r>
        <w:t>trading name (if any)</w:t>
      </w:r>
    </w:p>
    <w:p w:rsidR="00294A63" w:rsidRDefault="003B2D48">
      <w:pPr>
        <w:pStyle w:val="Heading5"/>
        <w:numPr>
          <w:ilvl w:val="4"/>
          <w:numId w:val="2"/>
        </w:numPr>
      </w:pPr>
      <w:r>
        <w:lastRenderedPageBreak/>
        <w:t>country of registration;</w:t>
      </w:r>
    </w:p>
    <w:p w:rsidR="00294A63" w:rsidRDefault="003B2D48">
      <w:pPr>
        <w:pStyle w:val="Heading5"/>
        <w:numPr>
          <w:ilvl w:val="4"/>
          <w:numId w:val="2"/>
        </w:numPr>
      </w:pPr>
      <w:r>
        <w:t xml:space="preserve">registration number (if applicable); and </w:t>
      </w:r>
    </w:p>
    <w:p w:rsidR="00294A63" w:rsidRDefault="003B2D48">
      <w:pPr>
        <w:pStyle w:val="Heading5"/>
        <w:numPr>
          <w:ilvl w:val="4"/>
          <w:numId w:val="2"/>
        </w:numPr>
      </w:pPr>
      <w:r>
        <w:t>registered address.</w:t>
      </w:r>
    </w:p>
    <w:p w:rsidR="00294A63" w:rsidRDefault="003B2D48">
      <w:pPr>
        <w:pStyle w:val="Heading2"/>
        <w:numPr>
          <w:ilvl w:val="1"/>
          <w:numId w:val="2"/>
        </w:numPr>
      </w:pPr>
      <w:r>
        <w:t>The Supplier must update the records it keeps in accordance with Paragraph 14.1:</w:t>
      </w:r>
    </w:p>
    <w:p w:rsidR="00294A63" w:rsidRDefault="003B2D48">
      <w:pPr>
        <w:pStyle w:val="Heading3"/>
        <w:numPr>
          <w:ilvl w:val="2"/>
          <w:numId w:val="2"/>
        </w:numPr>
      </w:pPr>
      <w:r>
        <w:t>at least four times each Contract Year;</w:t>
      </w:r>
    </w:p>
    <w:p w:rsidR="00294A63" w:rsidRDefault="003B2D48">
      <w:pPr>
        <w:pStyle w:val="Heading3"/>
        <w:numPr>
          <w:ilvl w:val="2"/>
          <w:numId w:val="2"/>
        </w:numPr>
      </w:pPr>
      <w:r>
        <w:t>whenever a Subcontractor, third party that accesses or Handles Government Data, Third-party Tool or Site changes; or</w:t>
      </w:r>
    </w:p>
    <w:p w:rsidR="00294A63" w:rsidRDefault="003B2D48">
      <w:pPr>
        <w:pStyle w:val="Heading3"/>
        <w:numPr>
          <w:ilvl w:val="2"/>
          <w:numId w:val="2"/>
        </w:numPr>
      </w:pPr>
      <w:r>
        <w:t>whenever required to go so by the Buyer.</w:t>
      </w:r>
    </w:p>
    <w:p w:rsidR="00294A63" w:rsidRDefault="003B2D48">
      <w:pPr>
        <w:pStyle w:val="Heading2"/>
        <w:numPr>
          <w:ilvl w:val="1"/>
          <w:numId w:val="2"/>
        </w:numPr>
      </w:pPr>
      <w:r>
        <w:t xml:space="preserve">The Supplier must provide copies of the records it keeps in accordance with Paragraph 14.1 to the </w:t>
      </w:r>
      <w:r>
        <w:t>Buyer within 10 Working Days of any request by the Buyer.</w:t>
      </w:r>
    </w:p>
    <w:p w:rsidR="00294A63" w:rsidRDefault="003B2D48">
      <w:pPr>
        <w:pStyle w:val="Heading1"/>
        <w:numPr>
          <w:ilvl w:val="0"/>
          <w:numId w:val="2"/>
        </w:numPr>
        <w:rPr>
          <w:b w:val="0"/>
        </w:rPr>
      </w:pPr>
      <w:bookmarkStart w:id="35" w:name="_heading=h.32hioqz" w:colFirst="0" w:colLast="0"/>
      <w:bookmarkEnd w:id="35"/>
      <w:r>
        <w:t>Encryption</w:t>
      </w:r>
    </w:p>
    <w:p w:rsidR="00294A63" w:rsidRDefault="003B2D48">
      <w:pPr>
        <w:pStyle w:val="Heading2"/>
        <w:numPr>
          <w:ilvl w:val="1"/>
          <w:numId w:val="2"/>
        </w:numPr>
      </w:pPr>
      <w:r>
        <w:t>The Supplier must, and must ensure that all Subcontractors, encrypt Government Data:</w:t>
      </w:r>
    </w:p>
    <w:p w:rsidR="00294A63" w:rsidRDefault="003B2D48">
      <w:pPr>
        <w:pStyle w:val="Heading3"/>
        <w:numPr>
          <w:ilvl w:val="2"/>
          <w:numId w:val="2"/>
        </w:numPr>
      </w:pPr>
      <w:r>
        <w:t>when stored at any time when no operation is being performed on it, including when stored on any porta</w:t>
      </w:r>
      <w:r>
        <w:t>ble storage media; and</w:t>
      </w:r>
    </w:p>
    <w:p w:rsidR="00294A63" w:rsidRDefault="003B2D48">
      <w:pPr>
        <w:pStyle w:val="Heading3"/>
        <w:numPr>
          <w:ilvl w:val="2"/>
          <w:numId w:val="2"/>
        </w:numPr>
      </w:pPr>
      <w:r>
        <w:t>when transmitted.</w:t>
      </w:r>
    </w:p>
    <w:p w:rsidR="00294A63" w:rsidRDefault="003B2D48">
      <w:pPr>
        <w:pStyle w:val="Heading1"/>
        <w:numPr>
          <w:ilvl w:val="0"/>
          <w:numId w:val="2"/>
        </w:numPr>
      </w:pPr>
      <w:bookmarkStart w:id="36" w:name="_heading=h.1hmsyys" w:colFirst="0" w:colLast="0"/>
      <w:bookmarkEnd w:id="36"/>
      <w:r>
        <w:t>Protective Monitoring System</w:t>
      </w:r>
    </w:p>
    <w:p w:rsidR="00294A63" w:rsidRDefault="003B2D48">
      <w:pPr>
        <w:pStyle w:val="Heading2"/>
        <w:numPr>
          <w:ilvl w:val="1"/>
          <w:numId w:val="2"/>
        </w:numPr>
      </w:pPr>
      <w:bookmarkStart w:id="37" w:name="_heading=h.41mghml" w:colFirst="0" w:colLast="0"/>
      <w:bookmarkEnd w:id="37"/>
      <w:r>
        <w:t>The Supplier must, and must ensure that Subcontractors, implement an effective system of monitoring and reports, analysing access to and use of the Supplier System and the Government Dat</w:t>
      </w:r>
      <w:r>
        <w:t>a to:</w:t>
      </w:r>
    </w:p>
    <w:p w:rsidR="00294A63" w:rsidRDefault="003B2D48">
      <w:pPr>
        <w:pStyle w:val="Heading3"/>
        <w:numPr>
          <w:ilvl w:val="2"/>
          <w:numId w:val="2"/>
        </w:numPr>
      </w:pPr>
      <w:r>
        <w:t>identify and prevent any potential Breach of Security;</w:t>
      </w:r>
    </w:p>
    <w:p w:rsidR="00294A63" w:rsidRDefault="003B2D48">
      <w:pPr>
        <w:pStyle w:val="Heading3"/>
        <w:numPr>
          <w:ilvl w:val="2"/>
          <w:numId w:val="2"/>
        </w:numPr>
      </w:pPr>
      <w:r>
        <w:t>respond effectively and in a timely manner to any Breach of Security that does;</w:t>
      </w:r>
    </w:p>
    <w:p w:rsidR="00294A63" w:rsidRDefault="003B2D48">
      <w:pPr>
        <w:pStyle w:val="Heading3"/>
        <w:numPr>
          <w:ilvl w:val="2"/>
          <w:numId w:val="2"/>
        </w:numPr>
      </w:pPr>
      <w:r>
        <w:t>identify and implement changes to the Supplier System to prevent future any Breach of Security; and</w:t>
      </w:r>
    </w:p>
    <w:p w:rsidR="00294A63" w:rsidRDefault="003B2D48">
      <w:pPr>
        <w:pStyle w:val="Heading3"/>
        <w:numPr>
          <w:ilvl w:val="2"/>
          <w:numId w:val="2"/>
        </w:numPr>
      </w:pPr>
      <w:r>
        <w:t>help detect and</w:t>
      </w:r>
      <w:r>
        <w:t xml:space="preserve"> prevent any potential criminal offence relating to fraud, bribery or corruption using the Supplier System,</w:t>
      </w:r>
    </w:p>
    <w:p w:rsidR="00294A63" w:rsidRDefault="003B2D48">
      <w:pPr>
        <w:pStyle w:val="Heading2"/>
        <w:ind w:left="720" w:firstLine="0"/>
      </w:pPr>
      <w:r>
        <w:t>(the “</w:t>
      </w:r>
      <w:r>
        <w:rPr>
          <w:b/>
        </w:rPr>
        <w:t>Protective Monitoring System</w:t>
      </w:r>
      <w:r>
        <w:t>”).</w:t>
      </w:r>
    </w:p>
    <w:p w:rsidR="00294A63" w:rsidRDefault="003B2D48">
      <w:pPr>
        <w:pStyle w:val="Heading2"/>
        <w:numPr>
          <w:ilvl w:val="1"/>
          <w:numId w:val="2"/>
        </w:numPr>
      </w:pPr>
      <w:r>
        <w:t>The Protective Monitoring System must provide for:</w:t>
      </w:r>
    </w:p>
    <w:p w:rsidR="00294A63" w:rsidRDefault="003B2D48">
      <w:pPr>
        <w:pStyle w:val="Heading3"/>
        <w:numPr>
          <w:ilvl w:val="2"/>
          <w:numId w:val="2"/>
        </w:numPr>
      </w:pPr>
      <w:r>
        <w:t>event logs and audit records of access to the Supplier Syst</w:t>
      </w:r>
      <w:r>
        <w:t>em; and</w:t>
      </w:r>
    </w:p>
    <w:p w:rsidR="00294A63" w:rsidRDefault="003B2D48">
      <w:pPr>
        <w:pStyle w:val="Heading3"/>
        <w:numPr>
          <w:ilvl w:val="2"/>
          <w:numId w:val="2"/>
        </w:numPr>
      </w:pPr>
      <w:r>
        <w:t>regular reports and alerts to identify:</w:t>
      </w:r>
    </w:p>
    <w:p w:rsidR="00294A63" w:rsidRDefault="003B2D48">
      <w:pPr>
        <w:pStyle w:val="Heading4"/>
        <w:numPr>
          <w:ilvl w:val="3"/>
          <w:numId w:val="2"/>
        </w:numPr>
      </w:pPr>
      <w:r>
        <w:t>changing access trends;</w:t>
      </w:r>
    </w:p>
    <w:p w:rsidR="00294A63" w:rsidRDefault="003B2D48">
      <w:pPr>
        <w:pStyle w:val="Heading4"/>
        <w:numPr>
          <w:ilvl w:val="3"/>
          <w:numId w:val="2"/>
        </w:numPr>
      </w:pPr>
      <w:r>
        <w:t>unusual usage patterns; or</w:t>
      </w:r>
    </w:p>
    <w:p w:rsidR="00294A63" w:rsidRDefault="003B2D48">
      <w:pPr>
        <w:pStyle w:val="Heading4"/>
        <w:numPr>
          <w:ilvl w:val="3"/>
          <w:numId w:val="2"/>
        </w:numPr>
      </w:pPr>
      <w:r>
        <w:t>the access of greater than usual volumes of Government Data; and</w:t>
      </w:r>
    </w:p>
    <w:p w:rsidR="00294A63" w:rsidRDefault="003B2D48">
      <w:pPr>
        <w:pStyle w:val="Heading3"/>
        <w:numPr>
          <w:ilvl w:val="2"/>
          <w:numId w:val="2"/>
        </w:numPr>
      </w:pPr>
      <w:r>
        <w:lastRenderedPageBreak/>
        <w:t xml:space="preserve">the detection and prevention of any attack on the Supplier System using common cyber-attack </w:t>
      </w:r>
      <w:r>
        <w:t>techniques.</w:t>
      </w:r>
    </w:p>
    <w:p w:rsidR="00294A63" w:rsidRDefault="003B2D48">
      <w:pPr>
        <w:pStyle w:val="Heading1"/>
        <w:numPr>
          <w:ilvl w:val="0"/>
          <w:numId w:val="2"/>
        </w:numPr>
        <w:rPr>
          <w:b w:val="0"/>
        </w:rPr>
      </w:pPr>
      <w:bookmarkStart w:id="38" w:name="_heading=h.2grqrue" w:colFirst="0" w:colLast="0"/>
      <w:bookmarkEnd w:id="38"/>
      <w:r>
        <w:t>Patching</w:t>
      </w:r>
    </w:p>
    <w:p w:rsidR="00294A63" w:rsidRDefault="003B2D48">
      <w:pPr>
        <w:pStyle w:val="Heading2"/>
        <w:numPr>
          <w:ilvl w:val="1"/>
          <w:numId w:val="2"/>
        </w:numPr>
      </w:pPr>
      <w:r>
        <w:t>The Supplier must, and must ensure that Subcontractors, treat any public releases of patches for vulnerabilities as follows:</w:t>
      </w:r>
    </w:p>
    <w:p w:rsidR="00294A63" w:rsidRDefault="003B2D48">
      <w:pPr>
        <w:pStyle w:val="Heading3"/>
        <w:numPr>
          <w:ilvl w:val="2"/>
          <w:numId w:val="2"/>
        </w:numPr>
      </w:pPr>
      <w:r>
        <w:t>the Supplier must patch any vulnerabilities classified as “critical”:</w:t>
      </w:r>
    </w:p>
    <w:p w:rsidR="00294A63" w:rsidRDefault="003B2D48">
      <w:pPr>
        <w:pStyle w:val="Heading4"/>
        <w:numPr>
          <w:ilvl w:val="3"/>
          <w:numId w:val="2"/>
        </w:numPr>
      </w:pPr>
      <w:bookmarkStart w:id="39" w:name="_heading=h.vx1227" w:colFirst="0" w:colLast="0"/>
      <w:bookmarkEnd w:id="39"/>
      <w:r>
        <w:t xml:space="preserve">if it is technically feasible to do so, </w:t>
      </w:r>
      <w:r>
        <w:t>within 5 Working Days of the public release; or</w:t>
      </w:r>
    </w:p>
    <w:p w:rsidR="00294A63" w:rsidRDefault="003B2D48">
      <w:pPr>
        <w:pStyle w:val="Heading4"/>
        <w:numPr>
          <w:ilvl w:val="3"/>
          <w:numId w:val="2"/>
        </w:numPr>
      </w:pPr>
      <w:r>
        <w:t>if it is technical feasible to patch the vulnerability but not technically feasible to do so as required by Paragraph 17.1(a)(i), then as soon as reasonably practicable after the public release;</w:t>
      </w:r>
    </w:p>
    <w:p w:rsidR="00294A63" w:rsidRDefault="003B2D48">
      <w:pPr>
        <w:pStyle w:val="Heading3"/>
        <w:numPr>
          <w:ilvl w:val="2"/>
          <w:numId w:val="2"/>
        </w:numPr>
      </w:pPr>
      <w:r>
        <w:t>the Supplier must patch any vulnerabilities classified as “important”:</w:t>
      </w:r>
    </w:p>
    <w:p w:rsidR="00294A63" w:rsidRDefault="003B2D48">
      <w:pPr>
        <w:pStyle w:val="Heading4"/>
        <w:numPr>
          <w:ilvl w:val="3"/>
          <w:numId w:val="2"/>
        </w:numPr>
      </w:pPr>
      <w:bookmarkStart w:id="40" w:name="_heading=h.3fwokq0" w:colFirst="0" w:colLast="0"/>
      <w:bookmarkEnd w:id="40"/>
      <w:r>
        <w:t>if it is technically feasible to do so, within 1 month of the public release; or</w:t>
      </w:r>
    </w:p>
    <w:p w:rsidR="00294A63" w:rsidRDefault="003B2D48">
      <w:pPr>
        <w:pStyle w:val="Heading4"/>
        <w:numPr>
          <w:ilvl w:val="3"/>
          <w:numId w:val="2"/>
        </w:numPr>
      </w:pPr>
      <w:r>
        <w:t>if it is technical feasible to patch the vulnerability but not technically feasible to do so as required</w:t>
      </w:r>
      <w:r>
        <w:t xml:space="preserve"> by Paragraph 17.1(b)(i), then as soon as reasonably practicable after the public release;</w:t>
      </w:r>
    </w:p>
    <w:p w:rsidR="00294A63" w:rsidRDefault="003B2D48">
      <w:pPr>
        <w:pStyle w:val="Heading3"/>
        <w:numPr>
          <w:ilvl w:val="2"/>
          <w:numId w:val="2"/>
        </w:numPr>
      </w:pPr>
      <w:r>
        <w:t>the Supplier must remedy any vulnerabilities classified as “other” in the public release:</w:t>
      </w:r>
    </w:p>
    <w:p w:rsidR="00294A63" w:rsidRDefault="003B2D48">
      <w:pPr>
        <w:pStyle w:val="Heading4"/>
        <w:numPr>
          <w:ilvl w:val="3"/>
          <w:numId w:val="2"/>
        </w:numPr>
      </w:pPr>
      <w:bookmarkStart w:id="41" w:name="_heading=h.1v1yuxt" w:colFirst="0" w:colLast="0"/>
      <w:bookmarkEnd w:id="41"/>
      <w:r>
        <w:t>if it is technically feasible to do so, within 2 months of the public relea</w:t>
      </w:r>
      <w:r>
        <w:t>se; or</w:t>
      </w:r>
    </w:p>
    <w:p w:rsidR="00294A63" w:rsidRDefault="003B2D48">
      <w:pPr>
        <w:pStyle w:val="Heading4"/>
        <w:numPr>
          <w:ilvl w:val="3"/>
          <w:numId w:val="2"/>
        </w:numPr>
      </w:pPr>
      <w:r>
        <w:t>if it is technical feasible to remedy the vulnerability but not technically feasible to do so as required by Paragraph 17.1(c)(i), then as soon as reasonably practicable after the public release;</w:t>
      </w:r>
    </w:p>
    <w:p w:rsidR="00294A63" w:rsidRDefault="003B2D48">
      <w:pPr>
        <w:pStyle w:val="Heading3"/>
        <w:numPr>
          <w:ilvl w:val="2"/>
          <w:numId w:val="2"/>
        </w:numPr>
      </w:pPr>
      <w:r>
        <w:t>where it is not technically feasible to patch the vul</w:t>
      </w:r>
      <w:r>
        <w:t>nerability, the Supplier must implement appropriate technical and organisational measures to mitigate the risk posed by the vulnerability.</w:t>
      </w:r>
    </w:p>
    <w:p w:rsidR="00294A63" w:rsidRDefault="003B2D48">
      <w:pPr>
        <w:pStyle w:val="Heading1"/>
        <w:numPr>
          <w:ilvl w:val="0"/>
          <w:numId w:val="2"/>
        </w:numPr>
      </w:pPr>
      <w:bookmarkStart w:id="42" w:name="_heading=h.4f1mdlm" w:colFirst="0" w:colLast="0"/>
      <w:bookmarkEnd w:id="42"/>
      <w:r>
        <w:t>Malware protection</w:t>
      </w:r>
    </w:p>
    <w:p w:rsidR="00294A63" w:rsidRDefault="003B2D48">
      <w:pPr>
        <w:pStyle w:val="Heading2"/>
        <w:numPr>
          <w:ilvl w:val="1"/>
          <w:numId w:val="2"/>
        </w:numPr>
      </w:pPr>
      <w:r>
        <w:t>The Supplier shall install and maintain Anti-virus Software or procure that Anti-virus Software is</w:t>
      </w:r>
      <w:r>
        <w:t xml:space="preserve"> installed and maintained on the Supplier System.</w:t>
      </w:r>
    </w:p>
    <w:p w:rsidR="00294A63" w:rsidRDefault="003B2D48">
      <w:pPr>
        <w:pStyle w:val="Heading2"/>
        <w:numPr>
          <w:ilvl w:val="1"/>
          <w:numId w:val="2"/>
        </w:numPr>
      </w:pPr>
      <w:r>
        <w:t>The Supplier must ensure that such Anti-virus Software:</w:t>
      </w:r>
    </w:p>
    <w:p w:rsidR="00294A63" w:rsidRDefault="003B2D48">
      <w:pPr>
        <w:pStyle w:val="Heading3"/>
        <w:numPr>
          <w:ilvl w:val="2"/>
          <w:numId w:val="2"/>
        </w:numPr>
      </w:pPr>
      <w:r>
        <w:t>prevents the installation of the most common forms of Malicious Software in the Supplier System;</w:t>
      </w:r>
    </w:p>
    <w:p w:rsidR="00294A63" w:rsidRDefault="003B2D48">
      <w:pPr>
        <w:pStyle w:val="Heading3"/>
        <w:numPr>
          <w:ilvl w:val="2"/>
          <w:numId w:val="2"/>
        </w:numPr>
      </w:pPr>
      <w:r>
        <w:t>performs regular scans of the Supplier System to check for Malicious Software; and</w:t>
      </w:r>
    </w:p>
    <w:p w:rsidR="00294A63" w:rsidRDefault="003B2D48">
      <w:pPr>
        <w:pStyle w:val="Heading3"/>
        <w:numPr>
          <w:ilvl w:val="2"/>
          <w:numId w:val="2"/>
        </w:numPr>
      </w:pPr>
      <w:r>
        <w:t>where Malicious Software has been introduced into the Supplier System, so far as practicable</w:t>
      </w:r>
    </w:p>
    <w:p w:rsidR="00294A63" w:rsidRDefault="003B2D48">
      <w:pPr>
        <w:pStyle w:val="Heading4"/>
        <w:numPr>
          <w:ilvl w:val="3"/>
          <w:numId w:val="2"/>
        </w:numPr>
      </w:pPr>
      <w:r>
        <w:t>prevents the harmful effects from the Malicious Software; and</w:t>
      </w:r>
    </w:p>
    <w:p w:rsidR="00294A63" w:rsidRDefault="003B2D48">
      <w:pPr>
        <w:pStyle w:val="Heading4"/>
        <w:numPr>
          <w:ilvl w:val="3"/>
          <w:numId w:val="2"/>
        </w:numPr>
      </w:pPr>
      <w:r>
        <w:t>removes the Malici</w:t>
      </w:r>
      <w:r>
        <w:t>ous Software from the Supplier System.</w:t>
      </w:r>
    </w:p>
    <w:p w:rsidR="00294A63" w:rsidRDefault="003B2D48">
      <w:pPr>
        <w:pStyle w:val="Heading1"/>
        <w:numPr>
          <w:ilvl w:val="0"/>
          <w:numId w:val="2"/>
        </w:numPr>
      </w:pPr>
      <w:bookmarkStart w:id="43" w:name="_heading=h.2u6wntf" w:colFirst="0" w:colLast="0"/>
      <w:bookmarkEnd w:id="43"/>
      <w:r>
        <w:lastRenderedPageBreak/>
        <w:t>End-user Devices</w:t>
      </w:r>
    </w:p>
    <w:p w:rsidR="00294A63" w:rsidRDefault="003B2D48">
      <w:pPr>
        <w:pStyle w:val="Heading2"/>
        <w:numPr>
          <w:ilvl w:val="1"/>
          <w:numId w:val="2"/>
        </w:numPr>
      </w:pPr>
      <w:bookmarkStart w:id="44" w:name="_heading=h.19c6y18" w:colFirst="0" w:colLast="0"/>
      <w:bookmarkEnd w:id="44"/>
      <w:r>
        <w:t>The Supplier must, and must ensure that all Subcontractors, manage all End-user Devices on which Government Data is stored or Handled in accordance with the following requirements:</w:t>
      </w:r>
    </w:p>
    <w:p w:rsidR="00294A63" w:rsidRDefault="003B2D48">
      <w:pPr>
        <w:pStyle w:val="Heading3"/>
        <w:numPr>
          <w:ilvl w:val="2"/>
          <w:numId w:val="2"/>
        </w:numPr>
      </w:pPr>
      <w:r>
        <w:t>the operating syste</w:t>
      </w:r>
      <w:r>
        <w:t>m and any applications that store, Handle or have access to Government Data must be in current support by the vendor, or the relevant community in the case of open source operating systems or applications;</w:t>
      </w:r>
    </w:p>
    <w:p w:rsidR="00294A63" w:rsidRDefault="003B2D48">
      <w:pPr>
        <w:pStyle w:val="Heading3"/>
        <w:numPr>
          <w:ilvl w:val="2"/>
          <w:numId w:val="2"/>
        </w:numPr>
      </w:pPr>
      <w:r>
        <w:t>users must authenticate before gaining access;</w:t>
      </w:r>
    </w:p>
    <w:p w:rsidR="00294A63" w:rsidRDefault="003B2D48">
      <w:pPr>
        <w:pStyle w:val="Heading3"/>
        <w:numPr>
          <w:ilvl w:val="2"/>
          <w:numId w:val="2"/>
        </w:numPr>
      </w:pPr>
      <w:r>
        <w:t>all</w:t>
      </w:r>
      <w:r>
        <w:t xml:space="preserve"> Government Data must be encrypted using a suitable encryption tool;</w:t>
      </w:r>
    </w:p>
    <w:p w:rsidR="00294A63" w:rsidRDefault="003B2D48">
      <w:pPr>
        <w:pStyle w:val="Heading3"/>
        <w:numPr>
          <w:ilvl w:val="2"/>
          <w:numId w:val="2"/>
        </w:numPr>
      </w:pPr>
      <w:r>
        <w:t>the End-user Device must lock and require any user to re-authenticate after a period of time that is proportionate to the risk environment, during which the End-user Device is inactive;</w:t>
      </w:r>
    </w:p>
    <w:p w:rsidR="00294A63" w:rsidRDefault="003B2D48">
      <w:pPr>
        <w:pStyle w:val="Heading3"/>
        <w:numPr>
          <w:ilvl w:val="2"/>
          <w:numId w:val="2"/>
        </w:numPr>
      </w:pPr>
      <w:r>
        <w:t>t</w:t>
      </w:r>
      <w:r>
        <w:t>he End-User Device must be managed in a way that allows for the application of technical policies and controls over applications that have access to Government Data to ensure the security of that Government Data;</w:t>
      </w:r>
    </w:p>
    <w:p w:rsidR="00294A63" w:rsidRDefault="003B2D48">
      <w:pPr>
        <w:pStyle w:val="Heading3"/>
        <w:numPr>
          <w:ilvl w:val="2"/>
          <w:numId w:val="2"/>
        </w:numPr>
      </w:pPr>
      <w:r>
        <w:t>the Supplier or Subcontractor, as applicabl</w:t>
      </w:r>
      <w:r>
        <w:t>e, can, without physical access to the End-user Device, remove or make inaccessible all Government Data stored on the device and prevent any user or group of users from accessing the device;</w:t>
      </w:r>
    </w:p>
    <w:p w:rsidR="00294A63" w:rsidRDefault="003B2D48">
      <w:pPr>
        <w:pStyle w:val="Heading3"/>
        <w:numPr>
          <w:ilvl w:val="2"/>
          <w:numId w:val="2"/>
        </w:numPr>
      </w:pPr>
      <w:r>
        <w:t>all End-user Devices are within the scope of any required Certifi</w:t>
      </w:r>
      <w:r>
        <w:t>cation.</w:t>
      </w:r>
    </w:p>
    <w:p w:rsidR="00294A63" w:rsidRDefault="003B2D48">
      <w:pPr>
        <w:pStyle w:val="Heading2"/>
        <w:numPr>
          <w:ilvl w:val="1"/>
          <w:numId w:val="2"/>
        </w:numPr>
      </w:pPr>
      <w:r>
        <w:t>The Supplier must comply, and ensure that all Subcontractors comply, with the recommendations in NCSC Device Guidance as if those recommendations were incorporated as specific obligations under this Contract.</w:t>
      </w:r>
    </w:p>
    <w:p w:rsidR="00294A63" w:rsidRDefault="003B2D48">
      <w:pPr>
        <w:pStyle w:val="Heading1"/>
        <w:numPr>
          <w:ilvl w:val="0"/>
          <w:numId w:val="2"/>
        </w:numPr>
      </w:pPr>
      <w:bookmarkStart w:id="45" w:name="_heading=h.3tbugp1" w:colFirst="0" w:colLast="0"/>
      <w:bookmarkEnd w:id="45"/>
      <w:r>
        <w:t>Vulnerability scanning</w:t>
      </w:r>
    </w:p>
    <w:p w:rsidR="00294A63" w:rsidRDefault="003B2D48">
      <w:pPr>
        <w:pStyle w:val="Heading2"/>
        <w:numPr>
          <w:ilvl w:val="1"/>
          <w:numId w:val="2"/>
        </w:numPr>
      </w:pPr>
      <w:r>
        <w:t>The Supplier must:</w:t>
      </w:r>
    </w:p>
    <w:p w:rsidR="00294A63" w:rsidRDefault="003B2D48">
      <w:pPr>
        <w:pStyle w:val="Heading3"/>
        <w:numPr>
          <w:ilvl w:val="2"/>
          <w:numId w:val="2"/>
        </w:numPr>
      </w:pPr>
      <w:r>
        <w:t>scan the Supplier System at least once every month to identify any unpatched vulnerabilities; and</w:t>
      </w:r>
    </w:p>
    <w:p w:rsidR="00294A63" w:rsidRDefault="003B2D48">
      <w:pPr>
        <w:pStyle w:val="Heading3"/>
        <w:numPr>
          <w:ilvl w:val="2"/>
          <w:numId w:val="2"/>
        </w:numPr>
      </w:pPr>
      <w:r>
        <w:t>if the scan identifies any unpatched vulnerabilities, ensure they are patched in accordance with Paragraph 17.</w:t>
      </w:r>
    </w:p>
    <w:p w:rsidR="00294A63" w:rsidRDefault="003B2D48">
      <w:pPr>
        <w:pStyle w:val="Heading1"/>
        <w:numPr>
          <w:ilvl w:val="0"/>
          <w:numId w:val="2"/>
        </w:numPr>
      </w:pPr>
      <w:bookmarkStart w:id="46" w:name="_heading=h.28h4qwu" w:colFirst="0" w:colLast="0"/>
      <w:bookmarkEnd w:id="46"/>
      <w:r>
        <w:t>Access control</w:t>
      </w:r>
    </w:p>
    <w:p w:rsidR="00294A63" w:rsidRDefault="003B2D48">
      <w:pPr>
        <w:pStyle w:val="Heading2"/>
        <w:numPr>
          <w:ilvl w:val="1"/>
          <w:numId w:val="2"/>
        </w:numPr>
      </w:pPr>
      <w:r>
        <w:t xml:space="preserve">The Supplier </w:t>
      </w:r>
      <w:r>
        <w:t xml:space="preserve">must, and must ensure that all Subcontractors: </w:t>
      </w:r>
    </w:p>
    <w:p w:rsidR="00294A63" w:rsidRDefault="003B2D48">
      <w:pPr>
        <w:pStyle w:val="Heading3"/>
        <w:numPr>
          <w:ilvl w:val="2"/>
          <w:numId w:val="2"/>
        </w:numPr>
      </w:pPr>
      <w:r>
        <w:t>identify and authenticate all persons who access the Supplier System before they do so;</w:t>
      </w:r>
    </w:p>
    <w:p w:rsidR="00294A63" w:rsidRDefault="003B2D48">
      <w:pPr>
        <w:pStyle w:val="Heading3"/>
        <w:numPr>
          <w:ilvl w:val="2"/>
          <w:numId w:val="2"/>
        </w:numPr>
      </w:pPr>
      <w:r>
        <w:t>require multi-factor authentication for all user accounts that have access to Government Data or that are Privileged Use</w:t>
      </w:r>
      <w:r>
        <w:t>rs;</w:t>
      </w:r>
    </w:p>
    <w:p w:rsidR="00294A63" w:rsidRDefault="003B2D48">
      <w:pPr>
        <w:pStyle w:val="Heading3"/>
        <w:numPr>
          <w:ilvl w:val="2"/>
          <w:numId w:val="2"/>
        </w:numPr>
      </w:pPr>
      <w:r>
        <w:t>allow access only to those parts of the Supplier System and Sites that those persons require;</w:t>
      </w:r>
    </w:p>
    <w:p w:rsidR="00294A63" w:rsidRDefault="003B2D48">
      <w:pPr>
        <w:pStyle w:val="Heading3"/>
        <w:numPr>
          <w:ilvl w:val="2"/>
          <w:numId w:val="2"/>
        </w:numPr>
      </w:pPr>
      <w:r>
        <w:t>maintain records detailing each person’s access to the Supplier System.</w:t>
      </w:r>
    </w:p>
    <w:p w:rsidR="00294A63" w:rsidRDefault="003B2D48">
      <w:pPr>
        <w:pStyle w:val="Heading2"/>
        <w:numPr>
          <w:ilvl w:val="1"/>
          <w:numId w:val="2"/>
        </w:numPr>
      </w:pPr>
      <w:r>
        <w:t>The Supplier must ensure, and must ensure that all Subcontractors ensure, that the use</w:t>
      </w:r>
      <w:r>
        <w:t>r accounts for Privileged Users of the Supplier System:</w:t>
      </w:r>
    </w:p>
    <w:p w:rsidR="00294A63" w:rsidRDefault="003B2D48">
      <w:pPr>
        <w:pStyle w:val="Heading3"/>
        <w:numPr>
          <w:ilvl w:val="2"/>
          <w:numId w:val="2"/>
        </w:numPr>
      </w:pPr>
      <w:r>
        <w:lastRenderedPageBreak/>
        <w:t>are allocated to a single, individual user;</w:t>
      </w:r>
    </w:p>
    <w:p w:rsidR="00294A63" w:rsidRDefault="003B2D48">
      <w:pPr>
        <w:pStyle w:val="Heading3"/>
        <w:numPr>
          <w:ilvl w:val="2"/>
          <w:numId w:val="2"/>
        </w:numPr>
      </w:pPr>
      <w:r>
        <w:t>are accessible only from dedicated End-user Devices;</w:t>
      </w:r>
    </w:p>
    <w:p w:rsidR="00294A63" w:rsidRDefault="003B2D48">
      <w:pPr>
        <w:pStyle w:val="Heading3"/>
        <w:numPr>
          <w:ilvl w:val="2"/>
          <w:numId w:val="2"/>
        </w:numPr>
      </w:pPr>
      <w:r>
        <w:t>are configured so that those accounts can only be used for system administration tasks;</w:t>
      </w:r>
    </w:p>
    <w:p w:rsidR="00294A63" w:rsidRDefault="003B2D48">
      <w:pPr>
        <w:pStyle w:val="Heading3"/>
        <w:numPr>
          <w:ilvl w:val="2"/>
          <w:numId w:val="2"/>
        </w:numPr>
      </w:pPr>
      <w:r>
        <w:t>require passwor</w:t>
      </w:r>
      <w:r>
        <w:t>ds with high complexity that are changed regularly;</w:t>
      </w:r>
    </w:p>
    <w:p w:rsidR="00294A63" w:rsidRDefault="003B2D48">
      <w:pPr>
        <w:pStyle w:val="Heading3"/>
        <w:numPr>
          <w:ilvl w:val="2"/>
          <w:numId w:val="2"/>
        </w:numPr>
      </w:pPr>
      <w:r>
        <w:t>automatically log the user out of the Supplier System after a period of time that is proportionate to the risk environment during which the account is inactive; and</w:t>
      </w:r>
    </w:p>
    <w:p w:rsidR="00294A63" w:rsidRDefault="003B2D48">
      <w:pPr>
        <w:pStyle w:val="Heading3"/>
        <w:numPr>
          <w:ilvl w:val="2"/>
          <w:numId w:val="2"/>
        </w:numPr>
      </w:pPr>
      <w:r>
        <w:t>are:</w:t>
      </w:r>
    </w:p>
    <w:p w:rsidR="00294A63" w:rsidRDefault="003B2D48">
      <w:pPr>
        <w:pStyle w:val="Heading4"/>
        <w:numPr>
          <w:ilvl w:val="3"/>
          <w:numId w:val="2"/>
        </w:numPr>
      </w:pPr>
      <w:r>
        <w:t>restricted to a single role or sma</w:t>
      </w:r>
      <w:r>
        <w:t>ll number of roles;</w:t>
      </w:r>
    </w:p>
    <w:p w:rsidR="00294A63" w:rsidRDefault="003B2D48">
      <w:pPr>
        <w:pStyle w:val="Heading4"/>
        <w:numPr>
          <w:ilvl w:val="3"/>
          <w:numId w:val="2"/>
        </w:numPr>
      </w:pPr>
      <w:r>
        <w:t>time limited; and</w:t>
      </w:r>
    </w:p>
    <w:p w:rsidR="00294A63" w:rsidRDefault="003B2D48">
      <w:pPr>
        <w:pStyle w:val="Heading4"/>
        <w:numPr>
          <w:ilvl w:val="3"/>
          <w:numId w:val="2"/>
        </w:numPr>
      </w:pPr>
      <w:r>
        <w:t>restrict the Privileged User’s access to the internet.</w:t>
      </w:r>
    </w:p>
    <w:p w:rsidR="00294A63" w:rsidRDefault="003B2D48">
      <w:pPr>
        <w:pStyle w:val="Heading1"/>
        <w:numPr>
          <w:ilvl w:val="0"/>
          <w:numId w:val="2"/>
        </w:numPr>
      </w:pPr>
      <w:bookmarkStart w:id="47" w:name="_heading=h.nmf14n" w:colFirst="0" w:colLast="0"/>
      <w:bookmarkEnd w:id="47"/>
      <w:r>
        <w:t>Remote Working</w:t>
      </w:r>
    </w:p>
    <w:p w:rsidR="00294A63" w:rsidRDefault="003B2D48">
      <w:pPr>
        <w:pStyle w:val="Heading2"/>
        <w:numPr>
          <w:ilvl w:val="1"/>
          <w:numId w:val="2"/>
        </w:numPr>
      </w:pPr>
      <w:r>
        <w:t>The Supplier must ensure, and ensure that Sub-contractors ensure, that:</w:t>
      </w:r>
    </w:p>
    <w:p w:rsidR="00294A63" w:rsidRDefault="003B2D48">
      <w:pPr>
        <w:numPr>
          <w:ilvl w:val="2"/>
          <w:numId w:val="10"/>
        </w:numPr>
        <w:pBdr>
          <w:top w:val="nil"/>
          <w:left w:val="nil"/>
          <w:bottom w:val="nil"/>
          <w:right w:val="nil"/>
          <w:between w:val="nil"/>
        </w:pBdr>
      </w:pPr>
      <w:r>
        <w:rPr>
          <w:rFonts w:eastAsia="Arial" w:cs="Arial"/>
          <w:color w:val="000000"/>
          <w:szCs w:val="20"/>
        </w:rPr>
        <w:t>unless in writing by the Authority, Privileged Users do not undertake Remote Working;</w:t>
      </w:r>
    </w:p>
    <w:p w:rsidR="00294A63" w:rsidRDefault="003B2D48">
      <w:pPr>
        <w:numPr>
          <w:ilvl w:val="2"/>
          <w:numId w:val="10"/>
        </w:numPr>
        <w:pBdr>
          <w:top w:val="nil"/>
          <w:left w:val="nil"/>
          <w:bottom w:val="nil"/>
          <w:right w:val="nil"/>
          <w:between w:val="nil"/>
        </w:pBdr>
      </w:pPr>
      <w:r>
        <w:rPr>
          <w:rFonts w:eastAsia="Arial" w:cs="Arial"/>
          <w:color w:val="000000"/>
          <w:szCs w:val="20"/>
        </w:rPr>
        <w:t>where the Authority permits Remote Working by Privileged Users, the Supplier ensures, and ensures that Sub-contractors ensure, that such Remote Working takes place only i</w:t>
      </w:r>
      <w:r>
        <w:rPr>
          <w:rFonts w:eastAsia="Arial" w:cs="Arial"/>
          <w:color w:val="000000"/>
          <w:szCs w:val="20"/>
        </w:rPr>
        <w:t>n accordance with any conditions imposed by the Authority.</w:t>
      </w:r>
    </w:p>
    <w:p w:rsidR="00294A63" w:rsidRDefault="003B2D48">
      <w:pPr>
        <w:pStyle w:val="Heading2"/>
        <w:numPr>
          <w:ilvl w:val="1"/>
          <w:numId w:val="2"/>
        </w:numPr>
      </w:pPr>
      <w:r>
        <w:t>Where the Supplier or a Sub-contractor wishes to permit Supplier Staff to undertake Remote Working, it must:</w:t>
      </w:r>
    </w:p>
    <w:p w:rsidR="00294A63" w:rsidRDefault="003B2D48">
      <w:pPr>
        <w:pStyle w:val="Heading3"/>
        <w:numPr>
          <w:ilvl w:val="2"/>
          <w:numId w:val="2"/>
        </w:numPr>
      </w:pPr>
      <w:r>
        <w:t>prepare and have approved by the Buyer the Remote Working Policy in accordance with this</w:t>
      </w:r>
      <w:r>
        <w:t xml:space="preserve"> Paragraph;</w:t>
      </w:r>
    </w:p>
    <w:p w:rsidR="00294A63" w:rsidRDefault="003B2D48">
      <w:pPr>
        <w:pStyle w:val="Heading3"/>
        <w:numPr>
          <w:ilvl w:val="2"/>
          <w:numId w:val="2"/>
        </w:numPr>
      </w:pPr>
      <w:r>
        <w:t>undertake and, where applicable, ensure that any relevant Sub-contractors undertake, all steps required by the Remote Working Policy;</w:t>
      </w:r>
    </w:p>
    <w:p w:rsidR="00294A63" w:rsidRDefault="003B2D48">
      <w:pPr>
        <w:pStyle w:val="Heading3"/>
        <w:numPr>
          <w:ilvl w:val="2"/>
          <w:numId w:val="2"/>
        </w:numPr>
      </w:pPr>
      <w:r>
        <w:t>ensure that Supplier Staff undertake Remote Working only in accordance with the Remote Working Policy;</w:t>
      </w:r>
    </w:p>
    <w:p w:rsidR="00294A63" w:rsidRDefault="003B2D48">
      <w:pPr>
        <w:pStyle w:val="Heading3"/>
        <w:numPr>
          <w:ilvl w:val="2"/>
          <w:numId w:val="2"/>
        </w:numPr>
      </w:pPr>
      <w:r>
        <w:t>may not permit any Supplier Staff of the Supplier or any Sub-contractor to undertake Remote Working until the Remote Working Policy is approved by the Buyer.</w:t>
      </w:r>
    </w:p>
    <w:p w:rsidR="00294A63" w:rsidRDefault="003B2D48">
      <w:pPr>
        <w:pStyle w:val="Heading2"/>
        <w:numPr>
          <w:ilvl w:val="1"/>
          <w:numId w:val="2"/>
        </w:numPr>
      </w:pPr>
      <w:r>
        <w:t>The Remote Working Policy must include or make provision for the following matters:</w:t>
      </w:r>
    </w:p>
    <w:p w:rsidR="00294A63" w:rsidRDefault="003B2D48">
      <w:pPr>
        <w:pStyle w:val="Heading3"/>
        <w:numPr>
          <w:ilvl w:val="2"/>
          <w:numId w:val="2"/>
        </w:numPr>
      </w:pPr>
      <w:r>
        <w:t>restricting or</w:t>
      </w:r>
      <w:r>
        <w:t xml:space="preserve"> prohibiting Supplier Staff from printing documents in any Remote Location;</w:t>
      </w:r>
    </w:p>
    <w:p w:rsidR="00294A63" w:rsidRDefault="003B2D48">
      <w:pPr>
        <w:pStyle w:val="Heading3"/>
        <w:numPr>
          <w:ilvl w:val="2"/>
          <w:numId w:val="2"/>
        </w:numPr>
      </w:pPr>
      <w:r>
        <w:t>restricting or prohibiting Supplier Staff from downloading any Government Data to any End-user Device other than an End User Device that:</w:t>
      </w:r>
    </w:p>
    <w:p w:rsidR="00294A63" w:rsidRDefault="003B2D48">
      <w:pPr>
        <w:pStyle w:val="Heading4"/>
        <w:numPr>
          <w:ilvl w:val="3"/>
          <w:numId w:val="2"/>
        </w:numPr>
      </w:pPr>
      <w:r>
        <w:t>is provided by the Supplier or Sub-contrac</w:t>
      </w:r>
      <w:r>
        <w:t>tor (as appropriate); and</w:t>
      </w:r>
    </w:p>
    <w:p w:rsidR="00294A63" w:rsidRDefault="003B2D48">
      <w:pPr>
        <w:pStyle w:val="Heading4"/>
        <w:numPr>
          <w:ilvl w:val="3"/>
          <w:numId w:val="2"/>
        </w:numPr>
      </w:pPr>
      <w:r>
        <w:t>complies with the requirements set out in Paragraph 3 (</w:t>
      </w:r>
      <w:r>
        <w:rPr>
          <w:i/>
        </w:rPr>
        <w:t>End-user Devices</w:t>
      </w:r>
      <w:r>
        <w:t>);</w:t>
      </w:r>
    </w:p>
    <w:p w:rsidR="00294A63" w:rsidRDefault="003B2D48">
      <w:pPr>
        <w:pStyle w:val="Heading3"/>
        <w:numPr>
          <w:ilvl w:val="2"/>
          <w:numId w:val="2"/>
        </w:numPr>
      </w:pPr>
      <w:r>
        <w:t>ensuring that Supplier Staff comply with the Expected Behaviours (so far as they are applicable);</w:t>
      </w:r>
    </w:p>
    <w:p w:rsidR="00294A63" w:rsidRDefault="003B2D48">
      <w:pPr>
        <w:pStyle w:val="Heading3"/>
        <w:numPr>
          <w:ilvl w:val="2"/>
          <w:numId w:val="2"/>
        </w:numPr>
      </w:pPr>
      <w:r>
        <w:lastRenderedPageBreak/>
        <w:t>giving effect to the Security Controls (so far as they are</w:t>
      </w:r>
      <w:r>
        <w:t xml:space="preserve"> applicable); and</w:t>
      </w:r>
    </w:p>
    <w:p w:rsidR="00294A63" w:rsidRDefault="003B2D48">
      <w:pPr>
        <w:pStyle w:val="Heading3"/>
        <w:numPr>
          <w:ilvl w:val="2"/>
          <w:numId w:val="2"/>
        </w:numPr>
      </w:pPr>
      <w:r>
        <w:t>for each different category of Supplier Staff subject to the proposed Remote Working Policy:</w:t>
      </w:r>
    </w:p>
    <w:p w:rsidR="00294A63" w:rsidRDefault="003B2D48">
      <w:pPr>
        <w:pStyle w:val="Heading4"/>
        <w:numPr>
          <w:ilvl w:val="3"/>
          <w:numId w:val="2"/>
        </w:numPr>
      </w:pPr>
      <w:r>
        <w:t xml:space="preserve">the types and volumes of Government Data that the Supplier Staff can Handle in a Remote Location and the Handling that those Supplier Staff will </w:t>
      </w:r>
      <w:r>
        <w:t>undertake;</w:t>
      </w:r>
    </w:p>
    <w:p w:rsidR="00294A63" w:rsidRDefault="003B2D48">
      <w:pPr>
        <w:pStyle w:val="Heading4"/>
        <w:numPr>
          <w:ilvl w:val="3"/>
          <w:numId w:val="2"/>
        </w:numPr>
      </w:pPr>
      <w:r>
        <w:t>any identified security risks arising from the proposed Handling in a Remote Location;</w:t>
      </w:r>
    </w:p>
    <w:p w:rsidR="00294A63" w:rsidRDefault="003B2D48">
      <w:pPr>
        <w:pStyle w:val="Heading4"/>
        <w:numPr>
          <w:ilvl w:val="3"/>
          <w:numId w:val="2"/>
        </w:numPr>
      </w:pPr>
      <w:r>
        <w:t>the mitigations, controls and security measures the Supplier or Sub-contractor (as applicable) will implement to mitigate the identified risks; and</w:t>
      </w:r>
    </w:p>
    <w:p w:rsidR="00294A63" w:rsidRDefault="003B2D48">
      <w:pPr>
        <w:pStyle w:val="Heading4"/>
        <w:numPr>
          <w:ilvl w:val="3"/>
          <w:numId w:val="2"/>
        </w:numPr>
      </w:pPr>
      <w:r>
        <w:t>the busine</w:t>
      </w:r>
      <w:r>
        <w:t>ss rules with which the Supplier Staff must comply.</w:t>
      </w:r>
    </w:p>
    <w:p w:rsidR="00294A63" w:rsidRDefault="003B2D48">
      <w:pPr>
        <w:pStyle w:val="Heading2"/>
        <w:numPr>
          <w:ilvl w:val="1"/>
          <w:numId w:val="2"/>
        </w:numPr>
      </w:pPr>
      <w:r>
        <w:t>The Supplier may submit a proposed Remote Working Policy to the Buyer for consideration at any time.</w:t>
      </w:r>
    </w:p>
    <w:p w:rsidR="00294A63" w:rsidRDefault="003B2D48">
      <w:pPr>
        <w:pStyle w:val="Heading1"/>
        <w:numPr>
          <w:ilvl w:val="0"/>
          <w:numId w:val="2"/>
        </w:numPr>
      </w:pPr>
      <w:bookmarkStart w:id="48" w:name="_heading=h.37m2jsg" w:colFirst="0" w:colLast="0"/>
      <w:bookmarkEnd w:id="48"/>
      <w:r>
        <w:t>Backup and recovery of Government Data</w:t>
      </w:r>
    </w:p>
    <w:p w:rsidR="00294A63" w:rsidRDefault="003B2D48">
      <w:pPr>
        <w:pStyle w:val="Heading2"/>
        <w:numPr>
          <w:ilvl w:val="1"/>
          <w:numId w:val="2"/>
        </w:numPr>
      </w:pPr>
      <w:r>
        <w:t>The Supplier must ensure that the Supplier System:</w:t>
      </w:r>
    </w:p>
    <w:p w:rsidR="00294A63" w:rsidRDefault="003B2D48">
      <w:pPr>
        <w:pStyle w:val="Heading3"/>
        <w:numPr>
          <w:ilvl w:val="2"/>
          <w:numId w:val="2"/>
        </w:numPr>
      </w:pPr>
      <w:r>
        <w:t>backs up and allows for the recovery of Government Data to achieve the recovery point and recovery time objectives specified by the Buyer, or in accordance with Good Industry Practice where the Buyer has not specified; and</w:t>
      </w:r>
    </w:p>
    <w:p w:rsidR="00294A63" w:rsidRDefault="003B2D48">
      <w:pPr>
        <w:pStyle w:val="Heading3"/>
        <w:numPr>
          <w:ilvl w:val="2"/>
          <w:numId w:val="2"/>
        </w:numPr>
      </w:pPr>
      <w:r>
        <w:t>retains backups of the Government</w:t>
      </w:r>
      <w:r>
        <w:t xml:space="preserve"> Data for the period specified by the Buyer, or in accordance with Good Industry Practice where the Buyer has not specified.</w:t>
      </w:r>
    </w:p>
    <w:p w:rsidR="00294A63" w:rsidRDefault="003B2D48">
      <w:pPr>
        <w:pStyle w:val="Heading2"/>
        <w:numPr>
          <w:ilvl w:val="1"/>
          <w:numId w:val="2"/>
        </w:numPr>
      </w:pPr>
      <w:r>
        <w:t>The Supplier must ensure the Supplier System:</w:t>
      </w:r>
    </w:p>
    <w:p w:rsidR="00294A63" w:rsidRDefault="003B2D48">
      <w:pPr>
        <w:numPr>
          <w:ilvl w:val="2"/>
          <w:numId w:val="10"/>
        </w:numPr>
        <w:pBdr>
          <w:top w:val="nil"/>
          <w:left w:val="nil"/>
          <w:bottom w:val="nil"/>
          <w:right w:val="nil"/>
          <w:between w:val="nil"/>
        </w:pBdr>
      </w:pPr>
      <w:r>
        <w:rPr>
          <w:rFonts w:eastAsia="Arial" w:cs="Arial"/>
          <w:color w:val="000000"/>
          <w:szCs w:val="20"/>
        </w:rPr>
        <w:t>uses backup location for Government Data that are physically and logically separate f</w:t>
      </w:r>
      <w:r>
        <w:rPr>
          <w:rFonts w:eastAsia="Arial" w:cs="Arial"/>
          <w:color w:val="000000"/>
          <w:szCs w:val="20"/>
        </w:rPr>
        <w:t>rom the rest of the Supplier System;</w:t>
      </w:r>
    </w:p>
    <w:p w:rsidR="00294A63" w:rsidRDefault="003B2D48">
      <w:pPr>
        <w:numPr>
          <w:ilvl w:val="2"/>
          <w:numId w:val="10"/>
        </w:numPr>
        <w:pBdr>
          <w:top w:val="nil"/>
          <w:left w:val="nil"/>
          <w:bottom w:val="nil"/>
          <w:right w:val="nil"/>
          <w:between w:val="nil"/>
        </w:pBdr>
      </w:pPr>
      <w:r>
        <w:rPr>
          <w:rFonts w:eastAsia="Arial" w:cs="Arial"/>
          <w:color w:val="000000"/>
          <w:szCs w:val="20"/>
        </w:rPr>
        <w:t>the backup system monitors backups of Government Data to:</w:t>
      </w:r>
    </w:p>
    <w:p w:rsidR="00294A63" w:rsidRDefault="003B2D48">
      <w:pPr>
        <w:numPr>
          <w:ilvl w:val="3"/>
          <w:numId w:val="10"/>
        </w:numPr>
        <w:pBdr>
          <w:top w:val="nil"/>
          <w:left w:val="nil"/>
          <w:bottom w:val="nil"/>
          <w:right w:val="nil"/>
          <w:between w:val="nil"/>
        </w:pBdr>
      </w:pPr>
      <w:r>
        <w:rPr>
          <w:rFonts w:eastAsia="Arial" w:cs="Arial"/>
          <w:color w:val="000000"/>
          <w:szCs w:val="20"/>
        </w:rPr>
        <w:t>identifies any backup failure; and</w:t>
      </w:r>
    </w:p>
    <w:p w:rsidR="00294A63" w:rsidRDefault="003B2D48">
      <w:pPr>
        <w:numPr>
          <w:ilvl w:val="3"/>
          <w:numId w:val="10"/>
        </w:numPr>
        <w:pBdr>
          <w:top w:val="nil"/>
          <w:left w:val="nil"/>
          <w:bottom w:val="nil"/>
          <w:right w:val="nil"/>
          <w:between w:val="nil"/>
        </w:pBdr>
      </w:pPr>
      <w:r>
        <w:rPr>
          <w:rFonts w:eastAsia="Arial" w:cs="Arial"/>
          <w:color w:val="000000"/>
          <w:szCs w:val="20"/>
        </w:rPr>
        <w:t>confirm the integrity of the Government Data backed up;</w:t>
      </w:r>
    </w:p>
    <w:p w:rsidR="00294A63" w:rsidRDefault="003B2D48">
      <w:pPr>
        <w:numPr>
          <w:ilvl w:val="2"/>
          <w:numId w:val="10"/>
        </w:numPr>
        <w:pBdr>
          <w:top w:val="nil"/>
          <w:left w:val="nil"/>
          <w:bottom w:val="nil"/>
          <w:right w:val="nil"/>
          <w:between w:val="nil"/>
        </w:pBdr>
      </w:pPr>
      <w:r>
        <w:rPr>
          <w:rFonts w:eastAsia="Arial" w:cs="Arial"/>
          <w:color w:val="000000"/>
          <w:szCs w:val="20"/>
        </w:rPr>
        <w:t>any backup failure is remedied promptly;</w:t>
      </w:r>
    </w:p>
    <w:p w:rsidR="00294A63" w:rsidRDefault="003B2D48">
      <w:pPr>
        <w:numPr>
          <w:ilvl w:val="2"/>
          <w:numId w:val="10"/>
        </w:numPr>
        <w:pBdr>
          <w:top w:val="nil"/>
          <w:left w:val="nil"/>
          <w:bottom w:val="nil"/>
          <w:right w:val="nil"/>
          <w:between w:val="nil"/>
        </w:pBdr>
      </w:pPr>
      <w:r>
        <w:rPr>
          <w:rFonts w:eastAsia="Arial" w:cs="Arial"/>
          <w:color w:val="000000"/>
          <w:szCs w:val="20"/>
        </w:rPr>
        <w:t>the backup system monitors th</w:t>
      </w:r>
      <w:r>
        <w:rPr>
          <w:rFonts w:eastAsia="Arial" w:cs="Arial"/>
          <w:color w:val="000000"/>
          <w:szCs w:val="20"/>
        </w:rPr>
        <w:t>e recovery of Government Data to:</w:t>
      </w:r>
    </w:p>
    <w:p w:rsidR="00294A63" w:rsidRDefault="003B2D48">
      <w:pPr>
        <w:numPr>
          <w:ilvl w:val="3"/>
          <w:numId w:val="10"/>
        </w:numPr>
        <w:pBdr>
          <w:top w:val="nil"/>
          <w:left w:val="nil"/>
          <w:bottom w:val="nil"/>
          <w:right w:val="nil"/>
          <w:between w:val="nil"/>
        </w:pBdr>
      </w:pPr>
      <w:r>
        <w:rPr>
          <w:rFonts w:eastAsia="Arial" w:cs="Arial"/>
          <w:color w:val="000000"/>
          <w:szCs w:val="20"/>
        </w:rPr>
        <w:t>identify any recovery failure; and</w:t>
      </w:r>
    </w:p>
    <w:p w:rsidR="00294A63" w:rsidRDefault="003B2D48">
      <w:pPr>
        <w:numPr>
          <w:ilvl w:val="3"/>
          <w:numId w:val="10"/>
        </w:numPr>
        <w:pBdr>
          <w:top w:val="nil"/>
          <w:left w:val="nil"/>
          <w:bottom w:val="nil"/>
          <w:right w:val="nil"/>
          <w:between w:val="nil"/>
        </w:pBdr>
      </w:pPr>
      <w:r>
        <w:rPr>
          <w:rFonts w:eastAsia="Arial" w:cs="Arial"/>
          <w:color w:val="000000"/>
          <w:szCs w:val="20"/>
        </w:rPr>
        <w:t>confirm the integrity of Government Data recovered; and</w:t>
      </w:r>
    </w:p>
    <w:p w:rsidR="00294A63" w:rsidRDefault="003B2D48">
      <w:pPr>
        <w:numPr>
          <w:ilvl w:val="2"/>
          <w:numId w:val="10"/>
        </w:numPr>
        <w:pBdr>
          <w:top w:val="nil"/>
          <w:left w:val="nil"/>
          <w:bottom w:val="nil"/>
          <w:right w:val="nil"/>
          <w:between w:val="nil"/>
        </w:pBdr>
      </w:pPr>
      <w:r>
        <w:rPr>
          <w:rFonts w:eastAsia="Arial" w:cs="Arial"/>
          <w:color w:val="000000"/>
          <w:szCs w:val="20"/>
        </w:rPr>
        <w:t>any recovery failure is promptly remedied.</w:t>
      </w:r>
    </w:p>
    <w:p w:rsidR="00294A63" w:rsidRDefault="003B2D48">
      <w:pPr>
        <w:pStyle w:val="Heading1"/>
        <w:numPr>
          <w:ilvl w:val="0"/>
          <w:numId w:val="2"/>
        </w:numPr>
      </w:pPr>
      <w:bookmarkStart w:id="49" w:name="_heading=h.1mrcu09" w:colFirst="0" w:colLast="0"/>
      <w:bookmarkEnd w:id="49"/>
      <w:r>
        <w:t>Return and deletion of Government Data</w:t>
      </w:r>
    </w:p>
    <w:p w:rsidR="00294A63" w:rsidRDefault="003B2D48">
      <w:pPr>
        <w:pStyle w:val="Heading2"/>
        <w:numPr>
          <w:ilvl w:val="1"/>
          <w:numId w:val="2"/>
        </w:numPr>
      </w:pPr>
      <w:bookmarkStart w:id="50" w:name="_heading=h.46r0co2" w:colFirst="0" w:colLast="0"/>
      <w:bookmarkEnd w:id="50"/>
      <w:r>
        <w:t>Subject to Paragraph 24.2, when requested to do s</w:t>
      </w:r>
      <w:r>
        <w:t>o by the Buyer, the Supplier must, and must ensure that all Subcontractors:</w:t>
      </w:r>
    </w:p>
    <w:p w:rsidR="00294A63" w:rsidRDefault="003B2D48">
      <w:pPr>
        <w:pStyle w:val="Heading3"/>
        <w:numPr>
          <w:ilvl w:val="2"/>
          <w:numId w:val="2"/>
        </w:numPr>
      </w:pPr>
      <w:r>
        <w:lastRenderedPageBreak/>
        <w:t>securely erase any or all Government Data held by the Supplier or Subcontractor using a deletion method that ensures that even a determined expert using specialist techniques can r</w:t>
      </w:r>
      <w:r>
        <w:t>ecover only a small fraction of the data deleted; or</w:t>
      </w:r>
    </w:p>
    <w:p w:rsidR="00294A63" w:rsidRDefault="003B2D48">
      <w:pPr>
        <w:pStyle w:val="Heading3"/>
        <w:numPr>
          <w:ilvl w:val="2"/>
          <w:numId w:val="2"/>
        </w:numPr>
      </w:pPr>
      <w:r>
        <w:t>provide the Buyer with copies of any or all Government Data held by the Supplier or Subcontractor using the method specified by the Buyer.</w:t>
      </w:r>
    </w:p>
    <w:p w:rsidR="00294A63" w:rsidRDefault="003B2D48">
      <w:pPr>
        <w:pStyle w:val="Heading2"/>
        <w:numPr>
          <w:ilvl w:val="1"/>
          <w:numId w:val="2"/>
        </w:numPr>
      </w:pPr>
      <w:bookmarkStart w:id="51" w:name="_heading=h.2lwamvv" w:colFirst="0" w:colLast="0"/>
      <w:bookmarkEnd w:id="51"/>
      <w:r>
        <w:t>Paragraph 24.1 does not apply to Government Data:</w:t>
      </w:r>
    </w:p>
    <w:p w:rsidR="00294A63" w:rsidRDefault="003B2D48">
      <w:pPr>
        <w:pStyle w:val="Heading3"/>
        <w:numPr>
          <w:ilvl w:val="2"/>
          <w:numId w:val="2"/>
        </w:numPr>
      </w:pPr>
      <w:r>
        <w:t>that is Personal Data in respect of which the Supplier is a Controller;</w:t>
      </w:r>
    </w:p>
    <w:p w:rsidR="00294A63" w:rsidRDefault="003B2D48">
      <w:pPr>
        <w:pStyle w:val="Heading3"/>
        <w:numPr>
          <w:ilvl w:val="2"/>
          <w:numId w:val="2"/>
        </w:numPr>
      </w:pPr>
      <w:r>
        <w:t>to which the Supplier has rights to Handle independently from this Contract; or</w:t>
      </w:r>
    </w:p>
    <w:p w:rsidR="00294A63" w:rsidRDefault="003B2D48">
      <w:pPr>
        <w:numPr>
          <w:ilvl w:val="2"/>
          <w:numId w:val="1"/>
        </w:numPr>
        <w:pBdr>
          <w:top w:val="nil"/>
          <w:left w:val="nil"/>
          <w:bottom w:val="nil"/>
          <w:right w:val="nil"/>
          <w:between w:val="nil"/>
        </w:pBdr>
      </w:pPr>
      <w:r>
        <w:rPr>
          <w:rFonts w:eastAsia="Arial" w:cs="Arial"/>
          <w:color w:val="000000"/>
          <w:szCs w:val="20"/>
        </w:rPr>
        <w:t>in respect of which, the Supplier is under an obligation imposed by Law to retain.</w:t>
      </w:r>
    </w:p>
    <w:p w:rsidR="00294A63" w:rsidRDefault="003B2D48">
      <w:pPr>
        <w:pStyle w:val="Heading2"/>
        <w:numPr>
          <w:ilvl w:val="1"/>
          <w:numId w:val="2"/>
        </w:numPr>
      </w:pPr>
      <w:r>
        <w:t>The Supplier must, an</w:t>
      </w:r>
      <w:r>
        <w:t>d must ensure that all Sub-contractors, provide the Buyer with copies of any or all Buyer Data held by the Supplier or Sub-contractor:</w:t>
      </w:r>
    </w:p>
    <w:p w:rsidR="00294A63" w:rsidRDefault="003B2D48">
      <w:pPr>
        <w:pStyle w:val="Heading3"/>
        <w:numPr>
          <w:ilvl w:val="2"/>
          <w:numId w:val="2"/>
        </w:numPr>
      </w:pPr>
      <w:r>
        <w:t>when requested to do so by the Buyer; and</w:t>
      </w:r>
    </w:p>
    <w:p w:rsidR="00294A63" w:rsidRDefault="003B2D48">
      <w:pPr>
        <w:pStyle w:val="Heading3"/>
        <w:numPr>
          <w:ilvl w:val="2"/>
          <w:numId w:val="2"/>
        </w:numPr>
      </w:pPr>
      <w:r>
        <w:t>using the method specified by the Buyer.</w:t>
      </w:r>
    </w:p>
    <w:p w:rsidR="00294A63" w:rsidRDefault="003B2D48">
      <w:pPr>
        <w:pStyle w:val="Heading1"/>
        <w:numPr>
          <w:ilvl w:val="0"/>
          <w:numId w:val="2"/>
        </w:numPr>
      </w:pPr>
      <w:bookmarkStart w:id="52" w:name="_heading=h.111kx3o" w:colFirst="0" w:colLast="0"/>
      <w:bookmarkEnd w:id="52"/>
      <w:r>
        <w:t>Physical security</w:t>
      </w:r>
    </w:p>
    <w:p w:rsidR="00294A63" w:rsidRDefault="003B2D48">
      <w:pPr>
        <w:pStyle w:val="Heading2"/>
        <w:numPr>
          <w:ilvl w:val="1"/>
          <w:numId w:val="2"/>
        </w:numPr>
      </w:pPr>
      <w:r>
        <w:t>The Supplier must, and must ensure that Subcontractors, store the Government Data on servers housed in physically secure locations.</w:t>
      </w:r>
    </w:p>
    <w:p w:rsidR="00294A63" w:rsidRDefault="003B2D48">
      <w:pPr>
        <w:pStyle w:val="Heading1"/>
        <w:numPr>
          <w:ilvl w:val="0"/>
          <w:numId w:val="2"/>
        </w:numPr>
      </w:pPr>
      <w:bookmarkStart w:id="53" w:name="_heading=h.3l18frh" w:colFirst="0" w:colLast="0"/>
      <w:bookmarkEnd w:id="53"/>
      <w:r>
        <w:t>Breach of Security</w:t>
      </w:r>
    </w:p>
    <w:p w:rsidR="00294A63" w:rsidRDefault="003B2D48">
      <w:pPr>
        <w:pStyle w:val="Heading2"/>
        <w:numPr>
          <w:ilvl w:val="1"/>
          <w:numId w:val="2"/>
        </w:numPr>
      </w:pPr>
      <w:r>
        <w:t>If the Supplier becomes aware of a Breach of Security that impacts or has the potential to impact the Gov</w:t>
      </w:r>
      <w:r>
        <w:t>ernment Data, it shall:</w:t>
      </w:r>
    </w:p>
    <w:p w:rsidR="00294A63" w:rsidRDefault="003B2D48">
      <w:pPr>
        <w:pStyle w:val="Heading3"/>
        <w:numPr>
          <w:ilvl w:val="2"/>
          <w:numId w:val="2"/>
        </w:numPr>
      </w:pPr>
      <w:r>
        <w:t>notify the Buyer as soon as reasonably practicable after becoming aware of the breach, and in any event within [24] hours;</w:t>
      </w:r>
    </w:p>
    <w:p w:rsidR="00294A63" w:rsidRDefault="003B2D48">
      <w:pPr>
        <w:pStyle w:val="Heading3"/>
        <w:numPr>
          <w:ilvl w:val="2"/>
          <w:numId w:val="2"/>
        </w:numPr>
      </w:pPr>
      <w:r>
        <w:t>provide such assistance to the Buyer as the Buyer requires until the Breach of Security and any impacts or po</w:t>
      </w:r>
      <w:r>
        <w:t>tential impacts on the Buyer are resolved to the Buyer’s satisfaction;</w:t>
      </w:r>
    </w:p>
    <w:p w:rsidR="00294A63" w:rsidRDefault="003B2D48">
      <w:pPr>
        <w:pStyle w:val="Heading3"/>
        <w:numPr>
          <w:ilvl w:val="2"/>
          <w:numId w:val="2"/>
        </w:numPr>
      </w:pPr>
      <w:r>
        <w:t>where the Law requires the Buyer to report a Breach of Security to the appropriate regulator provide such information and other input as the Buyer requires within the timescales specifi</w:t>
      </w:r>
      <w:r>
        <w:t>ed by the Buyer; and</w:t>
      </w:r>
    </w:p>
    <w:p w:rsidR="00294A63" w:rsidRDefault="003B2D48">
      <w:pPr>
        <w:pStyle w:val="Heading3"/>
        <w:numPr>
          <w:ilvl w:val="2"/>
          <w:numId w:val="2"/>
        </w:numPr>
        <w:sectPr w:rsidR="00294A63">
          <w:headerReference w:type="default" r:id="rId14"/>
          <w:footerReference w:type="even" r:id="rId15"/>
          <w:footerReference w:type="default" r:id="rId16"/>
          <w:headerReference w:type="first" r:id="rId17"/>
          <w:footerReference w:type="first" r:id="rId18"/>
          <w:pgSz w:w="11909" w:h="16834"/>
          <w:pgMar w:top="1418" w:right="1134" w:bottom="1418" w:left="1134" w:header="709" w:footer="425" w:gutter="0"/>
          <w:pgNumType w:start="1"/>
          <w:cols w:space="720"/>
          <w:titlePg/>
        </w:sectPr>
      </w:pPr>
      <w:r>
        <w:t>where the Breach of Security results in the accidental or unlawful destruction, loss, alteration, unauthorised disclosure of, or access to, Personal Data, undertake any communication or engagement activities required by the Buyer with the individuals affec</w:t>
      </w:r>
      <w:r>
        <w:t>ted by the Breach of Security.</w:t>
      </w:r>
    </w:p>
    <w:p w:rsidR="00294A63" w:rsidRDefault="00294A63">
      <w:pPr>
        <w:keepNext/>
        <w:pBdr>
          <w:top w:val="nil"/>
          <w:left w:val="nil"/>
          <w:bottom w:val="nil"/>
          <w:right w:val="nil"/>
          <w:between w:val="nil"/>
        </w:pBdr>
        <w:rPr>
          <w:rFonts w:eastAsia="Arial" w:cs="Arial"/>
          <w:b/>
          <w:color w:val="000000"/>
          <w:szCs w:val="20"/>
        </w:rPr>
      </w:pPr>
    </w:p>
    <w:p w:rsidR="00294A63" w:rsidRDefault="00294A63">
      <w:pPr>
        <w:keepNext/>
        <w:pBdr>
          <w:top w:val="nil"/>
          <w:left w:val="nil"/>
          <w:bottom w:val="nil"/>
          <w:right w:val="nil"/>
          <w:between w:val="nil"/>
        </w:pBdr>
        <w:rPr>
          <w:rFonts w:eastAsia="Arial" w:cs="Arial"/>
          <w:b/>
          <w:color w:val="000000"/>
          <w:szCs w:val="20"/>
        </w:rPr>
      </w:pPr>
    </w:p>
    <w:p w:rsidR="00294A63" w:rsidRDefault="00294A63">
      <w:pPr>
        <w:keepNext/>
        <w:pBdr>
          <w:top w:val="nil"/>
          <w:left w:val="nil"/>
          <w:bottom w:val="nil"/>
          <w:right w:val="nil"/>
          <w:between w:val="nil"/>
        </w:pBdr>
        <w:ind w:left="720"/>
        <w:rPr>
          <w:rFonts w:eastAsia="Arial" w:cs="Arial"/>
          <w:b/>
          <w:color w:val="000000"/>
          <w:szCs w:val="20"/>
        </w:rPr>
      </w:pPr>
    </w:p>
    <w:sectPr w:rsidR="00294A63">
      <w:pgSz w:w="11909" w:h="16834"/>
      <w:pgMar w:top="1418" w:right="1134" w:bottom="1418" w:left="1134" w:header="709" w:footer="4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D48" w:rsidRDefault="003B2D48">
      <w:pPr>
        <w:spacing w:after="0"/>
      </w:pPr>
      <w:r>
        <w:separator/>
      </w:r>
    </w:p>
  </w:endnote>
  <w:endnote w:type="continuationSeparator" w:id="0">
    <w:p w:rsidR="003B2D48" w:rsidRDefault="003B2D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63" w:rsidRDefault="003B2D48">
    <w:pPr>
      <w:pBdr>
        <w:top w:val="nil"/>
        <w:left w:val="nil"/>
        <w:bottom w:val="nil"/>
        <w:right w:val="nil"/>
        <w:between w:val="nil"/>
      </w:pBdr>
      <w:tabs>
        <w:tab w:val="center" w:pos="4153"/>
        <w:tab w:val="right" w:pos="8306"/>
      </w:tabs>
      <w:spacing w:after="0"/>
      <w:jc w:val="right"/>
      <w:rPr>
        <w:rFonts w:eastAsia="Arial" w:cs="Arial"/>
        <w:color w:val="000000"/>
        <w:sz w:val="16"/>
        <w:szCs w:val="16"/>
      </w:rPr>
    </w:pPr>
    <w:r>
      <w:rPr>
        <w:rFonts w:eastAsia="Arial" w:cs="Arial"/>
        <w:color w:val="000000"/>
        <w:sz w:val="16"/>
        <w:szCs w:val="16"/>
      </w:rPr>
      <w:fldChar w:fldCharType="begin"/>
    </w:r>
    <w:r>
      <w:rPr>
        <w:rFonts w:eastAsia="Arial" w:cs="Arial"/>
        <w:color w:val="000000"/>
        <w:sz w:val="16"/>
        <w:szCs w:val="16"/>
      </w:rPr>
      <w:instrText>PAGE</w:instrText>
    </w:r>
    <w:r>
      <w:rPr>
        <w:rFonts w:eastAsia="Arial" w:cs="Arial"/>
        <w:color w:val="000000"/>
        <w:sz w:val="16"/>
        <w:szCs w:val="16"/>
      </w:rPr>
      <w:fldChar w:fldCharType="end"/>
    </w:r>
  </w:p>
  <w:p w:rsidR="00294A63" w:rsidRDefault="00294A63">
    <w:pPr>
      <w:pBdr>
        <w:top w:val="nil"/>
        <w:left w:val="nil"/>
        <w:bottom w:val="nil"/>
        <w:right w:val="nil"/>
        <w:between w:val="nil"/>
      </w:pBdr>
      <w:tabs>
        <w:tab w:val="center" w:pos="4153"/>
        <w:tab w:val="right" w:pos="8306"/>
      </w:tabs>
      <w:spacing w:after="0"/>
      <w:ind w:right="360"/>
      <w:rPr>
        <w:rFonts w:eastAsia="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63" w:rsidRDefault="00294A63">
    <w:pPr>
      <w:widowControl w:val="0"/>
      <w:pBdr>
        <w:top w:val="nil"/>
        <w:left w:val="nil"/>
        <w:bottom w:val="nil"/>
        <w:right w:val="nil"/>
        <w:between w:val="nil"/>
      </w:pBdr>
      <w:spacing w:after="0" w:line="276" w:lineRule="auto"/>
      <w:rPr>
        <w:rFonts w:eastAsia="Arial" w:cs="Arial"/>
        <w:color w:val="000000"/>
        <w:sz w:val="16"/>
        <w:szCs w:val="16"/>
      </w:rPr>
    </w:pPr>
  </w:p>
  <w:tbl>
    <w:tblPr>
      <w:tblStyle w:val="a4"/>
      <w:tblW w:w="9641" w:type="dxa"/>
      <w:tblBorders>
        <w:top w:val="single" w:sz="4" w:space="0" w:color="7D7D7D"/>
      </w:tblBorders>
      <w:tblLayout w:type="fixed"/>
      <w:tblLook w:val="0400" w:firstRow="0" w:lastRow="0" w:firstColumn="0" w:lastColumn="0" w:noHBand="0" w:noVBand="1"/>
    </w:tblPr>
    <w:tblGrid>
      <w:gridCol w:w="7983"/>
      <w:gridCol w:w="1658"/>
    </w:tblGrid>
    <w:tr w:rsidR="00294A63">
      <w:trPr>
        <w:trHeight w:val="80"/>
      </w:trPr>
      <w:tc>
        <w:tcPr>
          <w:tcW w:w="7983" w:type="dxa"/>
          <w:tcBorders>
            <w:top w:val="single" w:sz="4" w:space="0" w:color="000000"/>
            <w:left w:val="nil"/>
            <w:bottom w:val="nil"/>
            <w:right w:val="nil"/>
          </w:tcBorders>
          <w:vAlign w:val="bottom"/>
        </w:tcPr>
        <w:p w:rsidR="00294A63" w:rsidRDefault="00294A63">
          <w:pPr>
            <w:spacing w:before="60" w:after="60"/>
            <w:ind w:left="-108"/>
            <w:rPr>
              <w:sz w:val="16"/>
              <w:szCs w:val="16"/>
            </w:rPr>
          </w:pPr>
        </w:p>
      </w:tc>
      <w:tc>
        <w:tcPr>
          <w:tcW w:w="1658" w:type="dxa"/>
          <w:tcBorders>
            <w:top w:val="single" w:sz="4" w:space="0" w:color="000000"/>
            <w:left w:val="nil"/>
            <w:bottom w:val="nil"/>
            <w:right w:val="nil"/>
          </w:tcBorders>
          <w:vAlign w:val="bottom"/>
        </w:tcPr>
        <w:p w:rsidR="00294A63" w:rsidRDefault="003B2D48">
          <w:pPr>
            <w:spacing w:before="60" w:after="60"/>
            <w:ind w:right="-108"/>
            <w:jc w:val="right"/>
            <w:rPr>
              <w:sz w:val="16"/>
              <w:szCs w:val="16"/>
            </w:rPr>
          </w:pPr>
          <w:bookmarkStart w:id="54" w:name="bookmark=id.2zbgiuw" w:colFirst="0" w:colLast="0"/>
          <w:bookmarkEnd w:id="54"/>
          <w:r>
            <w:rPr>
              <w:sz w:val="16"/>
              <w:szCs w:val="16"/>
            </w:rPr>
            <w:t xml:space="preserve"> | </w:t>
          </w:r>
          <w:r>
            <w:rPr>
              <w:sz w:val="16"/>
              <w:szCs w:val="16"/>
            </w:rPr>
            <w:fldChar w:fldCharType="begin"/>
          </w:r>
          <w:r>
            <w:rPr>
              <w:sz w:val="16"/>
              <w:szCs w:val="16"/>
            </w:rPr>
            <w:instrText>PAGE</w:instrText>
          </w:r>
          <w:r w:rsidR="00433643">
            <w:rPr>
              <w:sz w:val="16"/>
              <w:szCs w:val="16"/>
            </w:rPr>
            <w:fldChar w:fldCharType="separate"/>
          </w:r>
          <w:r w:rsidR="00433643">
            <w:rPr>
              <w:noProof/>
              <w:sz w:val="16"/>
              <w:szCs w:val="16"/>
            </w:rPr>
            <w:t>19</w:t>
          </w:r>
          <w:r>
            <w:rPr>
              <w:sz w:val="16"/>
              <w:szCs w:val="16"/>
            </w:rPr>
            <w:fldChar w:fldCharType="end"/>
          </w:r>
        </w:p>
      </w:tc>
    </w:tr>
  </w:tbl>
  <w:p w:rsidR="00294A63" w:rsidRDefault="00294A63">
    <w:pPr>
      <w:pBdr>
        <w:top w:val="nil"/>
        <w:left w:val="nil"/>
        <w:bottom w:val="nil"/>
        <w:right w:val="nil"/>
        <w:between w:val="nil"/>
      </w:pBdr>
      <w:tabs>
        <w:tab w:val="center" w:pos="4153"/>
        <w:tab w:val="right" w:pos="8306"/>
      </w:tabs>
      <w:spacing w:after="0"/>
      <w:rPr>
        <w:rFonts w:eastAsia="Arial" w:cs="Arial"/>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63" w:rsidRDefault="00294A63">
    <w:pPr>
      <w:numPr>
        <w:ilvl w:val="0"/>
        <w:numId w:val="3"/>
      </w:numPr>
      <w:ind w:left="0"/>
    </w:pPr>
  </w:p>
  <w:tbl>
    <w:tblPr>
      <w:tblStyle w:val="a5"/>
      <w:tblW w:w="9641" w:type="dxa"/>
      <w:tblBorders>
        <w:top w:val="single" w:sz="4" w:space="0" w:color="7D7D7D"/>
      </w:tblBorders>
      <w:tblLayout w:type="fixed"/>
      <w:tblLook w:val="0400" w:firstRow="0" w:lastRow="0" w:firstColumn="0" w:lastColumn="0" w:noHBand="0" w:noVBand="1"/>
    </w:tblPr>
    <w:tblGrid>
      <w:gridCol w:w="7815"/>
      <w:gridCol w:w="1826"/>
    </w:tblGrid>
    <w:tr w:rsidR="00294A63">
      <w:trPr>
        <w:trHeight w:val="80"/>
      </w:trPr>
      <w:tc>
        <w:tcPr>
          <w:tcW w:w="9641" w:type="dxa"/>
          <w:gridSpan w:val="2"/>
          <w:tcBorders>
            <w:top w:val="nil"/>
            <w:left w:val="nil"/>
            <w:bottom w:val="nil"/>
            <w:right w:val="nil"/>
          </w:tcBorders>
          <w:tcMar>
            <w:left w:w="0" w:type="dxa"/>
            <w:right w:w="0" w:type="dxa"/>
          </w:tcMar>
          <w:vAlign w:val="bottom"/>
        </w:tcPr>
        <w:p w:rsidR="00294A63" w:rsidRDefault="00294A63">
          <w:pPr>
            <w:pBdr>
              <w:top w:val="nil"/>
              <w:left w:val="nil"/>
              <w:bottom w:val="nil"/>
              <w:right w:val="nil"/>
              <w:between w:val="nil"/>
            </w:pBdr>
            <w:spacing w:before="60" w:after="60"/>
            <w:rPr>
              <w:rFonts w:eastAsia="Arial" w:cs="Arial"/>
              <w:color w:val="000000"/>
              <w:sz w:val="16"/>
              <w:szCs w:val="16"/>
            </w:rPr>
          </w:pPr>
          <w:bookmarkStart w:id="57" w:name="bookmark=id.1egqt2p" w:colFirst="0" w:colLast="0"/>
          <w:bookmarkEnd w:id="57"/>
        </w:p>
      </w:tc>
    </w:tr>
    <w:tr w:rsidR="00294A63">
      <w:trPr>
        <w:trHeight w:val="80"/>
      </w:trPr>
      <w:tc>
        <w:tcPr>
          <w:tcW w:w="7815" w:type="dxa"/>
          <w:tcBorders>
            <w:top w:val="single" w:sz="4" w:space="0" w:color="000000"/>
            <w:left w:val="nil"/>
            <w:bottom w:val="nil"/>
            <w:right w:val="nil"/>
          </w:tcBorders>
          <w:vAlign w:val="bottom"/>
        </w:tcPr>
        <w:p w:rsidR="00294A63" w:rsidRDefault="00294A63">
          <w:pPr>
            <w:spacing w:before="60" w:after="60"/>
            <w:ind w:left="-108"/>
            <w:rPr>
              <w:sz w:val="16"/>
              <w:szCs w:val="16"/>
            </w:rPr>
          </w:pPr>
        </w:p>
      </w:tc>
      <w:tc>
        <w:tcPr>
          <w:tcW w:w="1826" w:type="dxa"/>
          <w:tcBorders>
            <w:top w:val="single" w:sz="4" w:space="0" w:color="000000"/>
            <w:left w:val="nil"/>
            <w:bottom w:val="nil"/>
            <w:right w:val="nil"/>
          </w:tcBorders>
          <w:vAlign w:val="bottom"/>
        </w:tcPr>
        <w:p w:rsidR="00294A63" w:rsidRDefault="003B2D48">
          <w:pPr>
            <w:spacing w:before="60" w:after="60"/>
            <w:ind w:right="-108"/>
            <w:jc w:val="right"/>
            <w:rPr>
              <w:sz w:val="16"/>
              <w:szCs w:val="16"/>
            </w:rPr>
          </w:pPr>
          <w:bookmarkStart w:id="58" w:name="bookmark=id.3ygebqi" w:colFirst="0" w:colLast="0"/>
          <w:bookmarkEnd w:id="58"/>
          <w:r>
            <w:rPr>
              <w:sz w:val="16"/>
              <w:szCs w:val="16"/>
            </w:rPr>
            <w:t xml:space="preserve"> | </w:t>
          </w:r>
          <w:r>
            <w:rPr>
              <w:sz w:val="16"/>
              <w:szCs w:val="16"/>
            </w:rPr>
            <w:fldChar w:fldCharType="begin"/>
          </w:r>
          <w:r>
            <w:rPr>
              <w:sz w:val="16"/>
              <w:szCs w:val="16"/>
            </w:rPr>
            <w:instrText>PAGE</w:instrText>
          </w:r>
          <w:r w:rsidR="00433643">
            <w:rPr>
              <w:sz w:val="16"/>
              <w:szCs w:val="16"/>
            </w:rPr>
            <w:fldChar w:fldCharType="separate"/>
          </w:r>
          <w:r w:rsidR="00433643">
            <w:rPr>
              <w:noProof/>
              <w:sz w:val="16"/>
              <w:szCs w:val="16"/>
            </w:rPr>
            <w:t>1</w:t>
          </w:r>
          <w:r>
            <w:rPr>
              <w:sz w:val="16"/>
              <w:szCs w:val="16"/>
            </w:rPr>
            <w:fldChar w:fldCharType="end"/>
          </w:r>
        </w:p>
      </w:tc>
    </w:tr>
  </w:tbl>
  <w:p w:rsidR="00294A63" w:rsidRDefault="00294A63">
    <w:pPr>
      <w:pBdr>
        <w:top w:val="nil"/>
        <w:left w:val="nil"/>
        <w:bottom w:val="nil"/>
        <w:right w:val="nil"/>
        <w:between w:val="nil"/>
      </w:pBdr>
      <w:tabs>
        <w:tab w:val="center" w:pos="4153"/>
        <w:tab w:val="right" w:pos="8306"/>
      </w:tabs>
      <w:spacing w:after="0"/>
      <w:rPr>
        <w:rFonts w:eastAsia="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D48" w:rsidRDefault="003B2D48">
      <w:pPr>
        <w:spacing w:after="0"/>
      </w:pPr>
      <w:r>
        <w:separator/>
      </w:r>
    </w:p>
  </w:footnote>
  <w:footnote w:type="continuationSeparator" w:id="0">
    <w:p w:rsidR="003B2D48" w:rsidRDefault="003B2D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63" w:rsidRDefault="00294A63">
    <w:pPr>
      <w:widowControl w:val="0"/>
      <w:pBdr>
        <w:top w:val="nil"/>
        <w:left w:val="nil"/>
        <w:bottom w:val="nil"/>
        <w:right w:val="nil"/>
        <w:between w:val="nil"/>
      </w:pBdr>
      <w:spacing w:after="0" w:line="276" w:lineRule="auto"/>
      <w:rPr>
        <w:rFonts w:eastAsia="Arial" w:cs="Arial"/>
        <w:b/>
        <w:color w:val="000000"/>
        <w:szCs w:val="20"/>
      </w:rPr>
    </w:pPr>
  </w:p>
  <w:tbl>
    <w:tblPr>
      <w:tblStyle w:val="a2"/>
      <w:tblW w:w="9641"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824"/>
      <w:gridCol w:w="4817"/>
    </w:tblGrid>
    <w:tr w:rsidR="00294A63">
      <w:tc>
        <w:tcPr>
          <w:tcW w:w="4824" w:type="dxa"/>
          <w:tcBorders>
            <w:top w:val="nil"/>
            <w:left w:val="nil"/>
            <w:bottom w:val="single" w:sz="4" w:space="0" w:color="000000"/>
            <w:right w:val="nil"/>
          </w:tcBorders>
        </w:tcPr>
        <w:p w:rsidR="00294A63" w:rsidRDefault="00294A63">
          <w:pPr>
            <w:spacing w:after="60"/>
            <w:ind w:left="-108"/>
            <w:rPr>
              <w:sz w:val="16"/>
              <w:szCs w:val="16"/>
            </w:rPr>
          </w:pPr>
        </w:p>
      </w:tc>
      <w:tc>
        <w:tcPr>
          <w:tcW w:w="4817" w:type="dxa"/>
          <w:tcBorders>
            <w:top w:val="nil"/>
            <w:left w:val="nil"/>
            <w:bottom w:val="single" w:sz="4" w:space="0" w:color="000000"/>
            <w:right w:val="nil"/>
          </w:tcBorders>
        </w:tcPr>
        <w:p w:rsidR="00294A63" w:rsidRDefault="00294A63">
          <w:pPr>
            <w:spacing w:after="60"/>
            <w:ind w:right="-108"/>
            <w:jc w:val="right"/>
            <w:rPr>
              <w:sz w:val="16"/>
              <w:szCs w:val="16"/>
            </w:rPr>
          </w:pPr>
        </w:p>
      </w:tc>
    </w:tr>
  </w:tbl>
  <w:p w:rsidR="00294A63" w:rsidRDefault="00294A63">
    <w:pPr>
      <w:pBdr>
        <w:top w:val="nil"/>
        <w:left w:val="nil"/>
        <w:bottom w:val="nil"/>
        <w:right w:val="nil"/>
        <w:between w:val="nil"/>
      </w:pBdr>
      <w:tabs>
        <w:tab w:val="center" w:pos="4153"/>
        <w:tab w:val="right" w:pos="8306"/>
      </w:tabs>
      <w:rPr>
        <w:rFonts w:eastAsia="Arial" w:cs="Arial"/>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A63" w:rsidRDefault="00294A63">
    <w:pPr>
      <w:widowControl w:val="0"/>
      <w:pBdr>
        <w:top w:val="nil"/>
        <w:left w:val="nil"/>
        <w:bottom w:val="nil"/>
        <w:right w:val="nil"/>
        <w:between w:val="nil"/>
      </w:pBdr>
      <w:spacing w:after="0" w:line="276" w:lineRule="auto"/>
      <w:rPr>
        <w:rFonts w:eastAsia="Arial" w:cs="Arial"/>
        <w:color w:val="000000"/>
        <w:szCs w:val="20"/>
      </w:rPr>
    </w:pPr>
  </w:p>
  <w:tbl>
    <w:tblPr>
      <w:tblStyle w:val="a3"/>
      <w:tblW w:w="9631" w:type="dxa"/>
      <w:tblBorders>
        <w:top w:val="nil"/>
        <w:left w:val="nil"/>
        <w:bottom w:val="nil"/>
        <w:right w:val="nil"/>
        <w:insideH w:val="nil"/>
        <w:insideV w:val="nil"/>
      </w:tblBorders>
      <w:tblLayout w:type="fixed"/>
      <w:tblLook w:val="0400" w:firstRow="0" w:lastRow="0" w:firstColumn="0" w:lastColumn="0" w:noHBand="0" w:noVBand="1"/>
    </w:tblPr>
    <w:tblGrid>
      <w:gridCol w:w="4815"/>
      <w:gridCol w:w="4816"/>
    </w:tblGrid>
    <w:tr w:rsidR="00294A63">
      <w:tc>
        <w:tcPr>
          <w:tcW w:w="4815" w:type="dxa"/>
        </w:tcPr>
        <w:p w:rsidR="00294A63" w:rsidRDefault="003B2D48">
          <w:pPr>
            <w:pBdr>
              <w:top w:val="nil"/>
              <w:left w:val="nil"/>
              <w:bottom w:val="nil"/>
              <w:right w:val="nil"/>
              <w:between w:val="nil"/>
            </w:pBdr>
            <w:tabs>
              <w:tab w:val="center" w:pos="4153"/>
              <w:tab w:val="right" w:pos="8306"/>
            </w:tabs>
            <w:spacing w:after="0"/>
            <w:ind w:left="-108"/>
            <w:jc w:val="both"/>
            <w:rPr>
              <w:rFonts w:eastAsia="Arial" w:cs="Arial"/>
              <w:b/>
              <w:color w:val="000000"/>
              <w:szCs w:val="20"/>
            </w:rPr>
          </w:pPr>
          <w:bookmarkStart w:id="55" w:name="bookmark=id.206ipza" w:colFirst="0" w:colLast="0"/>
          <w:bookmarkEnd w:id="55"/>
          <w:r>
            <w:rPr>
              <w:rFonts w:eastAsia="Arial" w:cs="Arial"/>
              <w:b/>
              <w:color w:val="000000"/>
              <w:szCs w:val="20"/>
            </w:rPr>
            <w:t>Schedule 9 (Security), Crown Copyright 2024, [Subject to Contract]</w:t>
          </w:r>
        </w:p>
      </w:tc>
      <w:tc>
        <w:tcPr>
          <w:tcW w:w="4816" w:type="dxa"/>
        </w:tcPr>
        <w:p w:rsidR="00294A63" w:rsidRDefault="00294A63">
          <w:pPr>
            <w:pBdr>
              <w:top w:val="nil"/>
              <w:left w:val="nil"/>
              <w:bottom w:val="nil"/>
              <w:right w:val="nil"/>
              <w:between w:val="nil"/>
            </w:pBdr>
            <w:tabs>
              <w:tab w:val="center" w:pos="4153"/>
              <w:tab w:val="right" w:pos="8306"/>
            </w:tabs>
            <w:spacing w:after="0"/>
            <w:jc w:val="right"/>
            <w:rPr>
              <w:rFonts w:eastAsia="Arial" w:cs="Arial"/>
              <w:b/>
              <w:color w:val="000000"/>
              <w:szCs w:val="20"/>
            </w:rPr>
          </w:pPr>
          <w:bookmarkStart w:id="56" w:name="bookmark=id.4k668n3" w:colFirst="0" w:colLast="0"/>
          <w:bookmarkEnd w:id="56"/>
        </w:p>
      </w:tc>
    </w:tr>
  </w:tbl>
  <w:p w:rsidR="00294A63" w:rsidRDefault="00294A63">
    <w:pPr>
      <w:pBdr>
        <w:top w:val="nil"/>
        <w:left w:val="nil"/>
        <w:bottom w:val="nil"/>
        <w:right w:val="nil"/>
        <w:between w:val="nil"/>
      </w:pBdr>
      <w:tabs>
        <w:tab w:val="center" w:pos="4153"/>
        <w:tab w:val="right" w:pos="8306"/>
      </w:tabs>
      <w:spacing w:after="0"/>
      <w:rPr>
        <w:rFonts w:eastAsia="Arial" w:cs="Arial"/>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C27"/>
    <w:multiLevelType w:val="multilevel"/>
    <w:tmpl w:val="72E88D9A"/>
    <w:lvl w:ilvl="0">
      <w:start w:val="1"/>
      <w:numFmt w:val="decimal"/>
      <w:pStyle w:val="ListNumber4"/>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 w15:restartNumberingAfterBreak="0">
    <w:nsid w:val="09DC5B71"/>
    <w:multiLevelType w:val="multilevel"/>
    <w:tmpl w:val="A8D233DE"/>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pStyle w:val="DefinitionNumbering8"/>
      <w:lvlText w:val=""/>
      <w:lvlJc w:val="left"/>
      <w:pPr>
        <w:ind w:left="2880" w:hanging="720"/>
      </w:pPr>
      <w:rPr>
        <w:smallCaps w:val="0"/>
      </w:rPr>
    </w:lvl>
    <w:lvl w:ilvl="8">
      <w:start w:val="1"/>
      <w:numFmt w:val="decimal"/>
      <w:pStyle w:val="DefinitionNumbering9"/>
      <w:lvlText w:val=""/>
      <w:lvlJc w:val="left"/>
      <w:pPr>
        <w:ind w:left="2880" w:hanging="720"/>
      </w:pPr>
      <w:rPr>
        <w:smallCaps w:val="0"/>
      </w:rPr>
    </w:lvl>
  </w:abstractNum>
  <w:abstractNum w:abstractNumId="2" w15:restartNumberingAfterBreak="0">
    <w:nsid w:val="100F4CC5"/>
    <w:multiLevelType w:val="multilevel"/>
    <w:tmpl w:val="B04E5092"/>
    <w:lvl w:ilvl="0">
      <w:start w:val="1"/>
      <w:numFmt w:val="decimal"/>
      <w:pStyle w:val="ListNumber2"/>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3" w15:restartNumberingAfterBreak="0">
    <w:nsid w:val="110C2AC3"/>
    <w:multiLevelType w:val="multilevel"/>
    <w:tmpl w:val="67521B16"/>
    <w:lvl w:ilvl="0">
      <w:start w:val="1"/>
      <w:numFmt w:val="decimal"/>
      <w:pStyle w:val="ListBullet1"/>
      <w:lvlText w:val=""/>
      <w:lvlJc w:val="left"/>
      <w:pPr>
        <w:ind w:left="720" w:firstLine="0"/>
      </w:pPr>
      <w:rPr>
        <w:smallCaps w:val="0"/>
      </w:rPr>
    </w:lvl>
    <w:lvl w:ilvl="1">
      <w:start w:val="1"/>
      <w:numFmt w:val="decimal"/>
      <w:pStyle w:val="ListBullet2"/>
      <w:lvlText w:val=""/>
      <w:lvlJc w:val="left"/>
      <w:pPr>
        <w:ind w:left="720" w:firstLine="0"/>
      </w:pPr>
      <w:rPr>
        <w:smallCaps w:val="0"/>
      </w:rPr>
    </w:lvl>
    <w:lvl w:ilvl="2">
      <w:start w:val="1"/>
      <w:numFmt w:val="lowerLetter"/>
      <w:pStyle w:val="ListBullet3"/>
      <w:lvlText w:val="(%3)"/>
      <w:lvlJc w:val="left"/>
      <w:pPr>
        <w:ind w:left="1440" w:hanging="720"/>
      </w:pPr>
      <w:rPr>
        <w:smallCaps w:val="0"/>
      </w:rPr>
    </w:lvl>
    <w:lvl w:ilvl="3">
      <w:start w:val="1"/>
      <w:numFmt w:val="lowerRoman"/>
      <w:pStyle w:val="ListBullet4"/>
      <w:lvlText w:val="(%4)"/>
      <w:lvlJc w:val="left"/>
      <w:pPr>
        <w:ind w:left="2160" w:hanging="720"/>
      </w:pPr>
      <w:rPr>
        <w:smallCaps w:val="0"/>
      </w:rPr>
    </w:lvl>
    <w:lvl w:ilvl="4">
      <w:start w:val="1"/>
      <w:numFmt w:val="upperLetter"/>
      <w:pStyle w:val="ListBullet5"/>
      <w:lvlText w:val="(%5)"/>
      <w:lvlJc w:val="left"/>
      <w:pPr>
        <w:ind w:left="2880" w:hanging="720"/>
      </w:pPr>
      <w:rPr>
        <w:smallCaps w:val="0"/>
      </w:rPr>
    </w:lvl>
    <w:lvl w:ilvl="5">
      <w:start w:val="1"/>
      <w:numFmt w:val="decimal"/>
      <w:pStyle w:val="ListBullet6"/>
      <w:lvlText w:val=""/>
      <w:lvlJc w:val="left"/>
      <w:pPr>
        <w:ind w:left="2880" w:hanging="720"/>
      </w:pPr>
      <w:rPr>
        <w:smallCaps w:val="0"/>
      </w:rPr>
    </w:lvl>
    <w:lvl w:ilvl="6">
      <w:start w:val="1"/>
      <w:numFmt w:val="decimal"/>
      <w:pStyle w:val="ListBullet7"/>
      <w:lvlText w:val=""/>
      <w:lvlJc w:val="left"/>
      <w:pPr>
        <w:ind w:left="2880" w:hanging="720"/>
      </w:pPr>
      <w:rPr>
        <w:smallCaps w:val="0"/>
      </w:rPr>
    </w:lvl>
    <w:lvl w:ilvl="7">
      <w:start w:val="1"/>
      <w:numFmt w:val="decimal"/>
      <w:pStyle w:val="ListBullet8"/>
      <w:lvlText w:val=""/>
      <w:lvlJc w:val="left"/>
      <w:pPr>
        <w:ind w:left="2880" w:hanging="720"/>
      </w:pPr>
      <w:rPr>
        <w:smallCaps w:val="0"/>
      </w:rPr>
    </w:lvl>
    <w:lvl w:ilvl="8">
      <w:start w:val="1"/>
      <w:numFmt w:val="decimal"/>
      <w:pStyle w:val="ListBullet9"/>
      <w:lvlText w:val=""/>
      <w:lvlJc w:val="left"/>
      <w:pPr>
        <w:ind w:left="2880" w:hanging="720"/>
      </w:pPr>
      <w:rPr>
        <w:smallCaps w:val="0"/>
      </w:rPr>
    </w:lvl>
  </w:abstractNum>
  <w:abstractNum w:abstractNumId="4" w15:restartNumberingAfterBreak="0">
    <w:nsid w:val="142E5D05"/>
    <w:multiLevelType w:val="multilevel"/>
    <w:tmpl w:val="8986472E"/>
    <w:lvl w:ilvl="0">
      <w:start w:val="1"/>
      <w:numFmt w:val="decimal"/>
      <w:pStyle w:val="ListNumber"/>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5" w15:restartNumberingAfterBreak="0">
    <w:nsid w:val="333119B4"/>
    <w:multiLevelType w:val="multilevel"/>
    <w:tmpl w:val="7910D320"/>
    <w:lvl w:ilvl="0">
      <w:start w:val="1"/>
      <w:numFmt w:val="decimal"/>
      <w:pStyle w:val="ListNumber3"/>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6" w15:restartNumberingAfterBreak="0">
    <w:nsid w:val="42CF416B"/>
    <w:multiLevelType w:val="multilevel"/>
    <w:tmpl w:val="C0F04E3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3"/>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7" w15:restartNumberingAfterBreak="0">
    <w:nsid w:val="44D619F3"/>
    <w:multiLevelType w:val="multilevel"/>
    <w:tmpl w:val="54DC0852"/>
    <w:lvl w:ilvl="0">
      <w:start w:val="1"/>
      <w:numFmt w:val="bullet"/>
      <w:pStyle w:val="ScheduleNumbering"/>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8" w15:restartNumberingAfterBreak="0">
    <w:nsid w:val="48E530B7"/>
    <w:multiLevelType w:val="multilevel"/>
    <w:tmpl w:val="4E28BFD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DefinitionNumbering6"/>
      <w:lvlText w:val="%8."/>
      <w:lvlJc w:val="left"/>
      <w:pPr>
        <w:tabs>
          <w:tab w:val="num" w:pos="5760"/>
        </w:tabs>
        <w:ind w:left="5760" w:hanging="720"/>
      </w:pPr>
    </w:lvl>
    <w:lvl w:ilvl="8">
      <w:start w:val="1"/>
      <w:numFmt w:val="decimal"/>
      <w:pStyle w:val="DefinitionNumbering7"/>
      <w:lvlText w:val="%9."/>
      <w:lvlJc w:val="left"/>
      <w:pPr>
        <w:tabs>
          <w:tab w:val="num" w:pos="6480"/>
        </w:tabs>
        <w:ind w:left="6480" w:hanging="720"/>
      </w:pPr>
    </w:lvl>
  </w:abstractNum>
  <w:abstractNum w:abstractNumId="9" w15:restartNumberingAfterBreak="0">
    <w:nsid w:val="507A0F8F"/>
    <w:multiLevelType w:val="multilevel"/>
    <w:tmpl w:val="488A340A"/>
    <w:lvl w:ilvl="0">
      <w:start w:val="1"/>
      <w:numFmt w:val="decimal"/>
      <w:pStyle w:val="RecitalNumbering1"/>
      <w:lvlText w:val="%1"/>
      <w:lvlJc w:val="left"/>
      <w:pPr>
        <w:ind w:left="720" w:hanging="720"/>
      </w:pPr>
      <w:rPr>
        <w:smallCaps w:val="0"/>
      </w:rPr>
    </w:lvl>
    <w:lvl w:ilvl="1">
      <w:start w:val="1"/>
      <w:numFmt w:val="decimal"/>
      <w:pStyle w:val="RecitalNumbering2"/>
      <w:lvlText w:val="%1.%2"/>
      <w:lvlJc w:val="left"/>
      <w:pPr>
        <w:ind w:left="720" w:hanging="720"/>
      </w:pPr>
      <w:rPr>
        <w:smallCaps w:val="0"/>
      </w:rPr>
    </w:lvl>
    <w:lvl w:ilvl="2">
      <w:start w:val="1"/>
      <w:numFmt w:val="lowerLetter"/>
      <w:pStyle w:val="RecitalNumbering3"/>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10" w15:restartNumberingAfterBreak="0">
    <w:nsid w:val="60BF5811"/>
    <w:multiLevelType w:val="multilevel"/>
    <w:tmpl w:val="A4D4CB16"/>
    <w:lvl w:ilvl="0">
      <w:start w:val="1"/>
      <w:numFmt w:val="decimal"/>
      <w:pStyle w:val="ListNumber5"/>
      <w:lvlText w:val=""/>
      <w:lvlJc w:val="left"/>
      <w:pPr>
        <w:ind w:left="720" w:firstLine="0"/>
      </w:pPr>
      <w:rPr>
        <w:smallCaps w:val="0"/>
      </w:rPr>
    </w:lvl>
    <w:lvl w:ilvl="1">
      <w:start w:val="1"/>
      <w:numFmt w:val="decimal"/>
      <w:lvlText w:val=""/>
      <w:lvlJc w:val="left"/>
      <w:pPr>
        <w:ind w:left="720" w:firstLine="0"/>
      </w:pPr>
      <w:rPr>
        <w:smallCaps w:val="0"/>
      </w:rPr>
    </w:lvl>
    <w:lvl w:ilvl="2">
      <w:start w:val="2"/>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11" w15:restartNumberingAfterBreak="0">
    <w:nsid w:val="62383E11"/>
    <w:multiLevelType w:val="multilevel"/>
    <w:tmpl w:val="8474DACA"/>
    <w:lvl w:ilvl="0">
      <w:start w:val="1"/>
      <w:numFmt w:val="decimal"/>
      <w:pStyle w:val="ScheduleL1"/>
      <w:lvlText w:val=""/>
      <w:lvlJc w:val="left"/>
      <w:pPr>
        <w:ind w:left="720" w:firstLine="0"/>
      </w:pPr>
      <w:rPr>
        <w:smallCaps w:val="0"/>
      </w:rPr>
    </w:lvl>
    <w:lvl w:ilvl="1">
      <w:start w:val="1"/>
      <w:numFmt w:val="decimal"/>
      <w:pStyle w:val="ScheduleL2"/>
      <w:lvlText w:val=""/>
      <w:lvlJc w:val="left"/>
      <w:pPr>
        <w:ind w:left="720" w:firstLine="0"/>
      </w:pPr>
      <w:rPr>
        <w:smallCaps w:val="0"/>
      </w:rPr>
    </w:lvl>
    <w:lvl w:ilvl="2">
      <w:start w:val="1"/>
      <w:numFmt w:val="lowerLetter"/>
      <w:pStyle w:val="ScheduleL3"/>
      <w:lvlText w:val="(%3)"/>
      <w:lvlJc w:val="left"/>
      <w:pPr>
        <w:ind w:left="1440" w:hanging="720"/>
      </w:pPr>
      <w:rPr>
        <w:smallCaps w:val="0"/>
      </w:rPr>
    </w:lvl>
    <w:lvl w:ilvl="3">
      <w:start w:val="1"/>
      <w:numFmt w:val="lowerRoman"/>
      <w:pStyle w:val="ScheduleL4"/>
      <w:lvlText w:val="(%4)"/>
      <w:lvlJc w:val="left"/>
      <w:pPr>
        <w:ind w:left="2160" w:hanging="720"/>
      </w:pPr>
      <w:rPr>
        <w:smallCaps w:val="0"/>
      </w:rPr>
    </w:lvl>
    <w:lvl w:ilvl="4">
      <w:start w:val="1"/>
      <w:numFmt w:val="upperLetter"/>
      <w:pStyle w:val="ScheduleL5"/>
      <w:lvlText w:val="(%5)"/>
      <w:lvlJc w:val="left"/>
      <w:pPr>
        <w:ind w:left="2880" w:hanging="720"/>
      </w:pPr>
      <w:rPr>
        <w:smallCaps w:val="0"/>
      </w:rPr>
    </w:lvl>
    <w:lvl w:ilvl="5">
      <w:start w:val="1"/>
      <w:numFmt w:val="decimal"/>
      <w:pStyle w:val="ScheduleL6"/>
      <w:lvlText w:val=""/>
      <w:lvlJc w:val="left"/>
      <w:pPr>
        <w:ind w:left="2880" w:hanging="720"/>
      </w:pPr>
      <w:rPr>
        <w:smallCaps w:val="0"/>
      </w:rPr>
    </w:lvl>
    <w:lvl w:ilvl="6">
      <w:start w:val="1"/>
      <w:numFmt w:val="decimal"/>
      <w:pStyle w:val="ScheduleL7"/>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2" w15:restartNumberingAfterBreak="0">
    <w:nsid w:val="79EA5A20"/>
    <w:multiLevelType w:val="multilevel"/>
    <w:tmpl w:val="8C9808E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num w:numId="1">
    <w:abstractNumId w:val="6"/>
  </w:num>
  <w:num w:numId="2">
    <w:abstractNumId w:val="12"/>
  </w:num>
  <w:num w:numId="3">
    <w:abstractNumId w:val="1"/>
  </w:num>
  <w:num w:numId="4">
    <w:abstractNumId w:val="4"/>
  </w:num>
  <w:num w:numId="5">
    <w:abstractNumId w:val="2"/>
  </w:num>
  <w:num w:numId="6">
    <w:abstractNumId w:val="5"/>
  </w:num>
  <w:num w:numId="7">
    <w:abstractNumId w:val="0"/>
  </w:num>
  <w:num w:numId="8">
    <w:abstractNumId w:val="10"/>
  </w:num>
  <w:num w:numId="9">
    <w:abstractNumId w:val="7"/>
  </w:num>
  <w:num w:numId="10">
    <w:abstractNumId w:val="9"/>
  </w:num>
  <w:num w:numId="11">
    <w:abstractNumId w:val="11"/>
  </w:num>
  <w:num w:numId="12">
    <w:abstractNumId w:val="3"/>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63"/>
    <w:rsid w:val="00294A63"/>
    <w:rsid w:val="003B2D48"/>
    <w:rsid w:val="00433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05F9"/>
  <w15:docId w15:val="{E2A2D1FB-29EE-4F0C-AC7C-EEC173F6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FDD"/>
    <w:rPr>
      <w:rFonts w:eastAsiaTheme="minorHAnsi" w:cstheme="minorBidi"/>
      <w:szCs w:val="22"/>
      <w:lang w:eastAsia="en-US"/>
    </w:rPr>
  </w:style>
  <w:style w:type="paragraph" w:styleId="Heading1">
    <w:name w:val="heading 1"/>
    <w:basedOn w:val="HouseStyleBase"/>
    <w:next w:val="Heading2A"/>
    <w:qFormat/>
    <w:rsid w:val="00824EBC"/>
    <w:pPr>
      <w:keepNext/>
      <w:numPr>
        <w:numId w:val="13"/>
      </w:numPr>
      <w:spacing w:before="360"/>
      <w:outlineLvl w:val="0"/>
    </w:pPr>
    <w:rPr>
      <w:b/>
      <w:sz w:val="24"/>
    </w:rPr>
  </w:style>
  <w:style w:type="paragraph" w:styleId="Heading2">
    <w:name w:val="heading 2"/>
    <w:basedOn w:val="HouseStyleBase"/>
    <w:link w:val="Heading2Char"/>
    <w:qFormat/>
    <w:rsid w:val="00824EBC"/>
    <w:pPr>
      <w:numPr>
        <w:ilvl w:val="1"/>
        <w:numId w:val="13"/>
      </w:numPr>
      <w:outlineLvl w:val="1"/>
    </w:pPr>
  </w:style>
  <w:style w:type="paragraph" w:styleId="Heading3">
    <w:name w:val="heading 3"/>
    <w:basedOn w:val="HouseStyleBase"/>
    <w:qFormat/>
    <w:rsid w:val="00824EBC"/>
    <w:pPr>
      <w:numPr>
        <w:ilvl w:val="2"/>
        <w:numId w:val="13"/>
      </w:numPr>
      <w:outlineLvl w:val="2"/>
    </w:pPr>
  </w:style>
  <w:style w:type="paragraph" w:styleId="Heading4">
    <w:name w:val="heading 4"/>
    <w:basedOn w:val="HouseStyleBase"/>
    <w:qFormat/>
    <w:rsid w:val="00824EBC"/>
    <w:pPr>
      <w:numPr>
        <w:ilvl w:val="3"/>
        <w:numId w:val="13"/>
      </w:numPr>
      <w:outlineLvl w:val="3"/>
    </w:pPr>
  </w:style>
  <w:style w:type="paragraph" w:styleId="Heading5">
    <w:name w:val="heading 5"/>
    <w:basedOn w:val="HouseStyleBase"/>
    <w:qFormat/>
    <w:rsid w:val="00824EBC"/>
    <w:pPr>
      <w:numPr>
        <w:ilvl w:val="4"/>
        <w:numId w:val="13"/>
      </w:numPr>
      <w:outlineLvl w:val="4"/>
    </w:pPr>
  </w:style>
  <w:style w:type="paragraph" w:styleId="Heading6">
    <w:name w:val="heading 6"/>
    <w:basedOn w:val="HouseStyleBase"/>
    <w:qFormat/>
    <w:rsid w:val="00824EBC"/>
    <w:pPr>
      <w:numPr>
        <w:ilvl w:val="5"/>
        <w:numId w:val="13"/>
      </w:numPr>
      <w:outlineLvl w:val="5"/>
    </w:pPr>
  </w:style>
  <w:style w:type="paragraph" w:styleId="Heading7">
    <w:name w:val="heading 7"/>
    <w:basedOn w:val="HouseStyleBase"/>
    <w:qFormat/>
    <w:rsid w:val="00824EBC"/>
    <w:pPr>
      <w:numPr>
        <w:ilvl w:val="6"/>
        <w:numId w:val="13"/>
      </w:numPr>
      <w:outlineLvl w:val="6"/>
    </w:pPr>
  </w:style>
  <w:style w:type="paragraph" w:styleId="Heading8">
    <w:name w:val="heading 8"/>
    <w:basedOn w:val="HouseStyleBase"/>
    <w:uiPriority w:val="99"/>
    <w:semiHidden/>
    <w:rsid w:val="00824EBC"/>
    <w:pPr>
      <w:outlineLvl w:val="7"/>
    </w:pPr>
  </w:style>
  <w:style w:type="paragraph" w:styleId="Heading9">
    <w:name w:val="heading 9"/>
    <w:basedOn w:val="HouseStyleBase"/>
    <w:uiPriority w:val="99"/>
    <w:semiHidden/>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ouseStyleBase"/>
    <w:rsid w:val="00824EBC"/>
    <w:rPr>
      <w:rFonts w:ascii="Cambria" w:hAnsi="Cambria"/>
      <w:kern w:val="28"/>
      <w:sz w:val="58"/>
    </w:rPr>
  </w:style>
  <w:style w:type="paragraph" w:styleId="Footer">
    <w:name w:val="footer"/>
    <w:basedOn w:val="Normal"/>
    <w:link w:val="FooterChar"/>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rsid w:val="00824EBC"/>
    <w:pPr>
      <w:tabs>
        <w:tab w:val="num" w:pos="720"/>
      </w:tabs>
      <w:ind w:left="720" w:hanging="720"/>
    </w:pPr>
  </w:style>
  <w:style w:type="paragraph" w:styleId="BodyTextIndent2">
    <w:name w:val="Body Text Indent 2"/>
    <w:basedOn w:val="HouseStyleBase"/>
    <w:uiPriority w:val="99"/>
    <w:qFormat/>
    <w:rsid w:val="00824EBC"/>
    <w:pPr>
      <w:tabs>
        <w:tab w:val="num" w:pos="1440"/>
      </w:tabs>
      <w:ind w:left="1440" w:hanging="720"/>
    </w:pPr>
  </w:style>
  <w:style w:type="paragraph" w:styleId="BodyTextIndent3">
    <w:name w:val="Body Text Indent 3"/>
    <w:basedOn w:val="HouseStyleBase"/>
    <w:link w:val="BodyTextIndent3Char"/>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semiHidden/>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tabs>
        <w:tab w:val="num" w:pos="720"/>
      </w:tabs>
      <w:ind w:left="720" w:hanging="720"/>
      <w:outlineLvl w:val="0"/>
    </w:pPr>
    <w:rPr>
      <w:sz w:val="28"/>
    </w:rPr>
  </w:style>
  <w:style w:type="paragraph" w:customStyle="1" w:styleId="SchSection">
    <w:name w:val="SchSection"/>
    <w:basedOn w:val="HouseStyleBase"/>
    <w:next w:val="MarginText"/>
    <w:qFormat/>
    <w:rsid w:val="00824EBC"/>
    <w:pPr>
      <w:keepNext/>
      <w:tabs>
        <w:tab w:val="num" w:pos="2160"/>
      </w:tabs>
      <w:ind w:left="2160" w:hanging="720"/>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pPr>
    <w:rPr>
      <w:rFonts w:eastAsia="SimSun"/>
      <w:lang w:eastAsia="zh-CN"/>
    </w:rPr>
  </w:style>
  <w:style w:type="numbering" w:styleId="111111">
    <w:name w:val="Outline List 2"/>
    <w:basedOn w:val="NoList"/>
    <w:rsid w:val="001948E8"/>
  </w:style>
  <w:style w:type="paragraph" w:styleId="TOC1">
    <w:name w:val="toc 1"/>
    <w:uiPriority w:val="39"/>
    <w:rsid w:val="00824EBC"/>
    <w:pPr>
      <w:tabs>
        <w:tab w:val="right" w:leader="dot" w:pos="9639"/>
      </w:tabs>
      <w:adjustRightInd w:val="0"/>
      <w:spacing w:after="120"/>
    </w:pPr>
    <w:rPr>
      <w:rFonts w:eastAsia="STZhongsong"/>
      <w:caps/>
      <w:lang w:eastAsia="zh-CN"/>
    </w:rPr>
  </w:style>
  <w:style w:type="paragraph" w:styleId="TOC2">
    <w:name w:val="toc 2"/>
    <w:uiPriority w:val="39"/>
    <w:rsid w:val="00824EBC"/>
    <w:pPr>
      <w:tabs>
        <w:tab w:val="right" w:leader="dot" w:pos="9639"/>
      </w:tabs>
      <w:adjustRightInd w:val="0"/>
      <w:spacing w:after="120"/>
      <w:ind w:left="720" w:hanging="720"/>
    </w:pPr>
    <w:rPr>
      <w:rFonts w:eastAsia="STZhongsong"/>
      <w:lang w:eastAsia="zh-CN"/>
    </w:rPr>
  </w:style>
  <w:style w:type="paragraph" w:styleId="TOC3">
    <w:name w:val="toc 3"/>
    <w:uiPriority w:val="39"/>
    <w:rsid w:val="00824EBC"/>
    <w:pPr>
      <w:tabs>
        <w:tab w:val="right" w:leader="dot" w:pos="9639"/>
      </w:tabs>
      <w:adjustRightInd w:val="0"/>
      <w:spacing w:after="120"/>
      <w:ind w:left="720"/>
    </w:pPr>
    <w:rPr>
      <w:rFonts w:eastAsia="STZhongsong"/>
      <w:lang w:eastAsia="zh-CN"/>
    </w:rPr>
  </w:style>
  <w:style w:type="paragraph" w:styleId="TOC4">
    <w:name w:val="toc 4"/>
    <w:semiHidden/>
    <w:rsid w:val="00824EBC"/>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rsid w:val="00824EBC"/>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rsid w:val="00824EBC"/>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rsid w:val="00824EBC"/>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rsid w:val="00824EBC"/>
    <w:pPr>
      <w:adjustRightInd w:val="0"/>
    </w:pPr>
    <w:rPr>
      <w:rFonts w:eastAsia="STZhongsong"/>
      <w:lang w:eastAsia="zh-CN"/>
    </w:rPr>
  </w:style>
  <w:style w:type="paragraph" w:styleId="TOC8">
    <w:name w:val="toc 8"/>
    <w:uiPriority w:val="39"/>
    <w:rsid w:val="00824EBC"/>
    <w:pPr>
      <w:tabs>
        <w:tab w:val="right" w:leader="dot" w:pos="9639"/>
      </w:tabs>
      <w:adjustRightInd w:val="0"/>
      <w:spacing w:after="120"/>
    </w:pPr>
    <w:rPr>
      <w:rFonts w:eastAsia="STZhongsong"/>
      <w:caps/>
      <w:lang w:eastAsia="zh-CN"/>
    </w:rPr>
  </w:style>
  <w:style w:type="paragraph" w:styleId="TOC9">
    <w:name w:val="toc 9"/>
    <w:uiPriority w:val="39"/>
    <w:rsid w:val="00824EBC"/>
    <w:pPr>
      <w:tabs>
        <w:tab w:val="right" w:leader="dot" w:pos="9639"/>
      </w:tabs>
      <w:adjustRightInd w:val="0"/>
      <w:spacing w:after="120"/>
    </w:pPr>
    <w:rPr>
      <w:rFonts w:eastAsia="STZhongsong"/>
      <w:lang w:eastAsia="zh-CN"/>
    </w:rPr>
  </w:style>
  <w:style w:type="paragraph" w:customStyle="1" w:styleId="HouseStyleBaseCentred">
    <w:name w:val="House Style Base Centred"/>
    <w:rsid w:val="00824EBC"/>
    <w:pPr>
      <w:adjustRightInd w:val="0"/>
    </w:pPr>
    <w:rPr>
      <w:rFonts w:eastAsia="STZhongsong"/>
      <w:lang w:eastAsia="zh-CN"/>
    </w:rPr>
  </w:style>
  <w:style w:type="paragraph" w:customStyle="1" w:styleId="SchPart">
    <w:name w:val="SchPart"/>
    <w:basedOn w:val="HouseStyleBase"/>
    <w:next w:val="MarginText"/>
    <w:qFormat/>
    <w:rsid w:val="00824EBC"/>
    <w:pPr>
      <w:keepNext/>
      <w:tabs>
        <w:tab w:val="num" w:pos="1440"/>
      </w:tabs>
      <w:ind w:left="1440" w:hanging="720"/>
      <w:outlineLvl w:val="1"/>
    </w:pPr>
    <w:rPr>
      <w:sz w:val="24"/>
    </w:r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824EBC"/>
    <w:pPr>
      <w:keepNext/>
      <w:tabs>
        <w:tab w:val="num" w:pos="720"/>
      </w:tabs>
      <w:ind w:left="720" w:hanging="720"/>
      <w:outlineLvl w:val="0"/>
    </w:pPr>
    <w:rPr>
      <w:sz w:val="28"/>
    </w:rPr>
  </w:style>
  <w:style w:type="paragraph" w:customStyle="1" w:styleId="AppPart">
    <w:name w:val="AppPart"/>
    <w:basedOn w:val="HouseStyleBase"/>
    <w:next w:val="MarginText"/>
    <w:qFormat/>
    <w:rsid w:val="00824EBC"/>
    <w:pPr>
      <w:keepNext/>
      <w:tabs>
        <w:tab w:val="num" w:pos="1440"/>
      </w:tabs>
      <w:ind w:left="1440" w:hanging="720"/>
      <w:outlineLvl w:val="1"/>
    </w:pPr>
    <w:rPr>
      <w:sz w:val="24"/>
    </w:rPr>
  </w:style>
  <w:style w:type="paragraph" w:customStyle="1" w:styleId="RecitalNumbering">
    <w:name w:val="Recital Numbering"/>
    <w:basedOn w:val="HouseStyleBase"/>
    <w:semiHidden/>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824EBC"/>
    <w:pPr>
      <w:tabs>
        <w:tab w:val="num" w:pos="2160"/>
      </w:tabs>
      <w:ind w:left="2160" w:hanging="720"/>
      <w:outlineLvl w:val="0"/>
    </w:pPr>
  </w:style>
  <w:style w:type="paragraph" w:customStyle="1" w:styleId="DefinitionNumbering2">
    <w:name w:val="Definition Numbering 2"/>
    <w:basedOn w:val="HouseStyleBase"/>
    <w:qFormat/>
    <w:rsid w:val="00824EBC"/>
    <w:pPr>
      <w:tabs>
        <w:tab w:val="num" w:pos="2880"/>
      </w:tabs>
      <w:ind w:left="2880" w:hanging="720"/>
      <w:outlineLvl w:val="1"/>
    </w:pPr>
  </w:style>
  <w:style w:type="paragraph" w:customStyle="1" w:styleId="DefinitionNumbering3">
    <w:name w:val="Definition Numbering 3"/>
    <w:basedOn w:val="HouseStyleBase"/>
    <w:qFormat/>
    <w:rsid w:val="00824EBC"/>
    <w:pPr>
      <w:tabs>
        <w:tab w:val="num" w:pos="3600"/>
      </w:tabs>
      <w:ind w:left="3600" w:hanging="720"/>
      <w:outlineLvl w:val="2"/>
    </w:pPr>
  </w:style>
  <w:style w:type="paragraph" w:customStyle="1" w:styleId="DefinitionNumbering4">
    <w:name w:val="Definition Numbering 4"/>
    <w:basedOn w:val="HouseStyleBase"/>
    <w:rsid w:val="00824EBC"/>
    <w:pPr>
      <w:tabs>
        <w:tab w:val="num" w:pos="4320"/>
      </w:tabs>
      <w:ind w:left="4320" w:hanging="720"/>
      <w:outlineLvl w:val="3"/>
    </w:pPr>
  </w:style>
  <w:style w:type="paragraph" w:customStyle="1" w:styleId="DefinitionNumbering5">
    <w:name w:val="Definition Numbering 5"/>
    <w:basedOn w:val="HouseStyleBase"/>
    <w:rsid w:val="00824EBC"/>
    <w:pPr>
      <w:tabs>
        <w:tab w:val="num" w:pos="5040"/>
      </w:tabs>
      <w:ind w:left="5040" w:hanging="720"/>
      <w:outlineLvl w:val="4"/>
    </w:pPr>
  </w:style>
  <w:style w:type="paragraph" w:customStyle="1" w:styleId="DefinitionNumbering6">
    <w:name w:val="Definition Numbering 6"/>
    <w:basedOn w:val="HouseStyleBase"/>
    <w:rsid w:val="00824EBC"/>
    <w:pPr>
      <w:numPr>
        <w:ilvl w:val="7"/>
        <w:numId w:val="14"/>
      </w:numPr>
      <w:outlineLvl w:val="5"/>
    </w:pPr>
  </w:style>
  <w:style w:type="paragraph" w:customStyle="1" w:styleId="DefinitionNumbering7">
    <w:name w:val="Definition Numbering 7"/>
    <w:basedOn w:val="HouseStyleBase"/>
    <w:rsid w:val="00824EBC"/>
    <w:pPr>
      <w:numPr>
        <w:ilvl w:val="8"/>
        <w:numId w:val="14"/>
      </w:numPr>
      <w:outlineLvl w:val="6"/>
    </w:pPr>
  </w:style>
  <w:style w:type="paragraph" w:customStyle="1" w:styleId="DefinitionNumbering8">
    <w:name w:val="Definition Numbering 8"/>
    <w:basedOn w:val="HouseStyleBase"/>
    <w:semiHidden/>
    <w:rsid w:val="001948E8"/>
    <w:pPr>
      <w:numPr>
        <w:ilvl w:val="7"/>
        <w:numId w:val="3"/>
      </w:numPr>
      <w:outlineLvl w:val="7"/>
    </w:pPr>
  </w:style>
  <w:style w:type="paragraph" w:customStyle="1" w:styleId="DefinitionNumbering9">
    <w:name w:val="Definition Numbering 9"/>
    <w:basedOn w:val="HouseStyleBase"/>
    <w:semiHidden/>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semiHidden/>
    <w:rsid w:val="00824EBC"/>
    <w:pPr>
      <w:numPr>
        <w:ilvl w:val="7"/>
        <w:numId w:val="12"/>
      </w:numPr>
    </w:pPr>
  </w:style>
  <w:style w:type="paragraph" w:customStyle="1" w:styleId="ListBullet9">
    <w:name w:val="List Bullet 9"/>
    <w:basedOn w:val="HouseStyleBase"/>
    <w:semiHidden/>
    <w:rsid w:val="00824EBC"/>
    <w:pPr>
      <w:numPr>
        <w:ilvl w:val="8"/>
        <w:numId w:val="12"/>
      </w:numPr>
    </w:pPr>
  </w:style>
  <w:style w:type="paragraph" w:customStyle="1" w:styleId="ScheduleL1">
    <w:name w:val="Schedule L1"/>
    <w:basedOn w:val="HouseStyleBase"/>
    <w:next w:val="ScheduleL2A"/>
    <w:qFormat/>
    <w:rsid w:val="00824EBC"/>
    <w:pPr>
      <w:keepNext/>
      <w:numPr>
        <w:numId w:val="11"/>
      </w:numPr>
      <w:spacing w:before="360"/>
      <w:outlineLvl w:val="0"/>
    </w:pPr>
    <w:rPr>
      <w:b/>
      <w:sz w:val="24"/>
    </w:rPr>
  </w:style>
  <w:style w:type="paragraph" w:customStyle="1" w:styleId="ScheduleL2">
    <w:name w:val="Schedule L2"/>
    <w:basedOn w:val="HouseStyleBase"/>
    <w:qFormat/>
    <w:rsid w:val="00824EBC"/>
    <w:pPr>
      <w:numPr>
        <w:ilvl w:val="1"/>
        <w:numId w:val="11"/>
      </w:numPr>
      <w:outlineLvl w:val="1"/>
    </w:pPr>
  </w:style>
  <w:style w:type="paragraph" w:customStyle="1" w:styleId="ScheduleL3">
    <w:name w:val="Schedule L3"/>
    <w:basedOn w:val="HouseStyleBase"/>
    <w:qFormat/>
    <w:rsid w:val="00824EBC"/>
    <w:pPr>
      <w:numPr>
        <w:ilvl w:val="2"/>
        <w:numId w:val="11"/>
      </w:numPr>
      <w:outlineLvl w:val="2"/>
    </w:pPr>
  </w:style>
  <w:style w:type="paragraph" w:customStyle="1" w:styleId="ScheduleL4">
    <w:name w:val="Schedule L4"/>
    <w:basedOn w:val="HouseStyleBase"/>
    <w:qFormat/>
    <w:rsid w:val="00824EBC"/>
    <w:pPr>
      <w:numPr>
        <w:ilvl w:val="3"/>
        <w:numId w:val="11"/>
      </w:numPr>
      <w:outlineLvl w:val="3"/>
    </w:pPr>
  </w:style>
  <w:style w:type="paragraph" w:customStyle="1" w:styleId="ScheduleL5">
    <w:name w:val="Schedule L5"/>
    <w:basedOn w:val="HouseStyleBase"/>
    <w:qFormat/>
    <w:rsid w:val="00824EBC"/>
    <w:pPr>
      <w:numPr>
        <w:ilvl w:val="4"/>
        <w:numId w:val="11"/>
      </w:numPr>
      <w:outlineLvl w:val="4"/>
    </w:pPr>
  </w:style>
  <w:style w:type="paragraph" w:customStyle="1" w:styleId="ScheduleL6">
    <w:name w:val="Schedule L6"/>
    <w:basedOn w:val="HouseStyleBase"/>
    <w:qFormat/>
    <w:rsid w:val="00824EBC"/>
    <w:pPr>
      <w:numPr>
        <w:ilvl w:val="5"/>
        <w:numId w:val="11"/>
      </w:numPr>
      <w:outlineLvl w:val="5"/>
    </w:pPr>
  </w:style>
  <w:style w:type="paragraph" w:customStyle="1" w:styleId="ScheduleL7">
    <w:name w:val="Schedule L7"/>
    <w:basedOn w:val="HouseStyleBase"/>
    <w:qFormat/>
    <w:rsid w:val="00824EBC"/>
    <w:pPr>
      <w:numPr>
        <w:ilvl w:val="6"/>
        <w:numId w:val="11"/>
      </w:numPr>
      <w:outlineLvl w:val="6"/>
    </w:pPr>
  </w:style>
  <w:style w:type="paragraph" w:customStyle="1" w:styleId="ScheduleL8">
    <w:name w:val="Schedule L8"/>
    <w:basedOn w:val="HouseStyleBase"/>
    <w:uiPriority w:val="99"/>
    <w:semiHidden/>
    <w:rsid w:val="00824EBC"/>
    <w:pPr>
      <w:outlineLvl w:val="7"/>
    </w:pPr>
  </w:style>
  <w:style w:type="paragraph" w:customStyle="1" w:styleId="ScheduleL9">
    <w:name w:val="Schedule L9"/>
    <w:basedOn w:val="HouseStyleBase"/>
    <w:uiPriority w:val="99"/>
    <w:semiHidden/>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uiPriority w:val="99"/>
    <w:rsid w:val="00824EBC"/>
    <w:rPr>
      <w:rFonts w:eastAsia="STZhongsong"/>
      <w:lang w:eastAsia="zh-CN"/>
    </w:rPr>
  </w:style>
  <w:style w:type="paragraph" w:styleId="BalloonText">
    <w:name w:val="Balloon Text"/>
    <w:basedOn w:val="Normal"/>
    <w:link w:val="BalloonTextChar"/>
    <w:uiPriority w:val="99"/>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tabs>
        <w:tab w:val="clear" w:pos="720"/>
      </w:tabs>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uiPriority w:val="65"/>
    <w:semiHidden/>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rsid w:val="001948E8"/>
    <w:rPr>
      <w:i/>
      <w:iCs/>
      <w:color w:val="4F81BD" w:themeColor="accent1"/>
    </w:rPr>
  </w:style>
  <w:style w:type="paragraph" w:styleId="IntenseQuote">
    <w:name w:val="Intense Quote"/>
    <w:basedOn w:val="Normal"/>
    <w:next w:val="Normal"/>
    <w:link w:val="IntenseQuoteChar"/>
    <w:uiPriority w:val="30"/>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semiHidden/>
    <w:rsid w:val="001948E8"/>
    <w:pPr>
      <w:spacing w:after="120"/>
      <w:ind w:left="849"/>
      <w:contextualSpacing/>
    </w:pPr>
  </w:style>
  <w:style w:type="paragraph" w:styleId="ListContinue4">
    <w:name w:val="List Continue 4"/>
    <w:basedOn w:val="Normal"/>
    <w:semiHidden/>
    <w:rsid w:val="001948E8"/>
    <w:pPr>
      <w:spacing w:after="120"/>
      <w:ind w:left="1132"/>
      <w:contextualSpacing/>
    </w:pPr>
  </w:style>
  <w:style w:type="paragraph" w:styleId="ListContinue5">
    <w:name w:val="List Continue 5"/>
    <w:basedOn w:val="Normal"/>
    <w:semiHidden/>
    <w:rsid w:val="001948E8"/>
    <w:pPr>
      <w:spacing w:after="120"/>
      <w:ind w:left="1415"/>
      <w:contextualSpacing/>
    </w:pPr>
  </w:style>
  <w:style w:type="paragraph" w:styleId="ListNumber">
    <w:name w:val="List Number"/>
    <w:basedOn w:val="Normal"/>
    <w:uiPriority w:val="99"/>
    <w:semiHidden/>
    <w:rsid w:val="001948E8"/>
    <w:pPr>
      <w:numPr>
        <w:numId w:val="4"/>
      </w:numPr>
      <w:contextualSpacing/>
    </w:pPr>
  </w:style>
  <w:style w:type="paragraph" w:styleId="ListNumber2">
    <w:name w:val="List Number 2"/>
    <w:basedOn w:val="Normal"/>
    <w:uiPriority w:val="99"/>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rsid w:val="001948E8"/>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semiHidden/>
    <w:unhideWhenUsed/>
    <w:rsid w:val="001948E8"/>
    <w:rPr>
      <w:sz w:val="24"/>
      <w:szCs w:val="24"/>
    </w:rPr>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
    <w:name w:val="Smart Hyperlink"/>
    <w:basedOn w:val="DefaultParagraphFont"/>
    <w:uiPriority w:val="99"/>
    <w:semiHidden/>
    <w:unhideWhenUsed/>
    <w:rsid w:val="001948E8"/>
    <w:rPr>
      <w:u w:val="dotted"/>
    </w:rPr>
  </w:style>
  <w:style w:type="character" w:styleId="Strong">
    <w:name w:val="Strong"/>
    <w:basedOn w:val="DefaultParagraphFont"/>
    <w:rsid w:val="001948E8"/>
    <w:rPr>
      <w:b/>
      <w:bCs/>
    </w:rPr>
  </w:style>
  <w:style w:type="paragraph" w:styleId="Subtitle">
    <w:name w:val="Subtitle"/>
    <w:basedOn w:val="Normal"/>
    <w:next w:val="Normal"/>
    <w:link w:val="SubtitleChar"/>
    <w:pPr>
      <w:pBdr>
        <w:top w:val="nil"/>
        <w:left w:val="nil"/>
        <w:bottom w:val="nil"/>
        <w:right w:val="nil"/>
        <w:between w:val="nil"/>
      </w:pBdr>
    </w:pPr>
    <w:rPr>
      <w:rFonts w:eastAsia="Arial" w:cs="Arial"/>
      <w:smallCaps/>
      <w:color w:val="7D7D7D"/>
      <w:sz w:val="32"/>
      <w:szCs w:val="3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rsid w:val="001948E8"/>
    <w:rPr>
      <w:i/>
      <w:iCs/>
      <w:color w:val="404040" w:themeColor="text1" w:themeTint="BF"/>
    </w:rPr>
  </w:style>
  <w:style w:type="character" w:styleId="SubtleReference">
    <w:name w:val="Subtle Reference"/>
    <w:basedOn w:val="DefaultParagraphFont"/>
    <w:uiPriority w:val="31"/>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948E8"/>
    <w:pPr>
      <w:overflowPunct w:val="0"/>
      <w:autoSpaceDE w:val="0"/>
      <w:autoSpaceDN w:val="0"/>
      <w:adjustRightInd w:val="0"/>
      <w:spacing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948E8"/>
    <w:pPr>
      <w:overflowPunct w:val="0"/>
      <w:autoSpaceDE w:val="0"/>
      <w:autoSpaceDN w:val="0"/>
      <w:adjustRightInd w:val="0"/>
      <w:spacing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948E8"/>
    <w:pPr>
      <w:overflowPunct w:val="0"/>
      <w:autoSpaceDE w:val="0"/>
      <w:autoSpaceDN w:val="0"/>
      <w:adjustRightInd w:val="0"/>
      <w:spacing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948E8"/>
    <w:pPr>
      <w:overflowPunct w:val="0"/>
      <w:autoSpaceDE w:val="0"/>
      <w:autoSpaceDN w:val="0"/>
      <w:adjustRightInd w:val="0"/>
      <w:spacing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948E8"/>
    <w:pPr>
      <w:overflowPunct w:val="0"/>
      <w:autoSpaceDE w:val="0"/>
      <w:autoSpaceDN w:val="0"/>
      <w:adjustRightInd w:val="0"/>
      <w:spacing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
    <w:name w:val="Unresolved Mention"/>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sz w:val="24"/>
    </w:rPr>
  </w:style>
  <w:style w:type="paragraph" w:customStyle="1" w:styleId="GeneralL1">
    <w:name w:val="General L1"/>
    <w:basedOn w:val="HouseStyleBase"/>
    <w:qFormat/>
    <w:rsid w:val="00824EBC"/>
    <w:pPr>
      <w:tabs>
        <w:tab w:val="num" w:pos="720"/>
      </w:tabs>
      <w:ind w:left="720" w:hanging="720"/>
    </w:pPr>
  </w:style>
  <w:style w:type="paragraph" w:customStyle="1" w:styleId="GeneralL2">
    <w:name w:val="General L2"/>
    <w:basedOn w:val="HouseStyleBase"/>
    <w:qFormat/>
    <w:rsid w:val="00824EBC"/>
    <w:pPr>
      <w:tabs>
        <w:tab w:val="num" w:pos="1440"/>
      </w:tabs>
      <w:ind w:left="1440" w:hanging="720"/>
    </w:pPr>
  </w:style>
  <w:style w:type="paragraph" w:customStyle="1" w:styleId="GeneralL3">
    <w:name w:val="General L3"/>
    <w:basedOn w:val="HouseStyleBase"/>
    <w:qFormat/>
    <w:rsid w:val="00824EBC"/>
    <w:pPr>
      <w:tabs>
        <w:tab w:val="num" w:pos="2160"/>
      </w:tabs>
      <w:ind w:left="2160" w:hanging="720"/>
    </w:pPr>
  </w:style>
  <w:style w:type="paragraph" w:customStyle="1" w:styleId="GeneralL4">
    <w:name w:val="General L4"/>
    <w:basedOn w:val="HouseStyleBase"/>
    <w:qFormat/>
    <w:rsid w:val="00824EBC"/>
    <w:pPr>
      <w:tabs>
        <w:tab w:val="num" w:pos="2880"/>
      </w:tabs>
      <w:ind w:left="2880" w:hanging="720"/>
    </w:pPr>
  </w:style>
  <w:style w:type="paragraph" w:customStyle="1" w:styleId="GeneralL5">
    <w:name w:val="General L5"/>
    <w:basedOn w:val="HouseStyleBase"/>
    <w:qFormat/>
    <w:rsid w:val="00824EBC"/>
    <w:pPr>
      <w:tabs>
        <w:tab w:val="num" w:pos="3600"/>
      </w:tabs>
      <w:ind w:left="3600" w:hanging="720"/>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tabs>
        <w:tab w:val="num" w:pos="720"/>
      </w:tabs>
      <w:ind w:left="720" w:hanging="720"/>
    </w:pPr>
  </w:style>
  <w:style w:type="paragraph" w:customStyle="1" w:styleId="SchGeneralL2">
    <w:name w:val="SchGeneral L2"/>
    <w:basedOn w:val="HouseStyleBase"/>
    <w:qFormat/>
    <w:rsid w:val="007D7A3C"/>
    <w:pPr>
      <w:tabs>
        <w:tab w:val="num" w:pos="1440"/>
      </w:tabs>
      <w:ind w:left="1440" w:hanging="720"/>
    </w:pPr>
  </w:style>
  <w:style w:type="paragraph" w:customStyle="1" w:styleId="SchGeneralL3">
    <w:name w:val="SchGeneral L3"/>
    <w:basedOn w:val="HouseStyleBase"/>
    <w:qFormat/>
    <w:rsid w:val="00824EBC"/>
    <w:pPr>
      <w:tabs>
        <w:tab w:val="num" w:pos="2160"/>
      </w:tabs>
      <w:ind w:left="2160" w:hanging="720"/>
    </w:pPr>
  </w:style>
  <w:style w:type="paragraph" w:customStyle="1" w:styleId="SchGeneralL4">
    <w:name w:val="SchGeneral L4"/>
    <w:basedOn w:val="HouseStyleBase"/>
    <w:qFormat/>
    <w:rsid w:val="00824EBC"/>
    <w:pPr>
      <w:tabs>
        <w:tab w:val="num" w:pos="2880"/>
      </w:tabs>
      <w:ind w:left="2880" w:hanging="720"/>
    </w:pPr>
  </w:style>
  <w:style w:type="paragraph" w:customStyle="1" w:styleId="SchGeneralL5">
    <w:name w:val="SchGeneral L5"/>
    <w:basedOn w:val="HouseStyleBase"/>
    <w:qFormat/>
    <w:rsid w:val="00824EBC"/>
    <w:pPr>
      <w:tabs>
        <w:tab w:val="num" w:pos="3600"/>
      </w:tabs>
      <w:ind w:left="3600" w:hanging="720"/>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szCs w:val="24"/>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spacing w:after="0"/>
      <w:ind w:right="142"/>
      <w:jc w:val="right"/>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spacing w:after="0"/>
      <w:ind w:right="142"/>
      <w:jc w:val="right"/>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szCs w:val="24"/>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style>
  <w:style w:type="numbering" w:styleId="ArticleSection">
    <w:name w:val="Outline List 3"/>
    <w:basedOn w:val="NoList"/>
    <w:semiHidden/>
    <w:unhideWhenUsed/>
    <w:rsid w:val="00644E7D"/>
  </w:style>
  <w:style w:type="character" w:customStyle="1" w:styleId="SmartLink1">
    <w:name w:val="SmartLink1"/>
    <w:basedOn w:val="DefaultParagraphFont"/>
    <w:uiPriority w:val="99"/>
    <w:semiHidden/>
    <w:unhideWhenUsed/>
    <w:rsid w:val="00644E7D"/>
    <w:rPr>
      <w:color w:val="0000FF"/>
      <w:u w:val="single"/>
      <w:shd w:val="clear" w:color="auto" w:fill="F3F2F1"/>
    </w:rPr>
  </w:style>
  <w:style w:type="paragraph" w:customStyle="1" w:styleId="ScheduleText1">
    <w:name w:val="Schedule Text 1"/>
    <w:basedOn w:val="Normal"/>
    <w:next w:val="Normal"/>
    <w:rsid w:val="00AE5FDD"/>
    <w:pPr>
      <w:tabs>
        <w:tab w:val="num" w:pos="720"/>
      </w:tabs>
      <w:spacing w:before="100" w:after="200"/>
      <w:ind w:left="720" w:hanging="720"/>
    </w:pPr>
    <w:rPr>
      <w:rFonts w:eastAsia="Times New Roman" w:cs="Times New Roman"/>
      <w:b/>
      <w:sz w:val="24"/>
      <w:szCs w:val="24"/>
      <w:lang w:eastAsia="en-GB"/>
    </w:rPr>
  </w:style>
  <w:style w:type="paragraph" w:customStyle="1" w:styleId="ScheduleText2">
    <w:name w:val="Schedule Text 2"/>
    <w:basedOn w:val="ScheduleText1"/>
    <w:next w:val="Normal"/>
    <w:rsid w:val="00AE5FDD"/>
    <w:pPr>
      <w:numPr>
        <w:ilvl w:val="1"/>
      </w:numPr>
      <w:tabs>
        <w:tab w:val="num" w:pos="720"/>
      </w:tabs>
      <w:ind w:left="720" w:hanging="720"/>
    </w:pPr>
    <w:rPr>
      <w:b w:val="0"/>
    </w:rPr>
  </w:style>
  <w:style w:type="paragraph" w:customStyle="1" w:styleId="ScheduleText3">
    <w:name w:val="Schedule Text 3"/>
    <w:basedOn w:val="Normal"/>
    <w:next w:val="Normal"/>
    <w:rsid w:val="00AE5FDD"/>
    <w:pPr>
      <w:tabs>
        <w:tab w:val="left" w:pos="720"/>
        <w:tab w:val="left" w:pos="1803"/>
        <w:tab w:val="num" w:pos="2160"/>
      </w:tabs>
      <w:spacing w:before="100" w:after="200"/>
      <w:ind w:left="2160" w:hanging="720"/>
    </w:pPr>
    <w:rPr>
      <w:rFonts w:eastAsia="Times New Roman" w:cs="Times New Roman"/>
      <w:sz w:val="24"/>
      <w:szCs w:val="24"/>
      <w:lang w:eastAsia="en-GB"/>
    </w:rPr>
  </w:style>
  <w:style w:type="paragraph" w:customStyle="1" w:styleId="ScheduleText4">
    <w:name w:val="Schedule Text 4"/>
    <w:basedOn w:val="Normal"/>
    <w:next w:val="Normal"/>
    <w:rsid w:val="00AE5FDD"/>
    <w:pPr>
      <w:tabs>
        <w:tab w:val="left" w:pos="720"/>
        <w:tab w:val="left" w:pos="1803"/>
        <w:tab w:val="num" w:pos="2880"/>
      </w:tabs>
      <w:spacing w:before="100" w:after="200"/>
      <w:ind w:left="2880" w:hanging="720"/>
    </w:pPr>
    <w:rPr>
      <w:rFonts w:eastAsia="Times New Roman" w:cs="Times New Roman"/>
      <w:sz w:val="24"/>
      <w:szCs w:val="24"/>
      <w:lang w:eastAsia="en-GB"/>
    </w:rPr>
  </w:style>
  <w:style w:type="paragraph" w:customStyle="1" w:styleId="ScheduleText5">
    <w:name w:val="Schedule Text 5"/>
    <w:basedOn w:val="Normal"/>
    <w:next w:val="Normal"/>
    <w:rsid w:val="00AE5FDD"/>
    <w:pPr>
      <w:tabs>
        <w:tab w:val="left" w:pos="720"/>
        <w:tab w:val="left" w:pos="2523"/>
        <w:tab w:val="num" w:pos="3600"/>
      </w:tabs>
      <w:spacing w:before="100" w:after="200"/>
      <w:ind w:left="3600" w:hanging="720"/>
    </w:pPr>
    <w:rPr>
      <w:rFonts w:eastAsia="Times New Roman" w:cs="Times New Roman"/>
      <w:sz w:val="24"/>
      <w:szCs w:val="24"/>
      <w:lang w:eastAsia="en-GB"/>
    </w:rPr>
  </w:style>
  <w:style w:type="paragraph" w:customStyle="1" w:styleId="ScheduleText6">
    <w:name w:val="Schedule Text 6"/>
    <w:basedOn w:val="ScheduleText5"/>
    <w:rsid w:val="00AE5FDD"/>
    <w:pPr>
      <w:numPr>
        <w:ilvl w:val="5"/>
      </w:numPr>
      <w:tabs>
        <w:tab w:val="num" w:pos="3600"/>
      </w:tabs>
      <w:ind w:left="3600" w:hanging="720"/>
    </w:pPr>
  </w:style>
  <w:style w:type="paragraph" w:customStyle="1" w:styleId="ScheduleText7">
    <w:name w:val="Schedule Text 7"/>
    <w:basedOn w:val="ScheduleText6"/>
    <w:rsid w:val="00AE5FDD"/>
    <w:pPr>
      <w:numPr>
        <w:ilvl w:val="6"/>
      </w:numPr>
      <w:tabs>
        <w:tab w:val="num" w:pos="3600"/>
      </w:tabs>
      <w:ind w:left="3600" w:hanging="720"/>
    </w:pPr>
  </w:style>
  <w:style w:type="character" w:customStyle="1" w:styleId="BodyTextIndent3Char">
    <w:name w:val="Body Text Indent 3 Char"/>
    <w:basedOn w:val="DefaultParagraphFont"/>
    <w:link w:val="BodyTextIndent3"/>
    <w:rsid w:val="00C40A05"/>
    <w:rPr>
      <w:rFonts w:ascii="Arial" w:eastAsia="STZhongsong" w:hAnsi="Arial"/>
      <w:lang w:val="en-GB" w:eastAsia="zh-CN"/>
    </w:rPr>
  </w:style>
  <w:style w:type="paragraph" w:customStyle="1" w:styleId="DefinitionList">
    <w:name w:val="Definition List"/>
    <w:basedOn w:val="Normal"/>
    <w:rsid w:val="009013D7"/>
    <w:pPr>
      <w:tabs>
        <w:tab w:val="num" w:pos="720"/>
      </w:tabs>
      <w:spacing w:before="100" w:after="200"/>
      <w:ind w:left="720" w:hanging="720"/>
    </w:pPr>
    <w:rPr>
      <w:rFonts w:eastAsia="Times New Roman" w:cs="Times New Roman"/>
      <w:sz w:val="24"/>
      <w:szCs w:val="24"/>
      <w:lang w:eastAsia="en-GB"/>
    </w:rPr>
  </w:style>
  <w:style w:type="paragraph" w:customStyle="1" w:styleId="DefinitionListLevel1">
    <w:name w:val="Definition List Level 1"/>
    <w:basedOn w:val="DefinitionList"/>
    <w:rsid w:val="009013D7"/>
    <w:pPr>
      <w:numPr>
        <w:ilvl w:val="1"/>
      </w:numPr>
      <w:tabs>
        <w:tab w:val="num" w:pos="720"/>
      </w:tabs>
      <w:ind w:left="720" w:hanging="720"/>
    </w:pPr>
  </w:style>
  <w:style w:type="paragraph" w:customStyle="1" w:styleId="DefinitionListLevel2">
    <w:name w:val="Definition List Level 2"/>
    <w:basedOn w:val="DefinitionListLevel1"/>
    <w:rsid w:val="009013D7"/>
    <w:pPr>
      <w:numPr>
        <w:ilvl w:val="2"/>
      </w:numPr>
      <w:tabs>
        <w:tab w:val="num" w:pos="720"/>
      </w:tabs>
      <w:ind w:left="720" w:hanging="720"/>
    </w:pPr>
  </w:style>
  <w:style w:type="paragraph" w:styleId="Revision">
    <w:name w:val="Revision"/>
    <w:hidden/>
    <w:uiPriority w:val="99"/>
    <w:semiHidden/>
    <w:rsid w:val="00507AC5"/>
    <w:rPr>
      <w:rFonts w:eastAsiaTheme="minorHAnsi" w:cstheme="minorBidi"/>
      <w:szCs w:val="22"/>
      <w:lang w:eastAsia="en-US"/>
    </w:rPr>
  </w:style>
  <w:style w:type="table" w:customStyle="1" w:styleId="TableGrid30">
    <w:name w:val="Table Grid3"/>
    <w:basedOn w:val="TableNormal"/>
    <w:next w:val="TableGrid"/>
    <w:rsid w:val="005969AD"/>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56273"/>
    <w:rPr>
      <w:rFonts w:ascii="Arial" w:eastAsia="STZhongsong" w:hAnsi="Arial"/>
      <w:lang w:val="en-GB" w:eastAsia="zh-CN"/>
    </w:rPr>
  </w:style>
  <w:style w:type="character" w:customStyle="1" w:styleId="normaltextrun">
    <w:name w:val="normaltextrun"/>
    <w:basedOn w:val="DefaultParagraphFont"/>
    <w:uiPriority w:val="1"/>
    <w:rsid w:val="482E03F3"/>
    <w:rPr>
      <w:rFonts w:asciiTheme="minorHAnsi" w:eastAsiaTheme="minorEastAsia" w:hAnsiTheme="minorHAnsi" w:cstheme="minorBidi"/>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government-baseline-personnel-security-standard" TargetMode="External"/><Relationship Id="rId13" Type="http://schemas.openxmlformats.org/officeDocument/2006/relationships/hyperlink" Target="https://www.gov.uk/government/publications/government-security-classifications/guidance-15-considerations-for-security-advisors-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collection/device-security-guidanc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guidance-11-working-at-official-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government-security-classifications/guidance-11-working-at-official-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sc.gov.uk/collection/cloud/the-cloud-security-principl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mDmgDdo/RXgwkjngyhvxhweNB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ppZC4yMDZpcHphMgppZC40azY2OG4zMgppZC4yemJnaXV3MgppZC4xZWdxdDJwMgppZC4zeWdlYnFpOAByITFFMXhVSENKOE5FWEFFWGJSS3BOcmkzbFU4dEhndkFB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5826</Words>
  <Characters>33211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 Johnston</dc:creator>
  <cp:lastModifiedBy>Damian Johnston</cp:lastModifiedBy>
  <cp:revision>2</cp:revision>
  <dcterms:created xsi:type="dcterms:W3CDTF">2025-03-07T10:26:00Z</dcterms:created>
  <dcterms:modified xsi:type="dcterms:W3CDTF">2025-03-07T10:26:00Z</dcterms:modified>
</cp:coreProperties>
</file>