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C39B4">
      <w:pPr>
        <w:pBdr>
          <w:top w:val="nil"/>
          <w:left w:val="nil"/>
          <w:bottom w:val="nil"/>
          <w:right w:val="nil"/>
          <w:between w:val="nil"/>
        </w:pBdr>
        <w:spacing w:after="172"/>
        <w:ind w:left="0" w:right="-598" w:hanging="2"/>
        <w:rPr>
          <w:sz w:val="24"/>
          <w:szCs w:val="24"/>
        </w:rPr>
      </w:pPr>
      <w:hyperlink w:anchor="_Part_A:_Order" w:history="1">
        <w:r w:rsidRPr="00FE275D">
          <w:rPr>
            <w:rStyle w:val="Hyperlink"/>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309C7102" w14:textId="60D73F3C" w:rsidR="00A26C2A" w:rsidRDefault="008C39B4">
      <w:pPr>
        <w:pBdr>
          <w:top w:val="nil"/>
          <w:left w:val="nil"/>
          <w:bottom w:val="nil"/>
          <w:right w:val="nil"/>
          <w:between w:val="nil"/>
        </w:pBdr>
        <w:spacing w:after="172"/>
        <w:ind w:left="0" w:right="-598" w:hanging="2"/>
        <w:rPr>
          <w:sz w:val="24"/>
          <w:szCs w:val="24"/>
        </w:rPr>
      </w:pPr>
      <w:hyperlink w:anchor="_Part_B:_Terms" w:history="1">
        <w:r w:rsidRPr="00FE275D">
          <w:rPr>
            <w:rStyle w:val="Hyperlink"/>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1C5CAD">
        <w:rPr>
          <w:sz w:val="24"/>
          <w:szCs w:val="24"/>
        </w:rPr>
        <w:t>1</w:t>
      </w:r>
    </w:p>
    <w:p w14:paraId="7CA82314" w14:textId="483BACED" w:rsidR="00A26C2A" w:rsidRDefault="008C39B4">
      <w:pPr>
        <w:pBdr>
          <w:top w:val="nil"/>
          <w:left w:val="nil"/>
          <w:bottom w:val="nil"/>
          <w:right w:val="nil"/>
          <w:between w:val="nil"/>
        </w:pBdr>
        <w:spacing w:after="172"/>
        <w:ind w:left="0" w:right="-457" w:hanging="2"/>
        <w:rPr>
          <w:sz w:val="24"/>
          <w:szCs w:val="24"/>
        </w:rPr>
      </w:pPr>
      <w:hyperlink w:anchor="_Schedule_1:_Services" w:history="1">
        <w:r w:rsidRPr="00FE275D">
          <w:rPr>
            <w:rStyle w:val="Hyperlink"/>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1C5CAD">
        <w:rPr>
          <w:sz w:val="24"/>
          <w:szCs w:val="24"/>
        </w:rPr>
        <w:t>2</w:t>
      </w:r>
    </w:p>
    <w:p w14:paraId="5956AFCC" w14:textId="15CC67DD" w:rsidR="00A26C2A" w:rsidRDefault="008C39B4">
      <w:pPr>
        <w:pBdr>
          <w:top w:val="nil"/>
          <w:left w:val="nil"/>
          <w:bottom w:val="nil"/>
          <w:right w:val="nil"/>
          <w:between w:val="nil"/>
        </w:pBdr>
        <w:spacing w:after="172"/>
        <w:ind w:left="0" w:right="-31" w:hanging="2"/>
        <w:rPr>
          <w:color w:val="000000"/>
          <w:sz w:val="24"/>
          <w:szCs w:val="24"/>
        </w:rPr>
      </w:pPr>
      <w:hyperlink w:anchor="_Schedule_2:_Call-Off" w:history="1">
        <w:r w:rsidRPr="00FE275D">
          <w:rPr>
            <w:rStyle w:val="Hyperlink"/>
            <w:sz w:val="24"/>
            <w:szCs w:val="24"/>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1C5CAD">
        <w:rPr>
          <w:sz w:val="24"/>
          <w:szCs w:val="24"/>
        </w:rPr>
        <w:t>3</w:t>
      </w:r>
    </w:p>
    <w:p w14:paraId="6DA316EC" w14:textId="2D36482B" w:rsidR="00A26C2A" w:rsidRDefault="008C39B4" w:rsidP="00F972EF">
      <w:pPr>
        <w:pBdr>
          <w:top w:val="nil"/>
          <w:left w:val="nil"/>
          <w:bottom w:val="nil"/>
          <w:right w:val="nil"/>
          <w:between w:val="nil"/>
        </w:pBdr>
        <w:spacing w:after="172"/>
        <w:ind w:left="0" w:right="-315" w:hanging="2"/>
        <w:rPr>
          <w:color w:val="000000"/>
          <w:sz w:val="24"/>
          <w:szCs w:val="24"/>
        </w:rPr>
      </w:pPr>
      <w:hyperlink w:anchor="_Schedule_3:_Collaboration" w:history="1">
        <w:r w:rsidRPr="00FE275D">
          <w:rPr>
            <w:rStyle w:val="Hyperlink"/>
            <w:sz w:val="24"/>
            <w:szCs w:val="24"/>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w:t>
      </w:r>
      <w:r w:rsidR="001C5CAD">
        <w:rPr>
          <w:sz w:val="24"/>
          <w:szCs w:val="24"/>
        </w:rPr>
        <w:t>4</w:t>
      </w:r>
    </w:p>
    <w:p w14:paraId="24B35891" w14:textId="228345F7" w:rsidR="00A26C2A" w:rsidRDefault="008C39B4">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Pr="00FE275D">
          <w:rPr>
            <w:rStyle w:val="Hyperlink"/>
            <w:sz w:val="24"/>
            <w:szCs w:val="24"/>
          </w:rPr>
          <w:t>Schedule 4: Alternative clause</w:t>
        </w:r>
      </w:hyperlink>
      <w:r>
        <w:rPr>
          <w:color w:val="000000"/>
          <w:sz w:val="24"/>
          <w:szCs w:val="24"/>
        </w:rPr>
        <w:tab/>
      </w:r>
      <w:r>
        <w:rPr>
          <w:sz w:val="24"/>
          <w:szCs w:val="24"/>
        </w:rPr>
        <w:t>4</w:t>
      </w:r>
      <w:r w:rsidR="001C5CAD">
        <w:rPr>
          <w:sz w:val="24"/>
          <w:szCs w:val="24"/>
        </w:rPr>
        <w:t>7</w:t>
      </w:r>
    </w:p>
    <w:p w14:paraId="0F597DD5" w14:textId="1FF80014" w:rsidR="00A26C2A" w:rsidRDefault="008C39B4">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Pr="00FE275D">
          <w:rPr>
            <w:rStyle w:val="Hyperlink"/>
            <w:sz w:val="24"/>
            <w:szCs w:val="24"/>
          </w:rPr>
          <w:t>Schedule 5: Guarantee</w:t>
        </w:r>
      </w:hyperlink>
      <w:r>
        <w:rPr>
          <w:color w:val="000000"/>
          <w:sz w:val="24"/>
          <w:szCs w:val="24"/>
        </w:rPr>
        <w:t xml:space="preserve"> </w:t>
      </w:r>
      <w:r>
        <w:rPr>
          <w:color w:val="000000"/>
          <w:sz w:val="24"/>
          <w:szCs w:val="24"/>
        </w:rPr>
        <w:tab/>
        <w:t>5</w:t>
      </w:r>
      <w:r w:rsidR="001C5CAD">
        <w:rPr>
          <w:sz w:val="24"/>
          <w:szCs w:val="24"/>
        </w:rPr>
        <w:t>1</w:t>
      </w:r>
    </w:p>
    <w:p w14:paraId="773D0EF8" w14:textId="3C0067E6"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Pr="00FE275D">
          <w:rPr>
            <w:rStyle w:val="Hyperlink"/>
            <w:sz w:val="24"/>
            <w:szCs w:val="24"/>
          </w:rPr>
          <w:t>Schedule 6: Glossary and interpretations</w:t>
        </w:r>
      </w:hyperlink>
      <w:r>
        <w:rPr>
          <w:color w:val="000000"/>
          <w:sz w:val="24"/>
          <w:szCs w:val="24"/>
        </w:rPr>
        <w:t xml:space="preserve"> </w:t>
      </w:r>
      <w:r>
        <w:rPr>
          <w:color w:val="000000"/>
          <w:sz w:val="24"/>
          <w:szCs w:val="24"/>
        </w:rPr>
        <w:tab/>
        <w:t>6</w:t>
      </w:r>
      <w:r w:rsidR="001C5CAD">
        <w:rPr>
          <w:sz w:val="24"/>
          <w:szCs w:val="24"/>
        </w:rPr>
        <w:t>0</w:t>
      </w:r>
    </w:p>
    <w:p w14:paraId="7C7441F1" w14:textId="3A8C7956"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Pr="00FE275D">
          <w:rPr>
            <w:rStyle w:val="Hyperlink"/>
            <w:sz w:val="24"/>
            <w:szCs w:val="24"/>
          </w:rPr>
          <w:t>Schedule 7: UK GDPR Information</w:t>
        </w:r>
      </w:hyperlink>
      <w:r>
        <w:rPr>
          <w:color w:val="000000"/>
          <w:sz w:val="24"/>
          <w:szCs w:val="24"/>
        </w:rPr>
        <w:t xml:space="preserve"> </w:t>
      </w:r>
      <w:r>
        <w:rPr>
          <w:color w:val="000000"/>
          <w:sz w:val="24"/>
          <w:szCs w:val="24"/>
        </w:rPr>
        <w:tab/>
      </w:r>
      <w:r w:rsidR="00F972EF">
        <w:rPr>
          <w:sz w:val="24"/>
          <w:szCs w:val="24"/>
        </w:rPr>
        <w:t>7</w:t>
      </w:r>
      <w:r w:rsidR="001C5CAD">
        <w:rPr>
          <w:sz w:val="24"/>
          <w:szCs w:val="24"/>
        </w:rPr>
        <w:t>7</w:t>
      </w:r>
    </w:p>
    <w:p w14:paraId="1312B284" w14:textId="6C39A728" w:rsidR="00A26C2A" w:rsidRDefault="008C39B4">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Pr="00FE275D">
          <w:rPr>
            <w:rStyle w:val="Hyperlink"/>
            <w:sz w:val="24"/>
            <w:szCs w:val="24"/>
          </w:rPr>
          <w:t>Annex 1: Processing Personal Data</w:t>
        </w:r>
      </w:hyperlink>
      <w:r>
        <w:rPr>
          <w:color w:val="000000"/>
          <w:sz w:val="24"/>
          <w:szCs w:val="24"/>
        </w:rPr>
        <w:t xml:space="preserve"> </w:t>
      </w:r>
      <w:r>
        <w:rPr>
          <w:color w:val="000000"/>
          <w:sz w:val="24"/>
          <w:szCs w:val="24"/>
        </w:rPr>
        <w:tab/>
      </w:r>
      <w:r>
        <w:rPr>
          <w:sz w:val="24"/>
          <w:szCs w:val="24"/>
        </w:rPr>
        <w:t>7</w:t>
      </w:r>
      <w:r w:rsidR="001C5CAD">
        <w:rPr>
          <w:sz w:val="24"/>
          <w:szCs w:val="24"/>
        </w:rPr>
        <w:t>7</w:t>
      </w:r>
    </w:p>
    <w:p w14:paraId="4F571E16" w14:textId="703ACA87"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Pr="00FE275D">
          <w:rPr>
            <w:rStyle w:val="Hyperlink"/>
            <w:sz w:val="24"/>
            <w:szCs w:val="24"/>
          </w:rPr>
          <w:t>Annex 2: Joint Controller Agreement</w:t>
        </w:r>
      </w:hyperlink>
      <w:r>
        <w:rPr>
          <w:color w:val="000000"/>
          <w:sz w:val="24"/>
          <w:szCs w:val="24"/>
        </w:rPr>
        <w:t xml:space="preserve"> </w:t>
      </w:r>
      <w:r>
        <w:rPr>
          <w:color w:val="000000"/>
          <w:sz w:val="24"/>
          <w:szCs w:val="24"/>
        </w:rPr>
        <w:tab/>
      </w:r>
      <w:r w:rsidR="001C5CAD">
        <w:rPr>
          <w:sz w:val="24"/>
          <w:szCs w:val="24"/>
        </w:rPr>
        <w:t>80</w:t>
      </w:r>
    </w:p>
    <w:p w14:paraId="5C2A0B4E" w14:textId="2DF3950F"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Pr="00FE275D">
          <w:rPr>
            <w:rStyle w:val="Hyperlink"/>
            <w:sz w:val="24"/>
            <w:szCs w:val="24"/>
          </w:rPr>
          <w:t>Schedule 8: Corporate Resolution Planning</w:t>
        </w:r>
      </w:hyperlink>
      <w:r>
        <w:rPr>
          <w:color w:val="000000"/>
          <w:sz w:val="24"/>
          <w:szCs w:val="24"/>
        </w:rPr>
        <w:tab/>
        <w:t>8</w:t>
      </w:r>
      <w:r w:rsidR="001C5CAD">
        <w:rPr>
          <w:sz w:val="24"/>
          <w:szCs w:val="24"/>
        </w:rPr>
        <w:t>7</w:t>
      </w:r>
    </w:p>
    <w:p w14:paraId="10AF3D0E" w14:textId="77777777" w:rsidR="00617B60"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E275D">
          <w:rPr>
            <w:rStyle w:val="Hyperlink"/>
            <w:sz w:val="24"/>
            <w:szCs w:val="24"/>
          </w:rPr>
          <w:t>Schedule 9 : Variation Form</w:t>
        </w:r>
      </w:hyperlink>
      <w:r>
        <w:rPr>
          <w:sz w:val="24"/>
          <w:szCs w:val="24"/>
        </w:rPr>
        <w:tab/>
      </w:r>
      <w:r>
        <w:rPr>
          <w:sz w:val="24"/>
          <w:szCs w:val="24"/>
        </w:rPr>
        <w:tab/>
        <w:t>1</w:t>
      </w:r>
      <w:r w:rsidR="00F972EF">
        <w:rPr>
          <w:sz w:val="24"/>
          <w:szCs w:val="24"/>
        </w:rPr>
        <w:t>0</w:t>
      </w:r>
      <w:r w:rsidR="001C5CAD">
        <w:rPr>
          <w:sz w:val="24"/>
          <w:szCs w:val="24"/>
        </w:rPr>
        <w:t>4</w:t>
      </w:r>
    </w:p>
    <w:p w14:paraId="1DA1300A" w14:textId="77777777" w:rsidR="00617B60" w:rsidRDefault="00617B60">
      <w:pPr>
        <w:pBdr>
          <w:top w:val="nil"/>
          <w:left w:val="nil"/>
          <w:bottom w:val="nil"/>
          <w:right w:val="nil"/>
          <w:between w:val="nil"/>
        </w:pBdr>
        <w:tabs>
          <w:tab w:val="center" w:pos="3066"/>
          <w:tab w:val="right" w:pos="10771"/>
        </w:tabs>
        <w:spacing w:after="160" w:line="249" w:lineRule="auto"/>
        <w:ind w:left="0" w:hanging="2"/>
        <w:rPr>
          <w:sz w:val="24"/>
          <w:szCs w:val="24"/>
        </w:rPr>
      </w:pPr>
    </w:p>
    <w:p w14:paraId="21B59939" w14:textId="77777777" w:rsidR="00617B60" w:rsidRDefault="00617B60">
      <w:pPr>
        <w:pBdr>
          <w:top w:val="nil"/>
          <w:left w:val="nil"/>
          <w:bottom w:val="nil"/>
          <w:right w:val="nil"/>
          <w:between w:val="nil"/>
        </w:pBdr>
        <w:tabs>
          <w:tab w:val="center" w:pos="3066"/>
          <w:tab w:val="right" w:pos="10771"/>
        </w:tabs>
        <w:spacing w:after="160" w:line="249" w:lineRule="auto"/>
        <w:ind w:left="0" w:hanging="2"/>
        <w:rPr>
          <w:sz w:val="24"/>
          <w:szCs w:val="24"/>
        </w:rPr>
      </w:pPr>
    </w:p>
    <w:p w14:paraId="49DFBFDE" w14:textId="77777777" w:rsidR="00617B60" w:rsidRDefault="00617B60">
      <w:pPr>
        <w:pBdr>
          <w:top w:val="nil"/>
          <w:left w:val="nil"/>
          <w:bottom w:val="nil"/>
          <w:right w:val="nil"/>
          <w:between w:val="nil"/>
        </w:pBdr>
        <w:tabs>
          <w:tab w:val="center" w:pos="3066"/>
          <w:tab w:val="right" w:pos="10771"/>
        </w:tabs>
        <w:spacing w:after="160" w:line="249" w:lineRule="auto"/>
        <w:ind w:left="0" w:hanging="2"/>
        <w:rPr>
          <w:sz w:val="24"/>
          <w:szCs w:val="24"/>
        </w:rPr>
      </w:pPr>
    </w:p>
    <w:p w14:paraId="03AB799B" w14:textId="77777777" w:rsidR="00617B60" w:rsidRDefault="00617B60">
      <w:pPr>
        <w:pBdr>
          <w:top w:val="nil"/>
          <w:left w:val="nil"/>
          <w:bottom w:val="nil"/>
          <w:right w:val="nil"/>
          <w:between w:val="nil"/>
        </w:pBdr>
        <w:tabs>
          <w:tab w:val="center" w:pos="3066"/>
          <w:tab w:val="right" w:pos="10771"/>
        </w:tabs>
        <w:spacing w:after="160" w:line="249" w:lineRule="auto"/>
        <w:ind w:left="0" w:hanging="2"/>
        <w:rPr>
          <w:sz w:val="24"/>
          <w:szCs w:val="24"/>
        </w:rPr>
      </w:pPr>
    </w:p>
    <w:p w14:paraId="54009CF5" w14:textId="27D0787F"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r>
        <w:rPr>
          <w:sz w:val="24"/>
          <w:szCs w:val="24"/>
        </w:rPr>
        <w:t xml:space="preserve">                                         </w:t>
      </w:r>
    </w:p>
    <w:p w14:paraId="0A410EB1" w14:textId="64E22F31" w:rsidR="00A26C2A" w:rsidRPr="006B3D35" w:rsidRDefault="008C39B4" w:rsidP="1ADEB44C">
      <w:pPr>
        <w:pStyle w:val="Heading2"/>
        <w:spacing w:after="83" w:line="240" w:lineRule="auto"/>
        <w:ind w:left="1" w:hanging="3"/>
        <w:rPr>
          <w:sz w:val="22"/>
        </w:rPr>
      </w:pPr>
      <w:bookmarkStart w:id="2" w:name="_heading=h.rw6jq3cqubus"/>
      <w:bookmarkStart w:id="3" w:name="_Part_A:_Order"/>
      <w:bookmarkEnd w:id="2"/>
      <w:bookmarkEnd w:id="3"/>
      <w:r>
        <w:lastRenderedPageBreak/>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W w:w="8901" w:type="dxa"/>
        <w:tblInd w:w="-10" w:type="dxa"/>
        <w:tblLayout w:type="fixed"/>
        <w:tblCellMar>
          <w:left w:w="115" w:type="dxa"/>
          <w:right w:w="115" w:type="dxa"/>
        </w:tblCellMar>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57A57068" w:rsidR="00A26C2A" w:rsidRDefault="007E6BE7">
            <w:pPr>
              <w:pBdr>
                <w:top w:val="nil"/>
                <w:left w:val="nil"/>
                <w:bottom w:val="nil"/>
                <w:right w:val="nil"/>
                <w:between w:val="nil"/>
              </w:pBdr>
              <w:spacing w:after="310" w:line="249" w:lineRule="auto"/>
              <w:ind w:left="0" w:hanging="2"/>
              <w:rPr>
                <w:color w:val="000000"/>
              </w:rPr>
            </w:pPr>
            <w:r w:rsidRPr="007E6BE7">
              <w:rPr>
                <w:color w:val="000000"/>
              </w:rPr>
              <w:t>829345162026028</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230B456C" w:rsidR="00A26C2A" w:rsidRDefault="00216576" w:rsidP="00216576">
            <w:pPr>
              <w:pBdr>
                <w:top w:val="nil"/>
                <w:left w:val="nil"/>
                <w:bottom w:val="nil"/>
                <w:right w:val="nil"/>
                <w:between w:val="nil"/>
              </w:pBdr>
              <w:spacing w:after="310" w:line="249" w:lineRule="auto"/>
              <w:ind w:leftChars="0" w:left="0" w:firstLineChars="0" w:firstLine="0"/>
              <w:rPr>
                <w:color w:val="000000"/>
              </w:rPr>
            </w:pPr>
            <w:r>
              <w:rPr>
                <w:color w:val="000000"/>
              </w:rPr>
              <w:t>TBC</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63F2797F" w:rsidR="00A26C2A" w:rsidRDefault="005854A3" w:rsidP="00551F42">
            <w:pPr>
              <w:pBdr>
                <w:top w:val="nil"/>
                <w:left w:val="nil"/>
                <w:bottom w:val="nil"/>
                <w:right w:val="nil"/>
                <w:between w:val="nil"/>
              </w:pBdr>
              <w:spacing w:after="310" w:line="249" w:lineRule="auto"/>
              <w:ind w:leftChars="0" w:left="0" w:firstLineChars="0" w:firstLine="0"/>
              <w:rPr>
                <w:color w:val="000000"/>
              </w:rPr>
            </w:pPr>
            <w:r>
              <w:rPr>
                <w:color w:val="000000"/>
              </w:rPr>
              <w:t>Provision of Alteryx Designer Licenses for HM Treasury’s Corporate Centre Group</w:t>
            </w:r>
            <w:r w:rsidR="00293400">
              <w:rPr>
                <w:color w:val="000000"/>
              </w:rPr>
              <w:t xml:space="preserve"> (CCG)</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7B7F7683" w:rsidR="00A26C2A" w:rsidRDefault="00D236CC" w:rsidP="00293400">
            <w:pPr>
              <w:pBdr>
                <w:top w:val="nil"/>
                <w:left w:val="nil"/>
                <w:bottom w:val="nil"/>
                <w:right w:val="nil"/>
                <w:between w:val="nil"/>
              </w:pBdr>
              <w:spacing w:after="310" w:line="249" w:lineRule="auto"/>
              <w:ind w:leftChars="0" w:left="0" w:firstLineChars="0" w:firstLine="0"/>
              <w:rPr>
                <w:color w:val="000000"/>
              </w:rPr>
            </w:pPr>
            <w:r>
              <w:rPr>
                <w:color w:val="000000"/>
              </w:rPr>
              <w:t>Provision of 8 Alteryx Designer License Keys for CCG to access their existing Alteryx system</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0CC24A01" w:rsidR="00A26C2A" w:rsidRDefault="00026B26">
            <w:pPr>
              <w:pBdr>
                <w:top w:val="nil"/>
                <w:left w:val="nil"/>
                <w:bottom w:val="nil"/>
                <w:right w:val="nil"/>
                <w:between w:val="nil"/>
              </w:pBdr>
              <w:spacing w:after="310" w:line="249" w:lineRule="auto"/>
              <w:ind w:left="0" w:hanging="2"/>
              <w:rPr>
                <w:color w:val="000000"/>
              </w:rPr>
            </w:pPr>
            <w:r>
              <w:rPr>
                <w:color w:val="000000"/>
              </w:rPr>
              <w:t>1</w:t>
            </w:r>
            <w:r w:rsidR="0038751E">
              <w:rPr>
                <w:color w:val="000000"/>
              </w:rPr>
              <w:t>7</w:t>
            </w:r>
            <w:r w:rsidRPr="00026B26">
              <w:rPr>
                <w:color w:val="000000"/>
                <w:vertAlign w:val="superscript"/>
              </w:rPr>
              <w:t>th</w:t>
            </w:r>
            <w:r>
              <w:rPr>
                <w:color w:val="000000"/>
              </w:rPr>
              <w:t xml:space="preserve"> of </w:t>
            </w:r>
            <w:r w:rsidR="0038751E">
              <w:rPr>
                <w:color w:val="000000"/>
              </w:rPr>
              <w:t>June</w:t>
            </w:r>
            <w:r>
              <w:rPr>
                <w:color w:val="000000"/>
              </w:rPr>
              <w:t xml:space="preserve"> 2025</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6D1E5ED2" w:rsidR="00A26C2A" w:rsidRDefault="001E1E58" w:rsidP="00026B26">
            <w:pPr>
              <w:pBdr>
                <w:top w:val="nil"/>
                <w:left w:val="nil"/>
                <w:bottom w:val="nil"/>
                <w:right w:val="nil"/>
                <w:between w:val="nil"/>
              </w:pBdr>
              <w:spacing w:after="310" w:line="249" w:lineRule="auto"/>
              <w:ind w:leftChars="0" w:left="0" w:firstLineChars="0" w:firstLine="0"/>
              <w:rPr>
                <w:color w:val="000000"/>
              </w:rPr>
            </w:pPr>
            <w:r>
              <w:rPr>
                <w:color w:val="000000"/>
              </w:rPr>
              <w:t>1</w:t>
            </w:r>
            <w:r w:rsidR="0038751E">
              <w:rPr>
                <w:color w:val="000000"/>
              </w:rPr>
              <w:t>6</w:t>
            </w:r>
            <w:r w:rsidRPr="001E1E58">
              <w:rPr>
                <w:color w:val="000000"/>
                <w:vertAlign w:val="superscript"/>
              </w:rPr>
              <w:t>th</w:t>
            </w:r>
            <w:r>
              <w:rPr>
                <w:color w:val="000000"/>
              </w:rPr>
              <w:t xml:space="preserve"> of </w:t>
            </w:r>
            <w:r w:rsidR="0038751E">
              <w:rPr>
                <w:color w:val="000000"/>
              </w:rPr>
              <w:t>June</w:t>
            </w:r>
            <w:r>
              <w:rPr>
                <w:color w:val="000000"/>
              </w:rPr>
              <w:t xml:space="preserve"> 2026</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337F359F"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1A07BD36" w:rsidR="00800916" w:rsidRDefault="001E1E58" w:rsidP="001E1E58">
            <w:pPr>
              <w:pBdr>
                <w:top w:val="nil"/>
                <w:left w:val="nil"/>
                <w:bottom w:val="nil"/>
                <w:right w:val="nil"/>
                <w:between w:val="nil"/>
              </w:pBdr>
              <w:spacing w:after="310" w:line="249" w:lineRule="auto"/>
              <w:ind w:leftChars="0" w:left="0" w:firstLineChars="0" w:firstLine="0"/>
              <w:rPr>
                <w:color w:val="000000"/>
              </w:rPr>
            </w:pPr>
            <w:r>
              <w:rPr>
                <w:color w:val="000000"/>
              </w:rPr>
              <w:t>£</w:t>
            </w:r>
            <w:r w:rsidRPr="001E1E58">
              <w:rPr>
                <w:color w:val="000000"/>
              </w:rPr>
              <w:t>33,240</w:t>
            </w:r>
            <w:r>
              <w:rPr>
                <w:color w:val="000000"/>
              </w:rPr>
              <w:t xml:space="preserve">.00 </w:t>
            </w:r>
            <w:r w:rsidR="00800916">
              <w:rPr>
                <w:color w:val="000000"/>
              </w:rPr>
              <w:t>(Excl. VAT)</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4EECFFB2" w:rsidR="00A26C2A" w:rsidRDefault="008C39B4">
            <w:pPr>
              <w:pBdr>
                <w:top w:val="nil"/>
                <w:left w:val="nil"/>
                <w:bottom w:val="nil"/>
                <w:right w:val="nil"/>
                <w:between w:val="nil"/>
              </w:pBdr>
              <w:spacing w:after="310" w:line="249" w:lineRule="auto"/>
              <w:ind w:left="0" w:hanging="2"/>
              <w:rPr>
                <w:color w:val="000000"/>
              </w:rPr>
            </w:pPr>
            <w:r>
              <w:rPr>
                <w:b/>
                <w:color w:val="000000"/>
              </w:rPr>
              <w:t>Charging metho</w:t>
            </w:r>
            <w:r w:rsidR="0003764F">
              <w:rPr>
                <w:b/>
                <w:color w:val="000000"/>
              </w:rPr>
              <w:t>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7916D1E7" w:rsidR="00A26C2A" w:rsidRDefault="005D04F7">
            <w:pPr>
              <w:pBdr>
                <w:top w:val="nil"/>
                <w:left w:val="nil"/>
                <w:bottom w:val="nil"/>
                <w:right w:val="nil"/>
                <w:between w:val="nil"/>
              </w:pBdr>
              <w:spacing w:after="310" w:line="249" w:lineRule="auto"/>
              <w:ind w:left="0" w:hanging="2"/>
              <w:rPr>
                <w:color w:val="000000"/>
              </w:rPr>
            </w:pPr>
            <w:r>
              <w:rPr>
                <w:color w:val="000000"/>
              </w:rPr>
              <w:t>Invoiced annually in advance</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7A79AD4F" w:rsidR="00A26C2A" w:rsidRDefault="005D04F7" w:rsidP="005D04F7">
            <w:pPr>
              <w:pBdr>
                <w:top w:val="nil"/>
                <w:left w:val="nil"/>
                <w:bottom w:val="nil"/>
                <w:right w:val="nil"/>
                <w:between w:val="nil"/>
              </w:pBdr>
              <w:spacing w:after="310" w:line="249" w:lineRule="auto"/>
              <w:ind w:leftChars="0" w:left="0" w:firstLineChars="0" w:firstLine="0"/>
              <w:rPr>
                <w:color w:val="000000"/>
              </w:rPr>
            </w:pPr>
            <w:r>
              <w:rPr>
                <w:color w:val="000000"/>
              </w:rPr>
              <w:t>TBC</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lastRenderedPageBreak/>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W w:w="8935" w:type="dxa"/>
        <w:tblInd w:w="-10" w:type="dxa"/>
        <w:tblLayout w:type="fixed"/>
        <w:tblCellMar>
          <w:left w:w="115" w:type="dxa"/>
          <w:right w:w="115" w:type="dxa"/>
        </w:tblCellMar>
        <w:tblLook w:val="0000" w:firstRow="0" w:lastRow="0" w:firstColumn="0" w:lastColumn="0" w:noHBand="0" w:noVBand="0"/>
      </w:tblPr>
      <w:tblGrid>
        <w:gridCol w:w="1418"/>
        <w:gridCol w:w="7517"/>
      </w:tblGrid>
      <w:tr w:rsidR="00A26C2A" w14:paraId="54405332" w14:textId="77777777" w:rsidTr="464A7623">
        <w:trPr>
          <w:trHeight w:val="4325"/>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163CAD16" w14:textId="2930DE96" w:rsidR="00A26C2A" w:rsidRDefault="001A7F54" w:rsidP="000C591E">
            <w:pPr>
              <w:pBdr>
                <w:top w:val="nil"/>
                <w:left w:val="nil"/>
                <w:bottom w:val="nil"/>
                <w:right w:val="nil"/>
                <w:between w:val="nil"/>
              </w:pBdr>
              <w:spacing w:after="304" w:line="249" w:lineRule="auto"/>
              <w:ind w:leftChars="0" w:left="0" w:firstLineChars="0" w:firstLine="0"/>
              <w:rPr>
                <w:color w:val="000000"/>
              </w:rPr>
            </w:pPr>
            <w:r w:rsidRPr="00764129">
              <w:rPr>
                <w:color w:val="FFFFFF" w:themeColor="background1"/>
                <w:highlight w:val="black"/>
              </w:rPr>
              <w:t>Redacted Under FOIA 2000, Section 40, Personal Information</w:t>
            </w:r>
          </w:p>
          <w:p w14:paraId="30C8EB80" w14:textId="0A8F4ACC" w:rsidR="00A26C2A" w:rsidRDefault="001A7F54">
            <w:pPr>
              <w:pBdr>
                <w:top w:val="nil"/>
                <w:left w:val="nil"/>
                <w:bottom w:val="nil"/>
                <w:right w:val="nil"/>
                <w:between w:val="nil"/>
              </w:pBdr>
              <w:spacing w:after="304" w:line="249" w:lineRule="auto"/>
              <w:ind w:left="0" w:hanging="2"/>
              <w:rPr>
                <w:color w:val="000000"/>
              </w:rPr>
            </w:pPr>
            <w:r w:rsidRPr="00764129">
              <w:rPr>
                <w:color w:val="FFFFFF" w:themeColor="background1"/>
                <w:highlight w:val="black"/>
              </w:rPr>
              <w:t>Redacted Under FOIA 2000, Section 40, Personal Information</w:t>
            </w:r>
          </w:p>
          <w:p w14:paraId="26FF646B" w14:textId="4FB5E493" w:rsidR="00A26C2A" w:rsidRDefault="00D01185">
            <w:pPr>
              <w:pBdr>
                <w:top w:val="nil"/>
                <w:left w:val="nil"/>
                <w:bottom w:val="nil"/>
                <w:right w:val="nil"/>
                <w:between w:val="nil"/>
              </w:pBdr>
              <w:spacing w:after="266" w:line="249" w:lineRule="auto"/>
              <w:ind w:left="0" w:hanging="2"/>
              <w:rPr>
                <w:color w:val="000000"/>
              </w:rPr>
            </w:pPr>
            <w:r>
              <w:rPr>
                <w:color w:val="000000"/>
              </w:rPr>
              <w:t>HM Treasury</w:t>
            </w:r>
          </w:p>
          <w:p w14:paraId="2EBC2B53" w14:textId="45493EFB" w:rsidR="00A26C2A" w:rsidRDefault="00D01185" w:rsidP="464A7623">
            <w:pPr>
              <w:pBdr>
                <w:top w:val="nil"/>
                <w:left w:val="nil"/>
                <w:bottom w:val="nil"/>
                <w:right w:val="nil"/>
                <w:between w:val="nil"/>
              </w:pBdr>
              <w:spacing w:after="266" w:line="249" w:lineRule="auto"/>
              <w:ind w:left="0" w:hanging="2"/>
              <w:rPr>
                <w:color w:val="000000"/>
              </w:rPr>
            </w:pPr>
            <w:r w:rsidRPr="464A7623">
              <w:rPr>
                <w:color w:val="000000" w:themeColor="text1"/>
              </w:rPr>
              <w:t>1 Horse Guards Road</w:t>
            </w:r>
          </w:p>
          <w:p w14:paraId="03D6C973" w14:textId="740EDC60" w:rsidR="00A26C2A" w:rsidRDefault="00D01185">
            <w:pPr>
              <w:pBdr>
                <w:top w:val="nil"/>
                <w:left w:val="nil"/>
                <w:bottom w:val="nil"/>
                <w:right w:val="nil"/>
                <w:between w:val="nil"/>
              </w:pBdr>
              <w:spacing w:after="266" w:line="249" w:lineRule="auto"/>
              <w:ind w:left="0" w:hanging="2"/>
              <w:rPr>
                <w:color w:val="000000"/>
              </w:rPr>
            </w:pPr>
            <w:r>
              <w:rPr>
                <w:color w:val="000000"/>
              </w:rPr>
              <w:t>Westminster</w:t>
            </w:r>
          </w:p>
          <w:p w14:paraId="61FB0064" w14:textId="2052E3C3" w:rsidR="00A26C2A" w:rsidRDefault="00D01185">
            <w:pPr>
              <w:pBdr>
                <w:top w:val="nil"/>
                <w:left w:val="nil"/>
                <w:bottom w:val="nil"/>
                <w:right w:val="nil"/>
                <w:between w:val="nil"/>
              </w:pBdr>
              <w:spacing w:after="268" w:line="249" w:lineRule="auto"/>
              <w:ind w:left="0" w:hanging="2"/>
              <w:rPr>
                <w:color w:val="000000"/>
              </w:rPr>
            </w:pPr>
            <w:r>
              <w:rPr>
                <w:color w:val="000000"/>
              </w:rPr>
              <w:t>Lo</w:t>
            </w:r>
            <w:r w:rsidR="007B1985">
              <w:rPr>
                <w:color w:val="000000"/>
              </w:rPr>
              <w:t>n</w:t>
            </w:r>
            <w:r>
              <w:rPr>
                <w:color w:val="000000"/>
              </w:rPr>
              <w:t>don</w:t>
            </w:r>
          </w:p>
          <w:p w14:paraId="754ADE55" w14:textId="2EAE9F16" w:rsidR="00A26C2A" w:rsidRDefault="00D01185">
            <w:pPr>
              <w:pBdr>
                <w:top w:val="nil"/>
                <w:left w:val="nil"/>
                <w:bottom w:val="nil"/>
                <w:right w:val="nil"/>
                <w:between w:val="nil"/>
              </w:pBdr>
              <w:spacing w:line="249" w:lineRule="auto"/>
              <w:ind w:left="0" w:hanging="2"/>
              <w:rPr>
                <w:color w:val="000000"/>
              </w:rPr>
            </w:pPr>
            <w:r>
              <w:rPr>
                <w:color w:val="000000"/>
              </w:rPr>
              <w:t>SW1A 2HQ</w:t>
            </w:r>
          </w:p>
        </w:tc>
      </w:tr>
      <w:tr w:rsidR="00A26C2A" w14:paraId="70436621" w14:textId="77777777" w:rsidTr="464A7623">
        <w:trPr>
          <w:trHeight w:val="5543"/>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4B037EFC" w14:textId="77777777" w:rsidR="0060500B" w:rsidRDefault="0060500B">
            <w:pPr>
              <w:pBdr>
                <w:top w:val="nil"/>
                <w:left w:val="nil"/>
                <w:bottom w:val="nil"/>
                <w:right w:val="nil"/>
                <w:between w:val="nil"/>
              </w:pBdr>
              <w:spacing w:after="304" w:line="249" w:lineRule="auto"/>
              <w:ind w:left="0" w:hanging="2"/>
              <w:rPr>
                <w:color w:val="000000"/>
              </w:rPr>
            </w:pPr>
            <w:r w:rsidRPr="0060500B">
              <w:rPr>
                <w:color w:val="000000"/>
              </w:rPr>
              <w:t xml:space="preserve">The Information Lab Limited </w:t>
            </w:r>
          </w:p>
          <w:p w14:paraId="5CD7AC6E" w14:textId="02702A4E" w:rsidR="001A7F54" w:rsidRDefault="001A7F54" w:rsidP="0060500B">
            <w:pPr>
              <w:pBdr>
                <w:top w:val="nil"/>
                <w:left w:val="nil"/>
                <w:bottom w:val="nil"/>
                <w:right w:val="nil"/>
                <w:between w:val="nil"/>
              </w:pBdr>
              <w:spacing w:after="266" w:line="249" w:lineRule="auto"/>
              <w:ind w:left="0" w:hanging="2"/>
              <w:rPr>
                <w:color w:val="000000"/>
              </w:rPr>
            </w:pPr>
            <w:r w:rsidRPr="00764129">
              <w:rPr>
                <w:color w:val="FFFFFF" w:themeColor="background1"/>
                <w:highlight w:val="black"/>
              </w:rPr>
              <w:t>Redacted Under FOIA 2000, Section 40, Personal Information</w:t>
            </w:r>
          </w:p>
          <w:p w14:paraId="015460A4" w14:textId="6D5479F5" w:rsidR="0060500B" w:rsidRPr="0060500B" w:rsidRDefault="0060500B" w:rsidP="0060500B">
            <w:pPr>
              <w:pBdr>
                <w:top w:val="nil"/>
                <w:left w:val="nil"/>
                <w:bottom w:val="nil"/>
                <w:right w:val="nil"/>
                <w:between w:val="nil"/>
              </w:pBdr>
              <w:spacing w:after="266" w:line="249" w:lineRule="auto"/>
              <w:ind w:left="0" w:hanging="2"/>
              <w:rPr>
                <w:color w:val="000000"/>
              </w:rPr>
            </w:pPr>
            <w:r w:rsidRPr="0060500B">
              <w:rPr>
                <w:color w:val="000000"/>
              </w:rPr>
              <w:t>1</w:t>
            </w:r>
            <w:r w:rsidRPr="0060500B">
              <w:rPr>
                <w:color w:val="000000"/>
                <w:vertAlign w:val="superscript"/>
              </w:rPr>
              <w:t xml:space="preserve">st </w:t>
            </w:r>
            <w:r w:rsidRPr="0060500B">
              <w:rPr>
                <w:color w:val="000000"/>
              </w:rPr>
              <w:t>Floor, 25 Watling Street </w:t>
            </w:r>
          </w:p>
          <w:p w14:paraId="1D0C1CA4" w14:textId="77777777" w:rsidR="0060500B" w:rsidRPr="0060500B" w:rsidRDefault="0060500B" w:rsidP="0060500B">
            <w:pPr>
              <w:pBdr>
                <w:top w:val="nil"/>
                <w:left w:val="nil"/>
                <w:bottom w:val="nil"/>
                <w:right w:val="nil"/>
                <w:between w:val="nil"/>
              </w:pBdr>
              <w:spacing w:after="266" w:line="249" w:lineRule="auto"/>
              <w:ind w:left="0" w:hanging="2"/>
              <w:rPr>
                <w:color w:val="000000"/>
              </w:rPr>
            </w:pPr>
            <w:r w:rsidRPr="0060500B">
              <w:rPr>
                <w:color w:val="000000"/>
              </w:rPr>
              <w:t>London </w:t>
            </w:r>
          </w:p>
          <w:p w14:paraId="74B387BB" w14:textId="77777777" w:rsidR="0060500B" w:rsidRPr="0060500B" w:rsidRDefault="0060500B" w:rsidP="0060500B">
            <w:pPr>
              <w:pBdr>
                <w:top w:val="nil"/>
                <w:left w:val="nil"/>
                <w:bottom w:val="nil"/>
                <w:right w:val="nil"/>
                <w:between w:val="nil"/>
              </w:pBdr>
              <w:spacing w:after="266" w:line="249" w:lineRule="auto"/>
              <w:ind w:left="0" w:hanging="2"/>
              <w:rPr>
                <w:color w:val="000000"/>
              </w:rPr>
            </w:pPr>
            <w:r w:rsidRPr="0060500B">
              <w:rPr>
                <w:color w:val="000000"/>
              </w:rPr>
              <w:t>EC4M 9BR</w:t>
            </w:r>
          </w:p>
          <w:p w14:paraId="0DE6F4A0" w14:textId="603A7E7A" w:rsidR="00A26C2A" w:rsidRDefault="008C39B4">
            <w:pPr>
              <w:pBdr>
                <w:top w:val="nil"/>
                <w:left w:val="nil"/>
                <w:bottom w:val="nil"/>
                <w:right w:val="nil"/>
                <w:between w:val="nil"/>
              </w:pBdr>
              <w:spacing w:line="249" w:lineRule="auto"/>
              <w:ind w:left="0" w:hanging="2"/>
              <w:rPr>
                <w:color w:val="000000"/>
              </w:rPr>
            </w:pPr>
            <w:r>
              <w:rPr>
                <w:color w:val="000000"/>
              </w:rPr>
              <w:t>Company number:</w:t>
            </w:r>
            <w:r w:rsidR="0060500B" w:rsidRPr="0060500B">
              <w:rPr>
                <w:rFonts w:ascii="Calibri" w:hAnsi="Calibri" w:cs="Calibri"/>
                <w:color w:val="4C4C4C"/>
              </w:rPr>
              <w:t xml:space="preserve"> </w:t>
            </w:r>
            <w:r w:rsidR="0060500B" w:rsidRPr="0060500B">
              <w:rPr>
                <w:color w:val="000000"/>
              </w:rPr>
              <w:t>07389833</w:t>
            </w:r>
          </w:p>
        </w:tc>
      </w:tr>
      <w:tr w:rsidR="00A26C2A" w14:paraId="1931A6D5" w14:textId="77777777" w:rsidTr="464A7623">
        <w:trPr>
          <w:trHeight w:val="1085"/>
        </w:trPr>
        <w:tc>
          <w:tcPr>
            <w:tcW w:w="89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535695FE" w:rsidR="00A26C2A" w:rsidRDefault="008C39B4">
      <w:pPr>
        <w:pBdr>
          <w:top w:val="nil"/>
          <w:left w:val="nil"/>
          <w:bottom w:val="nil"/>
          <w:right w:val="nil"/>
          <w:between w:val="nil"/>
        </w:pBdr>
        <w:spacing w:after="117"/>
        <w:ind w:left="0" w:right="14" w:hanging="2"/>
        <w:rPr>
          <w:color w:val="000000"/>
        </w:rPr>
      </w:pPr>
      <w:r>
        <w:rPr>
          <w:color w:val="000000"/>
        </w:rPr>
        <w:t xml:space="preserve">Title: </w:t>
      </w:r>
      <w:r w:rsidR="00A91A48">
        <w:rPr>
          <w:color w:val="000000"/>
        </w:rPr>
        <w:t>Mr</w:t>
      </w:r>
    </w:p>
    <w:p w14:paraId="236B79F9" w14:textId="1D547E62" w:rsidR="00A26C2A" w:rsidRDefault="008C39B4">
      <w:pPr>
        <w:pBdr>
          <w:top w:val="nil"/>
          <w:left w:val="nil"/>
          <w:bottom w:val="nil"/>
          <w:right w:val="nil"/>
          <w:between w:val="nil"/>
        </w:pBdr>
        <w:spacing w:after="86"/>
        <w:ind w:left="0" w:right="14" w:hanging="2"/>
        <w:rPr>
          <w:color w:val="000000"/>
        </w:rPr>
      </w:pPr>
      <w:r>
        <w:rPr>
          <w:color w:val="000000"/>
        </w:rPr>
        <w:t xml:space="preserve">Name: </w:t>
      </w:r>
      <w:r w:rsidR="001A7F54" w:rsidRPr="00764129">
        <w:rPr>
          <w:color w:val="FFFFFF" w:themeColor="background1"/>
          <w:highlight w:val="black"/>
        </w:rPr>
        <w:t>Redacted Under FOIA 2000, Section 40, Personal Information</w:t>
      </w:r>
    </w:p>
    <w:p w14:paraId="6D32FAE1" w14:textId="466293F8" w:rsidR="00A26C2A" w:rsidRDefault="008C39B4">
      <w:pPr>
        <w:pBdr>
          <w:top w:val="nil"/>
          <w:left w:val="nil"/>
          <w:bottom w:val="nil"/>
          <w:right w:val="nil"/>
          <w:between w:val="nil"/>
        </w:pBdr>
        <w:spacing w:after="81"/>
        <w:ind w:left="0" w:right="14" w:hanging="2"/>
        <w:rPr>
          <w:color w:val="000000"/>
        </w:rPr>
      </w:pPr>
      <w:r>
        <w:rPr>
          <w:color w:val="000000"/>
        </w:rPr>
        <w:t xml:space="preserve">Email: </w:t>
      </w:r>
      <w:r w:rsidR="001A7F54" w:rsidRPr="00764129">
        <w:rPr>
          <w:color w:val="FFFFFF" w:themeColor="background1"/>
          <w:highlight w:val="black"/>
        </w:rPr>
        <w:t>Redacted Under FOIA 2000, Section 40, Personal Information</w:t>
      </w:r>
    </w:p>
    <w:p w14:paraId="57CF7722" w14:textId="07CEA883" w:rsidR="00A26C2A" w:rsidRDefault="008C39B4" w:rsidP="001A7F54">
      <w:pPr>
        <w:pBdr>
          <w:top w:val="nil"/>
          <w:left w:val="nil"/>
          <w:bottom w:val="nil"/>
          <w:right w:val="nil"/>
          <w:between w:val="nil"/>
        </w:pBdr>
        <w:spacing w:after="1" w:line="758" w:lineRule="auto"/>
        <w:ind w:left="-2" w:right="4218" w:firstLineChars="0" w:firstLine="0"/>
        <w:rPr>
          <w:color w:val="000000"/>
        </w:rPr>
      </w:pPr>
      <w:r>
        <w:rPr>
          <w:color w:val="000000"/>
        </w:rPr>
        <w:t xml:space="preserve">Phone: </w:t>
      </w:r>
      <w:r w:rsidR="001A7F54" w:rsidRPr="00764129">
        <w:rPr>
          <w:color w:val="FFFFFF" w:themeColor="background1"/>
          <w:highlight w:val="black"/>
        </w:rPr>
        <w:t>Redacted Under FOIA 2000, Section 40,</w:t>
      </w:r>
      <w:r w:rsidR="001A7F54">
        <w:rPr>
          <w:color w:val="FFFFFF" w:themeColor="background1"/>
          <w:highlight w:val="black"/>
        </w:rPr>
        <w:t xml:space="preserve"> </w:t>
      </w:r>
      <w:r w:rsidR="001A7F54" w:rsidRPr="00764129">
        <w:rPr>
          <w:color w:val="FFFFFF" w:themeColor="background1"/>
          <w:highlight w:val="black"/>
        </w:rPr>
        <w:t>Personal Information</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163F58B" w14:textId="321CCF79" w:rsidR="00A26C2A" w:rsidRDefault="008C39B4" w:rsidP="006B3D35">
      <w:pPr>
        <w:pBdr>
          <w:top w:val="nil"/>
          <w:left w:val="nil"/>
          <w:bottom w:val="nil"/>
          <w:right w:val="nil"/>
          <w:between w:val="nil"/>
        </w:pBdr>
        <w:spacing w:after="83"/>
        <w:ind w:leftChars="0" w:left="0" w:right="14" w:firstLineChars="0" w:firstLine="0"/>
        <w:rPr>
          <w:color w:val="000000"/>
        </w:rPr>
      </w:pPr>
      <w:r>
        <w:rPr>
          <w:color w:val="000000"/>
        </w:rPr>
        <w:t xml:space="preserve">Title: </w:t>
      </w:r>
      <w:r w:rsidR="0060500B">
        <w:rPr>
          <w:color w:val="000000"/>
        </w:rPr>
        <w:t>Mr</w:t>
      </w:r>
      <w:r w:rsidR="0060500B">
        <w:rPr>
          <w:color w:val="000000"/>
        </w:rPr>
        <w:tab/>
      </w:r>
    </w:p>
    <w:p w14:paraId="72CF9269" w14:textId="311F1FA2" w:rsidR="00A26C2A" w:rsidRDefault="008C39B4">
      <w:pPr>
        <w:pBdr>
          <w:top w:val="nil"/>
          <w:left w:val="nil"/>
          <w:bottom w:val="nil"/>
          <w:right w:val="nil"/>
          <w:between w:val="nil"/>
        </w:pBdr>
        <w:spacing w:after="86"/>
        <w:ind w:left="0" w:right="14" w:hanging="2"/>
        <w:rPr>
          <w:color w:val="000000"/>
        </w:rPr>
      </w:pPr>
      <w:r>
        <w:rPr>
          <w:color w:val="000000"/>
        </w:rPr>
        <w:t xml:space="preserve">Name: </w:t>
      </w:r>
      <w:r w:rsidR="001A7F54" w:rsidRPr="00764129">
        <w:rPr>
          <w:color w:val="FFFFFF" w:themeColor="background1"/>
          <w:highlight w:val="black"/>
        </w:rPr>
        <w:t>Redacted Under FOIA 2000, Section 40, Personal Information</w:t>
      </w:r>
    </w:p>
    <w:p w14:paraId="2030B9D6" w14:textId="02FA7FDE" w:rsidR="00A26C2A" w:rsidRDefault="008C39B4">
      <w:pPr>
        <w:pBdr>
          <w:top w:val="nil"/>
          <w:left w:val="nil"/>
          <w:bottom w:val="nil"/>
          <w:right w:val="nil"/>
          <w:between w:val="nil"/>
        </w:pBdr>
        <w:spacing w:after="81"/>
        <w:ind w:left="0" w:right="14" w:hanging="2"/>
        <w:rPr>
          <w:color w:val="000000"/>
        </w:rPr>
      </w:pPr>
      <w:r>
        <w:rPr>
          <w:color w:val="000000"/>
        </w:rPr>
        <w:t xml:space="preserve">Email: </w:t>
      </w:r>
      <w:r w:rsidR="001A7F54" w:rsidRPr="00764129">
        <w:rPr>
          <w:color w:val="FFFFFF" w:themeColor="background1"/>
          <w:highlight w:val="black"/>
        </w:rPr>
        <w:t>Redacted Under FOIA 2000, Section 40, Personal Information</w:t>
      </w:r>
    </w:p>
    <w:p w14:paraId="08561725" w14:textId="3054DCA5"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Phone: </w:t>
      </w:r>
      <w:r w:rsidR="001A7F54" w:rsidRPr="00764129">
        <w:rPr>
          <w:color w:val="FFFFFF" w:themeColor="background1"/>
          <w:highlight w:val="black"/>
        </w:rPr>
        <w:t>Redacted Under FOIA 2000, Section 40, Personal Information</w:t>
      </w: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3EE1A972"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7B1985">
              <w:rPr>
                <w:b/>
                <w:color w:val="000000"/>
              </w:rPr>
              <w:t>17</w:t>
            </w:r>
            <w:r w:rsidR="007B1985" w:rsidRPr="007B1985">
              <w:rPr>
                <w:b/>
                <w:color w:val="000000"/>
                <w:vertAlign w:val="superscript"/>
              </w:rPr>
              <w:t>th</w:t>
            </w:r>
            <w:r w:rsidR="007B1985">
              <w:rPr>
                <w:b/>
                <w:color w:val="000000"/>
              </w:rPr>
              <w:t xml:space="preserve"> of June</w:t>
            </w:r>
            <w:r w:rsidR="005D04F7">
              <w:rPr>
                <w:b/>
                <w:color w:val="000000"/>
              </w:rPr>
              <w:t xml:space="preserve"> 2025</w:t>
            </w:r>
            <w:r>
              <w:rPr>
                <w:b/>
                <w:color w:val="000000"/>
              </w:rPr>
              <w:t xml:space="preserve"> </w:t>
            </w:r>
            <w:r>
              <w:rPr>
                <w:color w:val="000000"/>
              </w:rPr>
              <w:t xml:space="preserve">and is valid for </w:t>
            </w:r>
            <w:r w:rsidR="005D04F7">
              <w:rPr>
                <w:b/>
                <w:color w:val="000000"/>
              </w:rPr>
              <w:t xml:space="preserve">12 months. </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7777777"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6B141DF0"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D3BECD3" w14:textId="7DD3E60D" w:rsidR="00A26C2A" w:rsidRDefault="008C39B4" w:rsidP="00951DDD">
            <w:pPr>
              <w:pBdr>
                <w:top w:val="nil"/>
                <w:left w:val="nil"/>
                <w:bottom w:val="nil"/>
                <w:right w:val="nil"/>
                <w:between w:val="nil"/>
              </w:pBdr>
              <w:spacing w:after="225"/>
              <w:ind w:left="0" w:hanging="2"/>
              <w:rPr>
                <w:color w:val="000000"/>
              </w:rPr>
            </w:pPr>
            <w:r>
              <w:rPr>
                <w:color w:val="000000"/>
              </w:rPr>
              <w:t xml:space="preserve">This Call-Off Contract </w:t>
            </w:r>
            <w:r w:rsidR="00F9718E">
              <w:rPr>
                <w:color w:val="000000"/>
              </w:rPr>
              <w:t xml:space="preserve">has no extension </w:t>
            </w:r>
            <w:r w:rsidR="00F73241">
              <w:rPr>
                <w:color w:val="000000"/>
              </w:rPr>
              <w:t>period</w:t>
            </w:r>
            <w:r w:rsidR="00951DDD">
              <w:rPr>
                <w:color w:val="000000"/>
              </w:rPr>
              <w:t xml:space="preserve">. It will expire on the </w:t>
            </w:r>
            <w:r w:rsidR="00951DDD" w:rsidRPr="00865BBC">
              <w:rPr>
                <w:b/>
                <w:bCs/>
                <w:color w:val="000000"/>
              </w:rPr>
              <w:t>1</w:t>
            </w:r>
            <w:r w:rsidR="00F0647A">
              <w:rPr>
                <w:b/>
                <w:bCs/>
                <w:color w:val="000000"/>
              </w:rPr>
              <w:t>6</w:t>
            </w:r>
            <w:r w:rsidR="00951DDD" w:rsidRPr="00865BBC">
              <w:rPr>
                <w:b/>
                <w:bCs/>
                <w:color w:val="000000"/>
                <w:vertAlign w:val="superscript"/>
              </w:rPr>
              <w:t>th</w:t>
            </w:r>
            <w:r w:rsidR="00951DDD" w:rsidRPr="00865BBC">
              <w:rPr>
                <w:b/>
                <w:bCs/>
                <w:color w:val="000000"/>
              </w:rPr>
              <w:t xml:space="preserve"> of </w:t>
            </w:r>
            <w:r w:rsidR="00F0647A">
              <w:rPr>
                <w:b/>
                <w:bCs/>
                <w:color w:val="000000"/>
              </w:rPr>
              <w:t>June</w:t>
            </w:r>
            <w:r w:rsidR="00951DDD" w:rsidRPr="00865BBC">
              <w:rPr>
                <w:b/>
                <w:bCs/>
                <w:color w:val="000000"/>
              </w:rPr>
              <w:t xml:space="preserve"> 2026.</w:t>
            </w: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rsidTr="1ADEB44C">
        <w:trPr>
          <w:trHeight w:val="1772"/>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71A582C5" w:rsidR="00A26C2A" w:rsidRDefault="008C39B4" w:rsidP="1ADEB44C">
            <w:pPr>
              <w:widowControl w:val="0"/>
              <w:numPr>
                <w:ilvl w:val="0"/>
                <w:numId w:val="31"/>
              </w:numPr>
              <w:pBdr>
                <w:top w:val="nil"/>
                <w:left w:val="nil"/>
                <w:bottom w:val="nil"/>
                <w:right w:val="nil"/>
                <w:between w:val="nil"/>
              </w:pBdr>
              <w:spacing w:line="276" w:lineRule="auto"/>
              <w:ind w:left="0" w:right="322" w:hanging="2"/>
              <w:rPr>
                <w:b/>
                <w:bCs/>
                <w:color w:val="000000" w:themeColor="text1"/>
              </w:rPr>
            </w:pPr>
            <w:r w:rsidRPr="1ADEB44C">
              <w:rPr>
                <w:b/>
                <w:bCs/>
                <w:color w:val="000000" w:themeColor="text1"/>
              </w:rPr>
              <w:t>Lot 2: Cloud software</w:t>
            </w:r>
          </w:p>
        </w:tc>
      </w:tr>
      <w:tr w:rsidR="00A26C2A" w14:paraId="5CC43FE2" w14:textId="77777777" w:rsidTr="1ADEB44C">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677937FC" w14:textId="6CE60F27" w:rsidR="00A26C2A" w:rsidRDefault="1C187B44" w:rsidP="1ADEB44C">
            <w:pPr>
              <w:widowControl w:val="0"/>
              <w:numPr>
                <w:ilvl w:val="0"/>
                <w:numId w:val="39"/>
              </w:numPr>
              <w:pBdr>
                <w:top w:val="nil"/>
                <w:left w:val="nil"/>
                <w:bottom w:val="nil"/>
                <w:right w:val="nil"/>
                <w:between w:val="nil"/>
              </w:pBdr>
              <w:spacing w:line="276" w:lineRule="auto"/>
              <w:ind w:left="0" w:right="322" w:hanging="2"/>
              <w:rPr>
                <w:color w:val="000000"/>
              </w:rPr>
            </w:pPr>
            <w:r w:rsidRPr="1ADEB44C">
              <w:rPr>
                <w:b/>
                <w:bCs/>
                <w:color w:val="000000" w:themeColor="text1"/>
              </w:rPr>
              <w:t xml:space="preserve">8 x Alteryx Designer Licenses </w:t>
            </w:r>
          </w:p>
          <w:p w14:paraId="3BB65413" w14:textId="69AA161B" w:rsidR="00A26C2A" w:rsidRDefault="524DC63E" w:rsidP="1ADEB44C">
            <w:pPr>
              <w:widowControl w:val="0"/>
              <w:numPr>
                <w:ilvl w:val="0"/>
                <w:numId w:val="39"/>
              </w:numPr>
              <w:pBdr>
                <w:top w:val="nil"/>
                <w:left w:val="nil"/>
                <w:bottom w:val="nil"/>
                <w:right w:val="nil"/>
                <w:between w:val="nil"/>
              </w:pBdr>
              <w:spacing w:line="276" w:lineRule="auto"/>
              <w:ind w:left="0" w:right="322" w:hanging="2"/>
              <w:rPr>
                <w:b/>
                <w:bCs/>
                <w:color w:val="000000"/>
              </w:rPr>
            </w:pPr>
            <w:r w:rsidRPr="1ADEB44C">
              <w:rPr>
                <w:b/>
                <w:bCs/>
                <w:color w:val="000000" w:themeColor="text1"/>
              </w:rPr>
              <w:t>Free support package</w:t>
            </w:r>
          </w:p>
        </w:tc>
      </w:tr>
      <w:tr w:rsidR="00A26C2A" w14:paraId="09BEF621" w14:textId="77777777" w:rsidTr="1ADEB44C">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39E44B7" w14:textId="43B82470" w:rsidR="00A26C2A" w:rsidRDefault="00CA180D" w:rsidP="00CA180D">
            <w:pPr>
              <w:widowControl w:val="0"/>
              <w:pBdr>
                <w:top w:val="nil"/>
                <w:left w:val="nil"/>
                <w:bottom w:val="nil"/>
                <w:right w:val="nil"/>
                <w:between w:val="nil"/>
              </w:pBdr>
              <w:spacing w:before="190" w:line="276" w:lineRule="auto"/>
              <w:ind w:leftChars="0" w:left="0" w:right="322" w:firstLineChars="0" w:firstLine="0"/>
              <w:rPr>
                <w:color w:val="000000"/>
              </w:rPr>
            </w:pPr>
            <w:r>
              <w:rPr>
                <w:b/>
                <w:color w:val="000000"/>
              </w:rPr>
              <w:t xml:space="preserve">Not applicable </w:t>
            </w:r>
          </w:p>
        </w:tc>
      </w:tr>
      <w:tr w:rsidR="00A26C2A" w14:paraId="2B5CA3EC" w14:textId="77777777" w:rsidTr="1ADEB44C">
        <w:trPr>
          <w:trHeight w:val="1365"/>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2C09BF6" w14:textId="6BE7D785" w:rsidR="00A26C2A" w:rsidRDefault="008C39B4" w:rsidP="1ADEB44C">
            <w:pPr>
              <w:widowControl w:val="0"/>
              <w:pBdr>
                <w:top w:val="nil"/>
                <w:left w:val="nil"/>
                <w:bottom w:val="nil"/>
                <w:right w:val="nil"/>
                <w:between w:val="nil"/>
              </w:pBdr>
              <w:spacing w:before="190" w:line="276" w:lineRule="auto"/>
              <w:ind w:left="0" w:right="322" w:hanging="2"/>
              <w:rPr>
                <w:b/>
                <w:bCs/>
                <w:color w:val="000000"/>
              </w:rPr>
            </w:pPr>
            <w:r w:rsidRPr="1ADEB44C">
              <w:rPr>
                <w:color w:val="000000" w:themeColor="text1"/>
              </w:rPr>
              <w:t xml:space="preserve">The Services will be delivered to </w:t>
            </w:r>
            <w:r w:rsidR="4896817E" w:rsidRPr="1ADEB44C">
              <w:rPr>
                <w:b/>
                <w:bCs/>
                <w:color w:val="000000" w:themeColor="text1"/>
              </w:rPr>
              <w:t xml:space="preserve">across </w:t>
            </w:r>
            <w:r w:rsidR="1A18179D" w:rsidRPr="1ADEB44C">
              <w:rPr>
                <w:b/>
                <w:bCs/>
                <w:color w:val="000000" w:themeColor="text1"/>
              </w:rPr>
              <w:t xml:space="preserve">various </w:t>
            </w:r>
            <w:r w:rsidR="4896817E" w:rsidRPr="1ADEB44C">
              <w:rPr>
                <w:b/>
                <w:bCs/>
                <w:color w:val="000000" w:themeColor="text1"/>
              </w:rPr>
              <w:t>HM Treasury’s locations:</w:t>
            </w:r>
          </w:p>
          <w:p w14:paraId="19FF756C" w14:textId="75A498A9" w:rsidR="008542CB" w:rsidRDefault="008542CB">
            <w:pPr>
              <w:widowControl w:val="0"/>
              <w:pBdr>
                <w:top w:val="nil"/>
                <w:left w:val="nil"/>
                <w:bottom w:val="nil"/>
                <w:right w:val="nil"/>
                <w:between w:val="nil"/>
              </w:pBdr>
              <w:spacing w:before="190" w:line="276" w:lineRule="auto"/>
              <w:ind w:left="0" w:right="322" w:hanging="2"/>
              <w:rPr>
                <w:b/>
                <w:color w:val="000000"/>
              </w:rPr>
            </w:pPr>
            <w:r>
              <w:rPr>
                <w:b/>
                <w:color w:val="000000"/>
              </w:rPr>
              <w:t xml:space="preserve">1 Horse Guards Road, </w:t>
            </w:r>
            <w:r w:rsidR="00673362">
              <w:rPr>
                <w:b/>
                <w:color w:val="000000"/>
              </w:rPr>
              <w:t xml:space="preserve">London, </w:t>
            </w:r>
            <w:r w:rsidR="00673362" w:rsidRPr="00673362">
              <w:rPr>
                <w:b/>
                <w:color w:val="000000"/>
              </w:rPr>
              <w:t>SW1A 2HQ</w:t>
            </w:r>
          </w:p>
          <w:p w14:paraId="1E6BCA5C" w14:textId="546832CF" w:rsidR="008542CB" w:rsidRDefault="008542CB">
            <w:pPr>
              <w:widowControl w:val="0"/>
              <w:pBdr>
                <w:top w:val="nil"/>
                <w:left w:val="nil"/>
                <w:bottom w:val="nil"/>
                <w:right w:val="nil"/>
                <w:between w:val="nil"/>
              </w:pBdr>
              <w:spacing w:before="190" w:line="276" w:lineRule="auto"/>
              <w:ind w:left="0" w:right="322" w:hanging="2"/>
              <w:rPr>
                <w:b/>
                <w:color w:val="000000"/>
              </w:rPr>
            </w:pPr>
            <w:r w:rsidRPr="008542CB">
              <w:rPr>
                <w:b/>
                <w:color w:val="000000"/>
              </w:rPr>
              <w:t>Rosebury Court</w:t>
            </w:r>
            <w:r>
              <w:rPr>
                <w:b/>
                <w:color w:val="000000"/>
              </w:rPr>
              <w:t>,</w:t>
            </w:r>
            <w:r w:rsidR="00E64EBF">
              <w:rPr>
                <w:b/>
                <w:color w:val="000000"/>
              </w:rPr>
              <w:t xml:space="preserve"> </w:t>
            </w:r>
            <w:r w:rsidR="00E64EBF" w:rsidRPr="00E64EBF">
              <w:rPr>
                <w:b/>
                <w:color w:val="000000"/>
              </w:rPr>
              <w:t>Central Ave, Norwich NR7 0HS</w:t>
            </w:r>
          </w:p>
          <w:p w14:paraId="395C7761" w14:textId="18268FE6" w:rsidR="008542CB" w:rsidRDefault="07E7E8FD" w:rsidP="1ADEB44C">
            <w:pPr>
              <w:widowControl w:val="0"/>
              <w:pBdr>
                <w:top w:val="nil"/>
                <w:left w:val="nil"/>
                <w:bottom w:val="nil"/>
                <w:right w:val="nil"/>
                <w:between w:val="nil"/>
              </w:pBdr>
              <w:spacing w:before="190" w:line="276" w:lineRule="auto"/>
              <w:ind w:left="0" w:right="322" w:hanging="2"/>
              <w:rPr>
                <w:b/>
                <w:bCs/>
                <w:color w:val="000000"/>
              </w:rPr>
            </w:pPr>
            <w:proofErr w:type="spellStart"/>
            <w:r w:rsidRPr="1ADEB44C">
              <w:rPr>
                <w:b/>
                <w:bCs/>
                <w:color w:val="000000" w:themeColor="text1"/>
              </w:rPr>
              <w:t>Feethams</w:t>
            </w:r>
            <w:proofErr w:type="spellEnd"/>
            <w:r w:rsidRPr="1ADEB44C">
              <w:rPr>
                <w:b/>
                <w:bCs/>
                <w:color w:val="000000" w:themeColor="text1"/>
              </w:rPr>
              <w:t xml:space="preserve"> House, Darlington Economic Campus (DEC), </w:t>
            </w:r>
            <w:r w:rsidR="487D1338" w:rsidRPr="1ADEB44C">
              <w:rPr>
                <w:b/>
                <w:bCs/>
                <w:color w:val="000000" w:themeColor="text1"/>
              </w:rPr>
              <w:t>Darlington DL1 5BF</w:t>
            </w:r>
          </w:p>
        </w:tc>
      </w:tr>
      <w:tr w:rsidR="00A26C2A" w14:paraId="463861CE" w14:textId="77777777" w:rsidTr="1ADEB44C">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0A1B20D" w14:textId="066EF273" w:rsidR="00A26C2A" w:rsidRDefault="008C39B4" w:rsidP="1ADEB44C">
            <w:pPr>
              <w:widowControl w:val="0"/>
              <w:pBdr>
                <w:top w:val="nil"/>
                <w:left w:val="nil"/>
                <w:bottom w:val="nil"/>
                <w:right w:val="nil"/>
                <w:between w:val="nil"/>
              </w:pBdr>
              <w:spacing w:before="190" w:line="276" w:lineRule="auto"/>
              <w:ind w:left="0" w:right="322" w:hanging="2"/>
              <w:rPr>
                <w:color w:val="000000"/>
              </w:rPr>
            </w:pPr>
            <w:r w:rsidRPr="1ADEB44C">
              <w:rPr>
                <w:color w:val="000000" w:themeColor="text1"/>
              </w:rPr>
              <w:t xml:space="preserve">The quality standards required for this Call-Off Contract are </w:t>
            </w:r>
            <w:r w:rsidR="49917A4B" w:rsidRPr="1ADEB44C">
              <w:rPr>
                <w:b/>
                <w:bCs/>
                <w:color w:val="000000" w:themeColor="text1"/>
              </w:rPr>
              <w:t xml:space="preserve">as per the </w:t>
            </w:r>
            <w:r w:rsidR="19D0D95E" w:rsidRPr="1ADEB44C">
              <w:rPr>
                <w:b/>
                <w:bCs/>
                <w:color w:val="000000" w:themeColor="text1"/>
              </w:rPr>
              <w:t xml:space="preserve">Service Description. </w:t>
            </w:r>
          </w:p>
        </w:tc>
      </w:tr>
      <w:tr w:rsidR="00A26C2A" w14:paraId="3905443F" w14:textId="77777777" w:rsidTr="1ADEB44C">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AF1603A" w14:textId="6889B0AF" w:rsidR="00A26C2A" w:rsidRDefault="008C39B4" w:rsidP="1ADEB44C">
            <w:pPr>
              <w:widowControl w:val="0"/>
              <w:pBdr>
                <w:top w:val="nil"/>
                <w:left w:val="nil"/>
                <w:bottom w:val="nil"/>
                <w:right w:val="nil"/>
                <w:between w:val="nil"/>
              </w:pBdr>
              <w:spacing w:before="190" w:line="276" w:lineRule="auto"/>
              <w:ind w:left="0" w:right="322" w:hanging="2"/>
              <w:rPr>
                <w:color w:val="000000"/>
              </w:rPr>
            </w:pPr>
            <w:r w:rsidRPr="1ADEB44C">
              <w:rPr>
                <w:color w:val="000000" w:themeColor="text1"/>
              </w:rPr>
              <w:t xml:space="preserve">The technical standards used as a requirement for this Call-Off Contract are </w:t>
            </w:r>
            <w:r w:rsidR="19D0D95E" w:rsidRPr="1ADEB44C">
              <w:rPr>
                <w:b/>
                <w:bCs/>
                <w:color w:val="000000" w:themeColor="text1"/>
              </w:rPr>
              <w:t xml:space="preserve">as per the Service Description. </w:t>
            </w:r>
          </w:p>
        </w:tc>
      </w:tr>
      <w:tr w:rsidR="00A26C2A" w14:paraId="1307B187" w14:textId="77777777" w:rsidTr="1ADEB44C">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5ED133C" w14:textId="0183014E" w:rsidR="00A26C2A" w:rsidRPr="00577F72" w:rsidRDefault="00577F72">
            <w:pPr>
              <w:widowControl w:val="0"/>
              <w:pBdr>
                <w:top w:val="nil"/>
                <w:left w:val="nil"/>
                <w:bottom w:val="nil"/>
                <w:right w:val="nil"/>
                <w:between w:val="nil"/>
              </w:pBdr>
              <w:spacing w:before="190" w:line="276" w:lineRule="auto"/>
              <w:ind w:left="0" w:right="322" w:hanging="2"/>
              <w:rPr>
                <w:b/>
                <w:bCs/>
                <w:color w:val="000000"/>
              </w:rPr>
            </w:pPr>
            <w:r w:rsidRPr="00577F72">
              <w:rPr>
                <w:b/>
                <w:bCs/>
                <w:color w:val="000000"/>
              </w:rPr>
              <w:t>Not applicable</w:t>
            </w:r>
          </w:p>
        </w:tc>
      </w:tr>
      <w:tr w:rsidR="00A26C2A" w14:paraId="4571794D" w14:textId="77777777" w:rsidTr="1ADEB44C">
        <w:trPr>
          <w:trHeight w:val="941"/>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7222EFE" w14:textId="39121A29" w:rsidR="006B3D35" w:rsidRPr="00577F72" w:rsidRDefault="00577F72" w:rsidP="006B3D35">
            <w:pPr>
              <w:widowControl w:val="0"/>
              <w:pBdr>
                <w:top w:val="nil"/>
                <w:left w:val="nil"/>
                <w:bottom w:val="nil"/>
                <w:right w:val="nil"/>
                <w:between w:val="nil"/>
              </w:pBdr>
              <w:spacing w:before="190" w:line="276" w:lineRule="auto"/>
              <w:ind w:left="0" w:right="322" w:hanging="2"/>
              <w:rPr>
                <w:b/>
                <w:bCs/>
                <w:color w:val="000000"/>
              </w:rPr>
            </w:pPr>
            <w:r w:rsidRPr="00577F72">
              <w:rPr>
                <w:b/>
                <w:bCs/>
                <w:color w:val="000000"/>
              </w:rPr>
              <w:t>Not applicable</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W w:w="9639" w:type="dxa"/>
        <w:tblInd w:w="-10" w:type="dxa"/>
        <w:tblLayout w:type="fixed"/>
        <w:tblCellMar>
          <w:left w:w="115" w:type="dxa"/>
          <w:right w:w="115" w:type="dxa"/>
        </w:tblCellMar>
        <w:tblLook w:val="0000" w:firstRow="0" w:lastRow="0" w:firstColumn="0" w:lastColumn="0" w:noHBand="0" w:noVBand="0"/>
      </w:tblPr>
      <w:tblGrid>
        <w:gridCol w:w="3256"/>
        <w:gridCol w:w="6383"/>
      </w:tblGrid>
      <w:tr w:rsidR="00A26C2A" w14:paraId="05176B13" w14:textId="77777777" w:rsidTr="38444A40">
        <w:trPr>
          <w:trHeight w:val="945"/>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4AED1A51" w14:textId="08080F8A" w:rsidR="00A26C2A" w:rsidRPr="005B4BAC" w:rsidRDefault="005B4BAC">
            <w:pPr>
              <w:pBdr>
                <w:top w:val="nil"/>
                <w:left w:val="nil"/>
                <w:bottom w:val="nil"/>
                <w:right w:val="nil"/>
                <w:between w:val="nil"/>
              </w:pBdr>
              <w:spacing w:line="249" w:lineRule="auto"/>
              <w:ind w:left="0" w:hanging="2"/>
              <w:rPr>
                <w:b/>
                <w:bCs/>
                <w:color w:val="000000"/>
              </w:rPr>
            </w:pPr>
            <w:r w:rsidRPr="005B4BAC">
              <w:rPr>
                <w:b/>
                <w:bCs/>
                <w:color w:val="000000"/>
              </w:rPr>
              <w:t>Not applicable</w:t>
            </w:r>
          </w:p>
        </w:tc>
      </w:tr>
      <w:tr w:rsidR="00A26C2A" w14:paraId="6AE9FCA5" w14:textId="77777777" w:rsidTr="38444A40">
        <w:trPr>
          <w:trHeight w:val="2047"/>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5AB4F363" w14:textId="10C228D5" w:rsidR="00A26C2A" w:rsidRPr="005B4BAC" w:rsidRDefault="005B4BAC">
            <w:pPr>
              <w:pBdr>
                <w:top w:val="nil"/>
                <w:left w:val="nil"/>
                <w:bottom w:val="nil"/>
                <w:right w:val="nil"/>
                <w:between w:val="nil"/>
              </w:pBdr>
              <w:spacing w:line="249" w:lineRule="auto"/>
              <w:ind w:left="0" w:hanging="2"/>
              <w:rPr>
                <w:b/>
                <w:bCs/>
                <w:color w:val="000000"/>
              </w:rPr>
            </w:pPr>
            <w:r w:rsidRPr="005B4BAC">
              <w:rPr>
                <w:b/>
                <w:bCs/>
                <w:color w:val="000000"/>
              </w:rPr>
              <w:t>Not applicable</w:t>
            </w:r>
          </w:p>
        </w:tc>
      </w:tr>
      <w:tr w:rsidR="00A26C2A" w14:paraId="168C0E6A" w14:textId="77777777" w:rsidTr="38444A40">
        <w:trPr>
          <w:trHeight w:val="5130"/>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45E3AE16" w14:textId="76B57B91" w:rsidR="00A26C2A" w:rsidRDefault="008C39B4">
            <w:pPr>
              <w:pBdr>
                <w:top w:val="nil"/>
                <w:left w:val="nil"/>
                <w:bottom w:val="nil"/>
                <w:right w:val="nil"/>
                <w:between w:val="nil"/>
              </w:pBdr>
              <w:spacing w:after="233" w:line="288" w:lineRule="auto"/>
              <w:ind w:left="0" w:hanging="2"/>
              <w:rPr>
                <w:color w:val="000000"/>
              </w:rPr>
            </w:pPr>
            <w:r>
              <w:rPr>
                <w:color w:val="000000"/>
              </w:rPr>
              <w:t>Defaults by either party resulting in direct loss or damage to the property (including technical infrastructure, assets or equipment but excluding any loss or damage to Buyer Data) of the other Party will not exceed [</w:t>
            </w:r>
            <w:r>
              <w:rPr>
                <w:b/>
                <w:color w:val="000000"/>
              </w:rPr>
              <w:t>£</w:t>
            </w:r>
            <w:r w:rsidR="00502BBE">
              <w:rPr>
                <w:b/>
                <w:color w:val="000000"/>
              </w:rPr>
              <w:t>5</w:t>
            </w:r>
            <w:r w:rsidR="002A1EBE">
              <w:rPr>
                <w:b/>
                <w:color w:val="000000"/>
              </w:rPr>
              <w:t>00,000</w:t>
            </w:r>
            <w:r>
              <w:rPr>
                <w:color w:val="000000"/>
              </w:rPr>
              <w:t xml:space="preserve">] per year. </w:t>
            </w:r>
          </w:p>
          <w:p w14:paraId="4A9A6D70" w14:textId="052ABACC" w:rsidR="00A26C2A" w:rsidRDefault="008C39B4">
            <w:pPr>
              <w:pBdr>
                <w:top w:val="nil"/>
                <w:left w:val="nil"/>
                <w:bottom w:val="nil"/>
                <w:right w:val="nil"/>
                <w:between w:val="nil"/>
              </w:pBdr>
              <w:spacing w:after="232" w:line="288" w:lineRule="auto"/>
              <w:ind w:left="0" w:right="43" w:hanging="2"/>
              <w:rPr>
                <w:color w:val="000000"/>
              </w:rPr>
            </w:pPr>
            <w:r>
              <w:rPr>
                <w:color w:val="000000"/>
              </w:rPr>
              <w:t>The annual total liability of the Supplier for Buyer Data Defaults resulting in direct loss, destruction, corruption, degradation of or damage to any Buyer Data will not exceed [</w:t>
            </w:r>
            <w:r>
              <w:rPr>
                <w:b/>
                <w:color w:val="000000"/>
              </w:rPr>
              <w:t>£</w:t>
            </w:r>
            <w:r w:rsidR="00502BBE">
              <w:rPr>
                <w:b/>
                <w:color w:val="000000"/>
              </w:rPr>
              <w:t>5</w:t>
            </w:r>
            <w:r w:rsidR="002A1EBE">
              <w:rPr>
                <w:b/>
                <w:color w:val="000000"/>
              </w:rPr>
              <w:t>00,000</w:t>
            </w:r>
            <w:r>
              <w:rPr>
                <w:b/>
                <w:color w:val="000000"/>
              </w:rPr>
              <w:t xml:space="preserve">] </w:t>
            </w:r>
            <w:r>
              <w:rPr>
                <w:color w:val="000000"/>
              </w:rPr>
              <w:t>or [</w:t>
            </w:r>
            <w:r>
              <w:rPr>
                <w:b/>
                <w:color w:val="000000"/>
              </w:rPr>
              <w:t>%</w:t>
            </w:r>
            <w:r w:rsidR="002A1EBE">
              <w:rPr>
                <w:b/>
                <w:color w:val="000000"/>
              </w:rPr>
              <w:t>125</w:t>
            </w:r>
            <w:r>
              <w:rPr>
                <w:color w:val="000000"/>
              </w:rPr>
              <w:t>] of the Charges payable by the Buyer to the Supplier during the Call-Off Contract Term (whichever is the greater).</w:t>
            </w:r>
          </w:p>
          <w:p w14:paraId="21654DA9" w14:textId="77777777" w:rsidR="00A26C2A" w:rsidRDefault="008C39B4">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46611C6B" w14:textId="075FF987" w:rsidR="00A26C2A" w:rsidRDefault="008C39B4">
            <w:pPr>
              <w:pBdr>
                <w:top w:val="nil"/>
                <w:left w:val="nil"/>
                <w:bottom w:val="nil"/>
                <w:right w:val="nil"/>
                <w:between w:val="nil"/>
              </w:pBdr>
              <w:spacing w:line="249" w:lineRule="auto"/>
              <w:ind w:left="0" w:hanging="2"/>
              <w:rPr>
                <w:color w:val="000000"/>
              </w:rPr>
            </w:pPr>
            <w:r>
              <w:rPr>
                <w:color w:val="000000"/>
              </w:rPr>
              <w:t>not exceed the greater of [</w:t>
            </w:r>
            <w:r>
              <w:rPr>
                <w:b/>
                <w:color w:val="000000"/>
              </w:rPr>
              <w:t>£</w:t>
            </w:r>
            <w:r w:rsidR="00A47AD1">
              <w:rPr>
                <w:b/>
                <w:color w:val="000000"/>
              </w:rPr>
              <w:t>5</w:t>
            </w:r>
            <w:r w:rsidR="002A1EBE">
              <w:rPr>
                <w:b/>
                <w:color w:val="000000"/>
              </w:rPr>
              <w:t>00,000</w:t>
            </w:r>
            <w:r>
              <w:rPr>
                <w:color w:val="000000"/>
              </w:rPr>
              <w:t>] or [</w:t>
            </w:r>
            <w:r>
              <w:rPr>
                <w:b/>
                <w:color w:val="000000"/>
              </w:rPr>
              <w:t>%</w:t>
            </w:r>
            <w:r w:rsidR="002A1EBE">
              <w:rPr>
                <w:b/>
                <w:color w:val="000000"/>
              </w:rPr>
              <w:t>125</w:t>
            </w:r>
            <w:r>
              <w:rPr>
                <w:color w:val="000000"/>
              </w:rPr>
              <w:t>] of the Charges payable by the Buyer to the Supplier during the Call-Off Contract Term (whichever is the greater).</w:t>
            </w:r>
          </w:p>
        </w:tc>
      </w:tr>
      <w:tr w:rsidR="00A26C2A" w14:paraId="4D387458" w14:textId="77777777" w:rsidTr="38444A40">
        <w:trPr>
          <w:trHeight w:val="1398"/>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3F58D036" w14:textId="3C7EEE9B" w:rsidR="00A26C2A" w:rsidRPr="00BE6BAA" w:rsidRDefault="6AFB4AE8" w:rsidP="1ADEB44C">
            <w:pPr>
              <w:pBdr>
                <w:top w:val="nil"/>
                <w:left w:val="nil"/>
                <w:bottom w:val="nil"/>
                <w:right w:val="nil"/>
                <w:between w:val="nil"/>
              </w:pBdr>
              <w:spacing w:line="249" w:lineRule="auto"/>
              <w:ind w:leftChars="0" w:left="0" w:firstLineChars="0" w:firstLine="0"/>
              <w:rPr>
                <w:b/>
                <w:bCs/>
                <w:color w:val="000000"/>
              </w:rPr>
            </w:pPr>
            <w:r w:rsidRPr="1ADEB44C">
              <w:rPr>
                <w:b/>
                <w:bCs/>
                <w:color w:val="000000" w:themeColor="text1"/>
              </w:rPr>
              <w:t>N</w:t>
            </w:r>
            <w:r w:rsidR="15C511ED" w:rsidRPr="1ADEB44C">
              <w:rPr>
                <w:b/>
                <w:bCs/>
                <w:color w:val="000000" w:themeColor="text1"/>
              </w:rPr>
              <w:t>ot applicable</w:t>
            </w:r>
          </w:p>
        </w:tc>
      </w:tr>
      <w:tr w:rsidR="00A26C2A" w14:paraId="40B8D8A5" w14:textId="77777777" w:rsidTr="38444A40">
        <w:trPr>
          <w:trHeight w:val="2588"/>
        </w:trPr>
        <w:tc>
          <w:tcPr>
            <w:tcW w:w="3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0" w:type="dxa"/>
              <w:right w:w="49" w:type="dxa"/>
            </w:tcMar>
          </w:tcPr>
          <w:p w14:paraId="2BEE2FDF" w14:textId="2073CF53" w:rsidR="0032282F" w:rsidRPr="0032282F" w:rsidRDefault="0032282F" w:rsidP="0032282F">
            <w:pPr>
              <w:pBdr>
                <w:top w:val="nil"/>
                <w:left w:val="nil"/>
                <w:bottom w:val="nil"/>
                <w:right w:val="nil"/>
                <w:between w:val="nil"/>
              </w:pBdr>
              <w:spacing w:after="250" w:line="300" w:lineRule="auto"/>
              <w:ind w:leftChars="0" w:left="0" w:firstLineChars="0" w:firstLine="0"/>
              <w:rPr>
                <w:b/>
                <w:bCs/>
                <w:color w:val="000000"/>
              </w:rPr>
            </w:pPr>
            <w:r w:rsidRPr="0032282F">
              <w:rPr>
                <w:b/>
                <w:bCs/>
                <w:color w:val="000000"/>
              </w:rPr>
              <w:t>N</w:t>
            </w:r>
            <w:r w:rsidR="00E918FD">
              <w:rPr>
                <w:b/>
                <w:bCs/>
                <w:color w:val="000000"/>
              </w:rPr>
              <w:t>ot applicable</w:t>
            </w:r>
          </w:p>
          <w:p w14:paraId="6BAF5766" w14:textId="53F441DC" w:rsidR="00A26C2A" w:rsidRDefault="00A26C2A">
            <w:pPr>
              <w:pBdr>
                <w:top w:val="nil"/>
                <w:left w:val="nil"/>
                <w:bottom w:val="nil"/>
                <w:right w:val="nil"/>
                <w:between w:val="nil"/>
              </w:pBdr>
              <w:spacing w:line="249" w:lineRule="auto"/>
              <w:ind w:left="0" w:hanging="2"/>
              <w:rPr>
                <w:color w:val="000000"/>
              </w:rPr>
            </w:pPr>
          </w:p>
        </w:tc>
      </w:tr>
    </w:tbl>
    <w:p w14:paraId="474EB176" w14:textId="6CE27404" w:rsidR="00A26C2A" w:rsidRDefault="00A26C2A" w:rsidP="1ADEB44C">
      <w:pPr>
        <w:pStyle w:val="Heading3"/>
        <w:spacing w:after="0" w:line="240" w:lineRule="auto"/>
        <w:ind w:left="0" w:hanging="2"/>
        <w:rPr>
          <w:sz w:val="22"/>
        </w:rPr>
      </w:pPr>
    </w:p>
    <w:p w14:paraId="644401A0" w14:textId="2F6D8EDE" w:rsidR="1ADEB44C" w:rsidRDefault="1ADEB44C" w:rsidP="1ADEB44C">
      <w:pPr>
        <w:pStyle w:val="Standard"/>
        <w:ind w:left="0" w:hanging="2"/>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W w:w="9622" w:type="dxa"/>
        <w:tblInd w:w="-10" w:type="dxa"/>
        <w:tblLayout w:type="fixed"/>
        <w:tblCellMar>
          <w:left w:w="115" w:type="dxa"/>
          <w:right w:w="115" w:type="dxa"/>
        </w:tblCellMar>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5C21C56F" w:rsidR="00A26C2A" w:rsidRDefault="0060500B">
            <w:pPr>
              <w:pBdr>
                <w:top w:val="nil"/>
                <w:left w:val="nil"/>
                <w:bottom w:val="nil"/>
                <w:right w:val="nil"/>
                <w:between w:val="nil"/>
              </w:pBdr>
              <w:spacing w:line="249" w:lineRule="auto"/>
              <w:ind w:left="0" w:hanging="2"/>
              <w:rPr>
                <w:color w:val="000000"/>
              </w:rPr>
            </w:pPr>
            <w:r>
              <w:rPr>
                <w:color w:val="000000"/>
              </w:rPr>
              <w:t>n/a</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6A94A68D" w:rsidR="00A26C2A" w:rsidRDefault="008C39B4">
            <w:pPr>
              <w:pBdr>
                <w:top w:val="nil"/>
                <w:left w:val="nil"/>
                <w:bottom w:val="nil"/>
                <w:right w:val="nil"/>
                <w:between w:val="nil"/>
              </w:pBdr>
              <w:spacing w:line="249" w:lineRule="auto"/>
              <w:ind w:left="0" w:hanging="2"/>
              <w:rPr>
                <w:color w:val="000000"/>
              </w:rPr>
            </w:pPr>
            <w:r>
              <w:rPr>
                <w:color w:val="000000"/>
              </w:rPr>
              <w:t xml:space="preserve">The payment method for this Call-Off Contract is </w:t>
            </w:r>
            <w:r w:rsidR="00121D48">
              <w:rPr>
                <w:b/>
                <w:color w:val="000000"/>
              </w:rPr>
              <w:t>via bank transfer/BACS.</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40F2DE05"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rsidR="00A47AD1">
              <w:rPr>
                <w:color w:val="000000"/>
              </w:rPr>
              <w:t xml:space="preserve">an </w:t>
            </w:r>
            <w:r w:rsidR="00A47AD1" w:rsidRPr="00332E1B">
              <w:rPr>
                <w:b/>
                <w:bCs/>
                <w:color w:val="000000"/>
              </w:rPr>
              <w:t>an</w:t>
            </w:r>
            <w:r w:rsidR="00332E1B" w:rsidRPr="00332E1B">
              <w:rPr>
                <w:b/>
                <w:bCs/>
                <w:color w:val="000000"/>
              </w:rPr>
              <w:t>nually.</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6BE69E3A" w:rsidR="00A26C2A" w:rsidRDefault="008C39B4">
            <w:pPr>
              <w:pBdr>
                <w:top w:val="nil"/>
                <w:left w:val="nil"/>
                <w:bottom w:val="nil"/>
                <w:right w:val="nil"/>
                <w:between w:val="nil"/>
              </w:pBdr>
              <w:spacing w:line="249" w:lineRule="auto"/>
              <w:ind w:left="0" w:hanging="2"/>
              <w:rPr>
                <w:color w:val="000000"/>
              </w:rPr>
            </w:pPr>
            <w:r>
              <w:rPr>
                <w:color w:val="000000"/>
              </w:rPr>
              <w:t>The Supplier will issue</w:t>
            </w:r>
            <w:r w:rsidR="00332E1B">
              <w:rPr>
                <w:color w:val="000000"/>
              </w:rPr>
              <w:t xml:space="preserve"> an</w:t>
            </w:r>
            <w:r>
              <w:rPr>
                <w:color w:val="000000"/>
              </w:rPr>
              <w:t xml:space="preserve"> electronic invoice</w:t>
            </w:r>
            <w:r w:rsidR="00332E1B">
              <w:rPr>
                <w:color w:val="000000"/>
              </w:rPr>
              <w:t xml:space="preserve">. </w:t>
            </w:r>
            <w:r>
              <w:rPr>
                <w:color w:val="000000"/>
              </w:rPr>
              <w:t xml:space="preserve">The Buyer will pay the Supplier within </w:t>
            </w:r>
            <w:r w:rsidRPr="00332E1B">
              <w:rPr>
                <w:b/>
                <w:bCs/>
                <w:color w:val="000000"/>
              </w:rPr>
              <w:t>30</w:t>
            </w:r>
            <w:r>
              <w:rPr>
                <w:color w:val="000000"/>
              </w:rPr>
              <w:t xml:space="preserve">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F3880D3" w14:textId="77777777" w:rsidR="00A26C2A" w:rsidRDefault="008C39B4">
            <w:pPr>
              <w:pBdr>
                <w:top w:val="nil"/>
                <w:left w:val="nil"/>
                <w:bottom w:val="nil"/>
                <w:right w:val="nil"/>
                <w:between w:val="nil"/>
              </w:pBdr>
              <w:spacing w:line="249" w:lineRule="auto"/>
              <w:ind w:left="0" w:hanging="2"/>
              <w:rPr>
                <w:color w:val="000000"/>
              </w:rPr>
            </w:pPr>
            <w:r>
              <w:rPr>
                <w:color w:val="000000"/>
              </w:rPr>
              <w:t>Invoices will be sent to</w:t>
            </w:r>
            <w:r w:rsidR="00A13DE2">
              <w:rPr>
                <w:color w:val="000000"/>
              </w:rPr>
              <w:t>:</w:t>
            </w:r>
          </w:p>
          <w:p w14:paraId="66C0A1C3" w14:textId="77777777" w:rsidR="00A13DE2" w:rsidRPr="00A13DE2" w:rsidRDefault="00A13DE2" w:rsidP="00A13DE2">
            <w:pPr>
              <w:pBdr>
                <w:top w:val="nil"/>
                <w:left w:val="nil"/>
                <w:bottom w:val="nil"/>
                <w:right w:val="nil"/>
                <w:between w:val="nil"/>
              </w:pBdr>
              <w:spacing w:line="249" w:lineRule="auto"/>
              <w:ind w:leftChars="0" w:left="0" w:firstLineChars="0" w:firstLine="0"/>
              <w:rPr>
                <w:b/>
                <w:bCs/>
                <w:color w:val="000000"/>
              </w:rPr>
            </w:pPr>
            <w:r w:rsidRPr="00A13DE2">
              <w:rPr>
                <w:b/>
                <w:bCs/>
                <w:color w:val="000000"/>
              </w:rPr>
              <w:t>Accounts Payable</w:t>
            </w:r>
          </w:p>
          <w:p w14:paraId="070AA88F" w14:textId="77777777" w:rsidR="00A13DE2" w:rsidRPr="00A13DE2" w:rsidRDefault="00A13DE2" w:rsidP="00A13DE2">
            <w:pPr>
              <w:pBdr>
                <w:top w:val="nil"/>
                <w:left w:val="nil"/>
                <w:bottom w:val="nil"/>
                <w:right w:val="nil"/>
                <w:between w:val="nil"/>
              </w:pBdr>
              <w:spacing w:line="249" w:lineRule="auto"/>
              <w:ind w:left="0" w:hanging="2"/>
              <w:rPr>
                <w:b/>
                <w:bCs/>
                <w:color w:val="000000"/>
              </w:rPr>
            </w:pPr>
            <w:r w:rsidRPr="00A13DE2">
              <w:rPr>
                <w:b/>
                <w:bCs/>
                <w:color w:val="000000"/>
              </w:rPr>
              <w:t>Accounts Payable,</w:t>
            </w:r>
          </w:p>
          <w:p w14:paraId="3EF12CF2" w14:textId="77777777" w:rsidR="00A13DE2" w:rsidRPr="00A13DE2" w:rsidRDefault="00A13DE2" w:rsidP="00A13DE2">
            <w:pPr>
              <w:pBdr>
                <w:top w:val="nil"/>
                <w:left w:val="nil"/>
                <w:bottom w:val="nil"/>
                <w:right w:val="nil"/>
                <w:between w:val="nil"/>
              </w:pBdr>
              <w:spacing w:line="249" w:lineRule="auto"/>
              <w:ind w:left="0" w:hanging="2"/>
              <w:rPr>
                <w:b/>
                <w:bCs/>
                <w:color w:val="000000"/>
              </w:rPr>
            </w:pPr>
            <w:r w:rsidRPr="00A13DE2">
              <w:rPr>
                <w:b/>
                <w:bCs/>
                <w:color w:val="000000"/>
              </w:rPr>
              <w:t>Rosebury Court,</w:t>
            </w:r>
          </w:p>
          <w:p w14:paraId="45562631" w14:textId="77777777" w:rsidR="00A13DE2" w:rsidRPr="00A13DE2" w:rsidRDefault="00A13DE2" w:rsidP="00A13DE2">
            <w:pPr>
              <w:pBdr>
                <w:top w:val="nil"/>
                <w:left w:val="nil"/>
                <w:bottom w:val="nil"/>
                <w:right w:val="nil"/>
                <w:between w:val="nil"/>
              </w:pBdr>
              <w:spacing w:line="249" w:lineRule="auto"/>
              <w:ind w:left="0" w:hanging="2"/>
              <w:rPr>
                <w:b/>
                <w:bCs/>
                <w:color w:val="000000"/>
              </w:rPr>
            </w:pPr>
            <w:r w:rsidRPr="00A13DE2">
              <w:rPr>
                <w:b/>
                <w:bCs/>
                <w:color w:val="000000"/>
              </w:rPr>
              <w:t>St Andrew’s Business Park,</w:t>
            </w:r>
          </w:p>
          <w:p w14:paraId="1503FD52" w14:textId="77777777" w:rsidR="00A13DE2" w:rsidRPr="00A13DE2" w:rsidRDefault="00A13DE2" w:rsidP="00A13DE2">
            <w:pPr>
              <w:pBdr>
                <w:top w:val="nil"/>
                <w:left w:val="nil"/>
                <w:bottom w:val="nil"/>
                <w:right w:val="nil"/>
                <w:between w:val="nil"/>
              </w:pBdr>
              <w:spacing w:line="249" w:lineRule="auto"/>
              <w:ind w:left="0" w:hanging="2"/>
              <w:rPr>
                <w:b/>
                <w:bCs/>
                <w:color w:val="000000"/>
              </w:rPr>
            </w:pPr>
            <w:r w:rsidRPr="00A13DE2">
              <w:rPr>
                <w:b/>
                <w:bCs/>
                <w:color w:val="000000"/>
              </w:rPr>
              <w:t>Norwich,</w:t>
            </w:r>
          </w:p>
          <w:p w14:paraId="5519EC42" w14:textId="77777777" w:rsidR="00A13DE2" w:rsidRPr="00A13DE2" w:rsidRDefault="00A13DE2" w:rsidP="00A13DE2">
            <w:pPr>
              <w:pBdr>
                <w:top w:val="nil"/>
                <w:left w:val="nil"/>
                <w:bottom w:val="nil"/>
                <w:right w:val="nil"/>
                <w:between w:val="nil"/>
              </w:pBdr>
              <w:spacing w:line="249" w:lineRule="auto"/>
              <w:ind w:left="0" w:hanging="2"/>
              <w:rPr>
                <w:b/>
                <w:bCs/>
                <w:color w:val="000000"/>
              </w:rPr>
            </w:pPr>
            <w:r w:rsidRPr="00A13DE2">
              <w:rPr>
                <w:b/>
                <w:bCs/>
                <w:color w:val="000000"/>
              </w:rPr>
              <w:t>Norfolk,</w:t>
            </w:r>
          </w:p>
          <w:p w14:paraId="5E898607" w14:textId="77777777" w:rsidR="00A13DE2" w:rsidRPr="00A13DE2" w:rsidRDefault="00A13DE2" w:rsidP="00A13DE2">
            <w:pPr>
              <w:pBdr>
                <w:top w:val="nil"/>
                <w:left w:val="nil"/>
                <w:bottom w:val="nil"/>
                <w:right w:val="nil"/>
                <w:between w:val="nil"/>
              </w:pBdr>
              <w:spacing w:line="249" w:lineRule="auto"/>
              <w:ind w:left="0" w:hanging="2"/>
              <w:rPr>
                <w:b/>
                <w:bCs/>
                <w:color w:val="000000"/>
              </w:rPr>
            </w:pPr>
            <w:r w:rsidRPr="00A13DE2">
              <w:rPr>
                <w:b/>
                <w:bCs/>
                <w:color w:val="000000"/>
              </w:rPr>
              <w:t>NR7 0HS</w:t>
            </w:r>
          </w:p>
          <w:p w14:paraId="2EBF1068" w14:textId="1F3755D3" w:rsidR="00A13DE2" w:rsidRDefault="001A7F54" w:rsidP="00A13DE2">
            <w:pPr>
              <w:pBdr>
                <w:top w:val="nil"/>
                <w:left w:val="nil"/>
                <w:bottom w:val="nil"/>
                <w:right w:val="nil"/>
                <w:between w:val="nil"/>
              </w:pBdr>
              <w:spacing w:line="249" w:lineRule="auto"/>
              <w:ind w:left="0" w:hanging="2"/>
              <w:rPr>
                <w:color w:val="000000"/>
              </w:rPr>
            </w:pPr>
            <w:r w:rsidRPr="00764129">
              <w:rPr>
                <w:color w:val="FFFFFF" w:themeColor="background1"/>
                <w:highlight w:val="black"/>
              </w:rPr>
              <w:t>Redacted Under FOIA 2000, Section 40, Personal Information</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FF1C923" w14:textId="77777777" w:rsidR="00A26C2A" w:rsidRDefault="008C39B4">
            <w:pPr>
              <w:pBdr>
                <w:top w:val="nil"/>
                <w:left w:val="nil"/>
                <w:bottom w:val="nil"/>
                <w:right w:val="nil"/>
                <w:between w:val="nil"/>
              </w:pBdr>
              <w:spacing w:line="249" w:lineRule="auto"/>
              <w:ind w:left="0" w:hanging="2"/>
              <w:rPr>
                <w:color w:val="000000"/>
              </w:rPr>
            </w:pPr>
            <w:r>
              <w:rPr>
                <w:color w:val="000000"/>
              </w:rPr>
              <w:t>All invoices must include</w:t>
            </w:r>
            <w:r w:rsidR="00865BBC">
              <w:rPr>
                <w:color w:val="000000"/>
              </w:rPr>
              <w:t>:</w:t>
            </w:r>
          </w:p>
          <w:p w14:paraId="56F150F6" w14:textId="0262AA36" w:rsidR="00865BBC" w:rsidRPr="00865BBC" w:rsidRDefault="00865BBC" w:rsidP="00865BBC">
            <w:pPr>
              <w:pBdr>
                <w:top w:val="nil"/>
                <w:left w:val="nil"/>
                <w:bottom w:val="nil"/>
                <w:right w:val="nil"/>
                <w:between w:val="nil"/>
              </w:pBdr>
              <w:spacing w:line="249" w:lineRule="auto"/>
              <w:ind w:left="0" w:hanging="2"/>
              <w:rPr>
                <w:b/>
                <w:bCs/>
                <w:color w:val="000000"/>
              </w:rPr>
            </w:pPr>
            <w:r w:rsidRPr="00865BBC">
              <w:rPr>
                <w:b/>
                <w:bCs/>
                <w:color w:val="000000"/>
              </w:rPr>
              <w:t>Contract reference number and title</w:t>
            </w:r>
          </w:p>
          <w:p w14:paraId="02BBC244" w14:textId="77777777" w:rsidR="00865BBC" w:rsidRPr="00865BBC" w:rsidRDefault="00865BBC" w:rsidP="00865BBC">
            <w:pPr>
              <w:pBdr>
                <w:top w:val="nil"/>
                <w:left w:val="nil"/>
                <w:bottom w:val="nil"/>
                <w:right w:val="nil"/>
                <w:between w:val="nil"/>
              </w:pBdr>
              <w:spacing w:line="249" w:lineRule="auto"/>
              <w:ind w:left="0" w:hanging="2"/>
              <w:rPr>
                <w:b/>
                <w:bCs/>
                <w:color w:val="000000"/>
              </w:rPr>
            </w:pPr>
            <w:r w:rsidRPr="00865BBC">
              <w:rPr>
                <w:b/>
                <w:bCs/>
                <w:color w:val="000000"/>
              </w:rPr>
              <w:t>A valid Purchase Order number</w:t>
            </w:r>
          </w:p>
          <w:p w14:paraId="78185675" w14:textId="77777777" w:rsidR="00865BBC" w:rsidRPr="00865BBC" w:rsidRDefault="00865BBC" w:rsidP="00865BBC">
            <w:pPr>
              <w:pBdr>
                <w:top w:val="nil"/>
                <w:left w:val="nil"/>
                <w:bottom w:val="nil"/>
                <w:right w:val="nil"/>
                <w:between w:val="nil"/>
              </w:pBdr>
              <w:spacing w:line="249" w:lineRule="auto"/>
              <w:ind w:left="0" w:hanging="2"/>
              <w:rPr>
                <w:b/>
                <w:bCs/>
                <w:color w:val="000000"/>
              </w:rPr>
            </w:pPr>
            <w:r w:rsidRPr="00865BBC">
              <w:rPr>
                <w:b/>
                <w:bCs/>
                <w:color w:val="000000"/>
              </w:rPr>
              <w:t>Invoice period</w:t>
            </w:r>
          </w:p>
          <w:p w14:paraId="781F618C" w14:textId="58B9C9B4" w:rsidR="00865BBC" w:rsidRDefault="00865BBC" w:rsidP="00865BBC">
            <w:pPr>
              <w:pBdr>
                <w:top w:val="nil"/>
                <w:left w:val="nil"/>
                <w:bottom w:val="nil"/>
                <w:right w:val="nil"/>
                <w:between w:val="nil"/>
              </w:pBdr>
              <w:spacing w:line="249" w:lineRule="auto"/>
              <w:ind w:left="0" w:hanging="2"/>
              <w:rPr>
                <w:color w:val="000000"/>
              </w:rPr>
            </w:pPr>
            <w:r w:rsidRPr="00865BBC">
              <w:rPr>
                <w:b/>
                <w:bCs/>
                <w:color w:val="000000"/>
              </w:rPr>
              <w:t>Description of services provided</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1368D811" w:rsidR="00A26C2A" w:rsidRDefault="008C39B4">
            <w:pPr>
              <w:pBdr>
                <w:top w:val="nil"/>
                <w:left w:val="nil"/>
                <w:bottom w:val="nil"/>
                <w:right w:val="nil"/>
                <w:between w:val="nil"/>
              </w:pBdr>
              <w:spacing w:line="249" w:lineRule="auto"/>
              <w:ind w:left="0" w:hanging="2"/>
              <w:rPr>
                <w:color w:val="000000"/>
              </w:rPr>
            </w:pPr>
            <w:r>
              <w:rPr>
                <w:color w:val="000000"/>
              </w:rPr>
              <w:t xml:space="preserve">Invoice will be sent to the Buyer </w:t>
            </w:r>
            <w:r w:rsidR="00865BBC" w:rsidRPr="00865BBC">
              <w:rPr>
                <w:b/>
                <w:bCs/>
                <w:color w:val="000000"/>
              </w:rPr>
              <w:t>annually.</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9452B" w14:textId="77777777" w:rsidR="00A26C2A" w:rsidRDefault="008C39B4">
            <w:pPr>
              <w:pBdr>
                <w:top w:val="nil"/>
                <w:left w:val="nil"/>
                <w:bottom w:val="nil"/>
                <w:right w:val="nil"/>
                <w:between w:val="nil"/>
              </w:pBdr>
              <w:spacing w:line="249" w:lineRule="auto"/>
              <w:ind w:left="0" w:hanging="2"/>
              <w:rPr>
                <w:color w:val="000000"/>
              </w:rPr>
            </w:pPr>
            <w:r>
              <w:rPr>
                <w:color w:val="000000"/>
              </w:rPr>
              <w:t>The total value of this Call-Off Contract is</w:t>
            </w:r>
            <w:r w:rsidR="00865BBC">
              <w:rPr>
                <w:color w:val="000000"/>
              </w:rPr>
              <w:t>:</w:t>
            </w:r>
          </w:p>
          <w:p w14:paraId="11194D4D" w14:textId="77777777" w:rsidR="00865BBC" w:rsidRPr="00865BBC" w:rsidRDefault="00865BBC" w:rsidP="00865BBC">
            <w:pPr>
              <w:pBdr>
                <w:top w:val="nil"/>
                <w:left w:val="nil"/>
                <w:bottom w:val="nil"/>
                <w:right w:val="nil"/>
                <w:between w:val="nil"/>
              </w:pBdr>
              <w:spacing w:line="249" w:lineRule="auto"/>
              <w:ind w:left="0" w:hanging="2"/>
              <w:rPr>
                <w:b/>
                <w:bCs/>
                <w:color w:val="000000"/>
              </w:rPr>
            </w:pPr>
            <w:r w:rsidRPr="00865BBC">
              <w:rPr>
                <w:b/>
                <w:bCs/>
                <w:color w:val="000000"/>
              </w:rPr>
              <w:t>£33,240.00 (Excl. VAT)</w:t>
            </w:r>
          </w:p>
          <w:p w14:paraId="0DB970FC" w14:textId="1AA283AD" w:rsidR="00865BBC" w:rsidRDefault="00865BBC" w:rsidP="00865BBC">
            <w:pPr>
              <w:pBdr>
                <w:top w:val="nil"/>
                <w:left w:val="nil"/>
                <w:bottom w:val="nil"/>
                <w:right w:val="nil"/>
                <w:between w:val="nil"/>
              </w:pBdr>
              <w:spacing w:line="249" w:lineRule="auto"/>
              <w:ind w:left="0" w:hanging="2"/>
              <w:rPr>
                <w:color w:val="000000"/>
              </w:rPr>
            </w:pP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27C14727" w:rsidR="00A26C2A" w:rsidRDefault="008C39B4">
            <w:pPr>
              <w:pBdr>
                <w:top w:val="nil"/>
                <w:left w:val="nil"/>
                <w:bottom w:val="nil"/>
                <w:right w:val="nil"/>
                <w:between w:val="nil"/>
              </w:pBdr>
              <w:spacing w:line="249" w:lineRule="auto"/>
              <w:ind w:left="0" w:hanging="2"/>
              <w:rPr>
                <w:color w:val="000000"/>
              </w:rPr>
            </w:pPr>
            <w:r>
              <w:rPr>
                <w:color w:val="000000"/>
              </w:rPr>
              <w:t>The</w:t>
            </w:r>
            <w:r w:rsidR="00791184">
              <w:rPr>
                <w:color w:val="000000"/>
              </w:rPr>
              <w:t xml:space="preserve"> full</w:t>
            </w:r>
            <w:r>
              <w:rPr>
                <w:color w:val="000000"/>
              </w:rPr>
              <w:t xml:space="preserve"> breakdown of the Charges is </w:t>
            </w:r>
            <w:r w:rsidR="0000079E">
              <w:rPr>
                <w:color w:val="000000"/>
              </w:rPr>
              <w:t xml:space="preserve">available in </w:t>
            </w:r>
            <w:r w:rsidR="00791184">
              <w:rPr>
                <w:color w:val="000000"/>
              </w:rPr>
              <w:t>Schedule 2.</w:t>
            </w:r>
          </w:p>
        </w:tc>
      </w:tr>
    </w:tbl>
    <w:p w14:paraId="3BED5D74" w14:textId="635F48E9" w:rsidR="00F972EF" w:rsidRPr="00F972EF" w:rsidRDefault="00F972EF" w:rsidP="1ADEB44C">
      <w:pPr>
        <w:pStyle w:val="Standard"/>
        <w:spacing w:after="0" w:line="240" w:lineRule="auto"/>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W w:w="9583" w:type="dxa"/>
        <w:tblInd w:w="-152" w:type="dxa"/>
        <w:tblLayout w:type="fixed"/>
        <w:tblCellMar>
          <w:left w:w="115" w:type="dxa"/>
          <w:right w:w="115" w:type="dxa"/>
        </w:tblCellMar>
        <w:tblLook w:val="0000" w:firstRow="0" w:lastRow="0" w:firstColumn="0" w:lastColumn="0" w:noHBand="0" w:noVBand="0"/>
      </w:tblPr>
      <w:tblGrid>
        <w:gridCol w:w="2621"/>
        <w:gridCol w:w="6962"/>
      </w:tblGrid>
      <w:tr w:rsidR="00A26C2A" w14:paraId="5503CFB6" w14:textId="77777777" w:rsidTr="38444A40">
        <w:trPr>
          <w:trHeight w:val="1685"/>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57C84EA" w14:textId="01CDD8FF" w:rsidR="00A26C2A" w:rsidRPr="00EE6475" w:rsidRDefault="4C96D8C8" w:rsidP="1ADEB44C">
            <w:pPr>
              <w:pBdr>
                <w:top w:val="nil"/>
                <w:left w:val="nil"/>
                <w:bottom w:val="nil"/>
                <w:right w:val="nil"/>
                <w:between w:val="nil"/>
              </w:pBdr>
              <w:spacing w:line="249" w:lineRule="auto"/>
              <w:ind w:leftChars="0" w:left="0" w:firstLineChars="0" w:firstLine="0"/>
              <w:rPr>
                <w:b/>
                <w:bCs/>
                <w:color w:val="000000" w:themeColor="text1"/>
              </w:rPr>
            </w:pPr>
            <w:r w:rsidRPr="1ADEB44C">
              <w:rPr>
                <w:b/>
                <w:bCs/>
                <w:color w:val="000000" w:themeColor="text1"/>
              </w:rPr>
              <w:t>N</w:t>
            </w:r>
            <w:r w:rsidR="6A06EBFE" w:rsidRPr="1ADEB44C">
              <w:rPr>
                <w:b/>
                <w:bCs/>
                <w:color w:val="000000" w:themeColor="text1"/>
              </w:rPr>
              <w:t>ot applicable</w:t>
            </w:r>
          </w:p>
        </w:tc>
      </w:tr>
      <w:tr w:rsidR="00A26C2A" w14:paraId="43FDD4E1" w14:textId="77777777" w:rsidTr="38444A40">
        <w:trPr>
          <w:trHeight w:val="809"/>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EBC2C56" w14:textId="7749D50C" w:rsidR="00A26C2A" w:rsidRPr="00EE6475" w:rsidRDefault="4C96D8C8" w:rsidP="1ADEB44C">
            <w:pPr>
              <w:pBdr>
                <w:top w:val="nil"/>
                <w:left w:val="nil"/>
                <w:bottom w:val="nil"/>
                <w:right w:val="nil"/>
                <w:between w:val="nil"/>
              </w:pBdr>
              <w:spacing w:line="249" w:lineRule="auto"/>
              <w:ind w:leftChars="0" w:left="0" w:firstLineChars="0" w:firstLine="0"/>
              <w:rPr>
                <w:b/>
                <w:bCs/>
                <w:color w:val="000000"/>
              </w:rPr>
            </w:pPr>
            <w:r w:rsidRPr="1ADEB44C">
              <w:rPr>
                <w:b/>
                <w:bCs/>
                <w:color w:val="000000" w:themeColor="text1"/>
              </w:rPr>
              <w:t>N</w:t>
            </w:r>
            <w:r w:rsidR="48DA0114" w:rsidRPr="1ADEB44C">
              <w:rPr>
                <w:b/>
                <w:bCs/>
                <w:color w:val="000000" w:themeColor="text1"/>
              </w:rPr>
              <w:t>ot applicable</w:t>
            </w:r>
          </w:p>
        </w:tc>
      </w:tr>
      <w:tr w:rsidR="00A26C2A" w14:paraId="0F2E502C" w14:textId="77777777" w:rsidTr="38444A40">
        <w:trPr>
          <w:trHeight w:val="1085"/>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96B948A" w14:textId="3C53F7C1" w:rsidR="00A26C2A" w:rsidRPr="002248EE" w:rsidRDefault="0A8BCBF2" w:rsidP="1ADEB44C">
            <w:pPr>
              <w:pBdr>
                <w:top w:val="nil"/>
                <w:left w:val="nil"/>
                <w:bottom w:val="nil"/>
                <w:right w:val="nil"/>
                <w:between w:val="nil"/>
              </w:pBdr>
              <w:spacing w:line="249" w:lineRule="auto"/>
              <w:ind w:left="0" w:hanging="2"/>
              <w:rPr>
                <w:b/>
                <w:bCs/>
                <w:color w:val="000000"/>
              </w:rPr>
            </w:pPr>
            <w:r w:rsidRPr="1ADEB44C">
              <w:rPr>
                <w:b/>
                <w:bCs/>
                <w:color w:val="000000" w:themeColor="text1"/>
              </w:rPr>
              <w:t>N</w:t>
            </w:r>
            <w:r w:rsidR="041049A6" w:rsidRPr="1ADEB44C">
              <w:rPr>
                <w:b/>
                <w:bCs/>
                <w:color w:val="000000" w:themeColor="text1"/>
              </w:rPr>
              <w:t>ot applicable</w:t>
            </w:r>
          </w:p>
        </w:tc>
      </w:tr>
      <w:tr w:rsidR="00A26C2A" w14:paraId="505BCAE5" w14:textId="77777777" w:rsidTr="38444A40">
        <w:trPr>
          <w:trHeight w:val="1242"/>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A733242" w14:textId="09BF106C" w:rsidR="00A26C2A" w:rsidRDefault="71E00637" w:rsidP="1ADEB44C">
            <w:pPr>
              <w:pBdr>
                <w:top w:val="nil"/>
                <w:left w:val="nil"/>
                <w:bottom w:val="nil"/>
                <w:right w:val="nil"/>
                <w:between w:val="nil"/>
              </w:pBdr>
              <w:spacing w:line="249" w:lineRule="auto"/>
              <w:ind w:left="0" w:hanging="2"/>
              <w:rPr>
                <w:b/>
                <w:bCs/>
                <w:color w:val="000000"/>
              </w:rPr>
            </w:pPr>
            <w:r w:rsidRPr="1ADEB44C">
              <w:rPr>
                <w:b/>
                <w:bCs/>
                <w:color w:val="000000" w:themeColor="text1"/>
              </w:rPr>
              <w:t>N</w:t>
            </w:r>
            <w:r w:rsidR="45578E47" w:rsidRPr="1ADEB44C">
              <w:rPr>
                <w:b/>
                <w:bCs/>
                <w:color w:val="000000" w:themeColor="text1"/>
              </w:rPr>
              <w:t>ot applicable</w:t>
            </w:r>
          </w:p>
        </w:tc>
      </w:tr>
      <w:tr w:rsidR="00A26C2A" w14:paraId="31BFCAC4" w14:textId="77777777" w:rsidTr="38444A40">
        <w:trPr>
          <w:trHeight w:val="1536"/>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9461C7E" w14:textId="1983DADB" w:rsidR="00A26C2A" w:rsidRPr="00FF596E" w:rsidRDefault="1E98F4B5" w:rsidP="1ADEB44C">
            <w:pPr>
              <w:pBdr>
                <w:top w:val="nil"/>
                <w:left w:val="nil"/>
                <w:bottom w:val="nil"/>
                <w:right w:val="nil"/>
                <w:between w:val="nil"/>
              </w:pBdr>
              <w:spacing w:line="249" w:lineRule="auto"/>
              <w:ind w:left="0" w:hanging="2"/>
              <w:rPr>
                <w:b/>
                <w:bCs/>
                <w:color w:val="000000"/>
              </w:rPr>
            </w:pPr>
            <w:r w:rsidRPr="1ADEB44C">
              <w:rPr>
                <w:b/>
                <w:bCs/>
                <w:color w:val="000000" w:themeColor="text1"/>
              </w:rPr>
              <w:t>N</w:t>
            </w:r>
            <w:r w:rsidR="15CD9006" w:rsidRPr="1ADEB44C">
              <w:rPr>
                <w:b/>
                <w:bCs/>
                <w:color w:val="000000" w:themeColor="text1"/>
              </w:rPr>
              <w:t>ot applicable</w:t>
            </w:r>
          </w:p>
        </w:tc>
      </w:tr>
      <w:tr w:rsidR="00A26C2A" w14:paraId="42080E5F" w14:textId="77777777" w:rsidTr="38444A40">
        <w:trPr>
          <w:trHeight w:val="1259"/>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66CABCF" w14:textId="7AA40DBA" w:rsidR="00A26C2A" w:rsidRDefault="3F94F2A2" w:rsidP="1ADEB44C">
            <w:pPr>
              <w:pBdr>
                <w:top w:val="nil"/>
                <w:left w:val="nil"/>
                <w:bottom w:val="nil"/>
                <w:right w:val="nil"/>
                <w:between w:val="nil"/>
              </w:pBdr>
              <w:spacing w:line="249" w:lineRule="auto"/>
              <w:ind w:left="0" w:hanging="2"/>
              <w:rPr>
                <w:b/>
                <w:bCs/>
                <w:color w:val="000000"/>
              </w:rPr>
            </w:pPr>
            <w:r w:rsidRPr="1ADEB44C">
              <w:rPr>
                <w:b/>
                <w:bCs/>
                <w:color w:val="000000" w:themeColor="text1"/>
              </w:rPr>
              <w:t>N</w:t>
            </w:r>
            <w:r w:rsidR="1EEABF0A" w:rsidRPr="1ADEB44C">
              <w:rPr>
                <w:b/>
                <w:bCs/>
                <w:color w:val="000000" w:themeColor="text1"/>
              </w:rPr>
              <w:t>ot applicable</w:t>
            </w:r>
          </w:p>
        </w:tc>
      </w:tr>
      <w:tr w:rsidR="00A26C2A" w14:paraId="1E947182" w14:textId="77777777" w:rsidTr="38444A40">
        <w:trPr>
          <w:trHeight w:val="794"/>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64DB7E3" w14:textId="6B6FBF8F" w:rsidR="00A26C2A" w:rsidRPr="0038751E" w:rsidRDefault="0038751E">
            <w:pPr>
              <w:pBdr>
                <w:top w:val="nil"/>
                <w:left w:val="nil"/>
                <w:bottom w:val="nil"/>
                <w:right w:val="nil"/>
                <w:between w:val="nil"/>
              </w:pBdr>
              <w:spacing w:line="249" w:lineRule="auto"/>
              <w:ind w:left="0" w:hanging="2"/>
              <w:rPr>
                <w:b/>
                <w:bCs/>
                <w:color w:val="000000"/>
              </w:rPr>
            </w:pPr>
            <w:r w:rsidRPr="0038751E">
              <w:rPr>
                <w:b/>
                <w:bCs/>
                <w:color w:val="000000"/>
              </w:rPr>
              <w:t>Not applicable</w:t>
            </w:r>
          </w:p>
        </w:tc>
      </w:tr>
      <w:tr w:rsidR="00A26C2A" w14:paraId="1DF7EF67" w14:textId="77777777" w:rsidTr="38444A40">
        <w:trPr>
          <w:trHeight w:val="943"/>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284C9B8B" w14:textId="02924FAA" w:rsidR="00A26C2A" w:rsidRPr="00824176" w:rsidRDefault="26882B72" w:rsidP="1ADEB44C">
            <w:pPr>
              <w:pBdr>
                <w:top w:val="nil"/>
                <w:left w:val="nil"/>
                <w:bottom w:val="nil"/>
                <w:right w:val="nil"/>
                <w:between w:val="nil"/>
              </w:pBdr>
              <w:spacing w:line="249" w:lineRule="auto"/>
              <w:ind w:left="0" w:hanging="2"/>
              <w:rPr>
                <w:b/>
                <w:bCs/>
                <w:color w:val="000000"/>
              </w:rPr>
            </w:pPr>
            <w:r w:rsidRPr="1ADEB44C">
              <w:rPr>
                <w:b/>
                <w:bCs/>
                <w:color w:val="000000" w:themeColor="text1"/>
              </w:rPr>
              <w:t>N</w:t>
            </w:r>
            <w:r w:rsidR="7DFDC912" w:rsidRPr="1ADEB44C">
              <w:rPr>
                <w:b/>
                <w:bCs/>
                <w:color w:val="000000" w:themeColor="text1"/>
              </w:rPr>
              <w:t>ot applicable</w:t>
            </w:r>
          </w:p>
        </w:tc>
      </w:tr>
      <w:tr w:rsidR="00A26C2A" w14:paraId="1A601891" w14:textId="77777777" w:rsidTr="38444A40">
        <w:trPr>
          <w:trHeight w:val="681"/>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059403BD" w14:textId="2753226E" w:rsidR="00A26C2A" w:rsidRPr="00857639" w:rsidRDefault="349DFAB7" w:rsidP="1ADEB44C">
            <w:pPr>
              <w:pBdr>
                <w:top w:val="nil"/>
                <w:left w:val="nil"/>
                <w:bottom w:val="nil"/>
                <w:right w:val="nil"/>
                <w:between w:val="nil"/>
              </w:pBdr>
              <w:spacing w:line="249" w:lineRule="auto"/>
              <w:ind w:leftChars="0" w:left="0" w:firstLineChars="0" w:firstLine="0"/>
              <w:rPr>
                <w:b/>
                <w:bCs/>
                <w:color w:val="000000"/>
              </w:rPr>
            </w:pPr>
            <w:r w:rsidRPr="1ADEB44C">
              <w:rPr>
                <w:b/>
                <w:bCs/>
                <w:color w:val="000000" w:themeColor="text1"/>
              </w:rPr>
              <w:t>N</w:t>
            </w:r>
            <w:r w:rsidR="553B18FA" w:rsidRPr="1ADEB44C">
              <w:rPr>
                <w:b/>
                <w:bCs/>
                <w:color w:val="000000" w:themeColor="text1"/>
              </w:rPr>
              <w:t>ot applicable</w:t>
            </w:r>
          </w:p>
        </w:tc>
      </w:tr>
      <w:tr w:rsidR="00A26C2A" w14:paraId="3E11DBC4" w14:textId="77777777" w:rsidTr="38444A40">
        <w:trPr>
          <w:trHeight w:val="145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F7B08EA" w14:textId="2D481A39" w:rsidR="00A26C2A" w:rsidRPr="008E182F" w:rsidRDefault="189DA93E" w:rsidP="1ADEB44C">
            <w:pPr>
              <w:pBdr>
                <w:top w:val="nil"/>
                <w:left w:val="nil"/>
                <w:bottom w:val="nil"/>
                <w:right w:val="nil"/>
                <w:between w:val="nil"/>
              </w:pBdr>
              <w:spacing w:line="249" w:lineRule="auto"/>
              <w:ind w:left="0" w:hanging="2"/>
              <w:rPr>
                <w:b/>
                <w:bCs/>
                <w:color w:val="000000"/>
              </w:rPr>
            </w:pPr>
            <w:r w:rsidRPr="1ADEB44C">
              <w:rPr>
                <w:b/>
                <w:bCs/>
                <w:color w:val="000000" w:themeColor="text1"/>
              </w:rPr>
              <w:t>N</w:t>
            </w:r>
            <w:r w:rsidR="443A175C" w:rsidRPr="1ADEB44C">
              <w:rPr>
                <w:b/>
                <w:bCs/>
                <w:color w:val="000000" w:themeColor="text1"/>
              </w:rPr>
              <w:t>ot applicable</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W w:w="8882" w:type="dxa"/>
        <w:tblInd w:w="-152" w:type="dxa"/>
        <w:tblLayout w:type="fixed"/>
        <w:tblCellMar>
          <w:left w:w="115" w:type="dxa"/>
          <w:right w:w="115" w:type="dxa"/>
        </w:tblCellMar>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16E6566F" w:rsidR="00A26C2A" w:rsidRDefault="001A7F54">
            <w:pPr>
              <w:pBdr>
                <w:top w:val="nil"/>
                <w:left w:val="nil"/>
                <w:bottom w:val="nil"/>
                <w:right w:val="nil"/>
                <w:between w:val="nil"/>
              </w:pBdr>
              <w:spacing w:line="249" w:lineRule="auto"/>
              <w:ind w:left="0" w:hanging="2"/>
              <w:rPr>
                <w:color w:val="000000"/>
              </w:rPr>
            </w:pPr>
            <w:r w:rsidRPr="00764129">
              <w:rPr>
                <w:color w:val="FFFFFF" w:themeColor="background1"/>
                <w:highlight w:val="black"/>
              </w:rPr>
              <w:t>Redacted Under FOIA 2000,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131BA917" w:rsidR="00A26C2A" w:rsidRDefault="001A7F54">
            <w:pPr>
              <w:pBdr>
                <w:top w:val="nil"/>
                <w:left w:val="nil"/>
                <w:bottom w:val="nil"/>
                <w:right w:val="nil"/>
                <w:between w:val="nil"/>
              </w:pBdr>
              <w:spacing w:line="249" w:lineRule="auto"/>
              <w:ind w:left="0" w:hanging="2"/>
              <w:rPr>
                <w:color w:val="000000"/>
              </w:rPr>
            </w:pPr>
            <w:r w:rsidRPr="00764129">
              <w:rPr>
                <w:color w:val="FFFFFF" w:themeColor="background1"/>
                <w:highlight w:val="black"/>
              </w:rPr>
              <w:t>Redacted Under FOIA 2000, Section 40, Personal Information</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4D06C4E7" w:rsidR="00A26C2A" w:rsidRDefault="0060500B">
            <w:pPr>
              <w:pBdr>
                <w:top w:val="nil"/>
                <w:left w:val="nil"/>
                <w:bottom w:val="nil"/>
                <w:right w:val="nil"/>
                <w:between w:val="nil"/>
              </w:pBdr>
              <w:spacing w:line="249" w:lineRule="auto"/>
              <w:ind w:left="0" w:hanging="2"/>
              <w:rPr>
                <w:color w:val="000000"/>
              </w:rPr>
            </w:pPr>
            <w:r>
              <w:rPr>
                <w:color w:val="000000"/>
              </w:rPr>
              <w:t>Account Manager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4DBDF9F9" w:rsidR="00A26C2A" w:rsidRDefault="002C4E8D">
            <w:pPr>
              <w:pBdr>
                <w:top w:val="nil"/>
                <w:left w:val="nil"/>
                <w:bottom w:val="nil"/>
                <w:right w:val="nil"/>
                <w:between w:val="nil"/>
              </w:pBdr>
              <w:spacing w:line="249" w:lineRule="auto"/>
              <w:ind w:left="0" w:hanging="2"/>
              <w:rPr>
                <w:color w:val="000000"/>
              </w:rPr>
            </w:pPr>
            <w:r>
              <w:rPr>
                <w:color w:val="000000"/>
              </w:rPr>
              <w:t>Senior Finance Business Partner</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72AA010A"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1A7F54" w:rsidRPr="00764129">
              <w:rPr>
                <w:color w:val="FFFFFF" w:themeColor="background1"/>
                <w:highlight w:val="black"/>
              </w:rPr>
              <w:t>Redacted Under FOIA 2000,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078826CB" w:rsidR="00A26C2A" w:rsidRPr="002C4E8D" w:rsidRDefault="008C39B4">
            <w:pPr>
              <w:pBdr>
                <w:top w:val="nil"/>
                <w:left w:val="nil"/>
                <w:bottom w:val="nil"/>
                <w:right w:val="nil"/>
                <w:between w:val="nil"/>
              </w:pBdr>
              <w:spacing w:line="249" w:lineRule="auto"/>
              <w:ind w:left="0" w:hanging="2"/>
              <w:rPr>
                <w:rFonts w:ascii="Dreaming Outloud Script Pro" w:hAnsi="Dreaming Outloud Script Pro" w:cs="Dreaming Outloud Script Pro"/>
                <w:i/>
                <w:iCs/>
                <w:color w:val="000000"/>
                <w:sz w:val="36"/>
                <w:szCs w:val="36"/>
              </w:rPr>
            </w:pPr>
            <w:r>
              <w:rPr>
                <w:color w:val="000000"/>
              </w:rPr>
              <w:t xml:space="preserve"> </w:t>
            </w:r>
            <w:r w:rsidR="001A7F54" w:rsidRPr="00764129">
              <w:rPr>
                <w:color w:val="FFFFFF" w:themeColor="background1"/>
                <w:highlight w:val="black"/>
              </w:rPr>
              <w:t>Redacted Under FOIA 2000, Section 40, Personal Information</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7F5D8187" w:rsidR="00A26C2A" w:rsidRDefault="0060500B">
            <w:pPr>
              <w:pBdr>
                <w:top w:val="nil"/>
                <w:left w:val="nil"/>
                <w:bottom w:val="nil"/>
                <w:right w:val="nil"/>
                <w:between w:val="nil"/>
              </w:pBdr>
              <w:spacing w:line="249" w:lineRule="auto"/>
              <w:ind w:left="0" w:hanging="2"/>
              <w:rPr>
                <w:color w:val="000000"/>
              </w:rPr>
            </w:pPr>
            <w:r>
              <w:rPr>
                <w:color w:val="000000"/>
              </w:rPr>
              <w:t>12-Jun-2025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09CA9E49" w:rsidR="00A26C2A" w:rsidRDefault="002C4E8D">
            <w:pPr>
              <w:pBdr>
                <w:top w:val="nil"/>
                <w:left w:val="nil"/>
                <w:bottom w:val="nil"/>
                <w:right w:val="nil"/>
                <w:between w:val="nil"/>
              </w:pBdr>
              <w:spacing w:line="249" w:lineRule="auto"/>
              <w:ind w:left="0" w:hanging="2"/>
              <w:rPr>
                <w:color w:val="000000"/>
              </w:rPr>
            </w:pPr>
            <w:r>
              <w:rPr>
                <w:color w:val="000000"/>
              </w:rPr>
              <w:t>16/06/2025</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4">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4"/>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7"/>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7"/>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7"/>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7"/>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7"/>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7"/>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7"/>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7"/>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7"/>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7"/>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7"/>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7"/>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7"/>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7"/>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7"/>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7"/>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7"/>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7"/>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7"/>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7"/>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7"/>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7"/>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7"/>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7"/>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7"/>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7"/>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7"/>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7"/>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63607692"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gramStart"/>
      <w:r w:rsidR="008C39B4">
        <w:rPr>
          <w:color w:val="000000"/>
        </w:rPr>
        <w:t>possibl</w:t>
      </w:r>
      <w:r w:rsidR="0040774F">
        <w:rPr>
          <w:color w:val="000000"/>
        </w:rPr>
        <w:t>e</w:t>
      </w:r>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 xml:space="preserve">alleging that any use of the Services by or on behalf of the Buyer and/or Buyer Users is in breach of applicable </w:t>
      </w:r>
      <w:proofErr w:type="gramStart"/>
      <w:r w:rsidR="008C39B4">
        <w:rPr>
          <w:color w:val="000000"/>
        </w:rPr>
        <w:t>Law;</w:t>
      </w:r>
      <w:proofErr w:type="gramEnd"/>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w:t>
      </w:r>
      <w:proofErr w:type="gramStart"/>
      <w:r w:rsidR="008C39B4">
        <w:rPr>
          <w:color w:val="000000"/>
        </w:rPr>
        <w:t>party;</w:t>
      </w:r>
      <w:proofErr w:type="gramEnd"/>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B55BBC" w:rsidP="00B55BBC">
      <w:pPr>
        <w:pBdr>
          <w:top w:val="nil"/>
          <w:left w:val="nil"/>
          <w:bottom w:val="nil"/>
          <w:right w:val="nil"/>
          <w:between w:val="nil"/>
        </w:pBdr>
        <w:spacing w:after="27" w:line="249" w:lineRule="auto"/>
        <w:ind w:leftChars="0" w:left="720" w:right="469" w:firstLineChars="0" w:firstLine="0"/>
        <w:rPr>
          <w:color w:val="000000"/>
        </w:rPr>
      </w:pPr>
      <w:hyperlink r:id="rId15" w:history="1">
        <w:r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6">
        <w:r>
          <w:rPr>
            <w:color w:val="1155CC"/>
            <w:u w:val="single"/>
          </w:rPr>
          <w:t xml:space="preserve">: https://www.npsa.gov.uk/content/adopt-risk-management-approach </w:t>
        </w:r>
      </w:hyperlink>
      <w:r>
        <w:rPr>
          <w:color w:val="000000"/>
        </w:rPr>
        <w:t xml:space="preserve">and Protection of Sensitive Information and Assets: </w:t>
      </w:r>
      <w:hyperlink r:id="rId17">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8">
        <w:r>
          <w:rPr>
            <w:color w:val="1155CC"/>
            <w:u w:val="single"/>
          </w:rPr>
          <w:t>https://www.ncsc.gov.uk/collection/risk-management-collection</w:t>
        </w:r>
      </w:hyperlink>
      <w:hyperlink r:id="rId19">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20">
        <w:r>
          <w:rPr>
            <w:color w:val="0000FF"/>
            <w:u w:val="single"/>
          </w:rPr>
          <w:t>https://www.gov.uk/government/publications/technologycode-of-practice/technology -code-of-practice</w:t>
        </w:r>
      </w:hyperlink>
      <w:hyperlink r:id="rId21">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B55BBC" w:rsidP="00B55BBC">
      <w:pPr>
        <w:pBdr>
          <w:top w:val="nil"/>
          <w:left w:val="nil"/>
          <w:bottom w:val="nil"/>
          <w:right w:val="nil"/>
          <w:between w:val="nil"/>
        </w:pBdr>
        <w:spacing w:after="344" w:line="249" w:lineRule="auto"/>
        <w:ind w:leftChars="0" w:left="0" w:firstLineChars="0" w:firstLine="720"/>
        <w:rPr>
          <w:color w:val="000000"/>
        </w:rPr>
      </w:pPr>
      <w:hyperlink r:id="rId22" w:history="1">
        <w:r w:rsidRPr="00EE6835">
          <w:rPr>
            <w:rStyle w:val="Hyperlink"/>
          </w:rPr>
          <w:t>https://www.ncsc.gov.uk/guidance/implementing-cloud-security-principles</w:t>
        </w:r>
      </w:hyperlink>
      <w:hyperlink r:id="rId23">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4">
        <w:r>
          <w:rPr>
            <w:color w:val="0000FF"/>
            <w:u w:val="single"/>
          </w:rPr>
          <w:t>https://www.gov.uk/government/publications/technologycode-of-practice/technology -code-of-practice</w:t>
        </w:r>
      </w:hyperlink>
    </w:p>
    <w:p w14:paraId="06BD3E94" w14:textId="77777777" w:rsidR="00A26C2A" w:rsidRDefault="008C39B4">
      <w:pPr>
        <w:pBdr>
          <w:top w:val="nil"/>
          <w:left w:val="nil"/>
          <w:bottom w:val="nil"/>
          <w:right w:val="nil"/>
          <w:between w:val="nil"/>
        </w:pBdr>
        <w:spacing w:after="27" w:line="249" w:lineRule="auto"/>
        <w:ind w:left="0" w:hanging="2"/>
        <w:rPr>
          <w:color w:val="000000"/>
        </w:rPr>
      </w:pPr>
      <w:hyperlink r:id="rId25">
        <w:r>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C39B4">
      <w:pPr>
        <w:pBdr>
          <w:top w:val="nil"/>
          <w:left w:val="nil"/>
          <w:bottom w:val="nil"/>
          <w:right w:val="nil"/>
          <w:between w:val="nil"/>
        </w:pBdr>
        <w:spacing w:after="347" w:line="249" w:lineRule="auto"/>
        <w:ind w:left="0" w:hanging="2"/>
        <w:rPr>
          <w:color w:val="000000"/>
        </w:rPr>
      </w:pPr>
      <w:hyperlink r:id="rId26">
        <w:r>
          <w:rPr>
            <w:color w:val="0563C1"/>
            <w:u w:val="single"/>
          </w:rPr>
          <w:t>https://www.ncsc.gov.uk/guidance/10-steps-cyber-security</w:t>
        </w:r>
      </w:hyperlink>
      <w:hyperlink r:id="rId27">
        <w:r>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2"/>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3"/>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3"/>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3"/>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3"/>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3"/>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3"/>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3"/>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3"/>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5"/>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5"/>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3"/>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6"/>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6"/>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w:t>
      </w:r>
      <w:proofErr w:type="gramStart"/>
      <w:r>
        <w:rPr>
          <w:color w:val="000000"/>
        </w:rPr>
        <w:t>service</w:t>
      </w:r>
      <w:proofErr w:type="gramEnd"/>
      <w:r>
        <w:rPr>
          <w:color w:val="000000"/>
        </w:rPr>
        <w:t xml:space="preserv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7"/>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8C39B4">
      <w:pPr>
        <w:numPr>
          <w:ilvl w:val="1"/>
          <w:numId w:val="17"/>
        </w:numPr>
        <w:pBdr>
          <w:top w:val="nil"/>
          <w:left w:val="nil"/>
          <w:bottom w:val="nil"/>
          <w:right w:val="nil"/>
          <w:between w:val="nil"/>
        </w:pBdr>
        <w:spacing w:after="741"/>
        <w:ind w:left="0" w:right="14" w:hanging="2"/>
      </w:pPr>
      <w:r>
        <w:rPr>
          <w:color w:val="000000"/>
        </w:rPr>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F116F31" w14:textId="388B0B1F" w:rsidR="1ADEB44C" w:rsidRDefault="1ADEB44C">
      <w:pPr>
        <w:ind w:left="0" w:hanging="2"/>
      </w:pPr>
      <w:r>
        <w:br w:type="page"/>
      </w:r>
    </w:p>
    <w:p w14:paraId="78345083" w14:textId="77777777" w:rsidR="00A26C2A" w:rsidRPr="00C40953" w:rsidRDefault="008C39B4" w:rsidP="00C40953">
      <w:pPr>
        <w:pStyle w:val="Heading2"/>
        <w:ind w:left="1" w:hanging="3"/>
      </w:pPr>
      <w:bookmarkStart w:id="8" w:name="_heading=h.o3xjzzxu81k6"/>
      <w:bookmarkStart w:id="9" w:name="_Schedule_1:_Services"/>
      <w:bookmarkEnd w:id="8"/>
      <w:bookmarkEnd w:id="9"/>
      <w:r>
        <w:t>Schedule 1: Services</w:t>
      </w:r>
    </w:p>
    <w:p w14:paraId="4B787371" w14:textId="268A24AF" w:rsidR="1ADEB44C" w:rsidRDefault="1ADEB44C" w:rsidP="1ADEB44C">
      <w:pPr>
        <w:pBdr>
          <w:top w:val="nil"/>
          <w:left w:val="nil"/>
          <w:bottom w:val="nil"/>
          <w:right w:val="nil"/>
          <w:between w:val="nil"/>
        </w:pBdr>
        <w:tabs>
          <w:tab w:val="center" w:pos="1688"/>
          <w:tab w:val="center" w:pos="5137"/>
        </w:tabs>
        <w:spacing w:after="250" w:line="254" w:lineRule="auto"/>
        <w:ind w:leftChars="0" w:left="0" w:firstLineChars="0" w:hanging="2"/>
        <w:rPr>
          <w:color w:val="000000" w:themeColor="text1"/>
        </w:rPr>
      </w:pPr>
    </w:p>
    <w:p w14:paraId="6073FC8B" w14:textId="4500642D" w:rsidR="00474E73" w:rsidRDefault="00474E73" w:rsidP="1ADEB44C">
      <w:pPr>
        <w:pBdr>
          <w:top w:val="nil"/>
          <w:left w:val="nil"/>
          <w:bottom w:val="nil"/>
          <w:right w:val="nil"/>
          <w:between w:val="nil"/>
        </w:pBdr>
        <w:tabs>
          <w:tab w:val="center" w:pos="1688"/>
          <w:tab w:val="center" w:pos="5137"/>
        </w:tabs>
        <w:spacing w:after="250" w:line="254" w:lineRule="auto"/>
        <w:ind w:leftChars="0" w:left="0" w:firstLineChars="0" w:hanging="2"/>
        <w:rPr>
          <w:color w:val="000000"/>
        </w:rPr>
      </w:pPr>
      <w:r w:rsidRPr="1ADEB44C">
        <w:rPr>
          <w:color w:val="000000" w:themeColor="text1"/>
        </w:rPr>
        <w:t xml:space="preserve">1-year subscription of </w:t>
      </w:r>
      <w:r w:rsidR="0081110F" w:rsidRPr="1ADEB44C">
        <w:rPr>
          <w:color w:val="000000" w:themeColor="text1"/>
        </w:rPr>
        <w:t>8 x Alteryx Designer Licenses</w:t>
      </w:r>
      <w:r w:rsidR="008C39B4" w:rsidRPr="1ADEB44C">
        <w:rPr>
          <w:color w:val="000000" w:themeColor="text1"/>
        </w:rPr>
        <w:t xml:space="preserve"> </w:t>
      </w:r>
      <w:r w:rsidR="00B9440F">
        <w:rPr>
          <w:color w:val="000000" w:themeColor="text1"/>
        </w:rPr>
        <w:t>,</w:t>
      </w:r>
    </w:p>
    <w:p w14:paraId="2A718997" w14:textId="0DFCDCBE" w:rsidR="00474E73" w:rsidRDefault="00A14D33" w:rsidP="1ADEB44C">
      <w:pPr>
        <w:pBdr>
          <w:top w:val="nil"/>
          <w:left w:val="nil"/>
          <w:bottom w:val="nil"/>
          <w:right w:val="nil"/>
          <w:between w:val="nil"/>
        </w:pBdr>
        <w:tabs>
          <w:tab w:val="center" w:pos="1688"/>
          <w:tab w:val="center" w:pos="5137"/>
        </w:tabs>
        <w:spacing w:after="250" w:line="254" w:lineRule="auto"/>
        <w:ind w:leftChars="0" w:left="0" w:firstLineChars="0" w:hanging="2"/>
        <w:rPr>
          <w:color w:val="000000"/>
        </w:rPr>
      </w:pPr>
      <w:r w:rsidRPr="1ADEB44C">
        <w:rPr>
          <w:color w:val="000000" w:themeColor="text1"/>
        </w:rPr>
        <w:t>Free support package provided by The Information Lab Ltd:</w:t>
      </w:r>
    </w:p>
    <w:p w14:paraId="56211F7D" w14:textId="5D264EF2" w:rsidR="00A14D33" w:rsidRPr="00A14D33" w:rsidRDefault="00A14D33" w:rsidP="1ADEB44C">
      <w:pPr>
        <w:pBdr>
          <w:top w:val="nil"/>
          <w:left w:val="nil"/>
          <w:bottom w:val="nil"/>
          <w:right w:val="nil"/>
          <w:between w:val="nil"/>
        </w:pBdr>
        <w:tabs>
          <w:tab w:val="center" w:pos="1688"/>
          <w:tab w:val="center" w:pos="5137"/>
        </w:tabs>
        <w:spacing w:after="250" w:line="254" w:lineRule="auto"/>
        <w:ind w:leftChars="0" w:firstLineChars="0"/>
        <w:rPr>
          <w:color w:val="000000"/>
        </w:rPr>
      </w:pPr>
      <w:r w:rsidRPr="1ADEB44C">
        <w:rPr>
          <w:color w:val="000000" w:themeColor="text1"/>
        </w:rPr>
        <w:t>- Complimentary access to TIL Centre of Excellence (1yr)</w:t>
      </w:r>
    </w:p>
    <w:p w14:paraId="5BCB32D3" w14:textId="4285CA68" w:rsidR="00A14D33" w:rsidRPr="00A14D33" w:rsidRDefault="00A14D33" w:rsidP="1ADEB44C">
      <w:pPr>
        <w:pBdr>
          <w:top w:val="nil"/>
          <w:left w:val="nil"/>
          <w:bottom w:val="nil"/>
          <w:right w:val="nil"/>
          <w:between w:val="nil"/>
        </w:pBdr>
        <w:tabs>
          <w:tab w:val="center" w:pos="1688"/>
          <w:tab w:val="center" w:pos="5137"/>
        </w:tabs>
        <w:spacing w:after="250" w:line="254" w:lineRule="auto"/>
        <w:ind w:leftChars="0" w:firstLineChars="0"/>
        <w:rPr>
          <w:color w:val="000000"/>
        </w:rPr>
      </w:pPr>
      <w:r w:rsidRPr="1ADEB44C">
        <w:rPr>
          <w:color w:val="000000" w:themeColor="text1"/>
        </w:rPr>
        <w:t>- Complimentary access to TIL Support Desk (1yr)</w:t>
      </w:r>
    </w:p>
    <w:p w14:paraId="1D69AD35" w14:textId="77777777" w:rsidR="00A14D33" w:rsidRPr="00A14D33" w:rsidRDefault="00A14D33" w:rsidP="1ADEB44C">
      <w:pPr>
        <w:pBdr>
          <w:top w:val="nil"/>
          <w:left w:val="nil"/>
          <w:bottom w:val="nil"/>
          <w:right w:val="nil"/>
          <w:between w:val="nil"/>
        </w:pBdr>
        <w:tabs>
          <w:tab w:val="center" w:pos="1688"/>
          <w:tab w:val="center" w:pos="5137"/>
        </w:tabs>
        <w:spacing w:after="250" w:line="254" w:lineRule="auto"/>
        <w:ind w:leftChars="0" w:firstLineChars="0"/>
        <w:rPr>
          <w:color w:val="000000"/>
        </w:rPr>
      </w:pPr>
      <w:r w:rsidRPr="1ADEB44C">
        <w:rPr>
          <w:color w:val="000000" w:themeColor="text1"/>
        </w:rPr>
        <w:t>- Online training resources (1yr)</w:t>
      </w:r>
    </w:p>
    <w:p w14:paraId="36134E2B" w14:textId="6F710F32" w:rsidR="00A14D33" w:rsidRPr="00A14D33" w:rsidRDefault="00A14D33" w:rsidP="1ADEB44C">
      <w:pPr>
        <w:pBdr>
          <w:top w:val="nil"/>
          <w:left w:val="nil"/>
          <w:bottom w:val="nil"/>
          <w:right w:val="nil"/>
          <w:between w:val="nil"/>
        </w:pBdr>
        <w:tabs>
          <w:tab w:val="center" w:pos="1688"/>
          <w:tab w:val="center" w:pos="5137"/>
        </w:tabs>
        <w:spacing w:after="250" w:line="254" w:lineRule="auto"/>
        <w:ind w:leftChars="0" w:firstLineChars="0"/>
        <w:rPr>
          <w:color w:val="000000"/>
        </w:rPr>
      </w:pPr>
      <w:r w:rsidRPr="1ADEB44C">
        <w:rPr>
          <w:color w:val="000000" w:themeColor="text1"/>
        </w:rPr>
        <w:t>- Complimentary access to foundation Alteryx training at TIL London offices</w:t>
      </w:r>
    </w:p>
    <w:p w14:paraId="65B0FFBA" w14:textId="057D9271" w:rsidR="00A14D33" w:rsidRPr="00474E73" w:rsidRDefault="00A14D33" w:rsidP="1ADEB44C">
      <w:pPr>
        <w:pBdr>
          <w:top w:val="nil"/>
          <w:left w:val="nil"/>
          <w:bottom w:val="nil"/>
          <w:right w:val="nil"/>
          <w:between w:val="nil"/>
        </w:pBdr>
        <w:tabs>
          <w:tab w:val="center" w:pos="1688"/>
          <w:tab w:val="center" w:pos="5137"/>
        </w:tabs>
        <w:spacing w:after="250" w:line="254" w:lineRule="auto"/>
        <w:ind w:leftChars="0" w:firstLineChars="0"/>
        <w:rPr>
          <w:color w:val="000000"/>
        </w:rPr>
      </w:pPr>
      <w:r w:rsidRPr="1ADEB44C">
        <w:rPr>
          <w:color w:val="000000" w:themeColor="text1"/>
        </w:rPr>
        <w:t>- Access to TIL webinars and exclusive customer events</w:t>
      </w:r>
    </w:p>
    <w:p w14:paraId="7F2B1DC3" w14:textId="764BE818" w:rsidR="00A26C2A" w:rsidRPr="0081110F" w:rsidRDefault="008C39B4">
      <w:pPr>
        <w:pBdr>
          <w:top w:val="nil"/>
          <w:left w:val="nil"/>
          <w:bottom w:val="nil"/>
          <w:right w:val="nil"/>
          <w:between w:val="nil"/>
        </w:pBdr>
        <w:tabs>
          <w:tab w:val="center" w:pos="1688"/>
          <w:tab w:val="center" w:pos="5137"/>
        </w:tabs>
        <w:spacing w:after="250" w:line="254" w:lineRule="auto"/>
        <w:ind w:left="0" w:hanging="2"/>
        <w:rPr>
          <w:b/>
          <w:bCs/>
          <w:color w:val="000000"/>
        </w:rPr>
      </w:pPr>
      <w:r w:rsidRPr="0081110F">
        <w:rPr>
          <w:b/>
          <w:bCs/>
          <w:color w:val="000000"/>
        </w:rPr>
        <w:tab/>
      </w: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60823C3" w14:textId="34E38D4F" w:rsidR="1ADEB44C" w:rsidRDefault="1ADEB44C">
      <w:pPr>
        <w:ind w:left="0" w:hanging="2"/>
      </w:pPr>
      <w:r>
        <w:br w:type="page"/>
      </w:r>
    </w:p>
    <w:p w14:paraId="3421B72E" w14:textId="72D31E0F" w:rsidR="00A26C2A" w:rsidRPr="00C40953" w:rsidRDefault="008C39B4" w:rsidP="1ADEB44C">
      <w:pPr>
        <w:pStyle w:val="Heading2"/>
        <w:pBdr>
          <w:top w:val="nil"/>
          <w:left w:val="nil"/>
          <w:bottom w:val="nil"/>
          <w:right w:val="nil"/>
          <w:between w:val="nil"/>
        </w:pBdr>
        <w:tabs>
          <w:tab w:val="center" w:pos="1688"/>
          <w:tab w:val="center" w:pos="5137"/>
        </w:tabs>
        <w:spacing w:after="250" w:line="254" w:lineRule="auto"/>
        <w:ind w:left="1" w:hanging="3"/>
        <w:rPr>
          <w:color w:val="000000" w:themeColor="text1"/>
        </w:rPr>
      </w:pPr>
      <w:bookmarkStart w:id="10" w:name="_heading=h.12onm3qwn96l"/>
      <w:bookmarkStart w:id="11" w:name="_Schedule_2:_Call-Off"/>
      <w:bookmarkEnd w:id="10"/>
      <w:bookmarkEnd w:id="11"/>
      <w:r>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7E4EDD0E" w14:textId="3A280978" w:rsidR="00F01E9F" w:rsidRPr="001A5845" w:rsidRDefault="1755E6B7" w:rsidP="00F01E9F">
      <w:pPr>
        <w:spacing w:after="7"/>
        <w:ind w:left="0" w:right="599" w:hanging="2"/>
      </w:pPr>
      <w:r w:rsidRPr="1ADEB44C">
        <w:rPr>
          <w:color w:val="000000" w:themeColor="text1"/>
        </w:rPr>
        <w:t>8</w:t>
      </w:r>
      <w:r w:rsidR="00B73D14" w:rsidRPr="1ADEB44C">
        <w:rPr>
          <w:color w:val="000000" w:themeColor="text1"/>
        </w:rPr>
        <w:t xml:space="preserve">x </w:t>
      </w:r>
      <w:r w:rsidR="00EE1ED8" w:rsidRPr="1ADEB44C">
        <w:rPr>
          <w:color w:val="000000" w:themeColor="text1"/>
        </w:rPr>
        <w:t>Alteryx Designer License</w:t>
      </w:r>
      <w:r w:rsidR="001F1FDD" w:rsidRPr="1ADEB44C">
        <w:rPr>
          <w:color w:val="000000" w:themeColor="text1"/>
        </w:rPr>
        <w:t>s</w:t>
      </w:r>
      <w:r w:rsidR="00EE1ED8" w:rsidRPr="1ADEB44C">
        <w:rPr>
          <w:color w:val="000000" w:themeColor="text1"/>
        </w:rPr>
        <w:t xml:space="preserve"> </w:t>
      </w:r>
      <w:r w:rsidR="00D3175A" w:rsidRPr="1ADEB44C">
        <w:rPr>
          <w:color w:val="000000" w:themeColor="text1"/>
        </w:rPr>
        <w:t xml:space="preserve">= </w:t>
      </w:r>
      <w:r w:rsidR="00F01E9F" w:rsidRPr="001A5845">
        <w:rPr>
          <w:color w:val="FFFFFF" w:themeColor="background1"/>
          <w:highlight w:val="black"/>
        </w:rPr>
        <w:t xml:space="preserve">Redacted Under FOIA 2000, Section 43, Commercial </w:t>
      </w:r>
      <w:r w:rsidR="00F01E9F">
        <w:rPr>
          <w:color w:val="FFFFFF" w:themeColor="background1"/>
          <w:highlight w:val="black"/>
        </w:rPr>
        <w:t>I</w:t>
      </w:r>
      <w:r w:rsidR="00F01E9F" w:rsidRPr="001A5845">
        <w:rPr>
          <w:color w:val="FFFFFF" w:themeColor="background1"/>
          <w:highlight w:val="black"/>
        </w:rPr>
        <w:t>nterests</w:t>
      </w:r>
    </w:p>
    <w:p w14:paraId="37F0CC1B" w14:textId="328352A1" w:rsidR="00A26C2A" w:rsidRDefault="00D3175A" w:rsidP="1ADEB44C">
      <w:pPr>
        <w:pStyle w:val="ListParagraph"/>
        <w:numPr>
          <w:ilvl w:val="0"/>
          <w:numId w:val="2"/>
        </w:numPr>
        <w:pBdr>
          <w:top w:val="nil"/>
          <w:left w:val="nil"/>
          <w:bottom w:val="nil"/>
          <w:right w:val="nil"/>
          <w:between w:val="nil"/>
        </w:pBdr>
        <w:spacing w:after="250" w:line="254" w:lineRule="auto"/>
        <w:ind w:left="0" w:right="3672" w:hanging="2"/>
        <w:rPr>
          <w:color w:val="000000"/>
        </w:rPr>
      </w:pPr>
      <w:r w:rsidRPr="1ADEB44C">
        <w:rPr>
          <w:color w:val="000000" w:themeColor="text1"/>
        </w:rPr>
        <w:t xml:space="preserve">(Excl. VAT) per annum </w:t>
      </w:r>
    </w:p>
    <w:p w14:paraId="7574BD82" w14:textId="743471D6" w:rsidR="00F01E9F" w:rsidRPr="001A5845" w:rsidRDefault="0CDBA70E" w:rsidP="00F01E9F">
      <w:pPr>
        <w:spacing w:after="7"/>
        <w:ind w:left="0" w:right="599" w:hanging="2"/>
      </w:pPr>
      <w:r w:rsidRPr="1ADEB44C">
        <w:rPr>
          <w:color w:val="000000" w:themeColor="text1"/>
        </w:rPr>
        <w:t xml:space="preserve">Each Alteryx Designer License = </w:t>
      </w:r>
      <w:r w:rsidR="00F01E9F" w:rsidRPr="001A5845">
        <w:rPr>
          <w:color w:val="FFFFFF" w:themeColor="background1"/>
          <w:highlight w:val="black"/>
        </w:rPr>
        <w:t xml:space="preserve">Redacted Under FOIA 2000, Section 43, Commercial </w:t>
      </w:r>
      <w:r w:rsidR="00F01E9F">
        <w:rPr>
          <w:color w:val="FFFFFF" w:themeColor="background1"/>
          <w:highlight w:val="black"/>
        </w:rPr>
        <w:t>I</w:t>
      </w:r>
      <w:r w:rsidR="00F01E9F" w:rsidRPr="001A5845">
        <w:rPr>
          <w:color w:val="FFFFFF" w:themeColor="background1"/>
          <w:highlight w:val="black"/>
        </w:rPr>
        <w:t>nterests</w:t>
      </w:r>
    </w:p>
    <w:p w14:paraId="66D13E84" w14:textId="1A970B1B" w:rsidR="0CDBA70E" w:rsidRDefault="0CDBA70E" w:rsidP="1ADEB44C">
      <w:pPr>
        <w:pBdr>
          <w:top w:val="nil"/>
          <w:left w:val="nil"/>
          <w:bottom w:val="nil"/>
          <w:right w:val="nil"/>
          <w:between w:val="nil"/>
        </w:pBdr>
        <w:spacing w:after="250" w:line="254" w:lineRule="auto"/>
        <w:ind w:left="0" w:right="3672" w:hanging="2"/>
        <w:rPr>
          <w:color w:val="000000" w:themeColor="text1"/>
        </w:rPr>
      </w:pPr>
    </w:p>
    <w:p w14:paraId="7864111A" w14:textId="5FFC2D0E" w:rsidR="00780523" w:rsidRPr="00F01E9F" w:rsidRDefault="00780523" w:rsidP="00F01E9F">
      <w:pPr>
        <w:spacing w:after="7"/>
        <w:ind w:left="0" w:right="599" w:hanging="2"/>
      </w:pPr>
      <w:r w:rsidRPr="1ADEB44C">
        <w:rPr>
          <w:color w:val="000000" w:themeColor="text1"/>
        </w:rPr>
        <w:t xml:space="preserve">Support package provided by The Information Lab Ltd </w:t>
      </w:r>
      <w:r w:rsidRPr="00DD717B">
        <w:t xml:space="preserve">= </w:t>
      </w:r>
      <w:r w:rsidR="00DD717B" w:rsidRPr="00DD717B">
        <w:t>£0.00</w:t>
      </w:r>
      <w:r w:rsidR="00DD717B">
        <w:t xml:space="preserve"> </w:t>
      </w:r>
      <w:r w:rsidR="315A6C08" w:rsidRPr="00DD717B">
        <w:t>Includes</w:t>
      </w:r>
      <w:r w:rsidR="315A6C08" w:rsidRPr="1ADEB44C">
        <w:rPr>
          <w:color w:val="000000" w:themeColor="text1"/>
        </w:rPr>
        <w:t>:</w:t>
      </w:r>
    </w:p>
    <w:p w14:paraId="31F0F7F9" w14:textId="77777777" w:rsidR="00780523" w:rsidRPr="00780523" w:rsidRDefault="00780523" w:rsidP="1ADEB44C">
      <w:pPr>
        <w:pBdr>
          <w:top w:val="nil"/>
          <w:left w:val="nil"/>
          <w:bottom w:val="nil"/>
          <w:right w:val="nil"/>
          <w:between w:val="nil"/>
        </w:pBdr>
        <w:spacing w:after="250" w:line="254" w:lineRule="auto"/>
        <w:ind w:left="-2" w:right="3672" w:firstLineChars="0" w:firstLine="0"/>
        <w:rPr>
          <w:color w:val="000000"/>
        </w:rPr>
      </w:pPr>
      <w:r w:rsidRPr="1ADEB44C">
        <w:rPr>
          <w:color w:val="000000" w:themeColor="text1"/>
        </w:rPr>
        <w:t>- Complimentary access to TIL Centre of Excellence (1yr)</w:t>
      </w:r>
    </w:p>
    <w:p w14:paraId="0465EA18" w14:textId="77777777" w:rsidR="00780523" w:rsidRPr="00780523" w:rsidRDefault="00780523" w:rsidP="1ADEB44C">
      <w:pPr>
        <w:pBdr>
          <w:top w:val="nil"/>
          <w:left w:val="nil"/>
          <w:bottom w:val="nil"/>
          <w:right w:val="nil"/>
          <w:between w:val="nil"/>
        </w:pBdr>
        <w:spacing w:after="250" w:line="254" w:lineRule="auto"/>
        <w:ind w:left="-2" w:right="3672" w:firstLineChars="0" w:firstLine="0"/>
        <w:rPr>
          <w:color w:val="000000"/>
        </w:rPr>
      </w:pPr>
      <w:r w:rsidRPr="1ADEB44C">
        <w:rPr>
          <w:color w:val="000000" w:themeColor="text1"/>
        </w:rPr>
        <w:t>- Complimentary access to TIL Support Desk (1yr)</w:t>
      </w:r>
    </w:p>
    <w:p w14:paraId="54D25E01" w14:textId="77777777" w:rsidR="00780523" w:rsidRPr="00780523" w:rsidRDefault="00780523" w:rsidP="1ADEB44C">
      <w:pPr>
        <w:pBdr>
          <w:top w:val="nil"/>
          <w:left w:val="nil"/>
          <w:bottom w:val="nil"/>
          <w:right w:val="nil"/>
          <w:between w:val="nil"/>
        </w:pBdr>
        <w:spacing w:after="250" w:line="254" w:lineRule="auto"/>
        <w:ind w:left="-2" w:right="3672" w:firstLineChars="0" w:firstLine="0"/>
        <w:rPr>
          <w:color w:val="000000"/>
        </w:rPr>
      </w:pPr>
      <w:r w:rsidRPr="1ADEB44C">
        <w:rPr>
          <w:color w:val="000000" w:themeColor="text1"/>
        </w:rPr>
        <w:t>- Online training resources (1yr)</w:t>
      </w:r>
    </w:p>
    <w:p w14:paraId="256D2A8D" w14:textId="311950B5" w:rsidR="00780523" w:rsidRPr="00780523" w:rsidRDefault="00780523" w:rsidP="1ADEB44C">
      <w:pPr>
        <w:pBdr>
          <w:top w:val="nil"/>
          <w:left w:val="nil"/>
          <w:bottom w:val="nil"/>
          <w:right w:val="nil"/>
          <w:between w:val="nil"/>
        </w:pBdr>
        <w:spacing w:after="250" w:line="254" w:lineRule="auto"/>
        <w:ind w:left="-2" w:right="3672" w:firstLineChars="0" w:firstLine="0"/>
        <w:rPr>
          <w:color w:val="000000"/>
        </w:rPr>
      </w:pPr>
      <w:r w:rsidRPr="1ADEB44C">
        <w:rPr>
          <w:color w:val="000000" w:themeColor="text1"/>
        </w:rPr>
        <w:t>- Complimentary access to foundation Alteryx training at TIL London offices</w:t>
      </w:r>
    </w:p>
    <w:p w14:paraId="7957A8A9" w14:textId="6806230F" w:rsidR="001F1FDD" w:rsidRPr="001F1FDD" w:rsidRDefault="00780523" w:rsidP="1ADEB44C">
      <w:pPr>
        <w:pBdr>
          <w:top w:val="nil"/>
          <w:left w:val="nil"/>
          <w:bottom w:val="nil"/>
          <w:right w:val="nil"/>
          <w:between w:val="nil"/>
        </w:pBdr>
        <w:spacing w:after="250" w:line="254" w:lineRule="auto"/>
        <w:ind w:left="-2" w:right="3672" w:firstLineChars="0" w:firstLine="0"/>
        <w:rPr>
          <w:color w:val="000000"/>
        </w:rPr>
      </w:pPr>
      <w:r w:rsidRPr="1ADEB44C">
        <w:rPr>
          <w:color w:val="000000" w:themeColor="text1"/>
        </w:rPr>
        <w:t>- Access to TIL webinars and exclusive customer events</w:t>
      </w:r>
    </w:p>
    <w:p w14:paraId="5C8A0A63" w14:textId="77777777" w:rsidR="00B73D14" w:rsidRPr="00B73D14" w:rsidRDefault="00B73D14" w:rsidP="00B73D14">
      <w:pPr>
        <w:pBdr>
          <w:top w:val="nil"/>
          <w:left w:val="nil"/>
          <w:bottom w:val="nil"/>
          <w:right w:val="nil"/>
          <w:between w:val="nil"/>
        </w:pBdr>
        <w:spacing w:after="250" w:line="254" w:lineRule="auto"/>
        <w:ind w:leftChars="0" w:left="0" w:right="3672" w:firstLineChars="0" w:firstLine="0"/>
        <w:rPr>
          <w:color w:val="000000"/>
        </w:rPr>
      </w:pPr>
    </w:p>
    <w:p w14:paraId="0F408788" w14:textId="77777777" w:rsidR="00D3175A" w:rsidRDefault="00D3175A">
      <w:pPr>
        <w:pBdr>
          <w:top w:val="nil"/>
          <w:left w:val="nil"/>
          <w:bottom w:val="nil"/>
          <w:right w:val="nil"/>
          <w:between w:val="nil"/>
        </w:pBdr>
        <w:spacing w:after="250" w:line="254" w:lineRule="auto"/>
        <w:ind w:left="0" w:right="3672" w:hanging="2"/>
        <w:rPr>
          <w:color w:val="000000"/>
        </w:rPr>
      </w:pP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2722E2CA" w14:textId="77777777" w:rsidR="000450E5" w:rsidRDefault="000450E5" w:rsidP="00780523">
      <w:pPr>
        <w:pStyle w:val="Heading2"/>
        <w:ind w:leftChars="0" w:left="0" w:firstLineChars="0" w:firstLine="0"/>
      </w:pPr>
      <w:bookmarkStart w:id="12" w:name="_heading=h.hc8fz0ymozga" w:colFirst="0" w:colLast="0"/>
      <w:bookmarkStart w:id="13" w:name="_Schedule_3:_Collaboration"/>
      <w:bookmarkEnd w:id="12"/>
      <w:bookmarkEnd w:id="13"/>
    </w:p>
    <w:p w14:paraId="713070F1" w14:textId="77777777" w:rsidR="000450E5" w:rsidRPr="000450E5" w:rsidRDefault="000450E5" w:rsidP="000450E5">
      <w:pPr>
        <w:pStyle w:val="Standard"/>
        <w:ind w:left="0" w:hanging="2"/>
      </w:pPr>
    </w:p>
    <w:p w14:paraId="1D3D19FF" w14:textId="77777777" w:rsidR="00334388" w:rsidRDefault="00334388">
      <w:pPr>
        <w:spacing w:line="240" w:lineRule="auto"/>
        <w:ind w:leftChars="0" w:left="0" w:firstLineChars="0"/>
        <w:textDirection w:val="lrTb"/>
        <w:textAlignment w:val="auto"/>
        <w:outlineLvl w:val="9"/>
        <w:rPr>
          <w:color w:val="000000"/>
          <w:sz w:val="32"/>
        </w:rPr>
      </w:pPr>
      <w:r>
        <w:br w:type="page"/>
      </w:r>
    </w:p>
    <w:p w14:paraId="2BD30432" w14:textId="38A496E1" w:rsidR="00A26C2A" w:rsidRDefault="008C39B4" w:rsidP="00780523">
      <w:pPr>
        <w:pStyle w:val="Heading2"/>
        <w:ind w:leftChars="0" w:left="0" w:firstLineChars="0" w:firstLine="0"/>
      </w:pPr>
      <w:r w:rsidRPr="00C40953">
        <w:t>Schedule 3: Collaboration agreement</w:t>
      </w:r>
    </w:p>
    <w:p w14:paraId="656040D8" w14:textId="677B3679" w:rsidR="00334388" w:rsidRPr="00334388" w:rsidRDefault="00334388" w:rsidP="00334388">
      <w:pPr>
        <w:pStyle w:val="Standard"/>
        <w:ind w:left="0" w:hanging="2"/>
      </w:pPr>
      <w:r>
        <w:t>NOT USED</w:t>
      </w:r>
    </w:p>
    <w:p w14:paraId="137FE849" w14:textId="77777777" w:rsidR="00334388" w:rsidRDefault="00334388">
      <w:pPr>
        <w:spacing w:line="240" w:lineRule="auto"/>
        <w:ind w:leftChars="0" w:left="0" w:firstLineChars="0"/>
        <w:textDirection w:val="lrTb"/>
        <w:textAlignment w:val="auto"/>
        <w:outlineLvl w:val="9"/>
        <w:rPr>
          <w:color w:val="000000"/>
          <w:sz w:val="32"/>
        </w:rPr>
      </w:pPr>
      <w:bookmarkStart w:id="14" w:name="_Schedule_4:_Alternative"/>
      <w:bookmarkEnd w:id="14"/>
      <w:r>
        <w:br w:type="page"/>
      </w:r>
    </w:p>
    <w:p w14:paraId="1FB18F03" w14:textId="7CE5B5E4" w:rsidR="00A26C2A" w:rsidRPr="00716E61" w:rsidRDefault="008C39B4" w:rsidP="00716E61">
      <w:pPr>
        <w:pStyle w:val="Heading2"/>
        <w:ind w:left="1" w:hanging="3"/>
      </w:pPr>
      <w:r w:rsidRPr="00716E61">
        <w:t>Schedule 4: Alternative clauses</w:t>
      </w:r>
    </w:p>
    <w:p w14:paraId="0C9F9C54" w14:textId="4C1FFACF" w:rsidR="00A26C2A" w:rsidRDefault="007C2A9F" w:rsidP="007C2A9F">
      <w:pPr>
        <w:pBdr>
          <w:top w:val="nil"/>
          <w:left w:val="nil"/>
          <w:bottom w:val="nil"/>
          <w:right w:val="nil"/>
          <w:between w:val="nil"/>
        </w:pBdr>
        <w:spacing w:after="310" w:line="290" w:lineRule="auto"/>
        <w:ind w:leftChars="0" w:left="0" w:right="14" w:firstLineChars="0" w:firstLine="0"/>
        <w:rPr>
          <w:color w:val="000000"/>
        </w:rPr>
      </w:pPr>
      <w:r>
        <w:rPr>
          <w:color w:val="000000"/>
        </w:rPr>
        <w:t>NOT USED</w:t>
      </w:r>
      <w:r w:rsidR="008C39B4">
        <w:rPr>
          <w:color w:val="000000"/>
        </w:rPr>
        <w:tab/>
      </w:r>
    </w:p>
    <w:p w14:paraId="6221F12F" w14:textId="77777777" w:rsidR="007C2A9F" w:rsidRDefault="007C2A9F">
      <w:pPr>
        <w:spacing w:line="240" w:lineRule="auto"/>
        <w:ind w:leftChars="0" w:left="0" w:firstLineChars="0"/>
        <w:textDirection w:val="lrTb"/>
        <w:textAlignment w:val="auto"/>
        <w:outlineLvl w:val="9"/>
        <w:rPr>
          <w:color w:val="000000"/>
          <w:sz w:val="32"/>
        </w:rPr>
      </w:pPr>
      <w:bookmarkStart w:id="15" w:name="_Schedule_5:_Guarantee"/>
      <w:bookmarkEnd w:id="15"/>
      <w:r>
        <w:br w:type="page"/>
      </w:r>
    </w:p>
    <w:p w14:paraId="623CFE4F" w14:textId="01E5A61A" w:rsidR="00A26C2A" w:rsidRPr="001C1820" w:rsidRDefault="008C39B4" w:rsidP="001C1820">
      <w:pPr>
        <w:pStyle w:val="Heading2"/>
        <w:ind w:left="1" w:hanging="3"/>
      </w:pPr>
      <w:r w:rsidRPr="001C1820">
        <w:t>Schedule 5: Guarantee</w:t>
      </w:r>
    </w:p>
    <w:p w14:paraId="2CEB6EB2" w14:textId="2B7A60DB" w:rsidR="00746744" w:rsidRDefault="00746744" w:rsidP="007C2A9F">
      <w:pPr>
        <w:pBdr>
          <w:top w:val="nil"/>
          <w:left w:val="nil"/>
          <w:bottom w:val="nil"/>
          <w:right w:val="nil"/>
          <w:between w:val="nil"/>
        </w:pBdr>
        <w:spacing w:after="310" w:line="290" w:lineRule="auto"/>
        <w:ind w:left="0" w:right="14" w:hanging="2"/>
        <w:rPr>
          <w:color w:val="000000"/>
        </w:rPr>
      </w:pPr>
      <w:bookmarkStart w:id="16" w:name="_Schedule_6:_Glossary"/>
      <w:bookmarkEnd w:id="16"/>
      <w:r>
        <w:rPr>
          <w:color w:val="000000"/>
        </w:rPr>
        <w:t>NOT USED</w:t>
      </w:r>
    </w:p>
    <w:p w14:paraId="2486C736" w14:textId="77777777" w:rsidR="00746744" w:rsidRDefault="00746744">
      <w:pPr>
        <w:spacing w:line="240" w:lineRule="auto"/>
        <w:ind w:leftChars="0" w:left="0" w:firstLineChars="0"/>
        <w:textDirection w:val="lrTb"/>
        <w:textAlignment w:val="auto"/>
        <w:outlineLvl w:val="9"/>
        <w:rPr>
          <w:sz w:val="32"/>
          <w:szCs w:val="32"/>
        </w:rPr>
      </w:pPr>
      <w:r>
        <w:rPr>
          <w:sz w:val="32"/>
          <w:szCs w:val="32"/>
        </w:rPr>
        <w:br w:type="page"/>
      </w:r>
    </w:p>
    <w:p w14:paraId="2BD779BE" w14:textId="42752E87" w:rsidR="00A26C2A" w:rsidRPr="00746744" w:rsidRDefault="008C39B4" w:rsidP="007C2A9F">
      <w:pPr>
        <w:pBdr>
          <w:top w:val="nil"/>
          <w:left w:val="nil"/>
          <w:bottom w:val="nil"/>
          <w:right w:val="nil"/>
          <w:between w:val="nil"/>
        </w:pBdr>
        <w:spacing w:after="310" w:line="290" w:lineRule="auto"/>
        <w:ind w:left="1" w:right="14" w:hanging="3"/>
        <w:rPr>
          <w:sz w:val="32"/>
          <w:szCs w:val="32"/>
        </w:rPr>
      </w:pPr>
      <w:r w:rsidRPr="00746744">
        <w:rPr>
          <w:sz w:val="32"/>
          <w:szCs w:val="32"/>
        </w:rPr>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2"/>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8C39B4">
            <w:pPr>
              <w:numPr>
                <w:ilvl w:val="0"/>
                <w:numId w:val="22"/>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4"/>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4"/>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4"/>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4"/>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W w:w="8820" w:type="dxa"/>
        <w:tblInd w:w="-10" w:type="dxa"/>
        <w:tblLayout w:type="fixed"/>
        <w:tblCellMar>
          <w:left w:w="115" w:type="dxa"/>
          <w:right w:w="115" w:type="dxa"/>
        </w:tblCellMar>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C39B4">
            <w:pPr>
              <w:pBdr>
                <w:top w:val="nil"/>
                <w:left w:val="nil"/>
                <w:bottom w:val="nil"/>
                <w:right w:val="nil"/>
                <w:between w:val="nil"/>
              </w:pBdr>
              <w:spacing w:line="249" w:lineRule="auto"/>
              <w:ind w:left="0" w:right="33" w:hanging="2"/>
              <w:jc w:val="both"/>
              <w:rPr>
                <w:color w:val="000000"/>
              </w:rPr>
            </w:pPr>
            <w:hyperlink r:id="rId28">
              <w:r>
                <w:rPr>
                  <w:color w:val="0000FF"/>
                  <w:u w:val="single"/>
                </w:rPr>
                <w:t>https://www.gov.uk/guidance/check-employment-status-fortax</w:t>
              </w:r>
            </w:hyperlink>
            <w:hyperlink r:id="rId29">
              <w:r>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41"/>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41"/>
              </w:numPr>
              <w:ind w:left="0" w:hanging="2"/>
              <w:rPr>
                <w:color w:val="000000"/>
              </w:rPr>
            </w:pPr>
            <w:r>
              <w:rPr>
                <w:color w:val="000000"/>
              </w:rPr>
              <w:t>Operating Profit Margin of 2%</w:t>
            </w:r>
          </w:p>
          <w:p w14:paraId="1807F2A5" w14:textId="77777777" w:rsidR="00A26C2A" w:rsidRDefault="008C39B4" w:rsidP="008C39B4">
            <w:pPr>
              <w:widowControl w:val="0"/>
              <w:numPr>
                <w:ilvl w:val="0"/>
                <w:numId w:val="41"/>
              </w:numPr>
              <w:ind w:left="0" w:hanging="2"/>
              <w:rPr>
                <w:color w:val="000000"/>
              </w:rPr>
            </w:pPr>
            <w:r>
              <w:rPr>
                <w:color w:val="000000"/>
              </w:rPr>
              <w:t>Net Worth of 0</w:t>
            </w:r>
          </w:p>
          <w:p w14:paraId="03F474DE" w14:textId="77777777" w:rsidR="00A26C2A" w:rsidRDefault="008C39B4" w:rsidP="008C39B4">
            <w:pPr>
              <w:widowControl w:val="0"/>
              <w:numPr>
                <w:ilvl w:val="0"/>
                <w:numId w:val="41"/>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9"/>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9"/>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9"/>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9"/>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9"/>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9"/>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9"/>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9"/>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9"/>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2"/>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2"/>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2"/>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2"/>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2"/>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2"/>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8"/>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3"/>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3"/>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3"/>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5"/>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5"/>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5"/>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5"/>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5"/>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5"/>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5"/>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W w:w="8820" w:type="dxa"/>
        <w:tblInd w:w="-10" w:type="dxa"/>
        <w:tblLayout w:type="fixed"/>
        <w:tblCellMar>
          <w:left w:w="115" w:type="dxa"/>
          <w:right w:w="115" w:type="dxa"/>
        </w:tblCellMar>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30">
              <w:r>
                <w:rPr>
                  <w:color w:val="000000"/>
                  <w:u w:val="single"/>
                </w:rPr>
                <w:t>https://www.gov.uk/service-manual/agile-delivery/spend-controlsche ck-if-you-need-approval-to-spend-money-on-a-service</w:t>
              </w:r>
            </w:hyperlink>
            <w:hyperlink r:id="rId31">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7"/>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w:t>
            </w:r>
            <w:proofErr w:type="gramStart"/>
            <w:r>
              <w:rPr>
                <w:color w:val="000000"/>
              </w:rPr>
              <w:t>Contract;</w:t>
            </w:r>
            <w:proofErr w:type="gramEnd"/>
            <w:r>
              <w:rPr>
                <w:color w:val="000000"/>
              </w:rPr>
              <w:t xml:space="preserve"> </w:t>
            </w:r>
          </w:p>
          <w:p w14:paraId="1CEFF6D7" w14:textId="77777777" w:rsidR="00A26C2A" w:rsidRDefault="008C39B4" w:rsidP="008C39B4">
            <w:pPr>
              <w:numPr>
                <w:ilvl w:val="1"/>
                <w:numId w:val="7"/>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cost of implementing the proposed </w:t>
            </w:r>
            <w:proofErr w:type="gramStart"/>
            <w:r>
              <w:rPr>
                <w:color w:val="000000"/>
              </w:rPr>
              <w:t>variation;</w:t>
            </w:r>
            <w:proofErr w:type="gramEnd"/>
          </w:p>
          <w:p w14:paraId="3CDD57AB" w14:textId="77777777" w:rsidR="00A26C2A" w:rsidRDefault="008C39B4" w:rsidP="008C39B4">
            <w:pPr>
              <w:numPr>
                <w:ilvl w:val="1"/>
                <w:numId w:val="7"/>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rPr>
                <w:color w:val="000000"/>
              </w:rPr>
              <w:t>Party;</w:t>
            </w:r>
            <w:proofErr w:type="gramEnd"/>
          </w:p>
          <w:p w14:paraId="1279127E" w14:textId="77777777" w:rsidR="00A26C2A" w:rsidRDefault="008C39B4" w:rsidP="008C39B4">
            <w:pPr>
              <w:numPr>
                <w:ilvl w:val="1"/>
                <w:numId w:val="7"/>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7" w:name="_heading=h.ngf4nkxfnlv6" w:colFirst="0" w:colLast="0"/>
      <w:bookmarkEnd w:id="17"/>
      <w:r>
        <w:rPr>
          <w:sz w:val="32"/>
          <w:szCs w:val="32"/>
        </w:rPr>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8" w:name="_heading=h.lnxbz9" w:colFirst="0" w:colLast="0"/>
      <w:bookmarkEnd w:id="18"/>
    </w:p>
    <w:p w14:paraId="1EB75C38" w14:textId="77777777" w:rsidR="00A26C2A" w:rsidRPr="00903BDD" w:rsidRDefault="008C39B4" w:rsidP="00903BDD">
      <w:pPr>
        <w:pStyle w:val="Heading2"/>
        <w:ind w:left="1" w:hanging="3"/>
      </w:pPr>
      <w:bookmarkStart w:id="19" w:name="_Schedule_7:_UK"/>
      <w:bookmarkEnd w:id="19"/>
      <w:r>
        <w:t>Schedule 7: UK GDPR Information</w:t>
      </w:r>
    </w:p>
    <w:p w14:paraId="371715A9" w14:textId="0E97B012" w:rsidR="00A26C2A" w:rsidRPr="0038751E" w:rsidRDefault="00397C03" w:rsidP="0038751E">
      <w:pPr>
        <w:spacing w:after="310" w:line="290" w:lineRule="auto"/>
        <w:ind w:left="0" w:hanging="2"/>
        <w:jc w:val="both"/>
      </w:pPr>
      <w:r>
        <w:t>NOT USED</w:t>
      </w: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0" w:name="_heading=h.1fob9te" w:colFirst="0" w:colLast="0"/>
      <w:bookmarkStart w:id="21" w:name="_Annex_1_-"/>
      <w:bookmarkEnd w:id="20"/>
      <w:bookmarkEnd w:id="21"/>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6162BE97" w:rsidR="00A26C2A" w:rsidRDefault="00F72A3D" w:rsidP="008C39B4">
      <w:pPr>
        <w:pStyle w:val="ListParagraph"/>
        <w:keepNext/>
        <w:numPr>
          <w:ilvl w:val="1"/>
          <w:numId w:val="44"/>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r w:rsidR="008C39B4" w:rsidRPr="00F72A3D">
        <w:rPr>
          <w:b/>
          <w:highlight w:val="yellow"/>
        </w:rPr>
        <w:t>[Insert</w:t>
      </w:r>
      <w:r w:rsidR="008C39B4">
        <w:t xml:space="preserve"> Contact details]</w:t>
      </w:r>
    </w:p>
    <w:p w14:paraId="21DAA2F8" w14:textId="4E670BD8"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8C39B4">
        <w:rPr>
          <w:b/>
          <w:highlight w:val="yellow"/>
        </w:rPr>
        <w:t>[Insert</w:t>
      </w:r>
      <w:r w:rsidR="008C39B4">
        <w:t xml:space="preserve"> Contact details]</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w:t>
            </w:r>
          </w:p>
          <w:p w14:paraId="52345CB8" w14:textId="77777777" w:rsidR="00A26C2A" w:rsidRDefault="00A26C2A">
            <w:pPr>
              <w:ind w:left="0" w:hanging="2"/>
            </w:pPr>
          </w:p>
          <w:p w14:paraId="3DD5DB28" w14:textId="77777777" w:rsidR="00A26C2A" w:rsidRDefault="008C39B4" w:rsidP="008C39B4">
            <w:pPr>
              <w:numPr>
                <w:ilvl w:val="0"/>
                <w:numId w:val="38"/>
              </w:numPr>
              <w:spacing w:line="240" w:lineRule="auto"/>
              <w:ind w:left="0" w:hanging="2"/>
              <w:jc w:val="both"/>
            </w:pPr>
            <w:r>
              <w:rPr>
                <w:b/>
                <w:i/>
                <w:highlight w:val="yellow"/>
              </w:rPr>
              <w:t>[Insert</w:t>
            </w:r>
            <w:r>
              <w:rPr>
                <w:b/>
                <w:i/>
              </w:rPr>
              <w:t xml:space="preserve"> </w:t>
            </w:r>
            <w:r>
              <w:rPr>
                <w:i/>
              </w:rPr>
              <w:t>the scope of Personal Data which the purposes and means of the Processing by the Supplier is determined by the Buyer]</w:t>
            </w:r>
          </w:p>
          <w:p w14:paraId="50455EFA" w14:textId="77777777" w:rsidR="00A26C2A" w:rsidRDefault="00A26C2A">
            <w:pPr>
              <w:ind w:left="0" w:hanging="2"/>
            </w:pPr>
          </w:p>
          <w:p w14:paraId="105987AC" w14:textId="77777777" w:rsidR="00A26C2A" w:rsidRDefault="008C39B4">
            <w:pPr>
              <w:ind w:left="0" w:hanging="2"/>
              <w:rPr>
                <w:b/>
              </w:rPr>
            </w:pPr>
            <w:r>
              <w:rPr>
                <w:b/>
              </w:rPr>
              <w:t>The Supplier is Controller and the Buyer is Processor</w:t>
            </w:r>
          </w:p>
          <w:p w14:paraId="55B685B5" w14:textId="77777777" w:rsidR="00A26C2A" w:rsidRDefault="00A26C2A">
            <w:pPr>
              <w:ind w:left="0" w:hanging="2"/>
              <w:rPr>
                <w:i/>
              </w:rPr>
            </w:pPr>
          </w:p>
          <w:p w14:paraId="563461BF" w14:textId="77777777" w:rsidR="00A26C2A" w:rsidRDefault="008C39B4">
            <w:pPr>
              <w:ind w:left="0" w:hanging="2"/>
              <w:rPr>
                <w:i/>
              </w:rPr>
            </w:pPr>
            <w:r>
              <w:rPr>
                <w:i/>
              </w:rPr>
              <w:t xml:space="preserve">The Parties acknowledge that for the purposes of the Data Protection Legislation, the Supplier is the </w:t>
            </w:r>
            <w:proofErr w:type="gramStart"/>
            <w:r>
              <w:rPr>
                <w:i/>
              </w:rPr>
              <w:t>Controller</w:t>
            </w:r>
            <w:proofErr w:type="gramEnd"/>
            <w:r>
              <w:rPr>
                <w:i/>
              </w:rPr>
              <w:t xml:space="preserve">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3296B2EE" w14:textId="77777777" w:rsidR="00A26C2A" w:rsidRDefault="00A26C2A">
            <w:pPr>
              <w:ind w:left="0" w:hanging="2"/>
            </w:pPr>
          </w:p>
          <w:p w14:paraId="5A5B266E" w14:textId="77777777" w:rsidR="00A26C2A" w:rsidRDefault="008C39B4" w:rsidP="008C39B4">
            <w:pPr>
              <w:numPr>
                <w:ilvl w:val="0"/>
                <w:numId w:val="38"/>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by the Buyer is determined by the Supplier]</w:t>
            </w:r>
          </w:p>
          <w:p w14:paraId="75DE3F39" w14:textId="77777777" w:rsidR="00A26C2A" w:rsidRDefault="00A26C2A">
            <w:pPr>
              <w:ind w:left="0" w:hanging="2"/>
              <w:rPr>
                <w:highlight w:val="yellow"/>
              </w:rPr>
            </w:pPr>
          </w:p>
          <w:p w14:paraId="6A2C51CF" w14:textId="77777777" w:rsidR="00A26C2A" w:rsidRDefault="008C39B4">
            <w:pPr>
              <w:ind w:left="0" w:hanging="2"/>
              <w:rPr>
                <w:b/>
              </w:rPr>
            </w:pPr>
            <w:r>
              <w:rPr>
                <w:b/>
              </w:rPr>
              <w:t>The Parties are Joint Controllers</w:t>
            </w:r>
          </w:p>
          <w:p w14:paraId="414B65D0" w14:textId="77777777" w:rsidR="00A26C2A" w:rsidRDefault="00A26C2A">
            <w:pPr>
              <w:ind w:left="0" w:hanging="2"/>
              <w:rPr>
                <w:i/>
              </w:rPr>
            </w:pPr>
          </w:p>
          <w:p w14:paraId="048DC0D2" w14:textId="77777777" w:rsidR="00A26C2A" w:rsidRDefault="008C39B4">
            <w:pPr>
              <w:ind w:left="0" w:hanging="2"/>
              <w:rPr>
                <w:i/>
              </w:rPr>
            </w:pPr>
            <w:r>
              <w:rPr>
                <w:i/>
              </w:rPr>
              <w:t>The Parties acknowledge that they are Joint Controllers for the purposes of the Data Protection Legislation in respect of:</w:t>
            </w:r>
          </w:p>
          <w:p w14:paraId="4D2AED1D" w14:textId="77777777" w:rsidR="00A26C2A" w:rsidRDefault="00A26C2A">
            <w:pPr>
              <w:ind w:left="0" w:hanging="2"/>
              <w:rPr>
                <w:b/>
                <w:i/>
                <w:highlight w:val="yellow"/>
              </w:rPr>
            </w:pPr>
          </w:p>
          <w:p w14:paraId="02D74D8D" w14:textId="77777777" w:rsidR="00A26C2A" w:rsidRDefault="008C39B4" w:rsidP="008C39B4">
            <w:pPr>
              <w:numPr>
                <w:ilvl w:val="0"/>
                <w:numId w:val="35"/>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is determined by both Parties together]</w:t>
            </w:r>
          </w:p>
          <w:p w14:paraId="18C6CFCD" w14:textId="77777777" w:rsidR="00A26C2A" w:rsidRDefault="00A26C2A">
            <w:pPr>
              <w:ind w:left="0" w:hanging="2"/>
              <w:rPr>
                <w:i/>
              </w:rPr>
            </w:pPr>
          </w:p>
          <w:p w14:paraId="1E1E9A15" w14:textId="77777777" w:rsidR="00A26C2A" w:rsidRDefault="008C39B4">
            <w:pPr>
              <w:ind w:left="0" w:hanging="2"/>
              <w:rPr>
                <w:i/>
              </w:rPr>
            </w:pPr>
            <w:r>
              <w:rPr>
                <w:i/>
              </w:rPr>
              <w:t xml:space="preserve"> </w:t>
            </w:r>
          </w:p>
          <w:p w14:paraId="1709E15C" w14:textId="77777777" w:rsidR="00A26C2A" w:rsidRDefault="008C39B4">
            <w:pPr>
              <w:ind w:left="0" w:hanging="2"/>
              <w:rPr>
                <w:b/>
              </w:rPr>
            </w:pPr>
            <w:r>
              <w:rPr>
                <w:b/>
              </w:rPr>
              <w:t>The Parties are Independent Controllers of Personal Data</w:t>
            </w:r>
          </w:p>
          <w:p w14:paraId="71175611" w14:textId="77777777" w:rsidR="00A26C2A" w:rsidRDefault="00A26C2A">
            <w:pPr>
              <w:ind w:left="0" w:hanging="2"/>
              <w:rPr>
                <w:b/>
                <w:i/>
                <w:highlight w:val="yellow"/>
              </w:rPr>
            </w:pPr>
          </w:p>
          <w:p w14:paraId="274DCD9A" w14:textId="77777777" w:rsidR="00A26C2A" w:rsidRDefault="008C39B4">
            <w:pPr>
              <w:ind w:left="0" w:hanging="2"/>
              <w:rPr>
                <w:i/>
              </w:rPr>
            </w:pPr>
            <w:r>
              <w:rPr>
                <w:i/>
              </w:rPr>
              <w:t>The Parties acknowledge that they are Independent Controllers for the purposes of the Data Protection Legislation in respect of:</w:t>
            </w:r>
          </w:p>
          <w:p w14:paraId="6ED5577F" w14:textId="77777777" w:rsidR="00A26C2A" w:rsidRDefault="008C39B4" w:rsidP="008C39B4">
            <w:pPr>
              <w:numPr>
                <w:ilvl w:val="0"/>
                <w:numId w:val="34"/>
              </w:numPr>
              <w:pBdr>
                <w:top w:val="nil"/>
                <w:left w:val="nil"/>
                <w:bottom w:val="nil"/>
                <w:right w:val="nil"/>
                <w:between w:val="nil"/>
              </w:pBdr>
              <w:spacing w:line="240" w:lineRule="auto"/>
              <w:ind w:left="0" w:hanging="2"/>
              <w:jc w:val="both"/>
            </w:pPr>
            <w:r>
              <w:rPr>
                <w:i/>
              </w:rPr>
              <w:t>Business contact details of Supplier Personnel for which the Supplier is the Controller,</w:t>
            </w:r>
          </w:p>
          <w:p w14:paraId="098A9914" w14:textId="77777777" w:rsidR="00A26C2A" w:rsidRDefault="008C39B4" w:rsidP="008C39B4">
            <w:pPr>
              <w:numPr>
                <w:ilvl w:val="0"/>
                <w:numId w:val="34"/>
              </w:numPr>
              <w:pBdr>
                <w:top w:val="nil"/>
                <w:left w:val="nil"/>
                <w:bottom w:val="nil"/>
                <w:right w:val="nil"/>
                <w:between w:val="nil"/>
              </w:pBdr>
              <w:spacing w:line="240" w:lineRule="auto"/>
              <w:ind w:left="0" w:hanging="2"/>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251F4426" w14:textId="77777777" w:rsidR="00A26C2A" w:rsidRDefault="008C39B4" w:rsidP="008C39B4">
            <w:pPr>
              <w:numPr>
                <w:ilvl w:val="0"/>
                <w:numId w:val="34"/>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3B861BE7" w14:textId="77777777" w:rsidR="00A26C2A" w:rsidRDefault="008C39B4">
            <w:pPr>
              <w:ind w:left="0" w:hanging="2"/>
              <w:rPr>
                <w:i/>
              </w:rPr>
            </w:pPr>
            <w:r>
              <w:rPr>
                <w:i/>
              </w:rPr>
              <w:t xml:space="preserve"> </w:t>
            </w:r>
          </w:p>
          <w:p w14:paraId="22E94C4E" w14:textId="77777777" w:rsidR="00A26C2A" w:rsidRDefault="008C39B4">
            <w:pPr>
              <w:ind w:left="0" w:hanging="2"/>
              <w:rPr>
                <w:i/>
              </w:rPr>
            </w:pPr>
            <w:r>
              <w:rPr>
                <w:b/>
                <w:i/>
                <w:highlight w:val="yellow"/>
              </w:rPr>
              <w:t>[Guidance</w:t>
            </w:r>
            <w:r>
              <w:rPr>
                <w:b/>
                <w:i/>
              </w:rPr>
              <w:t xml:space="preserve"> </w:t>
            </w:r>
            <w:r>
              <w:rPr>
                <w:i/>
              </w:rPr>
              <w:t xml:space="preserve">where multiple relationships have been identified above, please address the below rows in the table in respect of each relationship identified] </w:t>
            </w:r>
          </w:p>
          <w:p w14:paraId="6B210893" w14:textId="77777777" w:rsidR="00A26C2A" w:rsidRDefault="00A26C2A">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tcPr>
          <w:p w14:paraId="50004255" w14:textId="77777777" w:rsidR="00A26C2A" w:rsidRDefault="008C39B4">
            <w:pPr>
              <w:ind w:left="0" w:hanging="2"/>
            </w:pPr>
            <w:r>
              <w:rPr>
                <w:i/>
              </w:rPr>
              <w:t>[Clearly set out the duration of the Processing including dates]</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tcPr>
          <w:p w14:paraId="635DFD33" w14:textId="77777777" w:rsidR="00A26C2A" w:rsidRDefault="008C39B4">
            <w:pPr>
              <w:ind w:left="0" w:hanging="2"/>
              <w:rPr>
                <w:i/>
              </w:rPr>
            </w:pPr>
            <w:r>
              <w:rPr>
                <w:i/>
              </w:rPr>
              <w:t xml:space="preserve">[Please be as specific as possible, but make sure that you cover all intended purposes. </w:t>
            </w:r>
          </w:p>
          <w:p w14:paraId="27C77BC0" w14:textId="77777777" w:rsidR="00A26C2A" w:rsidRDefault="008C39B4">
            <w:pPr>
              <w:ind w:left="0" w:hanging="2"/>
              <w:rPr>
                <w:i/>
              </w:rPr>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AE32FA5" w14:textId="77777777" w:rsidR="00A26C2A" w:rsidRDefault="008C39B4">
            <w:pPr>
              <w:ind w:left="0" w:hanging="2"/>
            </w:pPr>
            <w:r>
              <w:rPr>
                <w:i/>
              </w:rPr>
              <w:t>The purpose might include: employment processing, statutory obligation, recruitment assessment etc]</w:t>
            </w:r>
          </w:p>
        </w:tc>
      </w:tr>
      <w:tr w:rsidR="00A26C2A" w14:paraId="2D6AC595" w14:textId="77777777" w:rsidTr="00F72A3D">
        <w:trPr>
          <w:trHeight w:val="1400"/>
        </w:trPr>
        <w:tc>
          <w:tcPr>
            <w:tcW w:w="2263" w:type="dxa"/>
          </w:tcPr>
          <w:p w14:paraId="0162E798" w14:textId="77777777" w:rsidR="00A26C2A" w:rsidRDefault="008C39B4">
            <w:pPr>
              <w:ind w:left="0" w:hanging="2"/>
            </w:pPr>
            <w:r>
              <w:t>Type of Personal Data</w:t>
            </w:r>
          </w:p>
        </w:tc>
        <w:tc>
          <w:tcPr>
            <w:tcW w:w="6732" w:type="dxa"/>
          </w:tcPr>
          <w:p w14:paraId="4A5B58CE" w14:textId="77777777" w:rsidR="00A26C2A" w:rsidRDefault="008C39B4">
            <w:pPr>
              <w:ind w:left="0" w:hanging="2"/>
            </w:pPr>
            <w:r>
              <w:rPr>
                <w:i/>
              </w:rPr>
              <w:t>[Examples here include: name, address, date of birth, NI number, telephone number, pay, images, biometric data etc]</w:t>
            </w: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tcPr>
          <w:p w14:paraId="742AB5E6" w14:textId="77777777" w:rsidR="00A26C2A" w:rsidRDefault="008C39B4">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tcPr>
          <w:p w14:paraId="2591316A" w14:textId="77777777" w:rsidR="00A26C2A" w:rsidRDefault="008C39B4">
            <w:pPr>
              <w:ind w:left="0" w:hanging="2"/>
            </w:pPr>
            <w:r>
              <w:rPr>
                <w:i/>
              </w:rPr>
              <w:t>[Examples include: Staff (including volunteers, agents, and temporary workers), customers / clients, suppliers, patients, students / pupils, members of the public, users of a particular</w:t>
            </w:r>
            <w:r>
              <w:rPr>
                <w:i/>
              </w:rPr>
              <w:br/>
              <w:t>website etc]</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tcPr>
          <w:p w14:paraId="11509D69" w14:textId="77777777" w:rsidR="00A26C2A" w:rsidRDefault="008C39B4">
            <w:pPr>
              <w:ind w:left="0" w:hanging="2"/>
              <w:rPr>
                <w:i/>
              </w:rPr>
            </w:pPr>
            <w:r>
              <w:rPr>
                <w:i/>
              </w:rPr>
              <w:t>[Explain where geographically personal data may be stored or accessed from. Explain the legal gateway you are relying on to export the data e.g. adequacy decision, EU SCCs, UK IDTA. Annex any SCCs or IDTA to this contract]</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tcPr>
          <w:p w14:paraId="74BE9149" w14:textId="77777777" w:rsidR="00A26C2A" w:rsidRDefault="008C39B4">
            <w:pPr>
              <w:ind w:left="0" w:hanging="2"/>
            </w:pPr>
            <w:r>
              <w:rPr>
                <w:i/>
              </w:rPr>
              <w:t>[Describe how long the data will be retained for, how it will be returned or destroyed]</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2" w:name="_Annex_2_-"/>
      <w:bookmarkEnd w:id="22"/>
      <w:r>
        <w:t>Annex 2 - Joint Controller Agreement</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Default="008C39B4">
      <w:pPr>
        <w:keepNext/>
        <w:ind w:left="0" w:hanging="2"/>
      </w:pPr>
      <w:r>
        <w:rPr>
          <w:highlight w:val="white"/>
        </w:rPr>
        <w:t xml:space="preserve">1.2 </w:t>
      </w:r>
      <w:r w:rsidR="00F72A3D">
        <w:rPr>
          <w:highlight w:val="white"/>
        </w:rPr>
        <w:tab/>
      </w:r>
      <w:r>
        <w:rPr>
          <w:highlight w:val="white"/>
        </w:rPr>
        <w:t xml:space="preserve">The Parties agree </w:t>
      </w:r>
      <w:r>
        <w:t>that the [</w:t>
      </w:r>
      <w:r>
        <w:rPr>
          <w:b/>
          <w:color w:val="000000"/>
          <w:highlight w:val="yellow"/>
        </w:rPr>
        <w:t xml:space="preserve">select: </w:t>
      </w:r>
      <w:r>
        <w:rPr>
          <w:b/>
          <w:highlight w:val="yellow"/>
        </w:rPr>
        <w:t>Supplier</w:t>
      </w:r>
      <w:r>
        <w:rPr>
          <w:b/>
          <w:color w:val="000000"/>
          <w:highlight w:val="yellow"/>
        </w:rPr>
        <w:t xml:space="preserve"> or Buyer</w:t>
      </w:r>
      <w:r>
        <w:t xml:space="preserve">]: </w:t>
      </w:r>
    </w:p>
    <w:p w14:paraId="58CBB99E" w14:textId="3B267345" w:rsidR="00A26C2A" w:rsidRDefault="00F72A3D" w:rsidP="00F72A3D">
      <w:pPr>
        <w:spacing w:before="280" w:after="120" w:line="240" w:lineRule="auto"/>
        <w:ind w:leftChars="0" w:left="720" w:firstLineChars="0" w:firstLine="0"/>
        <w:jc w:val="both"/>
      </w:pPr>
      <w:r>
        <w:t xml:space="preserve">(a) </w:t>
      </w:r>
      <w:r w:rsidR="008C39B4">
        <w:t xml:space="preserve">is the exclusive point of contact for Data Subjects and is responsible for using all reasonable endeavours to comply with the UK GDPR regarding the exercise by Data Subjects of their rights under the UK </w:t>
      </w:r>
      <w:proofErr w:type="gramStart"/>
      <w:r w:rsidR="008C39B4">
        <w:t>GDPR;</w:t>
      </w:r>
      <w:proofErr w:type="gramEnd"/>
    </w:p>
    <w:p w14:paraId="1A9CD7D0" w14:textId="62430B8B" w:rsidR="00A26C2A" w:rsidRDefault="00F72A3D" w:rsidP="00F72A3D">
      <w:pPr>
        <w:spacing w:before="280" w:after="120" w:line="240" w:lineRule="auto"/>
        <w:ind w:leftChars="0" w:left="720" w:firstLineChars="0" w:firstLine="0"/>
        <w:jc w:val="both"/>
      </w:pPr>
      <w:r>
        <w:t xml:space="preserve">(b) </w:t>
      </w:r>
      <w:r w:rsidR="008C39B4">
        <w:t xml:space="preserve">shall direct Data Subjects to its Data Protection Officer or suitable alternative in connection with the exercise of their rights as Data Subjects and for any enquiries concerning their Personal Data or </w:t>
      </w:r>
      <w:proofErr w:type="gramStart"/>
      <w:r w:rsidR="008C39B4">
        <w:t>privacy;</w:t>
      </w:r>
      <w:proofErr w:type="gramEnd"/>
    </w:p>
    <w:p w14:paraId="0E10123E" w14:textId="772B71FF" w:rsidR="00A26C2A" w:rsidRDefault="00F72A3D" w:rsidP="00F72A3D">
      <w:pPr>
        <w:spacing w:before="280" w:after="120" w:line="240" w:lineRule="auto"/>
        <w:ind w:leftChars="0" w:left="720" w:firstLineChars="0" w:firstLine="0"/>
        <w:jc w:val="both"/>
      </w:pPr>
      <w:r>
        <w:t xml:space="preserve">(c) </w:t>
      </w:r>
      <w:r w:rsidR="008C39B4">
        <w:t xml:space="preserve">is solely responsible for the Parties’ compliance with all duties to provide information to Data Subjects under Articles 13 and 14 of the UK </w:t>
      </w:r>
      <w:proofErr w:type="gramStart"/>
      <w:r w:rsidR="008C39B4">
        <w:t>GDPR;</w:t>
      </w:r>
      <w:proofErr w:type="gramEnd"/>
    </w:p>
    <w:p w14:paraId="19989989" w14:textId="56AE147E" w:rsidR="00A26C2A" w:rsidRDefault="00F72A3D" w:rsidP="00F72A3D">
      <w:pPr>
        <w:spacing w:before="280" w:after="120" w:line="240" w:lineRule="auto"/>
        <w:ind w:leftChars="0" w:left="720" w:firstLineChars="0" w:firstLine="0"/>
        <w:jc w:val="both"/>
      </w:pPr>
      <w:r>
        <w:t xml:space="preserve">(d) </w:t>
      </w:r>
      <w:r w:rsidR="008C39B4">
        <w:t xml:space="preserve">is responsible for obtaining the informed consent of Data Subjects, in accordance with the UK GDPR, for Processing in connection with the </w:t>
      </w:r>
      <w:r w:rsidR="008C39B4">
        <w:rPr>
          <w:color w:val="000000"/>
        </w:rPr>
        <w:t>Services</w:t>
      </w:r>
      <w:r w:rsidR="008C39B4">
        <w:t xml:space="preserve"> where consent is the relevant legal basis for that Processing; and</w:t>
      </w:r>
    </w:p>
    <w:p w14:paraId="0E46DB6A" w14:textId="1614CA96" w:rsidR="00A26C2A" w:rsidRDefault="00F72A3D" w:rsidP="00F72A3D">
      <w:pPr>
        <w:spacing w:before="280" w:after="120" w:line="240" w:lineRule="auto"/>
        <w:ind w:leftChars="0" w:left="720" w:firstLineChars="0" w:firstLine="0"/>
        <w:jc w:val="both"/>
      </w:pPr>
      <w:r>
        <w:t xml:space="preserve">(e) </w:t>
      </w:r>
      <w:r w:rsidR="008C39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8C39B4">
        <w:rPr>
          <w:b/>
          <w:color w:val="000000"/>
        </w:rPr>
        <w:t xml:space="preserve">select: </w:t>
      </w:r>
      <w:r w:rsidR="008C39B4">
        <w:t>Supplier’s</w:t>
      </w:r>
      <w:r w:rsidR="008C39B4">
        <w:rPr>
          <w:b/>
          <w:color w:val="000000"/>
        </w:rPr>
        <w:t xml:space="preserve"> or Buyer’s</w:t>
      </w:r>
      <w:r w:rsidR="008C39B4">
        <w:t>] privacy policy (which must be readily available by hyperlink or otherwise on all of its public facing services and marketing).</w:t>
      </w:r>
    </w:p>
    <w:p w14:paraId="4F5C1F4A" w14:textId="36ACA8FF" w:rsidR="00A26C2A" w:rsidRDefault="008C39B4" w:rsidP="00F72A3D">
      <w:pPr>
        <w:ind w:left="0" w:hanging="2"/>
      </w:pPr>
      <w:r>
        <w:t xml:space="preserve">1.3 </w:t>
      </w:r>
      <w:r w:rsidR="00F72A3D">
        <w:tab/>
      </w:r>
      <w:r>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Default="00A26C2A">
      <w:pPr>
        <w:ind w:left="0" w:hanging="2"/>
      </w:pPr>
    </w:p>
    <w:p w14:paraId="7398330A" w14:textId="352B610A" w:rsidR="00A26C2A" w:rsidRDefault="00F72A3D" w:rsidP="00F72A3D">
      <w:pPr>
        <w:pStyle w:val="Heading3"/>
        <w:ind w:left="1" w:hanging="3"/>
      </w:pPr>
      <w:r>
        <w:t xml:space="preserve">2. </w:t>
      </w:r>
      <w:r w:rsidR="008C39B4">
        <w:t>Undertakings of both Parties</w:t>
      </w:r>
    </w:p>
    <w:p w14:paraId="30EB051D" w14:textId="6991D9E8" w:rsidR="00A26C2A" w:rsidRDefault="008C39B4" w:rsidP="008C39B4">
      <w:pPr>
        <w:pStyle w:val="ListParagraph"/>
        <w:numPr>
          <w:ilvl w:val="1"/>
          <w:numId w:val="45"/>
        </w:numPr>
        <w:spacing w:after="240" w:line="240" w:lineRule="auto"/>
        <w:ind w:leftChars="0" w:firstLineChars="0"/>
        <w:jc w:val="both"/>
      </w:pPr>
      <w:r w:rsidRPr="00F72A3D">
        <w:rPr>
          <w:color w:val="000000"/>
        </w:rPr>
        <w:t xml:space="preserve">The Supplier and Buyer each undertake that they shall: </w:t>
      </w:r>
    </w:p>
    <w:p w14:paraId="432FF463" w14:textId="09CA0B01" w:rsidR="00A26C2A" w:rsidRDefault="00F72A3D" w:rsidP="00F72A3D">
      <w:pPr>
        <w:spacing w:before="280" w:after="120" w:line="240" w:lineRule="auto"/>
        <w:ind w:leftChars="0" w:left="100" w:firstLineChars="0" w:firstLine="260"/>
        <w:jc w:val="both"/>
      </w:pPr>
      <w:r>
        <w:t xml:space="preserve">(a) </w:t>
      </w:r>
      <w:r w:rsidR="008C39B4">
        <w:t xml:space="preserve">report to the other Party every </w:t>
      </w:r>
      <w:r w:rsidR="008C39B4" w:rsidRPr="00F72A3D">
        <w:rPr>
          <w:highlight w:val="yellow"/>
        </w:rPr>
        <w:t>[x]</w:t>
      </w:r>
      <w:r w:rsidR="008C39B4">
        <w:t xml:space="preserve"> </w:t>
      </w:r>
      <w:proofErr w:type="gramStart"/>
      <w:r w:rsidR="008C39B4">
        <w:t>months</w:t>
      </w:r>
      <w:proofErr w:type="gramEnd"/>
      <w:r w:rsidR="008C39B4">
        <w:t xml:space="preserve"> on:</w:t>
      </w:r>
    </w:p>
    <w:p w14:paraId="21BF656A" w14:textId="016D3826" w:rsidR="00A26C2A" w:rsidRDefault="00F72A3D" w:rsidP="00F72A3D">
      <w:pPr>
        <w:tabs>
          <w:tab w:val="left" w:pos="720"/>
        </w:tabs>
        <w:spacing w:before="280" w:after="120" w:line="240" w:lineRule="auto"/>
        <w:ind w:leftChars="720" w:left="1584" w:firstLineChars="0" w:firstLine="0"/>
        <w:jc w:val="both"/>
      </w:pPr>
      <w:r>
        <w:t>(</w:t>
      </w:r>
      <w:proofErr w:type="spellStart"/>
      <w:r>
        <w:t>i</w:t>
      </w:r>
      <w:proofErr w:type="spellEnd"/>
      <w:r>
        <w:t xml:space="preserve">) </w:t>
      </w:r>
      <w:r w:rsidR="008C39B4">
        <w:t xml:space="preserve">the volume of Data Subject Access Request (or purported Data </w:t>
      </w:r>
      <w:proofErr w:type="gramStart"/>
      <w:r w:rsidR="008C39B4">
        <w:t>Subject  Access</w:t>
      </w:r>
      <w:proofErr w:type="gramEnd"/>
      <w:r w:rsidR="008C39B4">
        <w:t xml:space="preserve"> Requests) from Data Subjects (or third parties on their behalf</w:t>
      </w:r>
      <w:proofErr w:type="gramStart"/>
      <w:r w:rsidR="008C39B4">
        <w:t>);</w:t>
      </w:r>
      <w:proofErr w:type="gramEnd"/>
    </w:p>
    <w:p w14:paraId="46A2591E" w14:textId="78E1CFB4" w:rsidR="00A26C2A" w:rsidRDefault="00F72A3D" w:rsidP="00F72A3D">
      <w:pPr>
        <w:tabs>
          <w:tab w:val="left" w:pos="720"/>
        </w:tabs>
        <w:spacing w:before="280" w:after="120" w:line="240" w:lineRule="auto"/>
        <w:ind w:leftChars="720" w:left="1584" w:firstLineChars="0" w:firstLine="0"/>
        <w:jc w:val="both"/>
      </w:pPr>
      <w:r>
        <w:t xml:space="preserve">(ii) </w:t>
      </w:r>
      <w:r w:rsidR="008C39B4">
        <w:t xml:space="preserve">the volume of requests from Data Subjects (or third parties on their behalf) to rectify, block or erase any Personal </w:t>
      </w:r>
      <w:proofErr w:type="gramStart"/>
      <w:r w:rsidR="008C39B4">
        <w:t>Data;</w:t>
      </w:r>
      <w:proofErr w:type="gramEnd"/>
      <w:r w:rsidR="008C39B4">
        <w:t xml:space="preserve"> </w:t>
      </w:r>
    </w:p>
    <w:p w14:paraId="5D41A3EC" w14:textId="43BE0BCD" w:rsidR="00A26C2A" w:rsidRDefault="00F72A3D" w:rsidP="00F72A3D">
      <w:pPr>
        <w:spacing w:before="280" w:after="120" w:line="240" w:lineRule="auto"/>
        <w:ind w:leftChars="0" w:left="1440" w:firstLineChars="0" w:firstLine="0"/>
        <w:jc w:val="both"/>
      </w:pPr>
      <w:r>
        <w:t xml:space="preserve">(iii) </w:t>
      </w:r>
      <w:r w:rsidR="008C39B4">
        <w:t xml:space="preserve">any other requests, complaints or communications from Data Subjects (or third parties on their behalf) relating to the other Party’s obligations under applicable Data Protection </w:t>
      </w:r>
      <w:proofErr w:type="gramStart"/>
      <w:r w:rsidR="008C39B4">
        <w:t>Legislation;</w:t>
      </w:r>
      <w:proofErr w:type="gramEnd"/>
    </w:p>
    <w:p w14:paraId="3A3A6E46" w14:textId="796ACC57" w:rsidR="00A26C2A" w:rsidRDefault="00F72A3D" w:rsidP="00F72A3D">
      <w:pPr>
        <w:spacing w:before="280" w:after="120" w:line="240" w:lineRule="auto"/>
        <w:ind w:leftChars="0" w:left="1440" w:firstLineChars="0" w:firstLine="0"/>
        <w:jc w:val="both"/>
      </w:pPr>
      <w:r>
        <w:t xml:space="preserve">(iv) </w:t>
      </w:r>
      <w:r w:rsidR="008C39B4">
        <w:t>any communications from the Information Commissioner or any other regulatory authority in connection with Personal Data; and</w:t>
      </w:r>
    </w:p>
    <w:p w14:paraId="6EA54F97" w14:textId="25403778" w:rsidR="00A26C2A" w:rsidRDefault="00F72A3D" w:rsidP="00F72A3D">
      <w:pPr>
        <w:spacing w:before="280" w:after="120" w:line="240" w:lineRule="auto"/>
        <w:ind w:leftChars="0" w:left="1440" w:firstLineChars="0" w:firstLine="0"/>
        <w:jc w:val="both"/>
      </w:pPr>
      <w:r>
        <w:t xml:space="preserve">(v) </w:t>
      </w:r>
      <w:r w:rsidR="008C39B4">
        <w:t>any requests from any third party for disclosure of Personal Data where compliance with such request is required or purported to be required by Law,</w:t>
      </w:r>
      <w:r w:rsidR="008C39B4">
        <w:rPr>
          <w:color w:val="000000"/>
        </w:rPr>
        <w:t xml:space="preserve"> that it has received in relation to the subject matter of the Framework Agreement during that </w:t>
      </w:r>
      <w:proofErr w:type="gramStart"/>
      <w:r w:rsidR="008C39B4">
        <w:rPr>
          <w:color w:val="000000"/>
        </w:rPr>
        <w:t>period;</w:t>
      </w:r>
      <w:proofErr w:type="gramEnd"/>
      <w:r w:rsidR="008C39B4">
        <w:rPr>
          <w:color w:val="000000"/>
        </w:rPr>
        <w:t xml:space="preserve"> </w:t>
      </w:r>
    </w:p>
    <w:p w14:paraId="56EB3DBA" w14:textId="6AF8CA8A" w:rsidR="00A26C2A" w:rsidRDefault="00F72A3D" w:rsidP="00F72A3D">
      <w:pPr>
        <w:spacing w:before="280" w:after="120" w:line="240" w:lineRule="auto"/>
        <w:ind w:leftChars="0" w:left="720" w:firstLineChars="0" w:firstLine="0"/>
        <w:jc w:val="both"/>
      </w:pPr>
      <w:r>
        <w:t xml:space="preserve">(b) </w:t>
      </w:r>
      <w:r w:rsidR="008C39B4">
        <w:t>notify each other immediately if it receives any request, complaint or communication made as referred to in Clauses 2.1(a)(</w:t>
      </w:r>
      <w:proofErr w:type="spellStart"/>
      <w:r w:rsidR="008C39B4">
        <w:t>i</w:t>
      </w:r>
      <w:proofErr w:type="spellEnd"/>
      <w:r w:rsidR="008C39B4">
        <w:t>) to (v</w:t>
      </w:r>
      <w:proofErr w:type="gramStart"/>
      <w:r w:rsidR="008C39B4">
        <w:t>);</w:t>
      </w:r>
      <w:proofErr w:type="gramEnd"/>
      <w:r w:rsidR="008C39B4">
        <w:t xml:space="preserve"> </w:t>
      </w:r>
    </w:p>
    <w:p w14:paraId="19ABFBBD" w14:textId="35AAA7B0" w:rsidR="00A26C2A" w:rsidRDefault="00F72A3D" w:rsidP="00F72A3D">
      <w:pPr>
        <w:spacing w:before="280" w:after="120" w:line="240" w:lineRule="auto"/>
        <w:ind w:leftChars="0" w:left="720" w:firstLineChars="0" w:firstLine="0"/>
        <w:jc w:val="both"/>
      </w:pPr>
      <w:r>
        <w:t xml:space="preserve">(c) </w:t>
      </w:r>
      <w:r w:rsidR="008C39B4">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008C39B4">
        <w:t>Legislation;</w:t>
      </w:r>
      <w:proofErr w:type="gramEnd"/>
    </w:p>
    <w:p w14:paraId="75E53C1A" w14:textId="1A3AD035" w:rsidR="00A26C2A" w:rsidRDefault="00F72A3D" w:rsidP="00F72A3D">
      <w:pPr>
        <w:spacing w:before="280" w:after="120" w:line="240" w:lineRule="auto"/>
        <w:ind w:leftChars="0" w:left="720" w:firstLineChars="0" w:firstLine="0"/>
        <w:jc w:val="both"/>
      </w:pPr>
      <w:r>
        <w:t xml:space="preserve">(d) </w:t>
      </w:r>
      <w:r w:rsidR="008C39B4">
        <w:t xml:space="preserve">not disclose or transfer the Personal Data to any third party unless necessary for the provision of the </w:t>
      </w:r>
      <w:r w:rsidR="008C39B4">
        <w:rPr>
          <w:color w:val="000000"/>
        </w:rPr>
        <w:t>Services</w:t>
      </w:r>
      <w:r w:rsidR="008C39B4">
        <w:t xml:space="preserve"> and, for any disclosure or transfer of Personal Data to any third party, (save where such disclosure or transfer is specifically authorised under the </w:t>
      </w:r>
      <w:r w:rsidR="008C39B4">
        <w:rPr>
          <w:color w:val="000000"/>
        </w:rPr>
        <w:t>Framework Agreement</w:t>
      </w:r>
      <w:r w:rsidR="008C39B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proofErr w:type="gramStart"/>
      <w:r w:rsidR="008C39B4">
        <w:t>Annex;</w:t>
      </w:r>
      <w:proofErr w:type="gramEnd"/>
    </w:p>
    <w:p w14:paraId="763FA55B" w14:textId="7A456997" w:rsidR="00A26C2A" w:rsidRDefault="003C6C57" w:rsidP="003C6C57">
      <w:pPr>
        <w:spacing w:before="280" w:after="120" w:line="240" w:lineRule="auto"/>
        <w:ind w:leftChars="0" w:left="720" w:firstLineChars="0" w:firstLine="0"/>
        <w:jc w:val="both"/>
      </w:pPr>
      <w:r>
        <w:t xml:space="preserve">(e) </w:t>
      </w:r>
      <w:r w:rsidR="008C39B4">
        <w:t xml:space="preserve">request from the Data Subject only the minimum information necessary to provide the </w:t>
      </w:r>
      <w:r w:rsidR="008C39B4">
        <w:rPr>
          <w:color w:val="000000"/>
        </w:rPr>
        <w:t>Services</w:t>
      </w:r>
      <w:r w:rsidR="008C39B4">
        <w:t xml:space="preserve"> and treat such extracted information as Confidential </w:t>
      </w:r>
      <w:proofErr w:type="gramStart"/>
      <w:r w:rsidR="008C39B4">
        <w:t>Information;</w:t>
      </w:r>
      <w:proofErr w:type="gramEnd"/>
    </w:p>
    <w:p w14:paraId="02B79444" w14:textId="6D6B9648" w:rsidR="00A26C2A" w:rsidRDefault="003C6C57" w:rsidP="003C6C57">
      <w:pPr>
        <w:spacing w:before="280" w:after="120" w:line="240" w:lineRule="auto"/>
        <w:ind w:leftChars="0" w:left="720" w:firstLineChars="0" w:firstLine="0"/>
        <w:jc w:val="both"/>
      </w:pPr>
      <w:r>
        <w:t xml:space="preserve">(f) </w:t>
      </w:r>
      <w:r w:rsidR="008C39B4">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008C39B4">
        <w:t>Data;</w:t>
      </w:r>
      <w:proofErr w:type="gramEnd"/>
    </w:p>
    <w:p w14:paraId="57BFA016" w14:textId="6B010718" w:rsidR="00A26C2A" w:rsidRDefault="003C6C57" w:rsidP="003C6C57">
      <w:pPr>
        <w:spacing w:before="280" w:after="120" w:line="240" w:lineRule="auto"/>
        <w:ind w:leftChars="0" w:left="720" w:firstLineChars="0" w:firstLine="0"/>
        <w:jc w:val="both"/>
      </w:pPr>
      <w:r>
        <w:t xml:space="preserve">(g) </w:t>
      </w:r>
      <w:r w:rsidR="008C39B4">
        <w:t>use all reasonable endeavours to ensure the reliability and integrity of any of its Personnel who have access to the Personal Data and ensure that its Personnel:</w:t>
      </w:r>
    </w:p>
    <w:p w14:paraId="6D6D4C5A" w14:textId="5BD6F6AA" w:rsidR="00A26C2A" w:rsidRDefault="003C6C57" w:rsidP="003C6C57">
      <w:pPr>
        <w:spacing w:before="280" w:after="120" w:line="240" w:lineRule="auto"/>
        <w:ind w:leftChars="0" w:left="1440" w:firstLineChars="0" w:firstLine="0"/>
        <w:jc w:val="both"/>
      </w:pPr>
      <w:r>
        <w:t>(</w:t>
      </w:r>
      <w:proofErr w:type="spellStart"/>
      <w:r>
        <w:t>i</w:t>
      </w:r>
      <w:proofErr w:type="spellEnd"/>
      <w:r>
        <w:t xml:space="preserve">) </w:t>
      </w:r>
      <w:r w:rsidR="008C39B4">
        <w:t xml:space="preserve">are aware of and comply with their duties under this Annex 2 (Joint Controller Agreement) and those in respect of Confidential </w:t>
      </w:r>
      <w:proofErr w:type="gramStart"/>
      <w:r w:rsidR="008C39B4">
        <w:t>Information;</w:t>
      </w:r>
      <w:proofErr w:type="gramEnd"/>
      <w:r w:rsidR="008C39B4">
        <w:t xml:space="preserve"> </w:t>
      </w:r>
    </w:p>
    <w:p w14:paraId="1516F9CE" w14:textId="41EB6345" w:rsidR="00A26C2A" w:rsidRDefault="003C6C57" w:rsidP="003C6C57">
      <w:pPr>
        <w:spacing w:before="280" w:after="120" w:line="240" w:lineRule="auto"/>
        <w:ind w:leftChars="0" w:left="1440" w:firstLineChars="0" w:firstLine="0"/>
        <w:jc w:val="both"/>
      </w:pPr>
      <w:r>
        <w:t xml:space="preserve">(ii) </w:t>
      </w:r>
      <w:r w:rsidR="008C39B4">
        <w:t xml:space="preserve">are informed of the confidential nature of the Personal Data, are subject to appropriate obligations of confidentiality and do not publish, disclose or divulge any of the Personal Data to any third party where </w:t>
      </w:r>
      <w:proofErr w:type="gramStart"/>
      <w:r w:rsidR="008C39B4">
        <w:t>the that</w:t>
      </w:r>
      <w:proofErr w:type="gramEnd"/>
      <w:r w:rsidR="008C39B4">
        <w:t xml:space="preserve"> Party would not be permitted to do so; and</w:t>
      </w:r>
    </w:p>
    <w:p w14:paraId="2D7A16E6" w14:textId="057C7BC7" w:rsidR="00A26C2A" w:rsidRDefault="003C6C57" w:rsidP="003C6C57">
      <w:pPr>
        <w:spacing w:before="280" w:after="120" w:line="240" w:lineRule="auto"/>
        <w:ind w:leftChars="0" w:left="1440" w:firstLineChars="0" w:firstLine="0"/>
        <w:jc w:val="both"/>
      </w:pPr>
      <w:r>
        <w:t xml:space="preserve">(iii) </w:t>
      </w:r>
      <w:r w:rsidR="008C39B4">
        <w:t xml:space="preserve">have undergone adequate training in the use, care, protection and handling of personal data as required by the applicable Data Protection </w:t>
      </w:r>
      <w:proofErr w:type="gramStart"/>
      <w:r w:rsidR="008C39B4">
        <w:t>Legislation;</w:t>
      </w:r>
      <w:proofErr w:type="gramEnd"/>
    </w:p>
    <w:p w14:paraId="3FCD3ED6" w14:textId="26DBF533" w:rsidR="00A26C2A" w:rsidRDefault="003C6C57" w:rsidP="003C6C57">
      <w:pPr>
        <w:spacing w:before="280" w:after="120" w:line="240" w:lineRule="auto"/>
        <w:ind w:leftChars="0" w:left="720" w:firstLineChars="0" w:firstLine="0"/>
        <w:jc w:val="both"/>
      </w:pPr>
      <w:r>
        <w:t xml:space="preserve">(h) </w:t>
      </w:r>
      <w:r w:rsidR="008C39B4">
        <w:t>ensure that it has in place Protective Measures as appropriate to protect against a Personal Data Breach having taken account of the:</w:t>
      </w:r>
    </w:p>
    <w:p w14:paraId="3FF063F2" w14:textId="1E0D15CD" w:rsidR="00A26C2A" w:rsidRDefault="003C6C57" w:rsidP="003C6C57">
      <w:pPr>
        <w:pBdr>
          <w:top w:val="nil"/>
          <w:left w:val="nil"/>
          <w:bottom w:val="nil"/>
          <w:right w:val="nil"/>
          <w:between w:val="nil"/>
        </w:pBdr>
        <w:spacing w:before="280" w:after="120" w:line="240" w:lineRule="auto"/>
        <w:ind w:leftChars="0" w:left="720" w:firstLineChars="0" w:firstLine="720"/>
        <w:jc w:val="both"/>
      </w:pPr>
      <w:r>
        <w:t>(</w:t>
      </w:r>
      <w:proofErr w:type="spellStart"/>
      <w:r>
        <w:t>i</w:t>
      </w:r>
      <w:proofErr w:type="spellEnd"/>
      <w:r>
        <w:t xml:space="preserve">) </w:t>
      </w:r>
      <w:r w:rsidR="008C39B4">
        <w:t xml:space="preserve">nature of the data to be </w:t>
      </w:r>
      <w:proofErr w:type="gramStart"/>
      <w:r w:rsidR="008C39B4">
        <w:t>protected;</w:t>
      </w:r>
      <w:proofErr w:type="gramEnd"/>
    </w:p>
    <w:p w14:paraId="04370A58" w14:textId="705965E2"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 </w:t>
      </w:r>
      <w:r w:rsidR="008C39B4">
        <w:t xml:space="preserve">harm that might result from a Personal Data </w:t>
      </w:r>
      <w:proofErr w:type="gramStart"/>
      <w:r w:rsidR="008C39B4">
        <w:t>Breach;</w:t>
      </w:r>
      <w:proofErr w:type="gramEnd"/>
    </w:p>
    <w:p w14:paraId="4E9473C3" w14:textId="3C5942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state of technological development; and</w:t>
      </w:r>
    </w:p>
    <w:p w14:paraId="3029D69C" w14:textId="46B4BC5B"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(iv) </w:t>
      </w:r>
      <w:r w:rsidR="008C39B4">
        <w:t xml:space="preserve">cost of implementing any </w:t>
      </w:r>
      <w:proofErr w:type="gramStart"/>
      <w:r w:rsidR="008C39B4">
        <w:t>measures;</w:t>
      </w:r>
      <w:proofErr w:type="gramEnd"/>
    </w:p>
    <w:p w14:paraId="501ADF2F" w14:textId="40763FD6" w:rsidR="00A26C2A" w:rsidRDefault="003C6C57" w:rsidP="003C6C57">
      <w:pPr>
        <w:spacing w:before="280" w:after="120" w:line="240" w:lineRule="auto"/>
        <w:ind w:leftChars="0" w:left="720" w:firstLineChars="0" w:firstLine="0"/>
        <w:jc w:val="both"/>
      </w:pPr>
      <w:r>
        <w:t>(</w:t>
      </w:r>
      <w:proofErr w:type="spellStart"/>
      <w:r>
        <w:t>i</w:t>
      </w:r>
      <w:proofErr w:type="spellEnd"/>
      <w:r>
        <w:t xml:space="preserve">) </w:t>
      </w:r>
      <w:r w:rsidR="008C39B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(j) </w:t>
      </w:r>
      <w:r w:rsidR="008C39B4">
        <w:t xml:space="preserve">ensure that it notifies the other Party as soon as it becomes aware of a Personal Data Breach. </w:t>
      </w:r>
    </w:p>
    <w:p w14:paraId="043F93B0" w14:textId="5C13D0C7"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(k) </w:t>
      </w:r>
      <w:r w:rsidR="008C39B4">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Default="003C6C57" w:rsidP="003C6C57">
      <w:pPr>
        <w:pBdr>
          <w:top w:val="nil"/>
          <w:left w:val="nil"/>
          <w:bottom w:val="nil"/>
          <w:right w:val="nil"/>
          <w:between w:val="nil"/>
        </w:pBdr>
        <w:spacing w:before="280" w:after="120" w:line="240" w:lineRule="auto"/>
        <w:ind w:leftChars="0" w:left="1440" w:firstLineChars="0" w:firstLine="0"/>
        <w:jc w:val="both"/>
      </w:pPr>
      <w:r>
        <w:t>(</w:t>
      </w:r>
      <w:proofErr w:type="spellStart"/>
      <w:r>
        <w:t>i</w:t>
      </w:r>
      <w:proofErr w:type="spellEnd"/>
      <w:r>
        <w:t xml:space="preserve">) </w:t>
      </w:r>
      <w:r w:rsidR="008C39B4">
        <w:t>the destination country has been recognised as adequate by the UK government in accordance with Article 45 of the UK GDPR or DPA 2018 Section 74; or</w:t>
      </w:r>
    </w:p>
    <w:p w14:paraId="39D98BED" w14:textId="4279DB91"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Pr>
          <w:b/>
        </w:rPr>
        <w:t>IDTA</w:t>
      </w:r>
      <w:r w:rsidR="008C39B4">
        <w:t xml:space="preserve">”), or International Data Transfer Agreement Addendum to the European Commission’s SCCs (“the </w:t>
      </w:r>
      <w:r w:rsidR="008C39B4">
        <w:rPr>
          <w:b/>
        </w:rPr>
        <w:t>Addendum</w:t>
      </w:r>
      <w:r w:rsidR="008C39B4">
        <w:t>”), as published by the Information Commissioner’s Office from time to time, as well as any additional measures;</w:t>
      </w:r>
    </w:p>
    <w:p w14:paraId="69D9E3E7" w14:textId="57E925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 xml:space="preserve">the Data Subject has enforceable rights and effective legal </w:t>
      </w:r>
      <w:proofErr w:type="gramStart"/>
      <w:r w:rsidR="008C39B4">
        <w:t>remedies;</w:t>
      </w:r>
      <w:proofErr w:type="gramEnd"/>
    </w:p>
    <w:p w14:paraId="670908D4" w14:textId="06EB2310"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 and</w:t>
      </w:r>
    </w:p>
    <w:p w14:paraId="28932F26" w14:textId="050B8295"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(l) </w:t>
      </w:r>
      <w:r w:rsidR="008C39B4">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Default="003C6C57" w:rsidP="003C6C57">
      <w:pPr>
        <w:pBdr>
          <w:top w:val="nil"/>
          <w:left w:val="nil"/>
          <w:bottom w:val="nil"/>
          <w:right w:val="nil"/>
          <w:between w:val="nil"/>
        </w:pBdr>
        <w:spacing w:before="280" w:after="120" w:line="240" w:lineRule="auto"/>
        <w:ind w:leftChars="0" w:left="720" w:firstLineChars="0" w:firstLine="720"/>
        <w:jc w:val="both"/>
      </w:pPr>
      <w:r>
        <w:t>(</w:t>
      </w:r>
      <w:proofErr w:type="spellStart"/>
      <w:r>
        <w:t>i</w:t>
      </w:r>
      <w:proofErr w:type="spellEnd"/>
      <w:r>
        <w:t xml:space="preserve">) </w:t>
      </w:r>
      <w:r w:rsidR="008C39B4">
        <w:t>the transfer is in accordance with Article 45 of the EU GDPR; or</w:t>
      </w:r>
    </w:p>
    <w:p w14:paraId="42940D7E" w14:textId="0092D4D5"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 xml:space="preserve">the Data Subject has enforceable rights and effective legal </w:t>
      </w:r>
      <w:proofErr w:type="gramStart"/>
      <w:r w:rsidR="008C39B4">
        <w:t>remedies;</w:t>
      </w:r>
      <w:proofErr w:type="gramEnd"/>
    </w:p>
    <w:p w14:paraId="70AF2EF0" w14:textId="434BC62A"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w:t>
      </w:r>
    </w:p>
    <w:p w14:paraId="61D6FE13" w14:textId="77107383" w:rsidR="00A26C2A" w:rsidRDefault="003C6C57" w:rsidP="003C6C57">
      <w:pPr>
        <w:spacing w:after="240" w:line="240" w:lineRule="auto"/>
        <w:ind w:leftChars="0" w:left="0" w:firstLineChars="0" w:firstLine="0"/>
        <w:jc w:val="both"/>
      </w:pPr>
      <w:r>
        <w:rPr>
          <w:color w:val="000000"/>
        </w:rPr>
        <w:t xml:space="preserve">2.2 </w:t>
      </w:r>
      <w:r w:rsidR="008C39B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Default="003C6C57" w:rsidP="003C6C57">
      <w:pPr>
        <w:pStyle w:val="Heading3"/>
        <w:ind w:left="1" w:hanging="3"/>
      </w:pPr>
      <w:r>
        <w:t xml:space="preserve">3. </w:t>
      </w:r>
      <w:r w:rsidR="008C39B4">
        <w:t>Data Protection Breach</w:t>
      </w:r>
    </w:p>
    <w:p w14:paraId="54EC5C8B" w14:textId="09502087" w:rsidR="00A26C2A" w:rsidRDefault="003C6C57" w:rsidP="003C6C57">
      <w:pPr>
        <w:spacing w:after="240" w:line="240" w:lineRule="auto"/>
        <w:ind w:leftChars="0" w:left="0" w:firstLineChars="0" w:firstLine="0"/>
        <w:jc w:val="both"/>
      </w:pPr>
      <w:r>
        <w:rPr>
          <w:color w:val="000000"/>
        </w:rPr>
        <w:t xml:space="preserve">3.1 </w:t>
      </w:r>
      <w:r w:rsidR="008C39B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Default="003C6C57" w:rsidP="003C6C57">
      <w:pPr>
        <w:spacing w:before="280" w:after="120" w:line="240" w:lineRule="auto"/>
        <w:ind w:leftChars="0" w:left="720" w:firstLineChars="0" w:firstLine="0"/>
        <w:jc w:val="both"/>
      </w:pPr>
      <w:r>
        <w:t xml:space="preserve">(a) </w:t>
      </w:r>
      <w:r w:rsidR="008C39B4">
        <w:t>sufficient information and in a timescale which allows the other Party to meet any obligations to report a Personal Data Breach under the Data Protection Legislation; and</w:t>
      </w:r>
    </w:p>
    <w:p w14:paraId="4961F320" w14:textId="3CD726E7" w:rsidR="00A26C2A" w:rsidRDefault="003C6C57" w:rsidP="003C6C57">
      <w:pPr>
        <w:spacing w:before="280" w:after="120" w:line="240" w:lineRule="auto"/>
        <w:ind w:leftChars="0" w:left="0" w:firstLineChars="0" w:firstLine="720"/>
        <w:jc w:val="both"/>
      </w:pPr>
      <w:r>
        <w:t xml:space="preserve">(b) </w:t>
      </w:r>
      <w:r w:rsidR="008C39B4">
        <w:t>all reasonable assistance, including:</w:t>
      </w:r>
    </w:p>
    <w:p w14:paraId="4DB901AB" w14:textId="00AD85A6" w:rsidR="00A26C2A" w:rsidRDefault="003C6C57" w:rsidP="003C6C57">
      <w:pPr>
        <w:spacing w:before="280" w:after="120" w:line="240" w:lineRule="auto"/>
        <w:ind w:leftChars="0" w:left="1440" w:firstLineChars="0" w:firstLine="0"/>
        <w:jc w:val="both"/>
      </w:pPr>
      <w:r>
        <w:t>(</w:t>
      </w:r>
      <w:proofErr w:type="spellStart"/>
      <w:r>
        <w:t>i</w:t>
      </w:r>
      <w:proofErr w:type="spellEnd"/>
      <w:r>
        <w:t xml:space="preserve">) </w:t>
      </w:r>
      <w:r w:rsidR="008C39B4">
        <w:t xml:space="preserve">co-operation with the other Party and the Information Commissioner investigating the Personal Data Breach and its cause, containing and recovering the compromised Personal Data and compliance with the applicable </w:t>
      </w:r>
      <w:proofErr w:type="gramStart"/>
      <w:r w:rsidR="008C39B4">
        <w:t>guidance;</w:t>
      </w:r>
      <w:proofErr w:type="gramEnd"/>
    </w:p>
    <w:p w14:paraId="4D81DE4D" w14:textId="131F3FE8" w:rsidR="00A26C2A" w:rsidRDefault="003C6C57" w:rsidP="003C6C57">
      <w:pPr>
        <w:spacing w:before="280" w:after="120" w:line="240" w:lineRule="auto"/>
        <w:ind w:leftChars="0" w:left="1440" w:firstLineChars="0" w:firstLine="0"/>
        <w:jc w:val="both"/>
      </w:pPr>
      <w:r>
        <w:t xml:space="preserve">(ii) </w:t>
      </w:r>
      <w:r w:rsidR="008C39B4">
        <w:t>co-operation with the other Party including</w:t>
      </w:r>
      <w:r>
        <w:t xml:space="preserve"> </w:t>
      </w:r>
      <w:r w:rsidR="008C39B4">
        <w:t xml:space="preserve">using such reasonable endeavours as are directed by the other Party to assist in the investigation, mitigation and remediation of a Personal Data </w:t>
      </w:r>
      <w:proofErr w:type="gramStart"/>
      <w:r w:rsidR="008C39B4">
        <w:t>Breach;</w:t>
      </w:r>
      <w:proofErr w:type="gramEnd"/>
    </w:p>
    <w:p w14:paraId="0A3A205E" w14:textId="11DC07CD" w:rsidR="00A26C2A" w:rsidRDefault="003C6C57" w:rsidP="003C6C57">
      <w:pPr>
        <w:spacing w:before="280" w:after="120" w:line="240" w:lineRule="auto"/>
        <w:ind w:leftChars="0" w:left="1440" w:firstLineChars="0" w:firstLine="0"/>
        <w:jc w:val="both"/>
      </w:pPr>
      <w:r>
        <w:t xml:space="preserve">(iii) </w:t>
      </w:r>
      <w:r w:rsidR="008C39B4">
        <w:t>co-ordination with the other Party regarding the management of public relations and public statements relating to the Personal Data Breach; and/or</w:t>
      </w:r>
    </w:p>
    <w:p w14:paraId="72F87B4E" w14:textId="11648421" w:rsidR="00A26C2A" w:rsidRDefault="003C6C57" w:rsidP="003C6C57">
      <w:pPr>
        <w:spacing w:before="280" w:after="120" w:line="240" w:lineRule="auto"/>
        <w:ind w:leftChars="0" w:left="1440" w:firstLineChars="0" w:firstLine="0"/>
        <w:jc w:val="both"/>
      </w:pPr>
      <w:r>
        <w:t xml:space="preserve">(iv) </w:t>
      </w:r>
      <w:r w:rsidR="008C39B4">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Default="003C6C57" w:rsidP="003C6C57">
      <w:pPr>
        <w:spacing w:after="240" w:line="240" w:lineRule="auto"/>
        <w:ind w:leftChars="0" w:left="0" w:firstLineChars="0" w:firstLine="0"/>
        <w:jc w:val="both"/>
      </w:pPr>
      <w:r>
        <w:rPr>
          <w:color w:val="000000"/>
        </w:rPr>
        <w:t xml:space="preserve">3.2 </w:t>
      </w:r>
      <w:r w:rsidR="008C39B4">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Default="003C6C57" w:rsidP="003C6C57">
      <w:pPr>
        <w:spacing w:before="280" w:after="120" w:line="240" w:lineRule="auto"/>
        <w:ind w:leftChars="0" w:left="0" w:firstLineChars="0" w:firstLine="720"/>
        <w:jc w:val="both"/>
      </w:pPr>
      <w:r>
        <w:t xml:space="preserve">(a) </w:t>
      </w:r>
      <w:r w:rsidR="008C39B4">
        <w:t xml:space="preserve">the nature of the Personal Data </w:t>
      </w:r>
      <w:proofErr w:type="gramStart"/>
      <w:r w:rsidR="008C39B4">
        <w:t>Breach;</w:t>
      </w:r>
      <w:proofErr w:type="gramEnd"/>
      <w:r w:rsidR="008C39B4">
        <w:t xml:space="preserve"> </w:t>
      </w:r>
    </w:p>
    <w:p w14:paraId="40CBFB52" w14:textId="2C99AB6B" w:rsidR="00A26C2A" w:rsidRDefault="003C6C57" w:rsidP="003C6C57">
      <w:pPr>
        <w:spacing w:before="280" w:after="120" w:line="240" w:lineRule="auto"/>
        <w:ind w:leftChars="0" w:left="0" w:firstLineChars="0" w:firstLine="720"/>
        <w:jc w:val="both"/>
      </w:pPr>
      <w:r>
        <w:t xml:space="preserve">(b) </w:t>
      </w:r>
      <w:r w:rsidR="008C39B4">
        <w:t xml:space="preserve">the nature of Personal Data </w:t>
      </w:r>
      <w:proofErr w:type="gramStart"/>
      <w:r w:rsidR="008C39B4">
        <w:t>affected;</w:t>
      </w:r>
      <w:proofErr w:type="gramEnd"/>
    </w:p>
    <w:p w14:paraId="6C75492F" w14:textId="0117397E" w:rsidR="00A26C2A" w:rsidRDefault="003C6C57" w:rsidP="003C6C57">
      <w:pPr>
        <w:spacing w:before="280" w:after="120" w:line="240" w:lineRule="auto"/>
        <w:ind w:leftChars="0" w:left="100" w:firstLineChars="0" w:firstLine="620"/>
        <w:jc w:val="both"/>
      </w:pPr>
      <w:r>
        <w:t xml:space="preserve">(c) </w:t>
      </w:r>
      <w:r w:rsidR="008C39B4">
        <w:t xml:space="preserve">the categories and number of Data Subjects </w:t>
      </w:r>
      <w:proofErr w:type="gramStart"/>
      <w:r w:rsidR="008C39B4">
        <w:t>concerned;</w:t>
      </w:r>
      <w:proofErr w:type="gramEnd"/>
    </w:p>
    <w:p w14:paraId="6A858C74" w14:textId="42F028AF" w:rsidR="00A26C2A" w:rsidRDefault="003C6C57" w:rsidP="003C6C57">
      <w:pPr>
        <w:spacing w:before="280" w:after="120" w:line="240" w:lineRule="auto"/>
        <w:ind w:leftChars="0" w:left="720" w:firstLineChars="0" w:firstLine="0"/>
        <w:jc w:val="both"/>
      </w:pPr>
      <w:r>
        <w:t xml:space="preserve">(d) </w:t>
      </w:r>
      <w:r w:rsidR="008C39B4">
        <w:t xml:space="preserve">the name and contact details of the Supplier’s Data Protection Officer or other relevant contact from whom more information may be </w:t>
      </w:r>
      <w:proofErr w:type="gramStart"/>
      <w:r w:rsidR="008C39B4">
        <w:t>obtained;</w:t>
      </w:r>
      <w:proofErr w:type="gramEnd"/>
    </w:p>
    <w:p w14:paraId="206A2C10" w14:textId="3424CAB9" w:rsidR="00A26C2A" w:rsidRDefault="003C6C57" w:rsidP="003C6C57">
      <w:pPr>
        <w:spacing w:before="280" w:after="120" w:line="240" w:lineRule="auto"/>
        <w:ind w:leftChars="0" w:left="0" w:firstLineChars="0" w:firstLine="720"/>
        <w:jc w:val="both"/>
      </w:pPr>
      <w:r>
        <w:t xml:space="preserve">(e) </w:t>
      </w:r>
      <w:r w:rsidR="008C39B4">
        <w:t>measures taken or proposed to be taken to address the Personal Data Breach; and</w:t>
      </w:r>
    </w:p>
    <w:p w14:paraId="24292733" w14:textId="1CAC1EA9" w:rsidR="00A26C2A" w:rsidRDefault="003C6C57" w:rsidP="003C6C57">
      <w:pPr>
        <w:spacing w:before="280" w:after="120" w:line="240" w:lineRule="auto"/>
        <w:ind w:leftChars="0" w:left="100" w:firstLineChars="0" w:firstLine="620"/>
        <w:jc w:val="both"/>
      </w:pPr>
      <w:r>
        <w:t xml:space="preserve">(f) </w:t>
      </w:r>
      <w:r w:rsidR="008C39B4">
        <w:t>describe the likely consequences of the Personal Data Breach.</w:t>
      </w:r>
    </w:p>
    <w:p w14:paraId="59D18AA5" w14:textId="15191AA1" w:rsidR="00A26C2A" w:rsidRDefault="003C6C57" w:rsidP="003C6C57">
      <w:pPr>
        <w:pStyle w:val="Heading3"/>
        <w:ind w:left="1" w:hanging="3"/>
      </w:pPr>
      <w:r>
        <w:t xml:space="preserve">4. </w:t>
      </w:r>
      <w:r w:rsidR="008C39B4">
        <w:t>Audit</w:t>
      </w:r>
    </w:p>
    <w:p w14:paraId="56C0C1D8" w14:textId="6270D6B2" w:rsidR="00A26C2A" w:rsidRDefault="003C6C57" w:rsidP="003C6C57">
      <w:pPr>
        <w:spacing w:after="240" w:line="240" w:lineRule="auto"/>
        <w:ind w:leftChars="0" w:left="0" w:firstLineChars="0" w:firstLine="0"/>
        <w:jc w:val="both"/>
      </w:pPr>
      <w:r>
        <w:rPr>
          <w:color w:val="000000"/>
        </w:rPr>
        <w:t xml:space="preserve">4.1 </w:t>
      </w:r>
      <w:r w:rsidR="008C39B4">
        <w:rPr>
          <w:color w:val="000000"/>
        </w:rPr>
        <w:t>The Supplier shall permit:</w:t>
      </w:r>
      <w:r w:rsidR="008C39B4">
        <w:rPr>
          <w:color w:val="000000"/>
        </w:rPr>
        <w:tab/>
      </w:r>
    </w:p>
    <w:p w14:paraId="5CCB7926" w14:textId="00441D34" w:rsidR="00A26C2A" w:rsidRPr="003C6C57" w:rsidRDefault="003C6C57" w:rsidP="003C6C57">
      <w:pPr>
        <w:spacing w:before="280" w:after="120" w:line="240" w:lineRule="auto"/>
        <w:ind w:leftChars="0" w:left="720" w:firstLineChars="0" w:firstLine="0"/>
        <w:jc w:val="both"/>
      </w:pPr>
      <w:r>
        <w:rPr>
          <w:color w:val="000000"/>
        </w:rPr>
        <w:t xml:space="preserve">(a) </w:t>
      </w:r>
      <w:r w:rsidR="008C39B4">
        <w:rPr>
          <w:color w:val="000000"/>
        </w:rPr>
        <w:t>The Buyer</w:t>
      </w:r>
      <w:r w:rsidR="008C39B4">
        <w:t xml:space="preserve">, or a third-party auditor acting under </w:t>
      </w:r>
      <w:r w:rsidR="008C39B4">
        <w:rPr>
          <w:color w:val="000000"/>
        </w:rPr>
        <w:t>the Buyer’s</w:t>
      </w:r>
      <w:r w:rsidR="008C39B4">
        <w:t xml:space="preserve"> direction, to conduct, at </w:t>
      </w:r>
      <w:r w:rsidR="008C39B4">
        <w:rPr>
          <w:color w:val="000000"/>
        </w:rPr>
        <w:t>the Buyer’s</w:t>
      </w:r>
      <w:r w:rsidR="008C39B4">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Default="003C6C57" w:rsidP="003C6C57">
      <w:pPr>
        <w:spacing w:before="280" w:after="120" w:line="240" w:lineRule="auto"/>
        <w:ind w:leftChars="0" w:left="720" w:firstLineChars="0" w:firstLine="0"/>
        <w:jc w:val="both"/>
      </w:pPr>
      <w:r>
        <w:rPr>
          <w:color w:val="000000"/>
        </w:rPr>
        <w:t xml:space="preserve">(b) </w:t>
      </w:r>
      <w:r w:rsidR="008C39B4">
        <w:rPr>
          <w:color w:val="000000"/>
        </w:rPr>
        <w:t>The Buyer</w:t>
      </w:r>
      <w:r w:rsidR="008C39B4">
        <w:t xml:space="preserve">, or a third-party auditor acting under </w:t>
      </w:r>
      <w:r w:rsidR="008C39B4">
        <w:rPr>
          <w:color w:val="000000"/>
        </w:rPr>
        <w:t>the Buyer’s</w:t>
      </w:r>
      <w:r w:rsidR="008C39B4">
        <w:t xml:space="preserve"> direction, access to premises at which the Personal Data is accessible or at which it is able to inspect any relevant records, including the record maintained under Article 30 UK GDPR by the Supplier so far as relevant to the </w:t>
      </w:r>
      <w:r w:rsidR="008C39B4">
        <w:rPr>
          <w:color w:val="000000"/>
        </w:rPr>
        <w:t>Framework Agreement</w:t>
      </w:r>
      <w:r w:rsidR="008C39B4">
        <w:t xml:space="preserve">, and procedures, including premises under the control of any third party appointed by the Supplier to assist in the provision of the </w:t>
      </w:r>
      <w:r w:rsidR="008C39B4">
        <w:rPr>
          <w:color w:val="000000"/>
        </w:rPr>
        <w:t>Services</w:t>
      </w:r>
      <w:r w:rsidR="008C39B4">
        <w:t xml:space="preserve">. </w:t>
      </w:r>
    </w:p>
    <w:p w14:paraId="1183331A" w14:textId="77777777" w:rsidR="00A26C2A" w:rsidRDefault="00A26C2A">
      <w:pPr>
        <w:spacing w:before="280" w:after="120"/>
        <w:ind w:left="0" w:hanging="2"/>
        <w:jc w:val="both"/>
      </w:pPr>
    </w:p>
    <w:p w14:paraId="714C21A4" w14:textId="0976BC83" w:rsidR="00A26C2A" w:rsidRDefault="003C6C57" w:rsidP="003C6C57">
      <w:pPr>
        <w:spacing w:after="240" w:line="240" w:lineRule="auto"/>
        <w:ind w:leftChars="0" w:left="0" w:firstLineChars="0" w:firstLine="0"/>
        <w:jc w:val="both"/>
      </w:pPr>
      <w:r>
        <w:rPr>
          <w:color w:val="000000"/>
        </w:rPr>
        <w:t xml:space="preserve">4.2 </w:t>
      </w:r>
      <w:r w:rsidR="008C39B4">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Default="003C6C57" w:rsidP="003C6C57">
      <w:pPr>
        <w:pStyle w:val="Heading3"/>
        <w:ind w:left="1" w:hanging="3"/>
      </w:pPr>
      <w:r>
        <w:t xml:space="preserve">5. </w:t>
      </w:r>
      <w:r w:rsidR="008C39B4">
        <w:t>Impact Assessments</w:t>
      </w:r>
    </w:p>
    <w:p w14:paraId="53925CBB" w14:textId="51060EFF" w:rsidR="00A26C2A" w:rsidRDefault="003C6C57" w:rsidP="003C6C57">
      <w:pPr>
        <w:spacing w:after="240" w:line="240" w:lineRule="auto"/>
        <w:ind w:leftChars="0" w:left="0" w:firstLineChars="0" w:firstLine="0"/>
        <w:jc w:val="both"/>
      </w:pPr>
      <w:r>
        <w:rPr>
          <w:color w:val="000000"/>
        </w:rPr>
        <w:t xml:space="preserve">5.1 </w:t>
      </w:r>
      <w:r w:rsidR="008C39B4">
        <w:rPr>
          <w:color w:val="000000"/>
        </w:rPr>
        <w:t>The Parties shall:</w:t>
      </w:r>
    </w:p>
    <w:p w14:paraId="30FC4FBF" w14:textId="4EE28B22" w:rsidR="00A26C2A" w:rsidRDefault="003C6C57" w:rsidP="003C6C57">
      <w:pPr>
        <w:spacing w:before="280" w:after="120" w:line="240" w:lineRule="auto"/>
        <w:ind w:leftChars="0" w:left="720" w:firstLineChars="0" w:firstLine="0"/>
        <w:jc w:val="both"/>
      </w:pPr>
      <w:r>
        <w:t xml:space="preserve">(a) </w:t>
      </w:r>
      <w:r w:rsidR="008C39B4">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Default="00A26C2A">
      <w:pPr>
        <w:spacing w:after="80"/>
        <w:ind w:left="0" w:hanging="2"/>
      </w:pPr>
    </w:p>
    <w:p w14:paraId="4B2B258A" w14:textId="0CE98DE0" w:rsidR="00A26C2A" w:rsidRDefault="003C6C57" w:rsidP="003C6C57">
      <w:pPr>
        <w:spacing w:before="80" w:after="120" w:line="240" w:lineRule="auto"/>
        <w:ind w:leftChars="0" w:left="720" w:firstLineChars="0" w:firstLine="0"/>
        <w:jc w:val="both"/>
      </w:pPr>
      <w:r>
        <w:t xml:space="preserve">(b) </w:t>
      </w:r>
      <w:r w:rsidR="008C39B4">
        <w:t xml:space="preserve">maintain full and complete records of all Processing carried out in respect of the Personal Data in connection with the </w:t>
      </w:r>
      <w:r w:rsidR="008C39B4">
        <w:rPr>
          <w:color w:val="000000"/>
        </w:rPr>
        <w:t>Framework Agreement</w:t>
      </w:r>
      <w:r w:rsidR="008C39B4">
        <w:t>, in accordance with the terms of Article 30 UK GDPR.</w:t>
      </w:r>
    </w:p>
    <w:p w14:paraId="514C0137" w14:textId="77777777" w:rsidR="00A26C2A" w:rsidRDefault="00A26C2A">
      <w:pPr>
        <w:keepNext/>
        <w:ind w:left="1" w:hanging="3"/>
        <w:rPr>
          <w:sz w:val="28"/>
          <w:szCs w:val="28"/>
        </w:rPr>
      </w:pPr>
    </w:p>
    <w:p w14:paraId="6BD76BE7" w14:textId="072B0917" w:rsidR="00A26C2A" w:rsidRDefault="00A43CBA" w:rsidP="00A43CBA">
      <w:pPr>
        <w:pStyle w:val="Heading3"/>
        <w:ind w:left="1" w:hanging="3"/>
      </w:pPr>
      <w:r>
        <w:t xml:space="preserve">6. </w:t>
      </w:r>
      <w:r w:rsidR="008C39B4">
        <w:t>ICO Guidance</w:t>
      </w:r>
    </w:p>
    <w:p w14:paraId="42535D5A" w14:textId="77777777" w:rsidR="00A26C2A" w:rsidRDefault="008C39B4">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133116D9" w14:textId="77777777" w:rsidR="00A26C2A" w:rsidRDefault="00A26C2A">
      <w:pPr>
        <w:ind w:left="0" w:hanging="2"/>
        <w:rPr>
          <w:sz w:val="24"/>
          <w:szCs w:val="24"/>
        </w:rPr>
      </w:pPr>
    </w:p>
    <w:p w14:paraId="5D462B71" w14:textId="7C36DC72" w:rsidR="00A26C2A" w:rsidRDefault="00A43CBA" w:rsidP="00A43CBA">
      <w:pPr>
        <w:pStyle w:val="Heading3"/>
        <w:ind w:left="1" w:hanging="3"/>
      </w:pPr>
      <w:r>
        <w:t xml:space="preserve">7. </w:t>
      </w:r>
      <w:r w:rsidR="008C39B4">
        <w:t>Liabilities for Data Protection Breach</w:t>
      </w:r>
    </w:p>
    <w:p w14:paraId="67FD791F" w14:textId="77777777" w:rsidR="00A26C2A" w:rsidRDefault="008C39B4">
      <w:pPr>
        <w:ind w:left="0" w:hanging="2"/>
        <w:rPr>
          <w:b/>
        </w:rPr>
      </w:pPr>
      <w:r>
        <w:rPr>
          <w:b/>
          <w:sz w:val="24"/>
          <w:szCs w:val="24"/>
          <w:highlight w:val="yellow"/>
        </w:rPr>
        <w:t>[</w:t>
      </w:r>
      <w:r>
        <w:rPr>
          <w:b/>
          <w:highlight w:val="yellow"/>
        </w:rPr>
        <w:t xml:space="preserve">Guidance: </w:t>
      </w:r>
      <w:r>
        <w:rPr>
          <w:highlight w:val="yellow"/>
        </w:rPr>
        <w:t xml:space="preserve">This clause represents a risk share, you may wish to reconsider the apportionment of liability and whether recoverability of losses </w:t>
      </w:r>
      <w:proofErr w:type="gramStart"/>
      <w:r>
        <w:rPr>
          <w:highlight w:val="yellow"/>
        </w:rPr>
        <w:t>are</w:t>
      </w:r>
      <w:proofErr w:type="gramEnd"/>
      <w:r>
        <w:rPr>
          <w:highlight w:val="yellow"/>
        </w:rPr>
        <w:t xml:space="preserve"> likely to be hindered by the contractual limitation of liability provisions]</w:t>
      </w:r>
      <w:r>
        <w:t xml:space="preserve"> </w:t>
      </w:r>
    </w:p>
    <w:p w14:paraId="021C89C2" w14:textId="044C6E8A" w:rsidR="00A26C2A" w:rsidRDefault="00A43CBA" w:rsidP="00A43CBA">
      <w:pPr>
        <w:pBdr>
          <w:top w:val="nil"/>
          <w:left w:val="nil"/>
          <w:bottom w:val="nil"/>
          <w:right w:val="nil"/>
          <w:between w:val="nil"/>
        </w:pBdr>
        <w:spacing w:after="240" w:line="240" w:lineRule="auto"/>
        <w:ind w:leftChars="0" w:left="0" w:firstLineChars="0" w:firstLine="0"/>
        <w:jc w:val="both"/>
      </w:pPr>
      <w:r>
        <w:rPr>
          <w:color w:val="000000"/>
        </w:rPr>
        <w:t xml:space="preserve">7.1 </w:t>
      </w:r>
      <w:r w:rsidR="008C39B4">
        <w:rPr>
          <w:color w:val="000000"/>
        </w:rPr>
        <w:t>If financial penalties are imposed by the Information Commissioner on either the Buyer or the Supplier for a Personal Data Breach ("</w:t>
      </w:r>
      <w:r w:rsidR="008C39B4">
        <w:rPr>
          <w:b/>
          <w:color w:val="000000"/>
        </w:rPr>
        <w:t>Financial Penalties</w:t>
      </w:r>
      <w:r w:rsidR="008C39B4">
        <w:rPr>
          <w:color w:val="000000"/>
        </w:rPr>
        <w:t>") then the following shall occur:</w:t>
      </w:r>
    </w:p>
    <w:p w14:paraId="1BDD95BF" w14:textId="5214325D" w:rsidR="00A26C2A" w:rsidRDefault="00A43CBA" w:rsidP="00A43CBA">
      <w:pPr>
        <w:spacing w:before="280" w:after="120" w:line="240" w:lineRule="auto"/>
        <w:ind w:leftChars="0" w:left="720" w:firstLineChars="0" w:firstLine="0"/>
        <w:jc w:val="both"/>
      </w:pPr>
      <w:r>
        <w:t xml:space="preserve">(a) </w:t>
      </w:r>
      <w:r w:rsidR="008C39B4">
        <w:t xml:space="preserve">if in the view of the Information Commissioner, </w:t>
      </w:r>
      <w:r w:rsidR="008C39B4">
        <w:rPr>
          <w:color w:val="000000"/>
        </w:rPr>
        <w:t>the Buyer</w:t>
      </w:r>
      <w:r w:rsidR="008C39B4">
        <w:t xml:space="preserve"> is responsible for the Personal Data Breach, in that it is caused as a result of the actions or inaction of </w:t>
      </w:r>
      <w:r w:rsidR="008C39B4">
        <w:rPr>
          <w:color w:val="000000"/>
        </w:rPr>
        <w:t>the Buyer</w:t>
      </w:r>
      <w:r w:rsidR="008C39B4">
        <w:t xml:space="preserve">, its employees, agents, contractors (other than the Supplier) or systems and procedures controlled by </w:t>
      </w:r>
      <w:r w:rsidR="008C39B4">
        <w:rPr>
          <w:color w:val="000000"/>
        </w:rPr>
        <w:t>the Buyer</w:t>
      </w:r>
      <w:r w:rsidR="008C39B4">
        <w:t xml:space="preserve">, then </w:t>
      </w:r>
      <w:r w:rsidR="008C39B4">
        <w:rPr>
          <w:color w:val="000000"/>
        </w:rPr>
        <w:t>the Buyer</w:t>
      </w:r>
      <w:r w:rsidR="008C39B4">
        <w:t xml:space="preserve"> shall be responsible for the payment of such Financial Penalties. In this case, </w:t>
      </w:r>
      <w:r w:rsidR="008C39B4">
        <w:rPr>
          <w:color w:val="000000"/>
        </w:rPr>
        <w:t>the Buyer</w:t>
      </w:r>
      <w:r w:rsidR="008C39B4">
        <w:t xml:space="preserve"> will conduct an internal audit and engage at its reasonable cost when necessary, an independent third party to conduct an audit of any such Personal Data Breach. The Supplier shall provide to </w:t>
      </w:r>
      <w:r w:rsidR="008C39B4">
        <w:rPr>
          <w:color w:val="000000"/>
        </w:rPr>
        <w:t>the Buyer</w:t>
      </w:r>
      <w:r w:rsidR="008C39B4">
        <w:t xml:space="preserve"> and its </w:t>
      </w:r>
      <w:proofErr w:type="gramStart"/>
      <w:r w:rsidR="008C39B4">
        <w:t>third party</w:t>
      </w:r>
      <w:proofErr w:type="gramEnd"/>
      <w:r w:rsidR="008C39B4">
        <w:t xml:space="preserve"> investigators and auditors, on request and at the Supplier's reasonable cost, full cooperation and access to conduct a thorough audit of such Personal Data </w:t>
      </w:r>
      <w:proofErr w:type="gramStart"/>
      <w:r w:rsidR="008C39B4">
        <w:t>Breach;</w:t>
      </w:r>
      <w:proofErr w:type="gramEnd"/>
      <w:r w:rsidR="008C39B4">
        <w:t xml:space="preserve"> </w:t>
      </w:r>
    </w:p>
    <w:p w14:paraId="1EC671B2" w14:textId="75AF969B" w:rsidR="00A26C2A" w:rsidRDefault="00A43CBA" w:rsidP="00A43CBA">
      <w:pPr>
        <w:spacing w:before="280" w:after="120" w:line="240" w:lineRule="auto"/>
        <w:ind w:leftChars="0" w:left="720" w:firstLineChars="0" w:firstLine="0"/>
        <w:jc w:val="both"/>
      </w:pPr>
      <w:r>
        <w:t xml:space="preserve">(b) </w:t>
      </w:r>
      <w:r w:rsidR="008C39B4">
        <w:t xml:space="preserve">if in the view of the Information Commissioner, the Supplier is responsible for the Personal Data Breach, in that it is not a Personal Data Breach that </w:t>
      </w:r>
      <w:r w:rsidR="008C39B4">
        <w:rPr>
          <w:color w:val="000000"/>
        </w:rPr>
        <w:t>the Buyer</w:t>
      </w:r>
      <w:r w:rsidR="008C39B4">
        <w:t xml:space="preserve"> is responsible for, then the Supplier shall be responsible for the payment of these Financial Penalties. The Supplier will provide to </w:t>
      </w:r>
      <w:r w:rsidR="008C39B4">
        <w:rPr>
          <w:color w:val="000000"/>
        </w:rPr>
        <w:t>the Buyer</w:t>
      </w:r>
      <w:r w:rsidR="008C39B4">
        <w:t xml:space="preserve"> and its auditors, on request and at the Supplier’s sole cost, full cooperation and access to conduct a thorough audit of such Personal Data Breach; or</w:t>
      </w:r>
    </w:p>
    <w:p w14:paraId="3E0471B6" w14:textId="3384BBFA" w:rsidR="00A26C2A" w:rsidRDefault="00A43CBA" w:rsidP="00A43CBA">
      <w:pPr>
        <w:spacing w:before="280" w:after="120" w:line="240" w:lineRule="auto"/>
        <w:ind w:leftChars="0" w:left="720" w:firstLineChars="0" w:firstLine="0"/>
        <w:jc w:val="both"/>
      </w:pPr>
      <w:r>
        <w:t xml:space="preserve">(c) </w:t>
      </w:r>
      <w:r w:rsidR="008C39B4">
        <w:t xml:space="preserve">if no view as to responsibility is expressed by the Information Commissioner, then </w:t>
      </w:r>
      <w:r w:rsidR="008C39B4">
        <w:rPr>
          <w:color w:val="000000"/>
        </w:rPr>
        <w:t>the Buyer</w:t>
      </w:r>
      <w:r w:rsidR="008C39B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008C39B4">
        <w:rPr>
          <w:color w:val="000000"/>
        </w:rPr>
        <w:t>procedure</w:t>
      </w:r>
      <w:r w:rsidR="008C39B4">
        <w:t xml:space="preserve"> set out in </w:t>
      </w:r>
      <w:r w:rsidR="008C39B4">
        <w:rPr>
          <w:color w:val="000000"/>
        </w:rPr>
        <w:t>clause 32</w:t>
      </w:r>
      <w:r w:rsidR="008C39B4">
        <w:t xml:space="preserve"> of the </w:t>
      </w:r>
      <w:r w:rsidR="008C39B4">
        <w:rPr>
          <w:color w:val="000000"/>
        </w:rPr>
        <w:t>Framework Agreement (Managing</w:t>
      </w:r>
      <w:r w:rsidR="008C39B4">
        <w:t xml:space="preserve"> disputes). </w:t>
      </w:r>
    </w:p>
    <w:p w14:paraId="4B8B27DC" w14:textId="6F2942AC" w:rsidR="00A26C2A" w:rsidRDefault="00A43CBA" w:rsidP="00A43CBA">
      <w:pPr>
        <w:spacing w:after="240" w:line="240" w:lineRule="auto"/>
        <w:ind w:leftChars="0" w:left="0" w:firstLineChars="0" w:firstLine="0"/>
        <w:jc w:val="both"/>
      </w:pPr>
      <w:r>
        <w:rPr>
          <w:color w:val="000000"/>
        </w:rPr>
        <w:t xml:space="preserve">7.2 </w:t>
      </w:r>
      <w:r w:rsidR="008C39B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Default="00A43CBA" w:rsidP="00A43CBA">
      <w:pPr>
        <w:spacing w:after="240" w:line="240" w:lineRule="auto"/>
        <w:ind w:leftChars="0" w:left="0" w:firstLineChars="0" w:firstLine="0"/>
        <w:jc w:val="both"/>
      </w:pPr>
      <w:r>
        <w:rPr>
          <w:color w:val="000000"/>
        </w:rPr>
        <w:t xml:space="preserve">7.3 </w:t>
      </w:r>
      <w:r w:rsidR="008C39B4">
        <w:rPr>
          <w:color w:val="000000"/>
        </w:rPr>
        <w:t>In respect of any losses, cost claims or expenses incurred by either Party as a result of a Personal Data Breach (the “Claim Losses”):</w:t>
      </w:r>
    </w:p>
    <w:p w14:paraId="6F6299AB" w14:textId="2338A747" w:rsidR="00A26C2A" w:rsidRDefault="00A43CBA" w:rsidP="00A43CBA">
      <w:pPr>
        <w:spacing w:before="280" w:after="120" w:line="240" w:lineRule="auto"/>
        <w:ind w:leftChars="0" w:left="720" w:firstLineChars="0" w:firstLine="0"/>
        <w:jc w:val="both"/>
      </w:pPr>
      <w:r>
        <w:t xml:space="preserve">(a) </w:t>
      </w:r>
      <w:r w:rsidR="008C39B4">
        <w:t xml:space="preserve">if </w:t>
      </w:r>
      <w:r w:rsidR="008C39B4">
        <w:rPr>
          <w:color w:val="000000"/>
        </w:rPr>
        <w:t>the Buyer</w:t>
      </w:r>
      <w:r w:rsidR="008C39B4">
        <w:t xml:space="preserve"> is responsible for the relevant Personal Data Breach, then the </w:t>
      </w:r>
      <w:r w:rsidR="008C39B4">
        <w:rPr>
          <w:color w:val="000000"/>
        </w:rPr>
        <w:t>Buyer</w:t>
      </w:r>
      <w:r w:rsidR="008C39B4">
        <w:t xml:space="preserve"> shall be responsible for the Claim </w:t>
      </w:r>
      <w:proofErr w:type="gramStart"/>
      <w:r w:rsidR="008C39B4">
        <w:t>Losses;</w:t>
      </w:r>
      <w:proofErr w:type="gramEnd"/>
    </w:p>
    <w:p w14:paraId="34AE3699" w14:textId="3BE5C75B" w:rsidR="00A26C2A" w:rsidRDefault="00A43CBA" w:rsidP="00A43CBA">
      <w:pPr>
        <w:spacing w:before="280" w:after="120" w:line="240" w:lineRule="auto"/>
        <w:ind w:leftChars="0" w:left="720" w:firstLineChars="0" w:firstLine="0"/>
        <w:jc w:val="both"/>
      </w:pPr>
      <w:r>
        <w:t xml:space="preserve">(b) </w:t>
      </w:r>
      <w:r w:rsidR="008C39B4">
        <w:t>if the Supplier is responsible for the relevant Personal Data Breach, then the Supplier shall be responsible for the Claim Losses: and</w:t>
      </w:r>
    </w:p>
    <w:p w14:paraId="1A7160A1" w14:textId="2ECE6E14" w:rsidR="00A26C2A" w:rsidRDefault="00A43CBA" w:rsidP="00A43CBA">
      <w:pPr>
        <w:spacing w:before="280" w:after="120" w:line="240" w:lineRule="auto"/>
        <w:ind w:leftChars="0" w:left="720" w:firstLineChars="0" w:firstLine="0"/>
        <w:jc w:val="both"/>
      </w:pPr>
      <w:r>
        <w:t xml:space="preserve">(c) </w:t>
      </w:r>
      <w:r w:rsidR="008C39B4">
        <w:t xml:space="preserve">if responsibility for the relevant Personal Data Breach is unclear, then </w:t>
      </w:r>
      <w:r w:rsidR="008C39B4">
        <w:rPr>
          <w:color w:val="000000"/>
        </w:rPr>
        <w:t>the Buyer</w:t>
      </w:r>
      <w:r w:rsidR="008C39B4">
        <w:t xml:space="preserve"> and the Supplier shall be responsible for the Claim Losses equally. </w:t>
      </w:r>
    </w:p>
    <w:p w14:paraId="0A94BA30" w14:textId="77777777" w:rsidR="00A26C2A" w:rsidRDefault="00A26C2A">
      <w:pPr>
        <w:spacing w:before="280" w:after="120"/>
        <w:ind w:left="0" w:hanging="2"/>
        <w:jc w:val="both"/>
      </w:pPr>
    </w:p>
    <w:p w14:paraId="06B771AC" w14:textId="1ACE603C" w:rsidR="00A26C2A" w:rsidRDefault="00A43CBA" w:rsidP="00A43CBA">
      <w:pPr>
        <w:spacing w:after="240" w:line="240" w:lineRule="auto"/>
        <w:ind w:leftChars="0" w:left="0" w:firstLineChars="0" w:firstLine="0"/>
        <w:jc w:val="both"/>
      </w:pPr>
      <w:r>
        <w:rPr>
          <w:color w:val="000000"/>
        </w:rPr>
        <w:t xml:space="preserve">7.4 </w:t>
      </w:r>
      <w:r w:rsidR="008C39B4">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Default="00A43CBA" w:rsidP="00A43CBA">
      <w:pPr>
        <w:pStyle w:val="Heading3"/>
        <w:ind w:left="1" w:hanging="3"/>
      </w:pPr>
      <w:r>
        <w:t xml:space="preserve">8. </w:t>
      </w:r>
      <w:r w:rsidR="008C39B4">
        <w:t>Termination</w:t>
      </w:r>
    </w:p>
    <w:p w14:paraId="3200B841" w14:textId="77777777" w:rsidR="00A26C2A" w:rsidRDefault="008C39B4">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0A96FFA" w14:textId="77777777" w:rsidR="00A26C2A" w:rsidRDefault="00A26C2A">
      <w:pPr>
        <w:keepNext/>
        <w:ind w:left="0" w:hanging="2"/>
        <w:rPr>
          <w:sz w:val="24"/>
          <w:szCs w:val="24"/>
        </w:rPr>
      </w:pPr>
    </w:p>
    <w:p w14:paraId="5F39A5E8" w14:textId="1C4215AE" w:rsidR="00A26C2A" w:rsidRDefault="00A43CBA" w:rsidP="00A43CBA">
      <w:pPr>
        <w:pStyle w:val="Heading3"/>
        <w:ind w:left="1" w:hanging="3"/>
      </w:pPr>
      <w:r>
        <w:t xml:space="preserve">9. </w:t>
      </w:r>
      <w:r w:rsidR="008C39B4">
        <w:t>Sub-Processing</w:t>
      </w:r>
    </w:p>
    <w:p w14:paraId="419E9830" w14:textId="6C4EEC77" w:rsidR="00A26C2A" w:rsidRDefault="00A43CBA" w:rsidP="00A43CBA">
      <w:pPr>
        <w:spacing w:after="240" w:line="240" w:lineRule="auto"/>
        <w:ind w:leftChars="0" w:left="0" w:firstLineChars="0" w:firstLine="0"/>
        <w:jc w:val="both"/>
      </w:pPr>
      <w:r>
        <w:rPr>
          <w:color w:val="000000"/>
        </w:rPr>
        <w:t xml:space="preserve">9.1 </w:t>
      </w:r>
      <w:r w:rsidR="008C39B4">
        <w:rPr>
          <w:color w:val="000000"/>
        </w:rPr>
        <w:t>In respect of any Processing of Personal Data performed by a third party on behalf of a Party, that Party shall:</w:t>
      </w:r>
    </w:p>
    <w:p w14:paraId="7C413A48" w14:textId="5A57B7DD" w:rsidR="00A26C2A" w:rsidRDefault="00A43CBA" w:rsidP="00A43CBA">
      <w:pPr>
        <w:spacing w:before="280" w:after="120" w:line="240" w:lineRule="auto"/>
        <w:ind w:leftChars="0" w:left="720" w:firstLineChars="0" w:firstLine="0"/>
        <w:jc w:val="both"/>
      </w:pPr>
      <w:r>
        <w:t xml:space="preserve">(a) </w:t>
      </w:r>
      <w:r w:rsidR="008C39B4">
        <w:t xml:space="preserve">carry out adequate due diligence on such third party to ensure that it is capable of providing the level of protection for the Personal Data as is required by the </w:t>
      </w:r>
      <w:r w:rsidR="008C39B4">
        <w:rPr>
          <w:color w:val="000000"/>
        </w:rPr>
        <w:t>Framework Agreement</w:t>
      </w:r>
      <w:r w:rsidR="008C39B4">
        <w:t>, and  provide evidence of such due diligence to the  other Party where reasonably requested; and</w:t>
      </w:r>
    </w:p>
    <w:p w14:paraId="6D65DBFB" w14:textId="56ACD627" w:rsidR="00A26C2A" w:rsidRDefault="00A43CBA" w:rsidP="00A43CBA">
      <w:pPr>
        <w:spacing w:before="280" w:after="120" w:line="240" w:lineRule="auto"/>
        <w:ind w:leftChars="0" w:left="720" w:firstLineChars="0" w:firstLine="0"/>
        <w:jc w:val="both"/>
      </w:pPr>
      <w:r>
        <w:t xml:space="preserve">(b) </w:t>
      </w:r>
      <w:r w:rsidR="008C39B4">
        <w:t>ensure that a suitable agreement is in place with the third party as required under applicable Data Protection Legislation.</w:t>
      </w:r>
    </w:p>
    <w:p w14:paraId="77B527E3" w14:textId="77777777" w:rsidR="00A26C2A" w:rsidRDefault="00A26C2A" w:rsidP="00A43CBA">
      <w:pPr>
        <w:pStyle w:val="Heading3"/>
        <w:ind w:left="1" w:hanging="3"/>
      </w:pPr>
    </w:p>
    <w:p w14:paraId="7BC82B78" w14:textId="5683ECD9" w:rsidR="00A26C2A" w:rsidRDefault="00A43CBA" w:rsidP="00A43CBA">
      <w:pPr>
        <w:pStyle w:val="Heading3"/>
        <w:ind w:left="1" w:hanging="3"/>
        <w:rPr>
          <w:szCs w:val="28"/>
        </w:rPr>
      </w:pPr>
      <w:r>
        <w:rPr>
          <w:color w:val="000000"/>
          <w:szCs w:val="28"/>
        </w:rPr>
        <w:t xml:space="preserve">10. </w:t>
      </w:r>
      <w:r w:rsidR="008C39B4">
        <w:rPr>
          <w:color w:val="000000"/>
          <w:szCs w:val="28"/>
        </w:rPr>
        <w:t>Data Retention</w:t>
      </w:r>
    </w:p>
    <w:p w14:paraId="49388C1C" w14:textId="77777777" w:rsidR="00A26C2A" w:rsidRDefault="008C39B4">
      <w:pPr>
        <w:spacing w:after="120"/>
        <w:ind w:left="0" w:hanging="2"/>
        <w:jc w:val="both"/>
        <w:rPr>
          <w:b/>
        </w:rPr>
        <w:sectPr w:rsidR="00A26C2A">
          <w:headerReference w:type="even" r:id="rId32"/>
          <w:headerReference w:type="default" r:id="rId33"/>
          <w:footerReference w:type="even" r:id="rId34"/>
          <w:footerReference w:type="default" r:id="rId35"/>
          <w:headerReference w:type="first" r:id="rId36"/>
          <w:footerReference w:type="first" r:id="rId37"/>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Default="008C39B4" w:rsidP="00A43CBA">
      <w:pPr>
        <w:pStyle w:val="Heading2"/>
        <w:ind w:left="1" w:hanging="3"/>
      </w:pPr>
      <w:bookmarkStart w:id="23" w:name="_Schedule_8_(Corporate"/>
      <w:bookmarkEnd w:id="23"/>
      <w:r w:rsidRPr="00A43CBA">
        <w:t>Schedule 8 (Corporate Resolution Planning)</w:t>
      </w:r>
    </w:p>
    <w:p w14:paraId="7CEAF8AB" w14:textId="00430BE3" w:rsidR="00A43CBA" w:rsidRPr="00A43CBA" w:rsidRDefault="37C5B237" w:rsidP="00A43CBA">
      <w:pPr>
        <w:pStyle w:val="Standard"/>
        <w:ind w:left="0" w:hanging="2"/>
      </w:pPr>
      <w:r>
        <w:t>NOT USED</w:t>
      </w:r>
    </w:p>
    <w:p w14:paraId="177CB91D" w14:textId="77777777" w:rsidR="00A43CBA" w:rsidRDefault="00A43CBA" w:rsidP="00A43CBA">
      <w:pPr>
        <w:pStyle w:val="Heading3"/>
        <w:ind w:left="1" w:hanging="3"/>
      </w:pPr>
      <w:bookmarkStart w:id="24" w:name="_heading=h.50gksax32yq3" w:colFirst="0" w:colLast="0"/>
      <w:bookmarkEnd w:id="24"/>
      <w:r>
        <w:t xml:space="preserve">1. </w:t>
      </w:r>
      <w:r w:rsidR="008C39B4" w:rsidRPr="00A43CBA">
        <w:t>Definitions</w:t>
      </w:r>
    </w:p>
    <w:p w14:paraId="0B34A3BD" w14:textId="446A78D9" w:rsidR="00A26C2A" w:rsidRDefault="00A43CBA" w:rsidP="00A43CBA">
      <w:pPr>
        <w:ind w:left="0" w:hanging="2"/>
      </w:pPr>
      <w:r>
        <w:t xml:space="preserve">1.1 </w:t>
      </w:r>
      <w:r w:rsidR="008C39B4">
        <w:t xml:space="preserve">In this Schedule, the following words shall have the following </w:t>
      </w:r>
      <w:proofErr w:type="gramStart"/>
      <w:r w:rsidR="008C39B4">
        <w:t>meanings</w:t>
      </w:r>
      <w:proofErr w:type="gramEnd"/>
      <w:r w:rsidR="008C39B4">
        <w:t xml:space="preserve"> and they shall supplement Schedule 6 (Glossary and interpretations):</w:t>
      </w:r>
    </w:p>
    <w:p w14:paraId="43AB0715" w14:textId="77777777" w:rsidR="00A43CBA" w:rsidRDefault="00A43CBA" w:rsidP="00A43CBA">
      <w:pPr>
        <w:ind w:left="0" w:hanging="2"/>
      </w:pPr>
    </w:p>
    <w:tbl>
      <w:tblPr>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3097"/>
        <w:gridCol w:w="5075"/>
      </w:tblGrid>
      <w:tr w:rsidR="00A26C2A" w14:paraId="589F0AE0" w14:textId="77777777" w:rsidTr="38444A40">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rsidTr="38444A40">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rsidTr="38444A40">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the Buyer and the Cabinet Office Markets and Suppliers Team or, where the Supplier is a Strategic Supplier, the Cabinet Office Markets and Suppliers </w:t>
            </w:r>
            <w:proofErr w:type="gramStart"/>
            <w:r>
              <w:t>Team;</w:t>
            </w:r>
            <w:proofErr w:type="gramEnd"/>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rsidTr="38444A40">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rsidTr="38444A40">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rsidTr="38444A40">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rsidTr="38444A40">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p>
        </w:tc>
      </w:tr>
      <w:tr w:rsidR="00A26C2A" w14:paraId="3AACD8B8" w14:textId="77777777" w:rsidTr="38444A40">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 xml:space="preserve">any change of Control of the Supplier or a Parent Undertaking of the </w:t>
            </w:r>
            <w:proofErr w:type="gramStart"/>
            <w:r>
              <w:rPr>
                <w:color w:val="000000"/>
              </w:rPr>
              <w:t>Supplier;</w:t>
            </w:r>
            <w:proofErr w:type="gramEnd"/>
          </w:p>
          <w:p w14:paraId="5B2D4E31"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w:t>
            </w:r>
            <w:proofErr w:type="gramStart"/>
            <w:r>
              <w:rPr>
                <w:color w:val="000000"/>
              </w:rPr>
              <w:t>Services;</w:t>
            </w:r>
            <w:proofErr w:type="gramEnd"/>
            <w:r>
              <w:rPr>
                <w:color w:val="000000"/>
              </w:rPr>
              <w:t xml:space="preserve"> </w:t>
            </w:r>
          </w:p>
          <w:p w14:paraId="741D9C64"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to the business of the Supplier or any member of the Supplier Group which, in the reasonable opinion of the Buyer, could have a material adverse effect on the </w:t>
            </w:r>
            <w:proofErr w:type="gramStart"/>
            <w:r>
              <w:rPr>
                <w:color w:val="000000"/>
              </w:rPr>
              <w:t>Services;</w:t>
            </w:r>
            <w:proofErr w:type="gramEnd"/>
          </w:p>
          <w:p w14:paraId="2F05AC6E"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 Class 1 Transaction taking place in relation to the shares of the Supplier or any Parent Undertaking of the Supplier whose shares are listed on the main market of the London Stock Exchange </w:t>
            </w:r>
            <w:proofErr w:type="gramStart"/>
            <w:r>
              <w:rPr>
                <w:color w:val="000000"/>
              </w:rPr>
              <w:t>plc;</w:t>
            </w:r>
            <w:proofErr w:type="gramEnd"/>
          </w:p>
          <w:p w14:paraId="07B4B46F"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event that could reasonably be regarded as being equivalent to a Class 1 Transaction taking place in respect of the Supplier or any Parent Undertaking of the </w:t>
            </w:r>
            <w:proofErr w:type="gramStart"/>
            <w:r>
              <w:rPr>
                <w:color w:val="000000"/>
              </w:rPr>
              <w:t>Supplier;</w:t>
            </w:r>
            <w:proofErr w:type="gramEnd"/>
          </w:p>
          <w:p w14:paraId="3A7AA9D7"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w:t>
            </w:r>
            <w:proofErr w:type="gramStart"/>
            <w:r>
              <w:rPr>
                <w:color w:val="000000"/>
              </w:rPr>
              <w:t>period;</w:t>
            </w:r>
            <w:proofErr w:type="gramEnd"/>
          </w:p>
          <w:p w14:paraId="0ED27AB2"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w:t>
            </w:r>
            <w:proofErr w:type="gramStart"/>
            <w:r>
              <w:rPr>
                <w:color w:val="000000"/>
              </w:rPr>
              <w:t>made</w:t>
            </w:r>
            <w:proofErr w:type="gramEnd"/>
            <w:r>
              <w:rPr>
                <w:color w:val="000000"/>
              </w:rPr>
              <w:t xml:space="preserve"> or an effective resolution is passed for the winding up of any member of the Supplier </w:t>
            </w:r>
            <w:proofErr w:type="gramStart"/>
            <w:r>
              <w:rPr>
                <w:color w:val="000000"/>
              </w:rPr>
              <w:t>Group;</w:t>
            </w:r>
            <w:proofErr w:type="gramEnd"/>
            <w:r>
              <w:rPr>
                <w:color w:val="000000"/>
              </w:rPr>
              <w:t xml:space="preserve"> </w:t>
            </w:r>
          </w:p>
          <w:p w14:paraId="3BB9AD1F"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Pr>
                <w:color w:val="000000"/>
              </w:rPr>
              <w:t>Group;</w:t>
            </w:r>
            <w:proofErr w:type="gramEnd"/>
          </w:p>
          <w:p w14:paraId="5D33496A"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6"/>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rsidTr="38444A40">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a grace period agreed to by the Appropriate Authority for providing CRP Information and/or updates to Business  Continuity Plan after a Corporate Change Event;</w:t>
            </w:r>
          </w:p>
        </w:tc>
      </w:tr>
      <w:tr w:rsidR="00A26C2A" w14:paraId="7D952C66" w14:textId="77777777" w:rsidTr="38444A40">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rsidTr="38444A40">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rsidTr="38444A40">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rsidTr="38444A40">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roofErr w:type="gramStart"/>
            <w:r>
              <w:rPr>
                <w:color w:val="000000"/>
              </w:rPr>
              <w:t>);</w:t>
            </w:r>
            <w:proofErr w:type="gramEnd"/>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rsidTr="38444A40">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rsidTr="38444A40">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47675664" w:rsidR="00A26C2A" w:rsidRDefault="008C39B4" w:rsidP="38444A40">
            <w:pPr>
              <w:pBdr>
                <w:top w:val="single" w:sz="4" w:space="31" w:color="FFFFFF"/>
                <w:left w:val="single" w:sz="4" w:space="31" w:color="FFFFFF"/>
                <w:bottom w:val="single" w:sz="4" w:space="31" w:color="FFFFFF"/>
                <w:right w:val="single" w:sz="4" w:space="31" w:color="FFFFFF"/>
              </w:pBdr>
              <w:spacing w:after="120"/>
              <w:ind w:left="0" w:hanging="2"/>
              <w:rPr>
                <w:highlight w:val="yellow"/>
              </w:rPr>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 xml:space="preserve">the credit rating of an FDE Group entity dropping below the applicable Financial </w:t>
            </w:r>
            <w:proofErr w:type="gramStart"/>
            <w:r>
              <w:t>Metric;</w:t>
            </w:r>
            <w:proofErr w:type="gramEnd"/>
          </w:p>
          <w:p w14:paraId="2AF9311C" w14:textId="77777777" w:rsidR="00A26C2A" w:rsidRDefault="008C39B4">
            <w:pPr>
              <w:tabs>
                <w:tab w:val="left" w:pos="-9"/>
              </w:tabs>
              <w:spacing w:after="120"/>
              <w:ind w:left="0" w:hanging="2"/>
            </w:pPr>
            <w:r>
              <w:t xml:space="preserve">an FDE Group entity issuing a profits warning to a stock exchange or making any other public announcement, in each case about a material deterioration in its financial position or </w:t>
            </w:r>
            <w:proofErr w:type="gramStart"/>
            <w:r>
              <w:t>prospects;</w:t>
            </w:r>
            <w:proofErr w:type="gramEnd"/>
          </w:p>
          <w:p w14:paraId="34DDC0F6" w14:textId="77777777" w:rsidR="00A26C2A" w:rsidRDefault="008C39B4">
            <w:pPr>
              <w:tabs>
                <w:tab w:val="left" w:pos="-9"/>
              </w:tabs>
              <w:spacing w:after="120"/>
              <w:ind w:left="0" w:hanging="2"/>
            </w:pPr>
            <w:r>
              <w:t xml:space="preserve">there being a public investigation into improper financial accounting and reporting, suspected fraud or any other impropriety of an FDE Group </w:t>
            </w:r>
            <w:proofErr w:type="gramStart"/>
            <w:r>
              <w:t>entity;</w:t>
            </w:r>
            <w:proofErr w:type="gramEnd"/>
          </w:p>
          <w:p w14:paraId="3A406347" w14:textId="77777777" w:rsidR="00A26C2A" w:rsidRDefault="008C39B4">
            <w:pPr>
              <w:tabs>
                <w:tab w:val="left" w:pos="-9"/>
              </w:tabs>
              <w:spacing w:after="120"/>
              <w:ind w:left="0" w:hanging="2"/>
            </w:pPr>
            <w:r>
              <w:t xml:space="preserve">an FDE Group entity committing a material breach of covenant to its </w:t>
            </w:r>
            <w:proofErr w:type="gramStart"/>
            <w:r>
              <w:t>lenders;</w:t>
            </w:r>
            <w:proofErr w:type="gramEnd"/>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properly due under a specified invoice and not subject to a genuine </w:t>
            </w:r>
            <w:proofErr w:type="gramStart"/>
            <w:r>
              <w:t>dispute;</w:t>
            </w:r>
            <w:proofErr w:type="gramEnd"/>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w:t>
            </w:r>
            <w:proofErr w:type="gramStart"/>
            <w:r>
              <w:rPr>
                <w:color w:val="000000"/>
              </w:rPr>
              <w:t>5m;</w:t>
            </w:r>
            <w:proofErr w:type="gramEnd"/>
            <w:r>
              <w:rPr>
                <w:color w:val="000000"/>
              </w:rPr>
              <w:t xml:space="preserve">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non-payment by an FDE Group entity of any financial </w:t>
            </w:r>
            <w:proofErr w:type="gramStart"/>
            <w:r>
              <w:rPr>
                <w:color w:val="000000"/>
              </w:rPr>
              <w:t>indebtedness;</w:t>
            </w:r>
            <w:proofErr w:type="gramEnd"/>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any financial indebtedness of an FDE Group entity becoming due as a result of an event of </w:t>
            </w:r>
            <w:proofErr w:type="gramStart"/>
            <w:r>
              <w:rPr>
                <w:color w:val="000000"/>
              </w:rPr>
              <w:t>default;</w:t>
            </w:r>
            <w:proofErr w:type="gramEnd"/>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the external auditor of an FDE Group entity expressing a qualified opinion on, or including an emphasis of matter in, its opinion on the statutory accounts of that FDE </w:t>
            </w:r>
            <w:proofErr w:type="gramStart"/>
            <w:r>
              <w:rPr>
                <w:color w:val="000000"/>
              </w:rPr>
              <w:t>entity;</w:t>
            </w:r>
            <w:proofErr w:type="gramEnd"/>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rsidTr="38444A40">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rsidTr="38444A40">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rsidTr="38444A40">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rsidTr="38444A40">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rsidTr="38444A40">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rsidTr="38444A40">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rsidTr="38444A40">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5" w:name="_heading=h.q4gg07fibpb5" w:colFirst="0" w:colLast="0"/>
      <w:bookmarkEnd w:id="25"/>
      <w:r>
        <w:t xml:space="preserve">2. </w:t>
      </w:r>
      <w:r w:rsidR="008C39B4" w:rsidRPr="00A43CBA">
        <w:t>Service Status and Supplier Status</w:t>
      </w:r>
    </w:p>
    <w:p w14:paraId="6A83896B" w14:textId="422F64EF"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sidRPr="38444A40">
        <w:rPr>
          <w:color w:val="000000" w:themeColor="text1"/>
        </w:rPr>
        <w:t xml:space="preserve">2.1 </w:t>
      </w:r>
      <w:r w:rsidR="008C39B4" w:rsidRPr="38444A40">
        <w:rPr>
          <w:color w:val="000000" w:themeColor="text1"/>
        </w:rPr>
        <w:t>This Call-Off Contract ‘is not’ a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8">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6" w:name="_heading=h.w0m8rhzaah0z" w:colFirst="0" w:colLast="0"/>
      <w:bookmarkEnd w:id="26"/>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 xml:space="preserve">is full, comprehensive, accurate and up to </w:t>
      </w:r>
      <w:proofErr w:type="gramStart"/>
      <w:r w:rsidR="008C39B4">
        <w:t>date;</w:t>
      </w:r>
      <w:proofErr w:type="gramEnd"/>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roofErr w:type="gramStart"/>
      <w:r w:rsidR="008C39B4">
        <w:t>);</w:t>
      </w:r>
      <w:proofErr w:type="gramEnd"/>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roofErr w:type="gramStart"/>
      <w:r w:rsidR="008C39B4">
        <w:t>);</w:t>
      </w:r>
      <w:proofErr w:type="gramEnd"/>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9">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 xml:space="preserve">incorporates any additional commentary, supporting documents and evidence which would reasonably be required by the Appropriate Authority or Appropriate Authorities to understand and consider the information for </w:t>
      </w:r>
      <w:proofErr w:type="gramStart"/>
      <w:r w:rsidR="008C39B4">
        <w:t>approval;</w:t>
      </w:r>
      <w:proofErr w:type="gramEnd"/>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w:t>
      </w:r>
      <w:proofErr w:type="gramStart"/>
      <w:r w:rsidR="008C39B4">
        <w:t>upwards;</w:t>
      </w:r>
      <w:proofErr w:type="gramEnd"/>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 xml:space="preserve">not required pursuant to Paragraph </w:t>
      </w:r>
      <w:proofErr w:type="gramStart"/>
      <w:r w:rsidR="008C39B4">
        <w:t>3.10;</w:t>
      </w:r>
      <w:proofErr w:type="gramEnd"/>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 xml:space="preserve">Aa3 or better from </w:t>
      </w:r>
      <w:proofErr w:type="gramStart"/>
      <w:r w:rsidR="008C39B4">
        <w:t>Moody’s;</w:t>
      </w:r>
      <w:proofErr w:type="gramEnd"/>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proofErr w:type="gramStart"/>
      <w:r w:rsidR="008C39B4">
        <w:t>Poors</w:t>
      </w:r>
      <w:proofErr w:type="spellEnd"/>
      <w:r w:rsidR="008C39B4">
        <w:t>;</w:t>
      </w:r>
      <w:proofErr w:type="gramEnd"/>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 xml:space="preserve">AA- or better from </w:t>
      </w:r>
      <w:proofErr w:type="gramStart"/>
      <w:r w:rsidR="008C39B4">
        <w:t>Fitch;</w:t>
      </w:r>
      <w:proofErr w:type="gramEnd"/>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w:t>
      </w:r>
      <w:proofErr w:type="spellStart"/>
      <w:r>
        <w:t>i</w:t>
      </w:r>
      <w:proofErr w:type="spellEnd"/>
      <w: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7" w:name="_heading=h.23ckvvd" w:colFirst="0" w:colLast="0"/>
      <w:bookmarkEnd w:id="27"/>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 xml:space="preserve">redacting only those parts of the information which are subject to such obligations of </w:t>
      </w:r>
      <w:proofErr w:type="gramStart"/>
      <w:r w:rsidR="008C39B4">
        <w:t>confidentiality;</w:t>
      </w:r>
      <w:proofErr w:type="gramEnd"/>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 xml:space="preserve">summarising the </w:t>
      </w:r>
      <w:proofErr w:type="gramStart"/>
      <w:r w:rsidR="008C39B4">
        <w:t>information;</w:t>
      </w:r>
      <w:proofErr w:type="gramEnd"/>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 xml:space="preserve">grouping the </w:t>
      </w:r>
      <w:proofErr w:type="gramStart"/>
      <w:r w:rsidR="008C39B4">
        <w:t>information;</w:t>
      </w:r>
      <w:proofErr w:type="gramEnd"/>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8" w:name="_heading=h.1baon6m" w:colFirst="0" w:colLast="0"/>
      <w:bookmarkEnd w:id="28"/>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29" w:name="_heading=h.3vac5uf" w:colFirst="0" w:colLast="0"/>
      <w:bookmarkEnd w:id="29"/>
      <w:r>
        <w:t xml:space="preserve">(a) </w:t>
      </w:r>
      <w:r w:rsidR="008C39B4">
        <w:t xml:space="preserve">are with any UK public sector bodies </w:t>
      </w:r>
      <w:proofErr w:type="gramStart"/>
      <w:r w:rsidR="008C39B4">
        <w:t>including:</w:t>
      </w:r>
      <w:proofErr w:type="gramEnd"/>
      <w:r w:rsidR="008C39B4">
        <w:t xml:space="preserve"> central government departments and their arms-length bodies and agencies, non-departmental public bodies, NHS bodies, local buyers, health bodies, police fire and rescue, education bodies and the devolved </w:t>
      </w:r>
      <w:proofErr w:type="gramStart"/>
      <w:r w:rsidR="008C39B4">
        <w:t>administrations;</w:t>
      </w:r>
      <w:proofErr w:type="gramEnd"/>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 xml:space="preserve">involve or could reasonably be considered to involve </w:t>
      </w:r>
      <w:proofErr w:type="gramStart"/>
      <w:r w:rsidR="008C39B4">
        <w:t>CNI;</w:t>
      </w:r>
      <w:proofErr w:type="gramEnd"/>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0" w:name="_heading=h.9i38lri5oekc" w:colFirst="0" w:colLast="0"/>
      <w:bookmarkEnd w:id="30"/>
      <w:r w:rsidRPr="00303E07">
        <w:t>ANNEX 2: CORPORATE RESOLVABILITY ASSESSMENT (STRUCTURAL REVIEW)</w:t>
      </w:r>
    </w:p>
    <w:p w14:paraId="14A90008" w14:textId="77777777" w:rsidR="00A26C2A" w:rsidRDefault="008C39B4">
      <w:pPr>
        <w:ind w:left="0" w:hanging="2"/>
      </w:pPr>
      <w:bookmarkStart w:id="31" w:name="_heading=h.z337ya" w:colFirst="0" w:colLast="0"/>
      <w:bookmarkEnd w:id="31"/>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008C39B4">
        <w:t>Event;</w:t>
      </w:r>
      <w:proofErr w:type="gramEnd"/>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ensure that the information is presented so as to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2" w:name="_heading=h.1qtsuqp7jbl5" w:colFirst="0" w:colLast="0"/>
      <w:bookmarkEnd w:id="32"/>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3" w:name="_Schedule_9_-"/>
      <w:bookmarkEnd w:id="33"/>
      <w:r w:rsidRPr="00303E07">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11"/>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40"/>
      <w:headerReference w:type="default" r:id="rId41"/>
      <w:footerReference w:type="default" r:id="rId42"/>
      <w:headerReference w:type="first" r:id="rId43"/>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9B40" w14:textId="77777777" w:rsidR="00DF0CF6" w:rsidRDefault="00DF0CF6">
      <w:pPr>
        <w:spacing w:line="240" w:lineRule="auto"/>
        <w:ind w:left="0" w:hanging="2"/>
      </w:pPr>
      <w:r>
        <w:separator/>
      </w:r>
    </w:p>
  </w:endnote>
  <w:endnote w:type="continuationSeparator" w:id="0">
    <w:p w14:paraId="06BFF15A" w14:textId="77777777" w:rsidR="00DF0CF6" w:rsidRDefault="00DF0CF6">
      <w:pPr>
        <w:spacing w:line="240" w:lineRule="auto"/>
        <w:ind w:left="0" w:hanging="2"/>
      </w:pPr>
      <w:r>
        <w:continuationSeparator/>
      </w:r>
    </w:p>
  </w:endnote>
  <w:endnote w:type="continuationNotice" w:id="1">
    <w:p w14:paraId="27A5AF2B" w14:textId="77777777" w:rsidR="00DF0CF6" w:rsidRDefault="00DF0CF6">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reaming Outloud Script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DD77" w14:textId="77777777" w:rsidR="00DF0CF6" w:rsidRDefault="00DF0CF6">
      <w:pPr>
        <w:spacing w:line="240" w:lineRule="auto"/>
        <w:ind w:left="0" w:hanging="2"/>
      </w:pPr>
      <w:r>
        <w:separator/>
      </w:r>
    </w:p>
  </w:footnote>
  <w:footnote w:type="continuationSeparator" w:id="0">
    <w:p w14:paraId="3155CBFE" w14:textId="77777777" w:rsidR="00DF0CF6" w:rsidRDefault="00DF0CF6">
      <w:pPr>
        <w:spacing w:line="240" w:lineRule="auto"/>
        <w:ind w:left="0" w:hanging="2"/>
      </w:pPr>
      <w:r>
        <w:continuationSeparator/>
      </w:r>
    </w:p>
  </w:footnote>
  <w:footnote w:type="continuationNotice" w:id="1">
    <w:p w14:paraId="116E0765" w14:textId="77777777" w:rsidR="00DF0CF6" w:rsidRDefault="00DF0CF6">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C040352"/>
    <w:multiLevelType w:val="hybridMultilevel"/>
    <w:tmpl w:val="8EFA8050"/>
    <w:lvl w:ilvl="0" w:tplc="D518A3F6">
      <w:start w:val="8"/>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3"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6"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7"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9"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0"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3"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4"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5"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7"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8"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9"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0"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5"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6"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8"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9" w15:restartNumberingAfterBreak="0">
    <w:nsid w:val="69581BB9"/>
    <w:multiLevelType w:val="hybridMultilevel"/>
    <w:tmpl w:val="94C61C4A"/>
    <w:lvl w:ilvl="0" w:tplc="C05E8836">
      <w:start w:val="1"/>
      <w:numFmt w:val="bullet"/>
      <w:lvlText w:val=""/>
      <w:lvlJc w:val="left"/>
      <w:pPr>
        <w:ind w:left="720" w:hanging="360"/>
      </w:pPr>
      <w:rPr>
        <w:rFonts w:ascii="Symbol" w:hAnsi="Symbol" w:hint="default"/>
      </w:rPr>
    </w:lvl>
    <w:lvl w:ilvl="1" w:tplc="04BE33CE">
      <w:start w:val="1"/>
      <w:numFmt w:val="bullet"/>
      <w:lvlText w:val="o"/>
      <w:lvlJc w:val="left"/>
      <w:pPr>
        <w:ind w:left="1440" w:hanging="360"/>
      </w:pPr>
      <w:rPr>
        <w:rFonts w:ascii="Courier New" w:hAnsi="Courier New" w:hint="default"/>
      </w:rPr>
    </w:lvl>
    <w:lvl w:ilvl="2" w:tplc="F5B0EAF2">
      <w:start w:val="1"/>
      <w:numFmt w:val="bullet"/>
      <w:lvlText w:val=""/>
      <w:lvlJc w:val="left"/>
      <w:pPr>
        <w:ind w:left="2160" w:hanging="360"/>
      </w:pPr>
      <w:rPr>
        <w:rFonts w:ascii="Wingdings" w:hAnsi="Wingdings" w:hint="default"/>
      </w:rPr>
    </w:lvl>
    <w:lvl w:ilvl="3" w:tplc="FEE2C216">
      <w:start w:val="1"/>
      <w:numFmt w:val="bullet"/>
      <w:lvlText w:val=""/>
      <w:lvlJc w:val="left"/>
      <w:pPr>
        <w:ind w:left="2880" w:hanging="360"/>
      </w:pPr>
      <w:rPr>
        <w:rFonts w:ascii="Symbol" w:hAnsi="Symbol" w:hint="default"/>
      </w:rPr>
    </w:lvl>
    <w:lvl w:ilvl="4" w:tplc="52AE41C6">
      <w:start w:val="1"/>
      <w:numFmt w:val="bullet"/>
      <w:lvlText w:val="o"/>
      <w:lvlJc w:val="left"/>
      <w:pPr>
        <w:ind w:left="3600" w:hanging="360"/>
      </w:pPr>
      <w:rPr>
        <w:rFonts w:ascii="Courier New" w:hAnsi="Courier New" w:hint="default"/>
      </w:rPr>
    </w:lvl>
    <w:lvl w:ilvl="5" w:tplc="9AC4DD34">
      <w:start w:val="1"/>
      <w:numFmt w:val="bullet"/>
      <w:lvlText w:val=""/>
      <w:lvlJc w:val="left"/>
      <w:pPr>
        <w:ind w:left="4320" w:hanging="360"/>
      </w:pPr>
      <w:rPr>
        <w:rFonts w:ascii="Wingdings" w:hAnsi="Wingdings" w:hint="default"/>
      </w:rPr>
    </w:lvl>
    <w:lvl w:ilvl="6" w:tplc="A1FEF848">
      <w:start w:val="1"/>
      <w:numFmt w:val="bullet"/>
      <w:lvlText w:val=""/>
      <w:lvlJc w:val="left"/>
      <w:pPr>
        <w:ind w:left="5040" w:hanging="360"/>
      </w:pPr>
      <w:rPr>
        <w:rFonts w:ascii="Symbol" w:hAnsi="Symbol" w:hint="default"/>
      </w:rPr>
    </w:lvl>
    <w:lvl w:ilvl="7" w:tplc="7CE265EE">
      <w:start w:val="1"/>
      <w:numFmt w:val="bullet"/>
      <w:lvlText w:val="o"/>
      <w:lvlJc w:val="left"/>
      <w:pPr>
        <w:ind w:left="5760" w:hanging="360"/>
      </w:pPr>
      <w:rPr>
        <w:rFonts w:ascii="Courier New" w:hAnsi="Courier New" w:hint="default"/>
      </w:rPr>
    </w:lvl>
    <w:lvl w:ilvl="8" w:tplc="D2C8D004">
      <w:start w:val="1"/>
      <w:numFmt w:val="bullet"/>
      <w:lvlText w:val=""/>
      <w:lvlJc w:val="left"/>
      <w:pPr>
        <w:ind w:left="6480" w:hanging="360"/>
      </w:pPr>
      <w:rPr>
        <w:rFonts w:ascii="Wingdings" w:hAnsi="Wingdings" w:hint="default"/>
      </w:rPr>
    </w:lvl>
  </w:abstractNum>
  <w:abstractNum w:abstractNumId="40"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1"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2"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3"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4"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5" w15:restartNumberingAfterBreak="0">
    <w:nsid w:val="7D4E94F5"/>
    <w:multiLevelType w:val="hybridMultilevel"/>
    <w:tmpl w:val="51325C0E"/>
    <w:lvl w:ilvl="0" w:tplc="0AEEA568">
      <w:start w:val="1"/>
      <w:numFmt w:val="bullet"/>
      <w:lvlText w:val=""/>
      <w:lvlJc w:val="left"/>
      <w:pPr>
        <w:ind w:left="720" w:hanging="360"/>
      </w:pPr>
      <w:rPr>
        <w:rFonts w:ascii="Symbol" w:hAnsi="Symbol" w:hint="default"/>
      </w:rPr>
    </w:lvl>
    <w:lvl w:ilvl="1" w:tplc="0748B19E">
      <w:start w:val="1"/>
      <w:numFmt w:val="bullet"/>
      <w:lvlText w:val="o"/>
      <w:lvlJc w:val="left"/>
      <w:pPr>
        <w:ind w:left="1440" w:hanging="360"/>
      </w:pPr>
      <w:rPr>
        <w:rFonts w:ascii="Courier New" w:hAnsi="Courier New" w:hint="default"/>
      </w:rPr>
    </w:lvl>
    <w:lvl w:ilvl="2" w:tplc="8E34ECC0">
      <w:start w:val="1"/>
      <w:numFmt w:val="bullet"/>
      <w:lvlText w:val=""/>
      <w:lvlJc w:val="left"/>
      <w:pPr>
        <w:ind w:left="2160" w:hanging="360"/>
      </w:pPr>
      <w:rPr>
        <w:rFonts w:ascii="Wingdings" w:hAnsi="Wingdings" w:hint="default"/>
      </w:rPr>
    </w:lvl>
    <w:lvl w:ilvl="3" w:tplc="0254BB4E">
      <w:start w:val="1"/>
      <w:numFmt w:val="bullet"/>
      <w:lvlText w:val=""/>
      <w:lvlJc w:val="left"/>
      <w:pPr>
        <w:ind w:left="2880" w:hanging="360"/>
      </w:pPr>
      <w:rPr>
        <w:rFonts w:ascii="Symbol" w:hAnsi="Symbol" w:hint="default"/>
      </w:rPr>
    </w:lvl>
    <w:lvl w:ilvl="4" w:tplc="2CE012C2">
      <w:start w:val="1"/>
      <w:numFmt w:val="bullet"/>
      <w:lvlText w:val="o"/>
      <w:lvlJc w:val="left"/>
      <w:pPr>
        <w:ind w:left="3600" w:hanging="360"/>
      </w:pPr>
      <w:rPr>
        <w:rFonts w:ascii="Courier New" w:hAnsi="Courier New" w:hint="default"/>
      </w:rPr>
    </w:lvl>
    <w:lvl w:ilvl="5" w:tplc="052EFB14">
      <w:start w:val="1"/>
      <w:numFmt w:val="bullet"/>
      <w:lvlText w:val=""/>
      <w:lvlJc w:val="left"/>
      <w:pPr>
        <w:ind w:left="4320" w:hanging="360"/>
      </w:pPr>
      <w:rPr>
        <w:rFonts w:ascii="Wingdings" w:hAnsi="Wingdings" w:hint="default"/>
      </w:rPr>
    </w:lvl>
    <w:lvl w:ilvl="6" w:tplc="C414EED6">
      <w:start w:val="1"/>
      <w:numFmt w:val="bullet"/>
      <w:lvlText w:val=""/>
      <w:lvlJc w:val="left"/>
      <w:pPr>
        <w:ind w:left="5040" w:hanging="360"/>
      </w:pPr>
      <w:rPr>
        <w:rFonts w:ascii="Symbol" w:hAnsi="Symbol" w:hint="default"/>
      </w:rPr>
    </w:lvl>
    <w:lvl w:ilvl="7" w:tplc="33580548">
      <w:start w:val="1"/>
      <w:numFmt w:val="bullet"/>
      <w:lvlText w:val="o"/>
      <w:lvlJc w:val="left"/>
      <w:pPr>
        <w:ind w:left="5760" w:hanging="360"/>
      </w:pPr>
      <w:rPr>
        <w:rFonts w:ascii="Courier New" w:hAnsi="Courier New" w:hint="default"/>
      </w:rPr>
    </w:lvl>
    <w:lvl w:ilvl="8" w:tplc="1BF29B58">
      <w:start w:val="1"/>
      <w:numFmt w:val="bullet"/>
      <w:lvlText w:val=""/>
      <w:lvlJc w:val="left"/>
      <w:pPr>
        <w:ind w:left="6480" w:hanging="360"/>
      </w:pPr>
      <w:rPr>
        <w:rFonts w:ascii="Wingdings" w:hAnsi="Wingdings" w:hint="default"/>
      </w:rPr>
    </w:lvl>
  </w:abstractNum>
  <w:num w:numId="1" w16cid:durableId="1324433391">
    <w:abstractNumId w:val="39"/>
  </w:num>
  <w:num w:numId="2" w16cid:durableId="225070938">
    <w:abstractNumId w:val="45"/>
  </w:num>
  <w:num w:numId="3" w16cid:durableId="679817271">
    <w:abstractNumId w:val="7"/>
  </w:num>
  <w:num w:numId="4" w16cid:durableId="253318334">
    <w:abstractNumId w:val="27"/>
  </w:num>
  <w:num w:numId="5" w16cid:durableId="51779508">
    <w:abstractNumId w:val="19"/>
  </w:num>
  <w:num w:numId="6" w16cid:durableId="383602012">
    <w:abstractNumId w:val="41"/>
  </w:num>
  <w:num w:numId="7" w16cid:durableId="895431659">
    <w:abstractNumId w:val="3"/>
  </w:num>
  <w:num w:numId="8" w16cid:durableId="1912622172">
    <w:abstractNumId w:val="22"/>
  </w:num>
  <w:num w:numId="9" w16cid:durableId="1236629737">
    <w:abstractNumId w:val="43"/>
  </w:num>
  <w:num w:numId="10" w16cid:durableId="278995360">
    <w:abstractNumId w:val="29"/>
  </w:num>
  <w:num w:numId="11" w16cid:durableId="1141003079">
    <w:abstractNumId w:val="0"/>
  </w:num>
  <w:num w:numId="12" w16cid:durableId="2046755898">
    <w:abstractNumId w:val="42"/>
  </w:num>
  <w:num w:numId="13" w16cid:durableId="2041320994">
    <w:abstractNumId w:val="18"/>
  </w:num>
  <w:num w:numId="14" w16cid:durableId="1604804460">
    <w:abstractNumId w:val="38"/>
  </w:num>
  <w:num w:numId="15" w16cid:durableId="1480802019">
    <w:abstractNumId w:val="23"/>
  </w:num>
  <w:num w:numId="16" w16cid:durableId="972559085">
    <w:abstractNumId w:val="8"/>
  </w:num>
  <w:num w:numId="17" w16cid:durableId="1187059078">
    <w:abstractNumId w:val="35"/>
  </w:num>
  <w:num w:numId="18" w16cid:durableId="1368143183">
    <w:abstractNumId w:val="40"/>
  </w:num>
  <w:num w:numId="19" w16cid:durableId="1326281525">
    <w:abstractNumId w:val="17"/>
  </w:num>
  <w:num w:numId="20" w16cid:durableId="544756860">
    <w:abstractNumId w:val="32"/>
  </w:num>
  <w:num w:numId="21" w16cid:durableId="558172847">
    <w:abstractNumId w:val="1"/>
  </w:num>
  <w:num w:numId="22" w16cid:durableId="1177231307">
    <w:abstractNumId w:val="28"/>
  </w:num>
  <w:num w:numId="23" w16cid:durableId="1233080678">
    <w:abstractNumId w:val="24"/>
  </w:num>
  <w:num w:numId="24" w16cid:durableId="1085107040">
    <w:abstractNumId w:val="10"/>
  </w:num>
  <w:num w:numId="25" w16cid:durableId="738482078">
    <w:abstractNumId w:val="37"/>
  </w:num>
  <w:num w:numId="26" w16cid:durableId="1676685131">
    <w:abstractNumId w:val="26"/>
  </w:num>
  <w:num w:numId="27" w16cid:durableId="1890456964">
    <w:abstractNumId w:val="34"/>
  </w:num>
  <w:num w:numId="28" w16cid:durableId="167409040">
    <w:abstractNumId w:val="6"/>
  </w:num>
  <w:num w:numId="29" w16cid:durableId="388723915">
    <w:abstractNumId w:val="5"/>
  </w:num>
  <w:num w:numId="30" w16cid:durableId="1724939623">
    <w:abstractNumId w:val="9"/>
  </w:num>
  <w:num w:numId="31" w16cid:durableId="735977973">
    <w:abstractNumId w:val="4"/>
  </w:num>
  <w:num w:numId="32" w16cid:durableId="940649186">
    <w:abstractNumId w:val="44"/>
  </w:num>
  <w:num w:numId="33" w16cid:durableId="1884519781">
    <w:abstractNumId w:val="16"/>
  </w:num>
  <w:num w:numId="34" w16cid:durableId="1336491132">
    <w:abstractNumId w:val="14"/>
  </w:num>
  <w:num w:numId="35" w16cid:durableId="1786777877">
    <w:abstractNumId w:val="31"/>
  </w:num>
  <w:num w:numId="36" w16cid:durableId="2107576700">
    <w:abstractNumId w:val="21"/>
  </w:num>
  <w:num w:numId="37" w16cid:durableId="276497313">
    <w:abstractNumId w:val="30"/>
  </w:num>
  <w:num w:numId="38" w16cid:durableId="390421388">
    <w:abstractNumId w:val="25"/>
  </w:num>
  <w:num w:numId="39" w16cid:durableId="1328174395">
    <w:abstractNumId w:val="20"/>
  </w:num>
  <w:num w:numId="40" w16cid:durableId="1272933014">
    <w:abstractNumId w:val="2"/>
  </w:num>
  <w:num w:numId="41" w16cid:durableId="2050839607">
    <w:abstractNumId w:val="33"/>
  </w:num>
  <w:num w:numId="42" w16cid:durableId="1053652033">
    <w:abstractNumId w:val="15"/>
  </w:num>
  <w:num w:numId="43" w16cid:durableId="729890814">
    <w:abstractNumId w:val="36"/>
  </w:num>
  <w:num w:numId="44" w16cid:durableId="76637083">
    <w:abstractNumId w:val="13"/>
  </w:num>
  <w:num w:numId="45" w16cid:durableId="1630355877">
    <w:abstractNumId w:val="11"/>
  </w:num>
  <w:num w:numId="46" w16cid:durableId="2111197231">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0079E"/>
    <w:rsid w:val="00016B71"/>
    <w:rsid w:val="00026B26"/>
    <w:rsid w:val="00032D96"/>
    <w:rsid w:val="0003764F"/>
    <w:rsid w:val="000450E5"/>
    <w:rsid w:val="000620B3"/>
    <w:rsid w:val="000A3765"/>
    <w:rsid w:val="000A7AAB"/>
    <w:rsid w:val="000C591E"/>
    <w:rsid w:val="000E176F"/>
    <w:rsid w:val="00103CCF"/>
    <w:rsid w:val="00121D48"/>
    <w:rsid w:val="00180B5F"/>
    <w:rsid w:val="001A7F54"/>
    <w:rsid w:val="001B3C93"/>
    <w:rsid w:val="001C1820"/>
    <w:rsid w:val="001C5CAD"/>
    <w:rsid w:val="001E1E58"/>
    <w:rsid w:val="001F1FDD"/>
    <w:rsid w:val="00216576"/>
    <w:rsid w:val="002248EE"/>
    <w:rsid w:val="00242595"/>
    <w:rsid w:val="00252B40"/>
    <w:rsid w:val="00257780"/>
    <w:rsid w:val="002647C9"/>
    <w:rsid w:val="00271409"/>
    <w:rsid w:val="00293400"/>
    <w:rsid w:val="002A1EBE"/>
    <w:rsid w:val="002A7066"/>
    <w:rsid w:val="002C4E8D"/>
    <w:rsid w:val="002F03A9"/>
    <w:rsid w:val="00303E07"/>
    <w:rsid w:val="0032282F"/>
    <w:rsid w:val="00326315"/>
    <w:rsid w:val="00332E1B"/>
    <w:rsid w:val="00334388"/>
    <w:rsid w:val="00352AD3"/>
    <w:rsid w:val="0038751E"/>
    <w:rsid w:val="00397C03"/>
    <w:rsid w:val="003B44DE"/>
    <w:rsid w:val="003B6B0F"/>
    <w:rsid w:val="003C6C57"/>
    <w:rsid w:val="003F34A5"/>
    <w:rsid w:val="004045B9"/>
    <w:rsid w:val="0040774F"/>
    <w:rsid w:val="0045642E"/>
    <w:rsid w:val="00474E73"/>
    <w:rsid w:val="00484CC4"/>
    <w:rsid w:val="004B790F"/>
    <w:rsid w:val="004F2DE8"/>
    <w:rsid w:val="00502BBE"/>
    <w:rsid w:val="00551F42"/>
    <w:rsid w:val="00577F72"/>
    <w:rsid w:val="005854A3"/>
    <w:rsid w:val="005B4BAC"/>
    <w:rsid w:val="005D0377"/>
    <w:rsid w:val="005D04F7"/>
    <w:rsid w:val="005D0579"/>
    <w:rsid w:val="005D2B8B"/>
    <w:rsid w:val="0060500B"/>
    <w:rsid w:val="00617B60"/>
    <w:rsid w:val="006441D4"/>
    <w:rsid w:val="00672371"/>
    <w:rsid w:val="00673362"/>
    <w:rsid w:val="006B3D35"/>
    <w:rsid w:val="006E7763"/>
    <w:rsid w:val="006F7198"/>
    <w:rsid w:val="00716E61"/>
    <w:rsid w:val="007412B9"/>
    <w:rsid w:val="00746744"/>
    <w:rsid w:val="00780523"/>
    <w:rsid w:val="00791184"/>
    <w:rsid w:val="00796197"/>
    <w:rsid w:val="007A20A1"/>
    <w:rsid w:val="007B1985"/>
    <w:rsid w:val="007B2BD4"/>
    <w:rsid w:val="007C2A9F"/>
    <w:rsid w:val="007C694B"/>
    <w:rsid w:val="007E6BE7"/>
    <w:rsid w:val="00800916"/>
    <w:rsid w:val="0081110F"/>
    <w:rsid w:val="00821DF0"/>
    <w:rsid w:val="00824176"/>
    <w:rsid w:val="00833E25"/>
    <w:rsid w:val="008476F2"/>
    <w:rsid w:val="00850217"/>
    <w:rsid w:val="00853677"/>
    <w:rsid w:val="008542CB"/>
    <w:rsid w:val="00857639"/>
    <w:rsid w:val="00865BBC"/>
    <w:rsid w:val="00870201"/>
    <w:rsid w:val="008A765B"/>
    <w:rsid w:val="008A76DA"/>
    <w:rsid w:val="008C39B4"/>
    <w:rsid w:val="008E182F"/>
    <w:rsid w:val="008F3901"/>
    <w:rsid w:val="00903BDD"/>
    <w:rsid w:val="00950BD4"/>
    <w:rsid w:val="00951DDD"/>
    <w:rsid w:val="00973D2B"/>
    <w:rsid w:val="00974058"/>
    <w:rsid w:val="009A4977"/>
    <w:rsid w:val="009A6F2A"/>
    <w:rsid w:val="009B4B48"/>
    <w:rsid w:val="009E1989"/>
    <w:rsid w:val="009F5A49"/>
    <w:rsid w:val="00A13DE2"/>
    <w:rsid w:val="00A14D33"/>
    <w:rsid w:val="00A15844"/>
    <w:rsid w:val="00A17880"/>
    <w:rsid w:val="00A22F87"/>
    <w:rsid w:val="00A26C2A"/>
    <w:rsid w:val="00A302C2"/>
    <w:rsid w:val="00A43CBA"/>
    <w:rsid w:val="00A47AD1"/>
    <w:rsid w:val="00A91A48"/>
    <w:rsid w:val="00AC4C69"/>
    <w:rsid w:val="00AE2F2B"/>
    <w:rsid w:val="00B374B0"/>
    <w:rsid w:val="00B55BBC"/>
    <w:rsid w:val="00B614CF"/>
    <w:rsid w:val="00B73D14"/>
    <w:rsid w:val="00B9440F"/>
    <w:rsid w:val="00BA4B33"/>
    <w:rsid w:val="00BB5117"/>
    <w:rsid w:val="00BE6BAA"/>
    <w:rsid w:val="00C103CE"/>
    <w:rsid w:val="00C40953"/>
    <w:rsid w:val="00C557FA"/>
    <w:rsid w:val="00C65D14"/>
    <w:rsid w:val="00CA180D"/>
    <w:rsid w:val="00CE5D49"/>
    <w:rsid w:val="00D01185"/>
    <w:rsid w:val="00D01E56"/>
    <w:rsid w:val="00D108A0"/>
    <w:rsid w:val="00D13DDB"/>
    <w:rsid w:val="00D236CC"/>
    <w:rsid w:val="00D248A9"/>
    <w:rsid w:val="00D3175A"/>
    <w:rsid w:val="00D3449D"/>
    <w:rsid w:val="00D35176"/>
    <w:rsid w:val="00D7185B"/>
    <w:rsid w:val="00D93165"/>
    <w:rsid w:val="00D95563"/>
    <w:rsid w:val="00D97ACC"/>
    <w:rsid w:val="00DD07EA"/>
    <w:rsid w:val="00DD717B"/>
    <w:rsid w:val="00DF0CF6"/>
    <w:rsid w:val="00E05CF6"/>
    <w:rsid w:val="00E146FA"/>
    <w:rsid w:val="00E31B71"/>
    <w:rsid w:val="00E62DF4"/>
    <w:rsid w:val="00E63F84"/>
    <w:rsid w:val="00E64EBF"/>
    <w:rsid w:val="00E918FD"/>
    <w:rsid w:val="00EE1ED8"/>
    <w:rsid w:val="00EE4446"/>
    <w:rsid w:val="00EE6475"/>
    <w:rsid w:val="00F01E9F"/>
    <w:rsid w:val="00F0647A"/>
    <w:rsid w:val="00F66576"/>
    <w:rsid w:val="00F67707"/>
    <w:rsid w:val="00F72A3D"/>
    <w:rsid w:val="00F73241"/>
    <w:rsid w:val="00F9718E"/>
    <w:rsid w:val="00F972EF"/>
    <w:rsid w:val="00FD53A3"/>
    <w:rsid w:val="00FE275D"/>
    <w:rsid w:val="00FF596E"/>
    <w:rsid w:val="041049A6"/>
    <w:rsid w:val="044DDAE3"/>
    <w:rsid w:val="07E7E8FD"/>
    <w:rsid w:val="0A8BCBF2"/>
    <w:rsid w:val="0CDBA70E"/>
    <w:rsid w:val="101A722E"/>
    <w:rsid w:val="14E5DDD0"/>
    <w:rsid w:val="15C511ED"/>
    <w:rsid w:val="15CD9006"/>
    <w:rsid w:val="1755E6B7"/>
    <w:rsid w:val="189DA93E"/>
    <w:rsid w:val="19D0D95E"/>
    <w:rsid w:val="1A18179D"/>
    <w:rsid w:val="1ADEB44C"/>
    <w:rsid w:val="1C187B44"/>
    <w:rsid w:val="1E98F4B5"/>
    <w:rsid w:val="1EEABF0A"/>
    <w:rsid w:val="2008F026"/>
    <w:rsid w:val="26824A5D"/>
    <w:rsid w:val="26882B72"/>
    <w:rsid w:val="2EBEC5AF"/>
    <w:rsid w:val="315A6C08"/>
    <w:rsid w:val="349DFAB7"/>
    <w:rsid w:val="37C5B237"/>
    <w:rsid w:val="38444A40"/>
    <w:rsid w:val="3BB20064"/>
    <w:rsid w:val="3F94F2A2"/>
    <w:rsid w:val="443A175C"/>
    <w:rsid w:val="45578E47"/>
    <w:rsid w:val="464A7623"/>
    <w:rsid w:val="487D1338"/>
    <w:rsid w:val="4896817E"/>
    <w:rsid w:val="48DA0114"/>
    <w:rsid w:val="49917A4B"/>
    <w:rsid w:val="4C8AD89A"/>
    <w:rsid w:val="4C96D8C8"/>
    <w:rsid w:val="4EB9AE3A"/>
    <w:rsid w:val="524DC63E"/>
    <w:rsid w:val="553B18FA"/>
    <w:rsid w:val="56C0A42F"/>
    <w:rsid w:val="59D06769"/>
    <w:rsid w:val="601CE32C"/>
    <w:rsid w:val="689429D4"/>
    <w:rsid w:val="68D7CDD0"/>
    <w:rsid w:val="6A06EBFE"/>
    <w:rsid w:val="6AFB4AE8"/>
    <w:rsid w:val="70DB6C75"/>
    <w:rsid w:val="71E00637"/>
    <w:rsid w:val="72D44313"/>
    <w:rsid w:val="79B332FB"/>
    <w:rsid w:val="7DFDC9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B41F8643-37B4-44CD-89D7-E7A0BB6C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3"/>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uiPriority w:val="99"/>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6"/>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3"/>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3"/>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3"/>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3"/>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3"/>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3"/>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5D04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447279">
      <w:bodyDiv w:val="1"/>
      <w:marLeft w:val="0"/>
      <w:marRight w:val="0"/>
      <w:marTop w:val="0"/>
      <w:marBottom w:val="0"/>
      <w:divBdr>
        <w:top w:val="none" w:sz="0" w:space="0" w:color="auto"/>
        <w:left w:val="none" w:sz="0" w:space="0" w:color="auto"/>
        <w:bottom w:val="none" w:sz="0" w:space="0" w:color="auto"/>
        <w:right w:val="none" w:sz="0" w:space="0" w:color="auto"/>
      </w:divBdr>
    </w:div>
    <w:div w:id="101090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hyperlink" Target="https://www.gov.uk/government/publications/the-sourcing-and-consultancy-playbooks"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1.xml"/><Relationship Id="rId42"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psa.gov.uk/sensitive-information-assets"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2.xml"/><Relationship Id="rId38" Type="http://schemas.openxmlformats.org/officeDocument/2006/relationships/hyperlink" Target="mailto:resolution.planning@cabinetoffice.gov.uk" TargetMode="Externa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ecurity-policy-framework%20"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rowncommercial.qualtrics.com/jfe/form/SV_8qenfmII5Xf27a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43"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91ef4a9b-8982-40d4-9548-8251fa459d18">
      <Value>5</Value>
      <Value>4</Value>
      <Value>3</Value>
      <Value>2</Value>
      <Value>1</Value>
    </TaxCatchAll>
    <HMT_ClosedbyOrig xmlns="91ef4a9b-8982-40d4-9548-8251fa459d18">
      <UserInfo>
        <DisplayName/>
        <AccountId xsi:nil="true"/>
        <AccountType/>
      </UserInfo>
    </HMT_ClosedbyOrig>
    <dlc_EmailReceivedUTC xmlns="http://schemas.microsoft.com/sharepoint/v3" xsi:nil="true"/>
    <dlc_EmailSentUTC xmlns="http://schemas.microsoft.com/sharepoint/v3" xsi:nil="true"/>
    <HMT_DocumentTypeHTField0 xmlns="91ef4a9b-8982-40d4-9548-8251fa459d1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_dlc_DocId xmlns="91ef4a9b-8982-40d4-9548-8251fa459d18">HMTGNRLCOMME-130644177-818</_dlc_DocId>
    <HMT_LegacySensitive xmlns="91ef4a9b-8982-40d4-9548-8251fa459d18">false</HMT_LegacySensitive>
    <_dlc_DocIdUrl xmlns="91ef4a9b-8982-40d4-9548-8251fa459d18">
      <Url>https://tris42.sharepoint.com/sites/hmt_wrkgrp_commercial/_layouts/15/DocIdRedir.aspx?ID=HMTGNRLCOMME-130644177-818</Url>
      <Description>HMTGNRLCOMME-130644177-818</Description>
    </_dlc_DocIdUrl>
    <HMT_ClosedArchive xmlns="91ef4a9b-8982-40d4-9548-8251fa459d18">false</HMT_ClosedArchive>
    <HMT_LegacyRecord xmlns="91ef4a9b-8982-40d4-9548-8251fa459d18">false</HMT_LegacyRecord>
    <HMT_Topic xmlns="91ef4a9b-8982-40d4-9548-8251fa459d18">Nicola's Commercial Documents</HMT_Topic>
    <HMT_SubTeamHTField0 xmlns="91ef4a9b-8982-40d4-9548-8251fa459d18">
      <Terms xmlns="http://schemas.microsoft.com/office/infopath/2007/PartnerControls"/>
    </HMT_SubTeamHTField0>
    <HMT_Record xmlns="91ef4a9b-8982-40d4-9548-8251fa459d18">true</HMT_Record>
    <HMT_TeamHTField0 xmlns="91ef4a9b-8982-40d4-9548-8251fa459d18">
      <Terms xmlns="http://schemas.microsoft.com/office/infopath/2007/PartnerControls">
        <TermInfo xmlns="http://schemas.microsoft.com/office/infopath/2007/PartnerControls">
          <TermName xmlns="http://schemas.microsoft.com/office/infopath/2007/PartnerControls">Commercial Intelligent Client Function</TermName>
          <TermId xmlns="http://schemas.microsoft.com/office/infopath/2007/PartnerControls">cde5e14b-9e76-4b22-b1c4-49733a76b552</TermId>
        </TermInfo>
      </Terms>
    </HMT_TeamHTField0>
    <HMT_CategoryHTField0 xmlns="91ef4a9b-8982-40d4-9548-8251fa459d18">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HMT_Theme xmlns="91ef4a9b-8982-40d4-9548-8251fa459d18">Documents</HMT_Theme>
    <b9c42a306c8b47fcbaf8a41a71352f3a xmlns="91ef4a9b-8982-40d4-9548-8251fa459d18">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91ef4a9b-8982-40d4-9548-8251fa459d18">
      <Terms xmlns="http://schemas.microsoft.com/office/infopath/2007/PartnerControls">
        <TermInfo xmlns="http://schemas.microsoft.com/office/infopath/2007/PartnerControls">
          <TermName xmlns="http://schemas.microsoft.com/office/infopath/2007/PartnerControls">Corporate Centre</TermName>
          <TermId xmlns="http://schemas.microsoft.com/office/infopath/2007/PartnerControls">3a82a502-41d5-4d4c-ba50-c5def56f6a59</TermId>
        </TermInfo>
      </Terms>
    </HMT_GroupHTField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HMT Document" ma:contentTypeID="0x010100F3DA492754083E45834DB37B66A75980002A13C9C736CED342A5B69403F9A7C693" ma:contentTypeVersion="10" ma:contentTypeDescription="Create an InfoStore Document" ma:contentTypeScope="" ma:versionID="83c6c244ab691d5919efc5b27c075c86">
  <xsd:schema xmlns:xsd="http://www.w3.org/2001/XMLSchema" xmlns:xs="http://www.w3.org/2001/XMLSchema" xmlns:p="http://schemas.microsoft.com/office/2006/metadata/properties" xmlns:ns1="http://schemas.microsoft.com/sharepoint/v3" xmlns:ns2="91ef4a9b-8982-40d4-9548-8251fa459d18" xmlns:ns3="196808e1-23d2-4133-9300-d647d2ebd74a" targetNamespace="http://schemas.microsoft.com/office/2006/metadata/properties" ma:root="true" ma:fieldsID="fc8c42f87aab9c12e2ee45ca0d3214d8" ns1:_="" ns2:_="" ns3:_="">
    <xsd:import namespace="http://schemas.microsoft.com/sharepoint/v3"/>
    <xsd:import namespace="91ef4a9b-8982-40d4-9548-8251fa459d18"/>
    <xsd:import namespace="196808e1-23d2-4133-9300-d647d2ebd74a"/>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ef4a9b-8982-40d4-9548-8251fa459d1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5;#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dcd9480d-5a71-426c-95ea-beee4810fa05}" ma:internalName="TaxCatchAllLabel" ma:readOnly="true" ma:showField="CatchAllDataLabel" ma:web="91ef4a9b-8982-40d4-9548-8251fa459d1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dcd9480d-5a71-426c-95ea-beee4810fa05}" ma:internalName="TaxCatchAll" ma:showField="CatchAllData" ma:web="91ef4a9b-8982-40d4-9548-8251fa459d1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808e1-23d2-4133-9300-d647d2ebd74a"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SearchProperties" ma:index="6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9511D-AB23-491E-8EB6-B1790E34A06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6B8B8C8-2CC9-4388-9299-255F9C2E584E}">
  <ds:schemaRefs>
    <ds:schemaRef ds:uri="http://schemas.microsoft.com/office/2006/metadata/properties"/>
    <ds:schemaRef ds:uri="http://schemas.microsoft.com/office/infopath/2007/PartnerControls"/>
    <ds:schemaRef ds:uri="http://schemas.microsoft.com/sharepoint/v3"/>
    <ds:schemaRef ds:uri="91ef4a9b-8982-40d4-9548-8251fa459d18"/>
  </ds:schemaRefs>
</ds:datastoreItem>
</file>

<file path=customXml/itemProps4.xml><?xml version="1.0" encoding="utf-8"?>
<ds:datastoreItem xmlns:ds="http://schemas.openxmlformats.org/officeDocument/2006/customXml" ds:itemID="{90337B62-8216-44EE-876A-28803ED5665A}">
  <ds:schemaRefs>
    <ds:schemaRef ds:uri="http://schemas.microsoft.com/sharepoint/events"/>
  </ds:schemaRefs>
</ds:datastoreItem>
</file>

<file path=customXml/itemProps5.xml><?xml version="1.0" encoding="utf-8"?>
<ds:datastoreItem xmlns:ds="http://schemas.openxmlformats.org/officeDocument/2006/customXml" ds:itemID="{0ECE9E5D-2F51-4C51-939C-B50CA3C11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f4a9b-8982-40d4-9548-8251fa459d18"/>
    <ds:schemaRef ds:uri="196808e1-23d2-4133-9300-d647d2ebd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84</Pages>
  <Words>19149</Words>
  <Characters>109151</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Ramos, Nicola - HMT</cp:lastModifiedBy>
  <cp:revision>5</cp:revision>
  <dcterms:created xsi:type="dcterms:W3CDTF">2025-07-14T10:42:00Z</dcterms:created>
  <dcterms:modified xsi:type="dcterms:W3CDTF">2025-07-14T11:19:00Z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0x010100F3DA492754083E45834DB37B66A75980002A13C9C736CED342A5B69403F9A7C693</vt:lpwstr>
  </property>
  <property fmtid="{D5CDD505-2E9C-101B-9397-08002B2CF9AE}" pid="3" name="_dlc_DocIdItemGuid">
    <vt:lpwstr>e3bacc92-a17e-4722-accf-8ebbcb74f9a2</vt:lpwstr>
  </property>
  <property fmtid="{D5CDD505-2E9C-101B-9397-08002B2CF9AE}" pid="4" name="HMT_DocumentType">
    <vt:lpwstr>5;#Other|c871d64c-a333-451d-b49a-28a9a74c0368</vt:lpwstr>
  </property>
  <property fmtid="{D5CDD505-2E9C-101B-9397-08002B2CF9AE}" pid="5" name="HMT_Group">
    <vt:lpwstr>1;#Corporate Centre|3a82a502-41d5-4d4c-ba50-c5def56f6a59</vt:lpwstr>
  </property>
  <property fmtid="{D5CDD505-2E9C-101B-9397-08002B2CF9AE}" pid="6" name="HMT_SubTeam">
    <vt:lpwstr/>
  </property>
  <property fmtid="{D5CDD505-2E9C-101B-9397-08002B2CF9AE}" pid="7" name="HMT_Review">
    <vt:bool>false</vt:bool>
  </property>
  <property fmtid="{D5CDD505-2E9C-101B-9397-08002B2CF9AE}" pid="8" name="HMT_Team">
    <vt:lpwstr>2;#Commercial Intelligent Client Function|cde5e14b-9e76-4b22-b1c4-49733a76b552</vt:lpwstr>
  </property>
  <property fmtid="{D5CDD505-2E9C-101B-9397-08002B2CF9AE}" pid="9" name="HMT_Category">
    <vt:lpwstr>4;#Corporate Document Types|9cae1664-647a-4060-a444-c5420aa89dfd</vt:lpwstr>
  </property>
  <property fmtid="{D5CDD505-2E9C-101B-9397-08002B2CF9AE}" pid="10" name="HMT_Classification">
    <vt:lpwstr>3;#Sensitive|e4b4762f-94f6-4901-a732-9ab10906c6ba</vt:lpwstr>
  </property>
</Properties>
</file>