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25A62005" w:rsidR="008E082F" w:rsidRPr="00C3320D" w:rsidRDefault="008E082F" w:rsidP="00345F70">
      <w:pPr>
        <w:numPr>
          <w:ilvl w:val="0"/>
          <w:numId w:val="25"/>
        </w:numPr>
        <w:spacing w:before="120" w:after="120" w:line="240" w:lineRule="auto"/>
        <w:rPr>
          <w:rFonts w:cs="Arial"/>
          <w:szCs w:val="22"/>
        </w:rPr>
      </w:pPr>
      <w:r w:rsidRPr="00C3320D">
        <w:rPr>
          <w:rFonts w:cs="Arial"/>
          <w:szCs w:val="22"/>
        </w:rPr>
        <w:t xml:space="preserve">This Order Form </w:t>
      </w:r>
      <w:r w:rsidR="003A6A2C">
        <w:rPr>
          <w:rFonts w:cs="Arial"/>
          <w:szCs w:val="22"/>
        </w:rPr>
        <w:t xml:space="preserve">dated </w:t>
      </w:r>
      <w:r w:rsidR="008E649B">
        <w:rPr>
          <w:rFonts w:cs="Arial"/>
          <w:szCs w:val="22"/>
        </w:rPr>
        <w:t>19</w:t>
      </w:r>
      <w:r w:rsidR="008E649B" w:rsidRPr="0044761A">
        <w:rPr>
          <w:rFonts w:cs="Arial"/>
          <w:szCs w:val="22"/>
          <w:vertAlign w:val="superscript"/>
        </w:rPr>
        <w:t>th</w:t>
      </w:r>
      <w:r w:rsidR="008E649B">
        <w:rPr>
          <w:rFonts w:cs="Arial"/>
          <w:szCs w:val="22"/>
        </w:rPr>
        <w:t xml:space="preserve"> April</w:t>
      </w:r>
      <w:r w:rsidR="003A6A2C">
        <w:rPr>
          <w:rFonts w:cs="Arial"/>
          <w:szCs w:val="22"/>
        </w:rPr>
        <w:t xml:space="preserve"> 2021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345F70">
      <w:pPr>
        <w:numPr>
          <w:ilvl w:val="0"/>
          <w:numId w:val="25"/>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345F70">
      <w:pPr>
        <w:numPr>
          <w:ilvl w:val="0"/>
          <w:numId w:val="25"/>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345F70">
      <w:pPr>
        <w:numPr>
          <w:ilvl w:val="0"/>
          <w:numId w:val="25"/>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345F70">
      <w:pPr>
        <w:numPr>
          <w:ilvl w:val="0"/>
          <w:numId w:val="25"/>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345F70">
      <w:pPr>
        <w:numPr>
          <w:ilvl w:val="0"/>
          <w:numId w:val="25"/>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2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4249"/>
        <w:gridCol w:w="4309"/>
        <w:gridCol w:w="24"/>
      </w:tblGrid>
      <w:tr w:rsidR="00C3320D" w:rsidRPr="00C3320D" w14:paraId="431A0C45" w14:textId="77777777" w:rsidTr="00C809B4">
        <w:trPr>
          <w:gridAfter w:val="1"/>
          <w:wAfter w:w="24" w:type="dxa"/>
        </w:trPr>
        <w:tc>
          <w:tcPr>
            <w:tcW w:w="689"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0563F475" w:rsidR="008E082F" w:rsidRPr="00C3320D" w:rsidRDefault="00F3426B" w:rsidP="00D40F55">
            <w:pPr>
              <w:spacing w:before="120" w:after="120" w:line="240" w:lineRule="auto"/>
              <w:jc w:val="left"/>
              <w:rPr>
                <w:rFonts w:cs="Arial"/>
                <w:b/>
                <w:szCs w:val="22"/>
              </w:rPr>
            </w:pPr>
            <w:r>
              <w:rPr>
                <w:rFonts w:cs="Arial"/>
                <w:b/>
                <w:szCs w:val="22"/>
              </w:rPr>
              <w:t xml:space="preserve">Contract Reference Number </w:t>
            </w:r>
          </w:p>
        </w:tc>
        <w:tc>
          <w:tcPr>
            <w:tcW w:w="4309" w:type="dxa"/>
            <w:shd w:val="clear" w:color="auto" w:fill="auto"/>
          </w:tcPr>
          <w:p w14:paraId="0321CF4A" w14:textId="3E2CF44E" w:rsidR="008E082F" w:rsidRPr="00C3320D" w:rsidRDefault="00F3426B" w:rsidP="00EB629D">
            <w:pPr>
              <w:spacing w:before="120" w:after="120" w:line="240" w:lineRule="auto"/>
              <w:jc w:val="left"/>
              <w:rPr>
                <w:rFonts w:cs="Arial"/>
                <w:i/>
                <w:szCs w:val="22"/>
              </w:rPr>
            </w:pPr>
            <w:r>
              <w:rPr>
                <w:rFonts w:cs="Arial"/>
                <w:szCs w:val="22"/>
              </w:rPr>
              <w:t>CCLL</w:t>
            </w:r>
            <w:r w:rsidR="00630605">
              <w:rPr>
                <w:rFonts w:cs="Arial"/>
                <w:szCs w:val="22"/>
              </w:rPr>
              <w:t>2</w:t>
            </w:r>
            <w:r w:rsidR="00EB629D">
              <w:rPr>
                <w:rFonts w:cs="Arial"/>
                <w:szCs w:val="22"/>
              </w:rPr>
              <w:t>1A07</w:t>
            </w:r>
          </w:p>
        </w:tc>
      </w:tr>
      <w:tr w:rsidR="00C3320D" w:rsidRPr="00C3320D" w14:paraId="5F0543CE" w14:textId="77777777" w:rsidTr="00C809B4">
        <w:trPr>
          <w:gridAfter w:val="1"/>
          <w:wAfter w:w="24" w:type="dxa"/>
        </w:trPr>
        <w:tc>
          <w:tcPr>
            <w:tcW w:w="689"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6C0BA469" w:rsidR="008E082F" w:rsidRPr="00C3320D" w:rsidRDefault="00C809B4" w:rsidP="00D40F55">
            <w:pPr>
              <w:spacing w:before="120" w:after="120" w:line="240" w:lineRule="auto"/>
              <w:jc w:val="left"/>
              <w:rPr>
                <w:rFonts w:cs="Arial"/>
                <w:b/>
                <w:szCs w:val="22"/>
              </w:rPr>
            </w:pPr>
            <w:r>
              <w:rPr>
                <w:rFonts w:cs="Arial"/>
                <w:b/>
                <w:spacing w:val="-3"/>
                <w:szCs w:val="22"/>
                <w:lang w:eastAsia="en-GB"/>
              </w:rPr>
              <w:t>HM Treasury</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03D9A217" w14:textId="60F26E31" w:rsidR="008E082F" w:rsidRPr="00C809B4" w:rsidRDefault="00C809B4" w:rsidP="00D40F55">
            <w:pPr>
              <w:spacing w:before="120" w:after="120" w:line="240" w:lineRule="auto"/>
              <w:jc w:val="left"/>
              <w:rPr>
                <w:rFonts w:cs="Arial"/>
                <w:szCs w:val="22"/>
              </w:rPr>
            </w:pPr>
            <w:r w:rsidRPr="00C809B4">
              <w:rPr>
                <w:rFonts w:cs="Arial"/>
                <w:szCs w:val="22"/>
              </w:rPr>
              <w:t>1 Horse</w:t>
            </w:r>
            <w:r>
              <w:rPr>
                <w:rFonts w:cs="Arial"/>
                <w:szCs w:val="22"/>
              </w:rPr>
              <w:t xml:space="preserve"> G</w:t>
            </w:r>
            <w:r w:rsidRPr="00C809B4">
              <w:rPr>
                <w:rFonts w:cs="Arial"/>
                <w:szCs w:val="22"/>
              </w:rPr>
              <w:t>uards Road</w:t>
            </w:r>
          </w:p>
          <w:p w14:paraId="19006115" w14:textId="77777777" w:rsidR="00C809B4" w:rsidRPr="00C809B4" w:rsidRDefault="00C809B4" w:rsidP="00D40F55">
            <w:pPr>
              <w:spacing w:before="120" w:after="120" w:line="240" w:lineRule="auto"/>
              <w:jc w:val="left"/>
              <w:rPr>
                <w:rFonts w:cs="Arial"/>
                <w:szCs w:val="22"/>
              </w:rPr>
            </w:pPr>
            <w:r w:rsidRPr="00C809B4">
              <w:rPr>
                <w:rFonts w:cs="Arial"/>
                <w:szCs w:val="22"/>
              </w:rPr>
              <w:t>London</w:t>
            </w:r>
          </w:p>
          <w:p w14:paraId="689D0B61" w14:textId="77777777" w:rsidR="00C809B4" w:rsidRPr="00C809B4" w:rsidRDefault="00C809B4" w:rsidP="00D40F55">
            <w:pPr>
              <w:spacing w:before="120" w:after="120" w:line="240" w:lineRule="auto"/>
              <w:jc w:val="left"/>
              <w:rPr>
                <w:rFonts w:cs="Arial"/>
                <w:szCs w:val="22"/>
              </w:rPr>
            </w:pPr>
            <w:r w:rsidRPr="00C809B4">
              <w:rPr>
                <w:rFonts w:cs="Arial"/>
                <w:szCs w:val="22"/>
              </w:rPr>
              <w:t>Greater London</w:t>
            </w:r>
          </w:p>
          <w:p w14:paraId="60CBE0B7" w14:textId="77777777" w:rsidR="00C809B4" w:rsidRPr="00C809B4" w:rsidRDefault="00C809B4" w:rsidP="00D40F55">
            <w:pPr>
              <w:spacing w:before="120" w:after="120" w:line="240" w:lineRule="auto"/>
              <w:jc w:val="left"/>
              <w:rPr>
                <w:rFonts w:cs="Arial"/>
                <w:szCs w:val="22"/>
              </w:rPr>
            </w:pPr>
            <w:r w:rsidRPr="00C809B4">
              <w:rPr>
                <w:rFonts w:cs="Arial"/>
                <w:szCs w:val="22"/>
              </w:rPr>
              <w:t>England</w:t>
            </w:r>
          </w:p>
          <w:p w14:paraId="3C7491AC" w14:textId="4A6E2F71" w:rsidR="00C809B4" w:rsidRPr="00C3320D" w:rsidRDefault="00C809B4" w:rsidP="00D40F55">
            <w:pPr>
              <w:spacing w:before="120" w:after="120" w:line="240" w:lineRule="auto"/>
              <w:jc w:val="left"/>
              <w:rPr>
                <w:rFonts w:cs="Arial"/>
                <w:i/>
                <w:szCs w:val="22"/>
              </w:rPr>
            </w:pPr>
            <w:r w:rsidRPr="00C809B4">
              <w:rPr>
                <w:rFonts w:cs="Arial"/>
                <w:szCs w:val="22"/>
              </w:rPr>
              <w:t>SW1A 2HQ</w:t>
            </w:r>
          </w:p>
        </w:tc>
      </w:tr>
      <w:tr w:rsidR="00C3320D" w:rsidRPr="00C3320D" w14:paraId="70BF2D98" w14:textId="77777777" w:rsidTr="00C809B4">
        <w:trPr>
          <w:gridAfter w:val="1"/>
          <w:wAfter w:w="24" w:type="dxa"/>
        </w:trPr>
        <w:tc>
          <w:tcPr>
            <w:tcW w:w="689"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27A581AA" w14:textId="77777777" w:rsidR="003A6A2C" w:rsidRDefault="003A6A2C" w:rsidP="00D40F55">
            <w:pPr>
              <w:spacing w:before="120" w:after="120" w:line="240" w:lineRule="auto"/>
              <w:jc w:val="left"/>
              <w:rPr>
                <w:rFonts w:cs="Arial"/>
                <w:b/>
                <w:szCs w:val="22"/>
              </w:rPr>
            </w:pPr>
            <w:r>
              <w:rPr>
                <w:rFonts w:cs="Arial"/>
                <w:b/>
                <w:szCs w:val="22"/>
              </w:rPr>
              <w:t>Hogan Lovells LLP</w:t>
            </w:r>
          </w:p>
          <w:p w14:paraId="523DCC78" w14:textId="5CCFB6D2" w:rsidR="00353A2B" w:rsidRDefault="00C809B4" w:rsidP="00D40F55">
            <w:pPr>
              <w:spacing w:before="120" w:after="120" w:line="240" w:lineRule="auto"/>
              <w:jc w:val="left"/>
              <w:rPr>
                <w:rFonts w:cs="Arial"/>
                <w:b/>
                <w:szCs w:val="22"/>
              </w:rPr>
            </w:pPr>
            <w:r w:rsidRPr="00C809B4">
              <w:rPr>
                <w:rFonts w:cs="Arial"/>
                <w:b/>
                <w:szCs w:val="22"/>
              </w:rPr>
              <w:t xml:space="preserve"> </w:t>
            </w:r>
            <w:r w:rsidR="008E082F" w:rsidRPr="00C809B4">
              <w:rPr>
                <w:rFonts w:cs="Arial"/>
                <w:b/>
                <w:szCs w:val="22"/>
              </w:rPr>
              <w:t>("</w:t>
            </w:r>
            <w:r w:rsidR="008E082F" w:rsidRPr="00C3320D">
              <w:rPr>
                <w:rFonts w:cs="Arial"/>
                <w:b/>
                <w:szCs w:val="22"/>
              </w:rPr>
              <w:t>SUPPLIER")</w:t>
            </w:r>
          </w:p>
          <w:p w14:paraId="269275C6" w14:textId="77777777" w:rsidR="008E082F" w:rsidRPr="00353A2B" w:rsidRDefault="008E082F" w:rsidP="00353A2B">
            <w:pPr>
              <w:ind w:firstLine="720"/>
              <w:rPr>
                <w:rFonts w:cs="Arial"/>
                <w:szCs w:val="22"/>
              </w:rPr>
            </w:pPr>
          </w:p>
        </w:tc>
        <w:tc>
          <w:tcPr>
            <w:tcW w:w="4309" w:type="dxa"/>
            <w:shd w:val="clear" w:color="auto" w:fill="auto"/>
          </w:tcPr>
          <w:p w14:paraId="7B1A4A5C" w14:textId="77777777" w:rsidR="003A6A2C" w:rsidRDefault="003A6A2C" w:rsidP="003A6A2C">
            <w:pPr>
              <w:tabs>
                <w:tab w:val="center" w:pos="4153"/>
                <w:tab w:val="right" w:pos="8306"/>
              </w:tabs>
              <w:spacing w:after="120" w:line="240" w:lineRule="atLeast"/>
              <w:rPr>
                <w:rFonts w:eastAsiaTheme="minorEastAsia" w:cs="Arial"/>
              </w:rPr>
            </w:pPr>
            <w:r>
              <w:rPr>
                <w:rFonts w:eastAsiaTheme="minorEastAsia" w:cs="Arial"/>
              </w:rPr>
              <w:lastRenderedPageBreak/>
              <w:t>Atlantic House</w:t>
            </w:r>
          </w:p>
          <w:p w14:paraId="3AA39DEA" w14:textId="77777777" w:rsidR="003A6A2C" w:rsidRDefault="003A6A2C" w:rsidP="003A6A2C">
            <w:pPr>
              <w:tabs>
                <w:tab w:val="center" w:pos="4153"/>
                <w:tab w:val="right" w:pos="8306"/>
              </w:tabs>
              <w:spacing w:after="120" w:line="240" w:lineRule="atLeast"/>
              <w:rPr>
                <w:rFonts w:eastAsiaTheme="minorEastAsia" w:cs="Arial"/>
              </w:rPr>
            </w:pPr>
            <w:r>
              <w:rPr>
                <w:rFonts w:eastAsiaTheme="minorEastAsia" w:cs="Arial"/>
              </w:rPr>
              <w:t>Holborn Viaduct</w:t>
            </w:r>
          </w:p>
          <w:p w14:paraId="31EDE277" w14:textId="77777777" w:rsidR="003A6A2C" w:rsidRDefault="003A6A2C" w:rsidP="003A6A2C">
            <w:pPr>
              <w:tabs>
                <w:tab w:val="center" w:pos="4153"/>
                <w:tab w:val="right" w:pos="8306"/>
              </w:tabs>
              <w:spacing w:after="120" w:line="240" w:lineRule="atLeast"/>
              <w:rPr>
                <w:rFonts w:eastAsiaTheme="minorEastAsia" w:cs="Arial"/>
              </w:rPr>
            </w:pPr>
            <w:r>
              <w:rPr>
                <w:rFonts w:eastAsiaTheme="minorEastAsia" w:cs="Arial"/>
              </w:rPr>
              <w:lastRenderedPageBreak/>
              <w:t>London</w:t>
            </w:r>
          </w:p>
          <w:p w14:paraId="0E15BB83" w14:textId="77777777" w:rsidR="003A6A2C" w:rsidRPr="00516685" w:rsidRDefault="003A6A2C" w:rsidP="003A6A2C">
            <w:pPr>
              <w:tabs>
                <w:tab w:val="center" w:pos="4153"/>
                <w:tab w:val="right" w:pos="8306"/>
              </w:tabs>
              <w:spacing w:after="120" w:line="240" w:lineRule="atLeast"/>
              <w:rPr>
                <w:rFonts w:eastAsiaTheme="minorEastAsia" w:cs="Arial"/>
              </w:rPr>
            </w:pPr>
            <w:r>
              <w:rPr>
                <w:rFonts w:eastAsiaTheme="minorEastAsia" w:cs="Arial"/>
              </w:rPr>
              <w:t>EC1A 2FG</w:t>
            </w:r>
          </w:p>
          <w:p w14:paraId="27D9FCAC" w14:textId="412DF83A" w:rsidR="008E082F" w:rsidRPr="00F3426B" w:rsidRDefault="008E082F" w:rsidP="00D40F55">
            <w:pPr>
              <w:spacing w:before="120" w:after="120" w:line="240" w:lineRule="auto"/>
              <w:jc w:val="left"/>
              <w:rPr>
                <w:rFonts w:cs="Arial"/>
                <w:b/>
                <w:szCs w:val="22"/>
              </w:rPr>
            </w:pPr>
          </w:p>
        </w:tc>
      </w:tr>
      <w:tr w:rsidR="00C3320D" w:rsidRPr="00C3320D" w14:paraId="16AC3458" w14:textId="77777777" w:rsidTr="00C809B4">
        <w:tc>
          <w:tcPr>
            <w:tcW w:w="689"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341A943" w14:textId="7DD073B5" w:rsidR="008E082F" w:rsidRPr="00C3320D"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907249E" w14:textId="77777777" w:rsidR="008E082F" w:rsidRPr="00C3320D"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1D1D2F64" w14:textId="254FCA0D" w:rsidR="007258C9" w:rsidRPr="007258C9" w:rsidRDefault="003A6A2C" w:rsidP="007258C9">
            <w:pPr>
              <w:tabs>
                <w:tab w:val="left" w:pos="577"/>
              </w:tabs>
              <w:overflowPunct/>
              <w:autoSpaceDE/>
              <w:spacing w:before="120" w:after="120" w:line="240" w:lineRule="auto"/>
              <w:jc w:val="left"/>
              <w:rPr>
                <w:rFonts w:eastAsia="STZhongsong"/>
                <w:szCs w:val="22"/>
                <w:lang w:eastAsia="zh-CN"/>
              </w:rPr>
            </w:pPr>
            <w:r>
              <w:rPr>
                <w:rFonts w:eastAsia="STZhongsong"/>
                <w:szCs w:val="22"/>
                <w:lang w:eastAsia="zh-CN"/>
              </w:rPr>
              <w:t>19</w:t>
            </w:r>
            <w:r w:rsidR="001F1958">
              <w:rPr>
                <w:rFonts w:eastAsia="STZhongsong"/>
                <w:szCs w:val="22"/>
                <w:lang w:eastAsia="zh-CN"/>
              </w:rPr>
              <w:t>.04</w:t>
            </w:r>
            <w:r w:rsidR="00C809B4">
              <w:rPr>
                <w:rFonts w:eastAsia="STZhongsong"/>
                <w:szCs w:val="22"/>
                <w:lang w:eastAsia="zh-CN"/>
              </w:rPr>
              <w:t>.2021</w:t>
            </w:r>
          </w:p>
          <w:p w14:paraId="72147A7E" w14:textId="789203F5" w:rsidR="008E082F" w:rsidRPr="00F3426B" w:rsidRDefault="008E082F" w:rsidP="00D40F55">
            <w:pPr>
              <w:spacing w:before="120" w:after="120" w:line="240" w:lineRule="auto"/>
              <w:jc w:val="left"/>
              <w:rPr>
                <w:rFonts w:cs="Arial"/>
                <w:szCs w:val="22"/>
                <w:shd w:val="clear" w:color="auto" w:fill="D9D9D9"/>
              </w:rPr>
            </w:pPr>
          </w:p>
        </w:tc>
      </w:tr>
      <w:tr w:rsidR="00C3320D" w:rsidRPr="00C3320D" w14:paraId="39842C8A" w14:textId="77777777" w:rsidTr="003A6A2C">
        <w:trPr>
          <w:trHeight w:val="826"/>
        </w:trPr>
        <w:tc>
          <w:tcPr>
            <w:tcW w:w="689" w:type="dxa"/>
          </w:tcPr>
          <w:p w14:paraId="6760D2FB" w14:textId="5AC04C75"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 xml:space="preserve"> </w:t>
            </w:r>
            <w:r w:rsidR="00C809B4">
              <w:rPr>
                <w:rFonts w:ascii="Arial" w:hAnsi="Arial" w:cs="Arial"/>
              </w:rPr>
              <w:t>1</w:t>
            </w:r>
            <w:r w:rsidRPr="00C3320D">
              <w:rPr>
                <w:rFonts w:ascii="Arial" w:hAnsi="Arial" w:cs="Arial"/>
              </w:rPr>
              <w:t>.5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4A978F98" w14:textId="462C84D7" w:rsidR="008E082F" w:rsidRPr="00C3320D" w:rsidRDefault="008E082F" w:rsidP="00F3426B">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Pr="00C3320D">
              <w:rPr>
                <w:rFonts w:eastAsia="STZhongsong" w:cs="Arial"/>
                <w:szCs w:val="22"/>
                <w:lang w:eastAsia="zh-CN"/>
              </w:rPr>
              <w:t xml:space="preserve"> </w:t>
            </w:r>
          </w:p>
          <w:p w14:paraId="12A59BA3" w14:textId="04829D81" w:rsidR="008E082F" w:rsidRPr="00C3320D" w:rsidRDefault="008E082F" w:rsidP="00D40F55">
            <w:pPr>
              <w:overflowPunct/>
              <w:autoSpaceDE/>
              <w:autoSpaceDN/>
              <w:spacing w:before="120" w:after="120" w:line="240" w:lineRule="auto"/>
              <w:jc w:val="left"/>
              <w:textAlignment w:val="auto"/>
              <w:rPr>
                <w:rFonts w:eastAsia="STZhongsong" w:cs="Arial"/>
                <w:szCs w:val="22"/>
                <w:lang w:eastAsia="zh-CN"/>
              </w:rPr>
            </w:pPr>
          </w:p>
        </w:tc>
        <w:tc>
          <w:tcPr>
            <w:tcW w:w="4333" w:type="dxa"/>
            <w:gridSpan w:val="2"/>
            <w:shd w:val="clear" w:color="auto" w:fill="auto"/>
          </w:tcPr>
          <w:p w14:paraId="7A982303" w14:textId="77385A93" w:rsidR="00EA77E4" w:rsidRPr="00EA77E4" w:rsidRDefault="003A6A2C" w:rsidP="00E114DF">
            <w:pPr>
              <w:spacing w:before="120" w:after="120" w:line="240" w:lineRule="auto"/>
              <w:jc w:val="left"/>
              <w:rPr>
                <w:rFonts w:cs="Arial"/>
                <w:szCs w:val="22"/>
              </w:rPr>
            </w:pPr>
            <w:r>
              <w:rPr>
                <w:rFonts w:cs="Arial"/>
                <w:szCs w:val="22"/>
              </w:rPr>
              <w:t>18</w:t>
            </w:r>
            <w:r w:rsidR="00EA77E4" w:rsidRPr="00EA77E4">
              <w:rPr>
                <w:rFonts w:cs="Arial"/>
                <w:szCs w:val="22"/>
              </w:rPr>
              <w:t>.</w:t>
            </w:r>
            <w:r w:rsidR="001F1958">
              <w:rPr>
                <w:rFonts w:cs="Arial"/>
                <w:szCs w:val="22"/>
              </w:rPr>
              <w:t>1</w:t>
            </w:r>
            <w:r w:rsidR="00EA77E4" w:rsidRPr="00EA77E4">
              <w:rPr>
                <w:rFonts w:cs="Arial"/>
                <w:szCs w:val="22"/>
              </w:rPr>
              <w:t>0.2021</w:t>
            </w:r>
          </w:p>
        </w:tc>
      </w:tr>
      <w:tr w:rsidR="00C3320D" w:rsidRPr="00C3320D" w14:paraId="03449035" w14:textId="77777777" w:rsidTr="00C809B4">
        <w:tc>
          <w:tcPr>
            <w:tcW w:w="689"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59EB1825" w:rsidR="008E082F" w:rsidRPr="00C3320D" w:rsidRDefault="002F445C" w:rsidP="00D40F55">
            <w:pPr>
              <w:spacing w:before="120" w:after="120" w:line="240" w:lineRule="auto"/>
              <w:jc w:val="left"/>
              <w:rPr>
                <w:rFonts w:cs="Arial"/>
                <w:i/>
                <w:szCs w:val="22"/>
              </w:rPr>
            </w:pPr>
            <w:r>
              <w:rPr>
                <w:rFonts w:cs="Arial"/>
                <w:i/>
                <w:szCs w:val="22"/>
              </w:rPr>
              <w:t>REDACTED</w:t>
            </w:r>
          </w:p>
        </w:tc>
      </w:tr>
      <w:tr w:rsidR="00C3320D" w:rsidRPr="00C3320D" w14:paraId="04D4E700" w14:textId="77777777" w:rsidTr="00C809B4">
        <w:tc>
          <w:tcPr>
            <w:tcW w:w="689"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7777777" w:rsidR="008E082F" w:rsidRPr="00C3320D" w:rsidRDefault="008E082F" w:rsidP="00D40F55">
            <w:pPr>
              <w:spacing w:before="120" w:after="120" w:line="240" w:lineRule="auto"/>
              <w:jc w:val="left"/>
              <w:rPr>
                <w:rFonts w:cs="Arial"/>
                <w:i/>
                <w:szCs w:val="22"/>
              </w:rPr>
            </w:pPr>
          </w:p>
        </w:tc>
      </w:tr>
      <w:tr w:rsidR="00C3320D" w:rsidRPr="00C3320D" w14:paraId="08486D76" w14:textId="77777777" w:rsidTr="00C809B4">
        <w:tc>
          <w:tcPr>
            <w:tcW w:w="689"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77777777" w:rsidR="008E082F" w:rsidRPr="00C3320D" w:rsidRDefault="008E082F" w:rsidP="00D40F55">
            <w:pPr>
              <w:spacing w:before="120" w:after="120" w:line="240" w:lineRule="auto"/>
              <w:jc w:val="left"/>
              <w:rPr>
                <w:rFonts w:cs="Arial"/>
                <w:i/>
                <w:szCs w:val="22"/>
              </w:rPr>
            </w:pPr>
          </w:p>
        </w:tc>
      </w:tr>
      <w:tr w:rsidR="00C3320D" w:rsidRPr="00C3320D" w14:paraId="63E7C589" w14:textId="77777777" w:rsidTr="00C809B4">
        <w:tc>
          <w:tcPr>
            <w:tcW w:w="689"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77777777" w:rsidR="008E082F" w:rsidRPr="00C3320D" w:rsidRDefault="008E082F" w:rsidP="00D40F55">
            <w:pPr>
              <w:spacing w:before="120" w:after="120" w:line="240" w:lineRule="auto"/>
              <w:jc w:val="left"/>
              <w:rPr>
                <w:rFonts w:cs="Arial"/>
                <w:i/>
                <w:szCs w:val="22"/>
              </w:rPr>
            </w:pPr>
          </w:p>
        </w:tc>
      </w:tr>
      <w:tr w:rsidR="00C3320D" w:rsidRPr="00C3320D" w14:paraId="30AA013D" w14:textId="77777777" w:rsidTr="00C809B4">
        <w:tc>
          <w:tcPr>
            <w:tcW w:w="689"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09CD24E6" w:rsidR="008E082F" w:rsidRPr="00C3320D" w:rsidRDefault="002F445C" w:rsidP="00D40F55">
            <w:pPr>
              <w:spacing w:before="120" w:after="120" w:line="240" w:lineRule="auto"/>
              <w:jc w:val="left"/>
              <w:rPr>
                <w:rFonts w:cs="Arial"/>
                <w:i/>
                <w:szCs w:val="22"/>
              </w:rPr>
            </w:pPr>
            <w:r>
              <w:rPr>
                <w:rFonts w:cs="Arial"/>
                <w:i/>
                <w:szCs w:val="22"/>
              </w:rPr>
              <w:t>REDACTED</w:t>
            </w:r>
          </w:p>
        </w:tc>
      </w:tr>
      <w:tr w:rsidR="00C3320D" w:rsidRPr="00C3320D" w14:paraId="61FA6E57" w14:textId="77777777" w:rsidTr="00C809B4">
        <w:tc>
          <w:tcPr>
            <w:tcW w:w="689"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7777777" w:rsidR="008E082F" w:rsidRPr="00C3320D" w:rsidRDefault="008E082F" w:rsidP="00D40F55">
            <w:pPr>
              <w:spacing w:before="120" w:after="120" w:line="240" w:lineRule="auto"/>
              <w:jc w:val="left"/>
              <w:rPr>
                <w:rFonts w:cs="Arial"/>
                <w:i/>
                <w:szCs w:val="22"/>
              </w:rPr>
            </w:pPr>
          </w:p>
        </w:tc>
      </w:tr>
      <w:tr w:rsidR="00C3320D" w:rsidRPr="00C3320D" w14:paraId="18997506" w14:textId="77777777" w:rsidTr="00C809B4">
        <w:tc>
          <w:tcPr>
            <w:tcW w:w="689"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77777777" w:rsidR="008E082F" w:rsidRPr="00C3320D" w:rsidRDefault="008E082F" w:rsidP="00D40F55">
            <w:pPr>
              <w:spacing w:before="120" w:after="120" w:line="240" w:lineRule="auto"/>
              <w:jc w:val="left"/>
              <w:rPr>
                <w:rFonts w:cs="Arial"/>
                <w:i/>
                <w:szCs w:val="22"/>
              </w:rPr>
            </w:pPr>
          </w:p>
        </w:tc>
      </w:tr>
      <w:tr w:rsidR="00C3320D" w:rsidRPr="00C3320D" w14:paraId="7A5BFCD6" w14:textId="77777777" w:rsidTr="00C809B4">
        <w:tc>
          <w:tcPr>
            <w:tcW w:w="689"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77777777" w:rsidR="008E082F" w:rsidRPr="00C3320D" w:rsidRDefault="008E082F" w:rsidP="00D40F55">
            <w:pPr>
              <w:spacing w:before="120" w:after="120" w:line="240" w:lineRule="auto"/>
              <w:jc w:val="left"/>
              <w:rPr>
                <w:rFonts w:cs="Arial"/>
                <w:i/>
                <w:szCs w:val="22"/>
              </w:rPr>
            </w:pP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345F70">
      <w:pPr>
        <w:pStyle w:val="ORDERFORML1PraraNo"/>
        <w:numPr>
          <w:ilvl w:val="0"/>
          <w:numId w:val="24"/>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F3426B">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39BCF7F7" w:rsidR="008E082F" w:rsidRPr="00C3320D" w:rsidRDefault="00F3426B" w:rsidP="00F3426B">
            <w:pPr>
              <w:numPr>
                <w:ilvl w:val="1"/>
                <w:numId w:val="0"/>
              </w:numPr>
              <w:tabs>
                <w:tab w:val="left" w:pos="577"/>
              </w:tabs>
              <w:overflowPunct/>
              <w:autoSpaceDE/>
              <w:autoSpaceDN/>
              <w:spacing w:before="120" w:after="120" w:line="240" w:lineRule="auto"/>
              <w:jc w:val="left"/>
              <w:textAlignment w:val="auto"/>
              <w:rPr>
                <w:rFonts w:eastAsia="STZhongsong" w:cs="Arial"/>
                <w:b/>
                <w:szCs w:val="22"/>
                <w:lang w:eastAsia="zh-CN"/>
              </w:rPr>
            </w:pPr>
            <w:r>
              <w:rPr>
                <w:rFonts w:cs="Arial"/>
                <w:szCs w:val="22"/>
              </w:rPr>
              <w:t>Refer to Section C – Statement of Requirements</w:t>
            </w:r>
          </w:p>
        </w:tc>
      </w:tr>
      <w:tr w:rsidR="00C3320D" w:rsidRPr="00C3320D" w14:paraId="7E732C24" w14:textId="77777777" w:rsidTr="007258C9">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7FB8389E" w14:textId="77777777" w:rsidR="00F3426B" w:rsidRDefault="00F3426B" w:rsidP="00F3426B">
            <w:pPr>
              <w:tabs>
                <w:tab w:val="left" w:pos="577"/>
              </w:tabs>
              <w:overflowPunct/>
              <w:autoSpaceDE/>
              <w:spacing w:before="120" w:after="120" w:line="240" w:lineRule="auto"/>
              <w:jc w:val="left"/>
              <w:rPr>
                <w:rFonts w:cs="Arial"/>
                <w:szCs w:val="22"/>
              </w:rPr>
            </w:pPr>
            <w:r>
              <w:rPr>
                <w:rFonts w:cs="Arial"/>
                <w:szCs w:val="22"/>
              </w:rPr>
              <w:t xml:space="preserve">Refer to Section C – Statement of Requirements: </w:t>
            </w:r>
          </w:p>
          <w:p w14:paraId="5960FAE3" w14:textId="1C5A76A9" w:rsidR="00F3426B" w:rsidRDefault="007258C9" w:rsidP="007258C9">
            <w:pPr>
              <w:tabs>
                <w:tab w:val="left" w:pos="577"/>
              </w:tabs>
              <w:overflowPunct/>
              <w:autoSpaceDE/>
              <w:spacing w:before="120" w:after="120" w:line="240" w:lineRule="auto"/>
              <w:jc w:val="left"/>
              <w:rPr>
                <w:rFonts w:cs="Arial"/>
                <w:szCs w:val="22"/>
              </w:rPr>
            </w:pPr>
            <w:r>
              <w:rPr>
                <w:rFonts w:cs="Arial"/>
                <w:szCs w:val="22"/>
              </w:rPr>
              <w:t xml:space="preserve">Section </w:t>
            </w:r>
            <w:r w:rsidR="001F1958">
              <w:rPr>
                <w:rFonts w:cs="Arial"/>
                <w:szCs w:val="22"/>
              </w:rPr>
              <w:t>14</w:t>
            </w:r>
            <w:r w:rsidR="00F3426B">
              <w:rPr>
                <w:rFonts w:cs="Arial"/>
                <w:szCs w:val="22"/>
              </w:rPr>
              <w:t xml:space="preserve"> (Service Levels and Performance)</w:t>
            </w:r>
          </w:p>
          <w:p w14:paraId="44C6D2FD" w14:textId="698766D3" w:rsidR="008E082F" w:rsidRPr="00C3320D" w:rsidRDefault="007258C9" w:rsidP="00F3426B">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szCs w:val="22"/>
              </w:rPr>
              <w:t xml:space="preserve">Section </w:t>
            </w:r>
            <w:r w:rsidR="001F1958">
              <w:rPr>
                <w:rFonts w:cs="Arial"/>
                <w:szCs w:val="22"/>
              </w:rPr>
              <w:t>17</w:t>
            </w:r>
            <w:r>
              <w:rPr>
                <w:rFonts w:cs="Arial"/>
                <w:szCs w:val="22"/>
              </w:rPr>
              <w:t xml:space="preserve"> </w:t>
            </w:r>
            <w:r w:rsidR="00F3426B">
              <w:rPr>
                <w:rFonts w:cs="Arial"/>
                <w:szCs w:val="22"/>
              </w:rPr>
              <w:t>(Contract Management)</w:t>
            </w:r>
            <w:r w:rsidR="008E082F" w:rsidRPr="00C3320D">
              <w:rPr>
                <w:rFonts w:cs="Arial"/>
                <w:i/>
                <w:szCs w:val="22"/>
              </w:rPr>
              <w:t>.</w:t>
            </w:r>
          </w:p>
          <w:p w14:paraId="1A99197A" w14:textId="77777777" w:rsidR="008E082F" w:rsidRPr="00C3320D" w:rsidRDefault="008E082F" w:rsidP="00D40F55">
            <w:pPr>
              <w:numPr>
                <w:ilvl w:val="1"/>
                <w:numId w:val="0"/>
              </w:numPr>
              <w:tabs>
                <w:tab w:val="left" w:pos="577"/>
              </w:tabs>
              <w:overflowPunct/>
              <w:autoSpaceDE/>
              <w:autoSpaceDN/>
              <w:spacing w:before="120" w:after="120" w:line="240" w:lineRule="auto"/>
              <w:jc w:val="left"/>
              <w:textAlignment w:val="auto"/>
              <w:rPr>
                <w:rFonts w:cs="Arial"/>
                <w:i/>
                <w:szCs w:val="22"/>
              </w:rPr>
            </w:pPr>
          </w:p>
        </w:tc>
      </w:tr>
      <w:tr w:rsidR="00C3320D" w:rsidRPr="00C3320D" w14:paraId="677CDEBB" w14:textId="77777777" w:rsidTr="007258C9">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6DA2C1C8" w:rsidR="008E082F" w:rsidRPr="00C809B4" w:rsidRDefault="007258C9" w:rsidP="00C809B4">
            <w:pPr>
              <w:tabs>
                <w:tab w:val="left" w:pos="577"/>
              </w:tabs>
              <w:overflowPunct/>
              <w:autoSpaceDE/>
              <w:spacing w:before="120" w:after="120" w:line="240" w:lineRule="auto"/>
              <w:jc w:val="left"/>
              <w:rPr>
                <w:rFonts w:eastAsia="STZhongsong"/>
                <w:szCs w:val="22"/>
                <w:lang w:eastAsia="zh-CN"/>
              </w:rPr>
            </w:pPr>
            <w:r w:rsidRPr="00C809B4">
              <w:rPr>
                <w:rFonts w:eastAsia="STZhongsong"/>
                <w:szCs w:val="22"/>
                <w:lang w:eastAsia="zh-CN"/>
              </w:rPr>
              <w:t>The majority of services will be carried out at the Suppliers’ premises</w:t>
            </w:r>
            <w:r w:rsidR="00C809B4" w:rsidRPr="00C809B4">
              <w:rPr>
                <w:rFonts w:eastAsia="STZhongsong"/>
                <w:szCs w:val="22"/>
                <w:lang w:eastAsia="zh-CN"/>
              </w:rPr>
              <w:t>.</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1806"/>
        <w:gridCol w:w="6922"/>
      </w:tblGrid>
      <w:tr w:rsidR="00C3320D" w:rsidRPr="00C3320D" w14:paraId="57650518" w14:textId="77777777" w:rsidTr="00A714ED">
        <w:trPr>
          <w:trHeight w:val="3392"/>
        </w:trPr>
        <w:tc>
          <w:tcPr>
            <w:tcW w:w="657"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1806" w:type="dxa"/>
            <w:shd w:val="clear" w:color="auto" w:fill="auto"/>
          </w:tcPr>
          <w:p w14:paraId="783E9647" w14:textId="098F66FE" w:rsidR="007A2902" w:rsidRPr="00C3320D" w:rsidRDefault="00C809B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Hourly Rates AND</w:t>
            </w:r>
          </w:p>
          <w:p w14:paraId="7C250DA8" w14:textId="242CECAD" w:rsidR="007A2902" w:rsidRPr="00C3320D" w:rsidRDefault="007A2902" w:rsidP="00C809B4">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Daily Rates </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6922" w:type="dxa"/>
            <w:vMerge w:val="restart"/>
            <w:shd w:val="clear" w:color="auto" w:fill="auto"/>
          </w:tcPr>
          <w:p w14:paraId="083530C7" w14:textId="77777777" w:rsidR="004625CA" w:rsidRDefault="004625CA" w:rsidP="004625CA">
            <w:pPr>
              <w:numPr>
                <w:ilvl w:val="1"/>
                <w:numId w:val="0"/>
              </w:numPr>
              <w:spacing w:after="120"/>
              <w:jc w:val="left"/>
              <w:rPr>
                <w:szCs w:val="22"/>
              </w:rPr>
            </w:pPr>
            <w:r w:rsidRPr="007571D2">
              <w:rPr>
                <w:color w:val="000000"/>
                <w:szCs w:val="22"/>
              </w:rPr>
              <w:t xml:space="preserve">The contract will be for </w:t>
            </w:r>
            <w:r w:rsidRPr="007571D2">
              <w:rPr>
                <w:szCs w:val="22"/>
              </w:rPr>
              <w:t>a 6 month period</w:t>
            </w:r>
            <w:r>
              <w:rPr>
                <w:color w:val="000000"/>
                <w:szCs w:val="22"/>
              </w:rPr>
              <w:t xml:space="preserve"> from 19</w:t>
            </w:r>
            <w:r w:rsidRPr="007571D2">
              <w:rPr>
                <w:color w:val="000000"/>
                <w:szCs w:val="22"/>
                <w:vertAlign w:val="superscript"/>
              </w:rPr>
              <w:t>th</w:t>
            </w:r>
            <w:r>
              <w:rPr>
                <w:color w:val="000000"/>
                <w:szCs w:val="22"/>
              </w:rPr>
              <w:t xml:space="preserve"> April 2021 to 18</w:t>
            </w:r>
            <w:r w:rsidRPr="007571D2">
              <w:rPr>
                <w:color w:val="000000"/>
                <w:szCs w:val="22"/>
                <w:vertAlign w:val="superscript"/>
              </w:rPr>
              <w:t>th</w:t>
            </w:r>
            <w:r w:rsidRPr="007571D2">
              <w:rPr>
                <w:color w:val="000000"/>
                <w:szCs w:val="22"/>
              </w:rPr>
              <w:t xml:space="preserve"> October </w:t>
            </w:r>
            <w:r w:rsidRPr="007571D2">
              <w:rPr>
                <w:szCs w:val="22"/>
              </w:rPr>
              <w:t xml:space="preserve">2021 with an option to extend for a </w:t>
            </w:r>
            <w:r>
              <w:rPr>
                <w:szCs w:val="22"/>
              </w:rPr>
              <w:t>further 3 months to 18</w:t>
            </w:r>
            <w:r w:rsidRPr="007571D2">
              <w:rPr>
                <w:szCs w:val="22"/>
                <w:vertAlign w:val="superscript"/>
              </w:rPr>
              <w:t>th</w:t>
            </w:r>
            <w:r w:rsidRPr="007571D2">
              <w:rPr>
                <w:szCs w:val="22"/>
              </w:rPr>
              <w:t xml:space="preserve"> January 2022 at the sole discretion of the Contracting Authority and subject to further budgetary approval.</w:t>
            </w:r>
          </w:p>
          <w:p w14:paraId="4EDAB74A" w14:textId="06C849F4" w:rsidR="0069672E" w:rsidRPr="0069672E" w:rsidRDefault="0069672E" w:rsidP="0069672E">
            <w:pPr>
              <w:numPr>
                <w:ilvl w:val="1"/>
                <w:numId w:val="0"/>
              </w:numPr>
              <w:spacing w:after="120"/>
              <w:jc w:val="left"/>
              <w:rPr>
                <w:color w:val="222222"/>
                <w:shd w:val="clear" w:color="auto" w:fill="FFFFFF"/>
              </w:rPr>
            </w:pPr>
            <w:r w:rsidRPr="0069672E">
              <w:rPr>
                <w:color w:val="222222"/>
                <w:shd w:val="clear" w:color="auto" w:fill="FFFFFF"/>
              </w:rPr>
              <w:t>Where any Supplier Personnel have completed eight (8) hours of work on any given day, the daily rate will apply irrespective of how many further hours of work are completed on that day.</w:t>
            </w:r>
          </w:p>
          <w:p w14:paraId="1D2515EE" w14:textId="59108436" w:rsidR="0069672E" w:rsidRDefault="0069672E" w:rsidP="0069672E">
            <w:pPr>
              <w:numPr>
                <w:ilvl w:val="1"/>
                <w:numId w:val="0"/>
              </w:numPr>
              <w:spacing w:after="120"/>
              <w:jc w:val="left"/>
              <w:rPr>
                <w:color w:val="222222"/>
                <w:shd w:val="clear" w:color="auto" w:fill="FFFFFF"/>
              </w:rPr>
            </w:pPr>
            <w:r w:rsidRPr="0069672E">
              <w:rPr>
                <w:color w:val="222222"/>
                <w:shd w:val="clear" w:color="auto" w:fill="FFFFFF"/>
              </w:rPr>
              <w:t>Where any Supplier Personnel have completed twenty (20) days of work in any given Month, the monthly rate will apply irrespective of how many further hours of work are completed in that Month.</w:t>
            </w:r>
          </w:p>
          <w:p w14:paraId="69ACE00F" w14:textId="130D8804" w:rsidR="0069672E" w:rsidRDefault="00C97AB0" w:rsidP="0069672E">
            <w:pPr>
              <w:numPr>
                <w:ilvl w:val="1"/>
                <w:numId w:val="0"/>
              </w:numPr>
              <w:spacing w:after="120"/>
              <w:jc w:val="left"/>
              <w:rPr>
                <w:color w:val="222222"/>
                <w:shd w:val="clear" w:color="auto" w:fill="FFFFFF"/>
              </w:rPr>
            </w:pPr>
            <w:r>
              <w:rPr>
                <w:color w:val="222222"/>
                <w:shd w:val="clear" w:color="auto" w:fill="FFFFFF"/>
              </w:rPr>
              <w:lastRenderedPageBreak/>
              <w:t>All Rates for this contract are specified below:</w:t>
            </w:r>
          </w:p>
          <w:p w14:paraId="195E72C1" w14:textId="233EE987" w:rsidR="00355538" w:rsidRPr="008A2540" w:rsidRDefault="00A714ED" w:rsidP="008A2540">
            <w:pPr>
              <w:numPr>
                <w:ilvl w:val="1"/>
                <w:numId w:val="0"/>
              </w:numPr>
              <w:spacing w:after="120"/>
              <w:jc w:val="left"/>
              <w:rPr>
                <w:color w:val="222222"/>
                <w:shd w:val="clear" w:color="auto" w:fill="FFFFFF"/>
              </w:rPr>
            </w:pPr>
            <w:r>
              <w:rPr>
                <w:noProof/>
                <w:lang w:eastAsia="en-GB"/>
              </w:rPr>
              <w:t>REDACTED</w:t>
            </w:r>
          </w:p>
        </w:tc>
      </w:tr>
      <w:tr w:rsidR="00C3320D" w:rsidRPr="00C3320D" w14:paraId="43119EB9" w14:textId="77777777" w:rsidTr="008E649B">
        <w:trPr>
          <w:trHeight w:val="3960"/>
        </w:trPr>
        <w:tc>
          <w:tcPr>
            <w:tcW w:w="657" w:type="dxa"/>
          </w:tcPr>
          <w:p w14:paraId="59813F49"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2.1b</w:t>
            </w:r>
          </w:p>
        </w:tc>
        <w:tc>
          <w:tcPr>
            <w:tcW w:w="1806" w:type="dxa"/>
            <w:shd w:val="clear" w:color="auto" w:fill="auto"/>
          </w:tcPr>
          <w:p w14:paraId="395A69D6" w14:textId="1C5C13D6" w:rsidR="002E271C" w:rsidRPr="008E649B" w:rsidRDefault="002E271C" w:rsidP="008E649B">
            <w:pPr>
              <w:overflowPunct/>
              <w:autoSpaceDE/>
              <w:autoSpaceDN/>
              <w:spacing w:before="120" w:after="120" w:line="240" w:lineRule="auto"/>
              <w:jc w:val="left"/>
              <w:textAlignment w:val="auto"/>
              <w:rPr>
                <w:rFonts w:eastAsia="STZhongsong" w:cs="Arial"/>
                <w:szCs w:val="22"/>
                <w:lang w:eastAsia="zh-CN"/>
              </w:rPr>
            </w:pPr>
          </w:p>
        </w:tc>
        <w:tc>
          <w:tcPr>
            <w:tcW w:w="6922" w:type="dxa"/>
            <w:vMerge/>
            <w:shd w:val="clear" w:color="auto" w:fill="auto"/>
          </w:tcPr>
          <w:p w14:paraId="5C9B0B69" w14:textId="77777777" w:rsidR="002E271C" w:rsidRPr="00C3320D" w:rsidRDefault="002E271C" w:rsidP="00D40F55">
            <w:pPr>
              <w:numPr>
                <w:ilvl w:val="1"/>
                <w:numId w:val="0"/>
              </w:numPr>
              <w:overflowPunct/>
              <w:autoSpaceDE/>
              <w:autoSpaceDN/>
              <w:spacing w:before="120" w:after="120" w:line="240" w:lineRule="auto"/>
              <w:jc w:val="left"/>
              <w:textAlignment w:val="auto"/>
              <w:rPr>
                <w:rFonts w:cs="Arial"/>
                <w:i/>
                <w:szCs w:val="22"/>
              </w:rPr>
            </w:pPr>
          </w:p>
        </w:tc>
      </w:tr>
      <w:tr w:rsidR="00C3320D" w:rsidRPr="00C3320D" w14:paraId="390CE8EF" w14:textId="77777777" w:rsidTr="008E649B">
        <w:tc>
          <w:tcPr>
            <w:tcW w:w="657"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1806" w:type="dxa"/>
            <w:shd w:val="clear" w:color="auto" w:fill="auto"/>
          </w:tcPr>
          <w:p w14:paraId="2A5EBEE2" w14:textId="761F50CF" w:rsidR="008E082F" w:rsidRPr="00C3320D" w:rsidRDefault="007258C9" w:rsidP="00C809B4">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Estimate of Charges </w:t>
            </w:r>
          </w:p>
        </w:tc>
        <w:tc>
          <w:tcPr>
            <w:tcW w:w="6922" w:type="dxa"/>
            <w:shd w:val="clear" w:color="auto" w:fill="auto"/>
          </w:tcPr>
          <w:p w14:paraId="6141EC23" w14:textId="515B7F75" w:rsidR="007258C9" w:rsidRPr="00C809B4" w:rsidRDefault="007258C9" w:rsidP="00D40F55">
            <w:pPr>
              <w:numPr>
                <w:ilvl w:val="1"/>
                <w:numId w:val="0"/>
              </w:numPr>
              <w:overflowPunct/>
              <w:autoSpaceDE/>
              <w:autoSpaceDN/>
              <w:spacing w:before="120" w:after="120" w:line="240" w:lineRule="auto"/>
              <w:jc w:val="left"/>
              <w:textAlignment w:val="auto"/>
              <w:rPr>
                <w:rFonts w:cs="Arial"/>
                <w:szCs w:val="22"/>
              </w:rPr>
            </w:pPr>
            <w:r w:rsidRPr="00C809B4">
              <w:rPr>
                <w:rFonts w:cs="Arial"/>
                <w:szCs w:val="22"/>
              </w:rPr>
              <w:t>Not Used</w:t>
            </w:r>
          </w:p>
        </w:tc>
      </w:tr>
      <w:tr w:rsidR="00C3320D" w:rsidRPr="00C3320D" w14:paraId="2F19B1C1" w14:textId="77777777" w:rsidTr="008E649B">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1806" w:type="dxa"/>
            <w:shd w:val="clear" w:color="auto" w:fill="auto"/>
          </w:tcPr>
          <w:p w14:paraId="0D801B05" w14:textId="36BD3EEB" w:rsidR="008E082F" w:rsidRPr="00C3320D" w:rsidRDefault="007258C9" w:rsidP="00C809B4">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Fixed Price</w:t>
            </w:r>
          </w:p>
        </w:tc>
        <w:tc>
          <w:tcPr>
            <w:tcW w:w="6922" w:type="dxa"/>
            <w:shd w:val="clear" w:color="auto" w:fill="auto"/>
          </w:tcPr>
          <w:p w14:paraId="0F50F027" w14:textId="403FA4B6" w:rsidR="008E082F" w:rsidRPr="00C809B4" w:rsidRDefault="00C809B4" w:rsidP="00C809B4">
            <w:pPr>
              <w:numPr>
                <w:ilvl w:val="1"/>
                <w:numId w:val="0"/>
              </w:numPr>
              <w:overflowPunct/>
              <w:autoSpaceDE/>
              <w:autoSpaceDN/>
              <w:spacing w:before="120" w:after="120" w:line="240" w:lineRule="auto"/>
              <w:jc w:val="left"/>
              <w:textAlignment w:val="auto"/>
              <w:rPr>
                <w:rFonts w:cs="Arial"/>
                <w:szCs w:val="22"/>
              </w:rPr>
            </w:pPr>
            <w:r>
              <w:rPr>
                <w:rFonts w:cs="Arial"/>
                <w:szCs w:val="22"/>
              </w:rPr>
              <w:t>Not Used</w:t>
            </w:r>
          </w:p>
        </w:tc>
      </w:tr>
      <w:tr w:rsidR="00C3320D" w:rsidRPr="00C3320D" w14:paraId="53D9C72F" w14:textId="77777777" w:rsidTr="008E649B">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1806" w:type="dxa"/>
            <w:shd w:val="clear" w:color="auto" w:fill="auto"/>
          </w:tcPr>
          <w:p w14:paraId="4306D6B3" w14:textId="7B46CBAC" w:rsidR="008E082F" w:rsidRPr="00C3320D" w:rsidRDefault="007258C9" w:rsidP="00C809B4">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Capped Price </w:t>
            </w:r>
          </w:p>
        </w:tc>
        <w:tc>
          <w:tcPr>
            <w:tcW w:w="6922" w:type="dxa"/>
            <w:shd w:val="clear" w:color="auto" w:fill="auto"/>
          </w:tcPr>
          <w:p w14:paraId="08B6474B" w14:textId="13785688" w:rsidR="007258C9" w:rsidRPr="00C809B4" w:rsidRDefault="004625CA" w:rsidP="007258C9">
            <w:pPr>
              <w:numPr>
                <w:ilvl w:val="1"/>
                <w:numId w:val="0"/>
              </w:numPr>
              <w:overflowPunct/>
              <w:autoSpaceDE/>
              <w:autoSpaceDN/>
              <w:spacing w:before="120" w:after="120" w:line="240" w:lineRule="auto"/>
              <w:jc w:val="left"/>
              <w:textAlignment w:val="auto"/>
              <w:rPr>
                <w:rFonts w:cs="Arial"/>
                <w:szCs w:val="22"/>
              </w:rPr>
            </w:pPr>
            <w:r>
              <w:rPr>
                <w:rFonts w:cs="Arial"/>
                <w:szCs w:val="22"/>
              </w:rPr>
              <w:t>£250</w:t>
            </w:r>
            <w:r w:rsidR="00C97AB0">
              <w:rPr>
                <w:rFonts w:cs="Arial"/>
                <w:szCs w:val="22"/>
              </w:rPr>
              <w:t>,000.00 (ex VAT)</w:t>
            </w:r>
          </w:p>
        </w:tc>
      </w:tr>
      <w:tr w:rsidR="00C3320D" w:rsidRPr="00C3320D" w14:paraId="5A92AABB" w14:textId="77777777" w:rsidTr="008E649B">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1806" w:type="dxa"/>
            <w:shd w:val="clear" w:color="auto" w:fill="auto"/>
          </w:tcPr>
          <w:p w14:paraId="7F7CCF65"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515EB743" w14:textId="79D24B28" w:rsidR="00EF4696" w:rsidRPr="00C3320D" w:rsidRDefault="00C809B4"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Reimbursable Expenses - Not payable</w:t>
            </w:r>
          </w:p>
          <w:p w14:paraId="39A977E8"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2E5866B6" w14:textId="5D6D39C1" w:rsidR="00DB3DDB" w:rsidRPr="00C3320D" w:rsidRDefault="00C916CB" w:rsidP="00C809B4">
            <w:pPr>
              <w:numPr>
                <w:ilvl w:val="1"/>
                <w:numId w:val="0"/>
              </w:numPr>
              <w:tabs>
                <w:tab w:val="left" w:pos="577"/>
              </w:tabs>
              <w:overflowPunct/>
              <w:autoSpaceDE/>
              <w:autoSpaceDN/>
              <w:spacing w:before="120" w:after="120" w:line="240" w:lineRule="auto"/>
              <w:jc w:val="left"/>
              <w:textAlignment w:val="auto"/>
              <w:rPr>
                <w:rFonts w:eastAsia="STZhongsong" w:cs="Arial"/>
                <w:szCs w:val="22"/>
                <w:lang w:eastAsia="zh-CN"/>
              </w:rPr>
            </w:pPr>
            <w:r w:rsidRPr="00C3320D">
              <w:rPr>
                <w:rFonts w:cs="Arial"/>
                <w:b/>
                <w:szCs w:val="22"/>
              </w:rPr>
              <w:t>Disbursements</w:t>
            </w:r>
            <w:r w:rsidR="00C809B4">
              <w:rPr>
                <w:rFonts w:cs="Arial"/>
                <w:b/>
                <w:szCs w:val="22"/>
              </w:rPr>
              <w:t xml:space="preserve"> - </w:t>
            </w:r>
            <w:r w:rsidRPr="00C3320D">
              <w:rPr>
                <w:rFonts w:cs="Arial"/>
                <w:b/>
                <w:szCs w:val="22"/>
              </w:rPr>
              <w:t>Not payable</w:t>
            </w:r>
          </w:p>
        </w:tc>
        <w:tc>
          <w:tcPr>
            <w:tcW w:w="6922" w:type="dxa"/>
            <w:shd w:val="clear" w:color="auto" w:fill="auto"/>
          </w:tcPr>
          <w:p w14:paraId="08AC71B4" w14:textId="75D57E8C" w:rsidR="00C54786" w:rsidRPr="00C3320D" w:rsidRDefault="00C54786" w:rsidP="00C809B4">
            <w:pPr>
              <w:tabs>
                <w:tab w:val="left" w:pos="577"/>
              </w:tabs>
              <w:overflowPunct/>
              <w:autoSpaceDE/>
              <w:autoSpaceDN/>
              <w:spacing w:before="120" w:after="120" w:line="240" w:lineRule="auto"/>
              <w:ind w:left="720"/>
              <w:jc w:val="left"/>
              <w:textAlignment w:val="auto"/>
              <w:rPr>
                <w:rFonts w:cs="Arial"/>
                <w:i/>
                <w:szCs w:val="22"/>
              </w:rPr>
            </w:pP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7258C9">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016FC6BE" w14:textId="546C1514" w:rsidR="007258C9" w:rsidRPr="00D53125" w:rsidRDefault="00A714ED" w:rsidP="007258C9">
            <w:pPr>
              <w:keepNext/>
              <w:keepLines/>
              <w:overflowPunct/>
              <w:autoSpaceDE/>
              <w:spacing w:before="120" w:after="120" w:line="240" w:lineRule="auto"/>
              <w:rPr>
                <w:rFonts w:cs="Arial"/>
                <w:szCs w:val="22"/>
              </w:rPr>
            </w:pPr>
            <w:r>
              <w:rPr>
                <w:rFonts w:cs="Arial"/>
                <w:szCs w:val="22"/>
              </w:rPr>
              <w:t>REDACTED</w:t>
            </w:r>
          </w:p>
          <w:p w14:paraId="51F67C26" w14:textId="746B1F3B" w:rsidR="008E082F" w:rsidRPr="00D53125" w:rsidRDefault="008E082F" w:rsidP="00D40F55">
            <w:pPr>
              <w:keepNext/>
              <w:keepLines/>
              <w:overflowPunct/>
              <w:autoSpaceDE/>
              <w:autoSpaceDN/>
              <w:spacing w:before="120" w:after="120" w:line="240" w:lineRule="auto"/>
              <w:textAlignment w:val="auto"/>
              <w:rPr>
                <w:rFonts w:eastAsia="STZhongsong" w:cs="Arial"/>
                <w:i/>
                <w:caps/>
                <w:szCs w:val="22"/>
                <w:lang w:eastAsia="zh-CN"/>
              </w:rPr>
            </w:pPr>
          </w:p>
        </w:tc>
      </w:tr>
      <w:tr w:rsidR="00C3320D" w:rsidRPr="00C3320D" w14:paraId="48F22CFB" w14:textId="77777777" w:rsidTr="007258C9">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48ED682A" w14:textId="614A85AB" w:rsidR="007258C9" w:rsidRPr="00D53125" w:rsidRDefault="00A714ED" w:rsidP="007258C9">
            <w:pPr>
              <w:keepNext/>
              <w:keepLines/>
              <w:overflowPunct/>
              <w:autoSpaceDE/>
              <w:spacing w:before="120" w:after="120" w:line="240" w:lineRule="auto"/>
              <w:rPr>
                <w:rFonts w:cs="Arial"/>
                <w:szCs w:val="22"/>
              </w:rPr>
            </w:pPr>
            <w:r>
              <w:rPr>
                <w:rFonts w:cs="Arial"/>
                <w:szCs w:val="22"/>
              </w:rPr>
              <w:t>REDACTED</w:t>
            </w:r>
          </w:p>
          <w:p w14:paraId="07685785" w14:textId="77777777" w:rsidR="008E082F" w:rsidRPr="00D53125" w:rsidRDefault="008E082F" w:rsidP="007258C9">
            <w:pPr>
              <w:keepNext/>
              <w:keepLines/>
              <w:overflowPunct/>
              <w:autoSpaceDE/>
              <w:autoSpaceDN/>
              <w:spacing w:before="120" w:after="120" w:line="240" w:lineRule="auto"/>
              <w:textAlignment w:val="auto"/>
              <w:rPr>
                <w:rFonts w:eastAsia="STZhongsong" w:cs="Arial"/>
                <w:i/>
                <w:caps/>
                <w:szCs w:val="22"/>
                <w:lang w:eastAsia="zh-CN"/>
              </w:rPr>
            </w:pPr>
          </w:p>
        </w:tc>
      </w:tr>
      <w:tr w:rsidR="00C3320D" w:rsidRPr="00C3320D" w14:paraId="54B5A07E" w14:textId="77777777" w:rsidTr="007258C9">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9D1E8C7" w14:textId="33141354" w:rsidR="008E082F" w:rsidRPr="00C3320D" w:rsidRDefault="00CF7EC7" w:rsidP="00D40F55">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key personneL</w:t>
            </w:r>
          </w:p>
        </w:tc>
        <w:tc>
          <w:tcPr>
            <w:tcW w:w="4164" w:type="dxa"/>
            <w:shd w:val="clear" w:color="auto" w:fill="auto"/>
          </w:tcPr>
          <w:p w14:paraId="56727968" w14:textId="459093AE" w:rsidR="008E082F" w:rsidRPr="00D53125" w:rsidRDefault="003A6A2C" w:rsidP="003A6A2C">
            <w:pPr>
              <w:keepNext/>
              <w:keepLines/>
              <w:overflowPunct/>
              <w:autoSpaceDE/>
              <w:spacing w:before="120" w:after="120" w:line="240" w:lineRule="auto"/>
              <w:rPr>
                <w:rFonts w:cs="Arial"/>
                <w:szCs w:val="22"/>
              </w:rPr>
            </w:pPr>
            <w:r w:rsidRPr="00D53125">
              <w:rPr>
                <w:rFonts w:cs="Arial"/>
                <w:szCs w:val="22"/>
              </w:rPr>
              <w:t xml:space="preserve">Customer- </w:t>
            </w:r>
            <w:r w:rsidR="00A714ED">
              <w:rPr>
                <w:rFonts w:cs="Arial"/>
                <w:szCs w:val="22"/>
              </w:rPr>
              <w:t>REDACTED</w:t>
            </w:r>
          </w:p>
          <w:p w14:paraId="2126486F" w14:textId="333B83E5" w:rsidR="003A6A2C" w:rsidRPr="00D53125" w:rsidRDefault="003A6A2C" w:rsidP="00A714ED">
            <w:pPr>
              <w:keepNext/>
              <w:keepLines/>
              <w:overflowPunct/>
              <w:autoSpaceDE/>
              <w:spacing w:before="120" w:after="120" w:line="240" w:lineRule="auto"/>
              <w:rPr>
                <w:rFonts w:eastAsia="STZhongsong" w:cs="Arial"/>
                <w:i/>
                <w:szCs w:val="22"/>
                <w:lang w:eastAsia="zh-CN"/>
              </w:rPr>
            </w:pPr>
            <w:r w:rsidRPr="00D53125">
              <w:rPr>
                <w:rFonts w:cs="Arial"/>
                <w:szCs w:val="22"/>
              </w:rPr>
              <w:t xml:space="preserve">Supplier- </w:t>
            </w:r>
            <w:r w:rsidR="00A714ED">
              <w:rPr>
                <w:rFonts w:cs="Arial"/>
                <w:szCs w:val="22"/>
              </w:rPr>
              <w:t>REDACTED</w:t>
            </w:r>
          </w:p>
        </w:tc>
      </w:tr>
      <w:tr w:rsidR="00C3320D" w:rsidRPr="00C3320D" w14:paraId="110CF97A" w14:textId="77777777" w:rsidTr="007258C9">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232301E8" w14:textId="4172FC46" w:rsidR="008E082F" w:rsidRPr="00D53125" w:rsidRDefault="003A6A2C" w:rsidP="00D40F55">
            <w:pPr>
              <w:keepNext/>
              <w:keepLines/>
              <w:overflowPunct/>
              <w:autoSpaceDE/>
              <w:autoSpaceDN/>
              <w:spacing w:before="120" w:after="120" w:line="240" w:lineRule="auto"/>
              <w:textAlignment w:val="auto"/>
              <w:rPr>
                <w:rFonts w:eastAsia="STZhongsong" w:cs="Arial"/>
                <w:i/>
                <w:szCs w:val="22"/>
                <w:lang w:eastAsia="zh-CN"/>
              </w:rPr>
            </w:pPr>
            <w:r w:rsidRPr="00D53125">
              <w:rPr>
                <w:rFonts w:eastAsia="STZhongsong" w:cs="Arial"/>
                <w:szCs w:val="22"/>
                <w:lang w:eastAsia="zh-CN"/>
              </w:rPr>
              <w:t>Not Applicable</w:t>
            </w:r>
            <w:r w:rsidR="007258C9" w:rsidRPr="00D53125">
              <w:rPr>
                <w:rFonts w:eastAsia="STZhongsong" w:cs="Arial"/>
                <w:i/>
                <w:szCs w:val="22"/>
                <w:lang w:eastAsia="zh-CN"/>
              </w:rPr>
              <w:t xml:space="preserve"> </w:t>
            </w:r>
          </w:p>
        </w:tc>
      </w:tr>
      <w:tr w:rsidR="00C3320D" w:rsidRPr="00C3320D" w14:paraId="0E8449E4" w14:textId="77777777" w:rsidTr="009F5549">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4F32684D" w14:textId="2EDA3593" w:rsidR="00C809B4" w:rsidRPr="00C809B4" w:rsidRDefault="00C809B4" w:rsidP="00C809B4">
            <w:pPr>
              <w:spacing w:before="120" w:after="120" w:line="240" w:lineRule="auto"/>
              <w:jc w:val="left"/>
              <w:rPr>
                <w:rFonts w:cs="Arial"/>
                <w:szCs w:val="22"/>
              </w:rPr>
            </w:pPr>
            <w:r w:rsidRPr="00C809B4">
              <w:rPr>
                <w:rFonts w:cs="Arial"/>
                <w:szCs w:val="22"/>
              </w:rPr>
              <w:t>1 Horse</w:t>
            </w:r>
            <w:r>
              <w:rPr>
                <w:rFonts w:cs="Arial"/>
                <w:szCs w:val="22"/>
              </w:rPr>
              <w:t xml:space="preserve"> G</w:t>
            </w:r>
            <w:r w:rsidRPr="00C809B4">
              <w:rPr>
                <w:rFonts w:cs="Arial"/>
                <w:szCs w:val="22"/>
              </w:rPr>
              <w:t>uards Road</w:t>
            </w:r>
          </w:p>
          <w:p w14:paraId="5BD837F3" w14:textId="77777777" w:rsidR="00C809B4" w:rsidRPr="00C809B4" w:rsidRDefault="00C809B4" w:rsidP="00C809B4">
            <w:pPr>
              <w:spacing w:before="120" w:after="120" w:line="240" w:lineRule="auto"/>
              <w:jc w:val="left"/>
              <w:rPr>
                <w:rFonts w:cs="Arial"/>
                <w:szCs w:val="22"/>
              </w:rPr>
            </w:pPr>
            <w:r w:rsidRPr="00C809B4">
              <w:rPr>
                <w:rFonts w:cs="Arial"/>
                <w:szCs w:val="22"/>
              </w:rPr>
              <w:t>London</w:t>
            </w:r>
          </w:p>
          <w:p w14:paraId="10E74749" w14:textId="77777777" w:rsidR="00C809B4" w:rsidRPr="00C809B4" w:rsidRDefault="00C809B4" w:rsidP="00C809B4">
            <w:pPr>
              <w:spacing w:before="120" w:after="120" w:line="240" w:lineRule="auto"/>
              <w:jc w:val="left"/>
              <w:rPr>
                <w:rFonts w:cs="Arial"/>
                <w:szCs w:val="22"/>
              </w:rPr>
            </w:pPr>
            <w:r w:rsidRPr="00C809B4">
              <w:rPr>
                <w:rFonts w:cs="Arial"/>
                <w:szCs w:val="22"/>
              </w:rPr>
              <w:lastRenderedPageBreak/>
              <w:t>Greater London</w:t>
            </w:r>
          </w:p>
          <w:p w14:paraId="13A6857A" w14:textId="77777777" w:rsidR="00C809B4" w:rsidRPr="00C809B4" w:rsidRDefault="00C809B4" w:rsidP="00C809B4">
            <w:pPr>
              <w:spacing w:before="120" w:after="120" w:line="240" w:lineRule="auto"/>
              <w:jc w:val="left"/>
              <w:rPr>
                <w:rFonts w:cs="Arial"/>
                <w:szCs w:val="22"/>
              </w:rPr>
            </w:pPr>
            <w:r w:rsidRPr="00C809B4">
              <w:rPr>
                <w:rFonts w:cs="Arial"/>
                <w:szCs w:val="22"/>
              </w:rPr>
              <w:t>England</w:t>
            </w:r>
          </w:p>
          <w:p w14:paraId="759C76BE" w14:textId="29390D4A" w:rsidR="008E082F" w:rsidRPr="00C3320D" w:rsidRDefault="00C809B4" w:rsidP="00C809B4">
            <w:pPr>
              <w:keepNext/>
              <w:keepLines/>
              <w:overflowPunct/>
              <w:autoSpaceDE/>
              <w:autoSpaceDN/>
              <w:spacing w:before="120" w:after="120" w:line="240" w:lineRule="auto"/>
              <w:textAlignment w:val="auto"/>
              <w:rPr>
                <w:rFonts w:eastAsia="STZhongsong" w:cs="Arial"/>
                <w:b/>
                <w:caps/>
                <w:szCs w:val="22"/>
                <w:lang w:eastAsia="zh-CN"/>
              </w:rPr>
            </w:pPr>
            <w:r w:rsidRPr="00C809B4">
              <w:rPr>
                <w:rFonts w:cs="Arial"/>
                <w:szCs w:val="22"/>
              </w:rPr>
              <w:t>SW1A 2HQ</w:t>
            </w:r>
            <w:r w:rsidRPr="00C3320D">
              <w:rPr>
                <w:rFonts w:eastAsia="STZhongsong" w:cs="Arial"/>
                <w:b/>
                <w:caps/>
                <w:szCs w:val="22"/>
                <w:lang w:eastAsia="zh-CN"/>
              </w:rPr>
              <w:t xml:space="preserve"> </w:t>
            </w:r>
          </w:p>
        </w:tc>
      </w:tr>
      <w:tr w:rsidR="00C3320D" w:rsidRPr="00C3320D" w14:paraId="30E47F98" w14:textId="77777777" w:rsidTr="007258C9">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152E6BA6" w14:textId="389CCF8A" w:rsidR="008E082F" w:rsidRPr="00C3320D" w:rsidRDefault="007258C9" w:rsidP="007258C9">
            <w:pPr>
              <w:keepNext/>
              <w:keepLines/>
              <w:overflowPunct/>
              <w:autoSpaceDE/>
              <w:spacing w:before="120" w:after="120" w:line="240" w:lineRule="auto"/>
              <w:rPr>
                <w:rFonts w:eastAsia="STZhongsong" w:cs="Arial"/>
                <w:b/>
                <w:caps/>
                <w:szCs w:val="22"/>
                <w:lang w:eastAsia="zh-CN"/>
              </w:rPr>
            </w:pPr>
            <w:r>
              <w:rPr>
                <w:rFonts w:cs="Arial"/>
                <w:szCs w:val="22"/>
              </w:rPr>
              <w:t>To be provided by Supplier Post Award</w:t>
            </w:r>
          </w:p>
        </w:tc>
      </w:tr>
      <w:tr w:rsidR="00C3320D" w:rsidRPr="00C3320D" w14:paraId="5F745813" w14:textId="77777777" w:rsidTr="007258C9">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612F6168" w:rsidR="008E082F" w:rsidRPr="00C3320D" w:rsidRDefault="007258C9" w:rsidP="00D40F55">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To be completed by Customer Post Award</w:t>
            </w:r>
            <w:r>
              <w:rPr>
                <w:rFonts w:eastAsia="STZhongsong" w:cs="Arial"/>
                <w:i/>
                <w:szCs w:val="22"/>
                <w:lang w:eastAsia="zh-CN"/>
              </w:rPr>
              <w:t>.</w:t>
            </w:r>
          </w:p>
        </w:tc>
      </w:tr>
      <w:tr w:rsidR="00C3320D" w:rsidRPr="00C3320D" w14:paraId="5ABDD40A" w14:textId="77777777" w:rsidTr="007258C9">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3C1526A4" w:rsidR="008E082F" w:rsidRPr="00D53125" w:rsidRDefault="00D53125" w:rsidP="00D40F55">
            <w:pPr>
              <w:keepNext/>
              <w:keepLines/>
              <w:overflowPunct/>
              <w:autoSpaceDE/>
              <w:autoSpaceDN/>
              <w:spacing w:before="120" w:after="120" w:line="240" w:lineRule="auto"/>
              <w:textAlignment w:val="auto"/>
              <w:rPr>
                <w:rFonts w:eastAsia="STZhongsong" w:cs="Arial"/>
                <w:i/>
                <w:szCs w:val="22"/>
                <w:lang w:eastAsia="zh-CN"/>
              </w:rPr>
            </w:pPr>
            <w:r w:rsidRPr="00D53125">
              <w:rPr>
                <w:rFonts w:cs="Arial"/>
                <w:szCs w:val="22"/>
              </w:rPr>
              <w:t>Not Applicable</w:t>
            </w:r>
          </w:p>
        </w:tc>
      </w:tr>
      <w:tr w:rsidR="00C3320D" w:rsidRPr="00C3320D" w14:paraId="22C9699F" w14:textId="77777777" w:rsidTr="00C809B4">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641567E7" w:rsidR="007258C9" w:rsidRPr="00C809B4" w:rsidRDefault="007258C9" w:rsidP="00D40F55">
            <w:pPr>
              <w:keepNext/>
              <w:keepLines/>
              <w:overflowPunct/>
              <w:autoSpaceDE/>
              <w:autoSpaceDN/>
              <w:spacing w:before="120" w:after="120" w:line="240" w:lineRule="auto"/>
              <w:textAlignment w:val="auto"/>
              <w:rPr>
                <w:rFonts w:eastAsia="STZhongsong" w:cs="Arial"/>
                <w:szCs w:val="22"/>
                <w:lang w:eastAsia="zh-CN"/>
              </w:rPr>
            </w:pPr>
            <w:r w:rsidRPr="00C809B4">
              <w:rPr>
                <w:rFonts w:eastAsia="STZhongsong" w:cs="Arial"/>
                <w:szCs w:val="22"/>
                <w:lang w:eastAsia="zh-CN"/>
              </w:rPr>
              <w:t>The customer requires the external legal provider to provide a sufficient level of resource throughout the duration of the engagement in order to consistently deliver a quality service. In particular, resourcing for peak periods and holiday cover should be planned and agreed in advance with the customer.</w:t>
            </w:r>
          </w:p>
        </w:tc>
      </w:tr>
      <w:tr w:rsidR="00C3320D" w:rsidRPr="00C3320D" w14:paraId="31DD9B40" w14:textId="77777777" w:rsidTr="007258C9">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4363" w:type="dxa"/>
            <w:shd w:val="clear" w:color="auto" w:fill="auto"/>
          </w:tcPr>
          <w:p w14:paraId="31933AEC" w14:textId="62EA494E" w:rsidR="007258C9" w:rsidRPr="00C3320D" w:rsidRDefault="007258C9" w:rsidP="007258C9">
            <w:pPr>
              <w:numPr>
                <w:ilvl w:val="1"/>
                <w:numId w:val="0"/>
              </w:numPr>
              <w:spacing w:before="120" w:after="120" w:line="240" w:lineRule="auto"/>
              <w:rPr>
                <w:rFonts w:eastAsia="STZhongsong" w:cs="Arial"/>
                <w:b/>
                <w:caps/>
                <w:szCs w:val="22"/>
                <w:lang w:eastAsia="zh-CN"/>
              </w:rPr>
            </w:pPr>
            <w:r>
              <w:rPr>
                <w:rFonts w:eastAsia="STZhongsong" w:cs="Arial"/>
                <w:b/>
                <w:szCs w:val="22"/>
                <w:lang w:eastAsia="zh-CN"/>
              </w:rPr>
              <w:t xml:space="preserve">Exit Management: </w:t>
            </w:r>
          </w:p>
          <w:p w14:paraId="08AB7909" w14:textId="1317AE65"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354EFA1B" w14:textId="5F917C93" w:rsidR="007258C9" w:rsidRPr="001F1958" w:rsidRDefault="007258C9" w:rsidP="001F1958">
            <w:pPr>
              <w:keepNext/>
              <w:keepLines/>
              <w:overflowPunct/>
              <w:autoSpaceDE/>
              <w:spacing w:before="120" w:after="120" w:line="240" w:lineRule="auto"/>
              <w:rPr>
                <w:rFonts w:eastAsia="STZhongsong" w:cs="Arial"/>
                <w:szCs w:val="22"/>
                <w:lang w:eastAsia="zh-CN"/>
              </w:rPr>
            </w:pPr>
            <w:r>
              <w:rPr>
                <w:rFonts w:eastAsia="STZhongsong" w:cs="Arial"/>
                <w:szCs w:val="22"/>
                <w:lang w:eastAsia="zh-CN"/>
              </w:rPr>
              <w:t xml:space="preserve">In Contract Schedule 2 (Exit Management) </w:t>
            </w:r>
          </w:p>
        </w:tc>
      </w:tr>
      <w:tr w:rsidR="00C3320D" w:rsidRPr="00C3320D" w14:paraId="23EBD425" w14:textId="77777777" w:rsidTr="009F5549">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21D85A15" w:rsidR="00482950" w:rsidRPr="00C3320D" w:rsidRDefault="00482950" w:rsidP="00D40F55">
            <w:pPr>
              <w:numPr>
                <w:ilvl w:val="1"/>
                <w:numId w:val="0"/>
              </w:numPr>
              <w:spacing w:before="120" w:after="120" w:line="240" w:lineRule="auto"/>
              <w:rPr>
                <w:rFonts w:eastAsia="STZhongsong" w:cs="Arial"/>
                <w:szCs w:val="22"/>
                <w:lang w:eastAsia="zh-CN"/>
              </w:rPr>
            </w:pPr>
          </w:p>
        </w:tc>
        <w:tc>
          <w:tcPr>
            <w:tcW w:w="4164" w:type="dxa"/>
            <w:shd w:val="clear" w:color="auto" w:fill="auto"/>
          </w:tcPr>
          <w:p w14:paraId="12DC2E60" w14:textId="26420CBC" w:rsidR="005B6A9E" w:rsidRPr="00C3320D" w:rsidRDefault="009F5549" w:rsidP="00D40F55">
            <w:pPr>
              <w:keepNext/>
              <w:keepLines/>
              <w:overflowPunct/>
              <w:autoSpaceDE/>
              <w:autoSpaceDN/>
              <w:spacing w:before="120" w:after="120" w:line="240" w:lineRule="auto"/>
              <w:textAlignment w:val="auto"/>
              <w:rPr>
                <w:rFonts w:eastAsia="STZhongsong" w:cs="Arial"/>
                <w:i/>
                <w:szCs w:val="22"/>
                <w:lang w:eastAsia="zh-CN"/>
              </w:rPr>
            </w:pPr>
            <w:r w:rsidRPr="00C3320D">
              <w:rPr>
                <w:rFonts w:eastAsia="STZhongsong" w:cs="Arial"/>
                <w:szCs w:val="22"/>
                <w:lang w:eastAsia="zh-CN"/>
              </w:rPr>
              <w:t>In Contract Schedule 4 (Transparency Reports)</w:t>
            </w:r>
          </w:p>
        </w:tc>
      </w:tr>
      <w:tr w:rsidR="00C3320D" w:rsidRPr="00C3320D" w14:paraId="25B5F6DE" w14:textId="77777777" w:rsidTr="009F5549">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71716A98" w14:textId="57936E3B" w:rsidR="00144AFA" w:rsidRPr="00C809B4" w:rsidRDefault="00144AFA" w:rsidP="00C809B4">
            <w:pPr>
              <w:numPr>
                <w:ilvl w:val="1"/>
                <w:numId w:val="0"/>
              </w:numPr>
              <w:overflowPunct/>
              <w:autoSpaceDE/>
              <w:autoSpaceDN/>
              <w:spacing w:before="120" w:after="120" w:line="240" w:lineRule="auto"/>
              <w:textAlignment w:val="auto"/>
              <w:rPr>
                <w:rFonts w:cs="Arial"/>
                <w:b/>
                <w:szCs w:val="22"/>
              </w:rPr>
            </w:pPr>
            <w:r w:rsidRPr="00C3320D">
              <w:rPr>
                <w:rFonts w:cs="Arial"/>
                <w:b/>
                <w:szCs w:val="22"/>
              </w:rPr>
              <w:t xml:space="preserve">Call Off Guarantee (Clause </w:t>
            </w:r>
            <w:r w:rsidR="00F81B4D" w:rsidRPr="00C3320D">
              <w:rPr>
                <w:rFonts w:cs="Arial"/>
                <w:b/>
                <w:szCs w:val="22"/>
              </w:rPr>
              <w:t>10</w:t>
            </w:r>
            <w:r w:rsidRPr="00C3320D">
              <w:rPr>
                <w:rFonts w:cs="Arial"/>
                <w:b/>
                <w:szCs w:val="22"/>
              </w:rPr>
              <w:t xml:space="preserve"> of the </w:t>
            </w:r>
            <w:r w:rsidR="003254C0" w:rsidRPr="00C3320D">
              <w:rPr>
                <w:rFonts w:cs="Arial"/>
                <w:b/>
                <w:szCs w:val="22"/>
              </w:rPr>
              <w:t>Legal Service Contract</w:t>
            </w:r>
            <w:r w:rsidR="00C809B4">
              <w:rPr>
                <w:rFonts w:cs="Arial"/>
                <w:b/>
                <w:szCs w:val="22"/>
              </w:rPr>
              <w:t>):</w:t>
            </w:r>
          </w:p>
        </w:tc>
        <w:tc>
          <w:tcPr>
            <w:tcW w:w="4164" w:type="dxa"/>
            <w:shd w:val="clear" w:color="auto" w:fill="auto"/>
          </w:tcPr>
          <w:p w14:paraId="27132D1A" w14:textId="0B481065" w:rsidR="009F5549" w:rsidRPr="00C809B4" w:rsidRDefault="009F5549" w:rsidP="009F5549">
            <w:pPr>
              <w:keepNext/>
              <w:keepLines/>
              <w:overflowPunct/>
              <w:autoSpaceDE/>
              <w:autoSpaceDN/>
              <w:spacing w:before="120" w:after="120" w:line="240" w:lineRule="auto"/>
              <w:textAlignment w:val="auto"/>
              <w:rPr>
                <w:rFonts w:cs="Arial"/>
                <w:szCs w:val="22"/>
              </w:rPr>
            </w:pPr>
            <w:r>
              <w:rPr>
                <w:rFonts w:cs="Arial"/>
                <w:szCs w:val="22"/>
              </w:rPr>
              <w:t>Not Required</w:t>
            </w:r>
          </w:p>
        </w:tc>
      </w:tr>
    </w:tbl>
    <w:p w14:paraId="50CC73DF" w14:textId="7914DBA2" w:rsidR="008E082F" w:rsidRPr="00C3320D" w:rsidRDefault="00DB297D" w:rsidP="00D40F55">
      <w:pPr>
        <w:spacing w:before="120" w:after="120" w:line="240" w:lineRule="auto"/>
        <w:rPr>
          <w:rFonts w:cs="Arial"/>
          <w:i/>
          <w:szCs w:val="22"/>
        </w:rPr>
      </w:pPr>
      <w:r>
        <w:rPr>
          <w:rFonts w:cs="Arial"/>
          <w:i/>
          <w:szCs w:val="22"/>
        </w:rPr>
        <w:br/>
      </w:r>
      <w:r>
        <w:rPr>
          <w:rFonts w:cs="Arial"/>
          <w:i/>
          <w:szCs w:val="22"/>
        </w:rPr>
        <w:br/>
      </w: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9D2088">
      <w:pPr>
        <w:pStyle w:val="ORDERFORML1PraraNo"/>
        <w:numPr>
          <w:ilvl w:val="0"/>
          <w:numId w:val="0"/>
        </w:numPr>
        <w:spacing w:before="120" w:after="1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68"/>
        <w:gridCol w:w="4079"/>
      </w:tblGrid>
      <w:tr w:rsidR="00C3320D" w:rsidRPr="00C3320D" w14:paraId="20964881" w14:textId="77777777" w:rsidTr="00E464B9">
        <w:tc>
          <w:tcPr>
            <w:tcW w:w="566"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383"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185" w:type="dxa"/>
            <w:shd w:val="clear" w:color="auto" w:fill="auto"/>
          </w:tcPr>
          <w:p w14:paraId="19A6D76A" w14:textId="77777777" w:rsidR="00E464B9" w:rsidRDefault="00E464B9" w:rsidP="00E464B9">
            <w:pPr>
              <w:keepNext/>
              <w:keepLines/>
              <w:overflowPunct/>
              <w:autoSpaceDE/>
              <w:spacing w:before="120" w:after="120" w:line="240" w:lineRule="auto"/>
              <w:rPr>
                <w:rFonts w:cs="Arial"/>
                <w:szCs w:val="22"/>
              </w:rPr>
            </w:pPr>
            <w:r>
              <w:rPr>
                <w:rFonts w:cs="Arial"/>
                <w:szCs w:val="22"/>
              </w:rPr>
              <w:t xml:space="preserve">In Contract Schedule 7 (Liability and Insurance). </w:t>
            </w:r>
          </w:p>
          <w:p w14:paraId="657D85CF" w14:textId="11544589" w:rsidR="005A4E07" w:rsidRDefault="005A4E07" w:rsidP="00D40F55">
            <w:pPr>
              <w:keepNext/>
              <w:keepLines/>
              <w:overflowPunct/>
              <w:autoSpaceDE/>
              <w:autoSpaceDN/>
              <w:spacing w:before="120" w:after="120" w:line="240" w:lineRule="auto"/>
              <w:textAlignment w:val="auto"/>
              <w:rPr>
                <w:rFonts w:cs="Arial"/>
                <w:i/>
                <w:szCs w:val="22"/>
              </w:rPr>
            </w:pPr>
          </w:p>
          <w:p w14:paraId="67534772" w14:textId="5322BB90" w:rsidR="00E464B9" w:rsidRPr="005A4E07" w:rsidRDefault="00E464B9" w:rsidP="00D40F55">
            <w:pPr>
              <w:keepNext/>
              <w:keepLines/>
              <w:overflowPunct/>
              <w:autoSpaceDE/>
              <w:autoSpaceDN/>
              <w:spacing w:before="120" w:after="120" w:line="240" w:lineRule="auto"/>
              <w:textAlignment w:val="auto"/>
              <w:rPr>
                <w:iCs/>
              </w:rPr>
            </w:pPr>
            <w:r w:rsidRPr="005A4E07">
              <w:rPr>
                <w:iCs/>
              </w:rPr>
              <w:t xml:space="preserve">Nothing in Clause 7.1.2 shall in any way limit the liability of the Supplier in respect of the Ordered Panel Services, and such liability for the purposes of this contract shall be </w:t>
            </w:r>
            <w:r w:rsidR="005A4E07" w:rsidRPr="005A4E07">
              <w:rPr>
                <w:iCs/>
              </w:rPr>
              <w:t>limited to £30</w:t>
            </w:r>
            <w:r w:rsidRPr="005A4E07">
              <w:rPr>
                <w:iCs/>
              </w:rPr>
              <w:t xml:space="preserve"> million.</w:t>
            </w:r>
          </w:p>
          <w:p w14:paraId="338F6EB1" w14:textId="395A2B4E" w:rsidR="008E082F" w:rsidRPr="003F4769" w:rsidRDefault="008E082F" w:rsidP="005A4E07">
            <w:pPr>
              <w:keepNext/>
              <w:keepLines/>
              <w:overflowPunct/>
              <w:autoSpaceDE/>
              <w:autoSpaceDN/>
              <w:spacing w:before="120" w:after="120" w:line="240" w:lineRule="auto"/>
              <w:textAlignment w:val="auto"/>
              <w:rPr>
                <w:rFonts w:cs="Arial"/>
                <w:i/>
                <w:szCs w:val="22"/>
              </w:rPr>
            </w:pPr>
          </w:p>
        </w:tc>
      </w:tr>
      <w:tr w:rsidR="00C3320D" w:rsidRPr="00C3320D" w14:paraId="37E00115" w14:textId="77777777" w:rsidTr="009F5549">
        <w:tc>
          <w:tcPr>
            <w:tcW w:w="566"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383"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185" w:type="dxa"/>
            <w:shd w:val="clear" w:color="auto" w:fill="auto"/>
          </w:tcPr>
          <w:p w14:paraId="43D40566" w14:textId="2565794B" w:rsidR="008E082F" w:rsidRPr="00D53125" w:rsidRDefault="00D53125" w:rsidP="009F5549">
            <w:pPr>
              <w:keepNext/>
              <w:keepLines/>
              <w:overflowPunct/>
              <w:autoSpaceDE/>
              <w:spacing w:before="120" w:after="120" w:line="240" w:lineRule="auto"/>
              <w:rPr>
                <w:rFonts w:cs="Arial"/>
                <w:i/>
                <w:szCs w:val="22"/>
              </w:rPr>
            </w:pPr>
            <w:r w:rsidRPr="00D53125">
              <w:rPr>
                <w:rFonts w:cs="Arial"/>
                <w:szCs w:val="22"/>
              </w:rPr>
              <w:t>Not Applicable</w:t>
            </w:r>
          </w:p>
        </w:tc>
      </w:tr>
      <w:tr w:rsidR="00C3320D" w:rsidRPr="00C3320D" w14:paraId="3FC0EB8B" w14:textId="77777777" w:rsidTr="009F5549">
        <w:tc>
          <w:tcPr>
            <w:tcW w:w="566"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lastRenderedPageBreak/>
              <w:t>4.3</w:t>
            </w:r>
          </w:p>
        </w:tc>
        <w:tc>
          <w:tcPr>
            <w:tcW w:w="4383"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185" w:type="dxa"/>
            <w:shd w:val="clear" w:color="auto" w:fill="auto"/>
          </w:tcPr>
          <w:p w14:paraId="4EFFA099" w14:textId="715CEB61" w:rsidR="008E082F" w:rsidRPr="00C3320D" w:rsidRDefault="009F5549" w:rsidP="009F5549">
            <w:pPr>
              <w:keepNext/>
              <w:keepLines/>
              <w:overflowPunct/>
              <w:autoSpaceDE/>
              <w:autoSpaceDN/>
              <w:spacing w:before="120" w:after="120" w:line="240" w:lineRule="auto"/>
              <w:textAlignment w:val="auto"/>
              <w:rPr>
                <w:rFonts w:eastAsia="STZhongsong" w:cs="Arial"/>
                <w:b/>
                <w:caps/>
                <w:szCs w:val="22"/>
                <w:lang w:eastAsia="zh-CN"/>
              </w:rPr>
            </w:pPr>
            <w:r>
              <w:rPr>
                <w:rFonts w:cs="Arial"/>
                <w:szCs w:val="22"/>
              </w:rPr>
              <w:t>In Contract Schedule 9.2 (Confidentiality)</w:t>
            </w:r>
          </w:p>
        </w:tc>
      </w:tr>
      <w:tr w:rsidR="00C3320D" w:rsidRPr="00C3320D" w14:paraId="5E42AA5C" w14:textId="77777777" w:rsidTr="009F5549">
        <w:tc>
          <w:tcPr>
            <w:tcW w:w="566"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383"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185" w:type="dxa"/>
            <w:shd w:val="clear" w:color="auto" w:fill="auto"/>
          </w:tcPr>
          <w:p w14:paraId="6B85DDC4" w14:textId="164FACB9" w:rsidR="009F5549" w:rsidRPr="009F5549" w:rsidRDefault="009F5549" w:rsidP="00D40F55">
            <w:pPr>
              <w:keepNext/>
              <w:keepLines/>
              <w:overflowPunct/>
              <w:autoSpaceDE/>
              <w:autoSpaceDN/>
              <w:spacing w:before="120" w:after="120" w:line="240" w:lineRule="auto"/>
              <w:textAlignment w:val="auto"/>
              <w:rPr>
                <w:rFonts w:cs="Arial"/>
                <w:szCs w:val="22"/>
              </w:rPr>
            </w:pPr>
            <w:r w:rsidRPr="009F5549">
              <w:rPr>
                <w:rFonts w:cs="Arial"/>
                <w:szCs w:val="22"/>
              </w:rPr>
              <w:t>In line with Framework terms and conditions:</w:t>
            </w:r>
          </w:p>
          <w:p w14:paraId="5245E3D8" w14:textId="2328AD84" w:rsidR="009F5549" w:rsidRPr="009F5549" w:rsidRDefault="003B4D0A" w:rsidP="00D40F55">
            <w:pPr>
              <w:keepNext/>
              <w:keepLines/>
              <w:overflowPunct/>
              <w:autoSpaceDE/>
              <w:autoSpaceDN/>
              <w:spacing w:before="120" w:after="120" w:line="240" w:lineRule="auto"/>
              <w:textAlignment w:val="auto"/>
              <w:rPr>
                <w:rFonts w:cs="Arial"/>
                <w:szCs w:val="22"/>
              </w:rPr>
            </w:pPr>
            <w:r w:rsidRPr="009F5549">
              <w:rPr>
                <w:rFonts w:cs="Arial"/>
                <w:szCs w:val="22"/>
              </w:rPr>
              <w:t>C</w:t>
            </w:r>
            <w:r w:rsidR="008E082F" w:rsidRPr="009F5549">
              <w:rPr>
                <w:rFonts w:cs="Arial"/>
                <w:szCs w:val="22"/>
              </w:rPr>
              <w:t xml:space="preserve">lause </w:t>
            </w:r>
            <w:r w:rsidRPr="009F5549">
              <w:rPr>
                <w:rFonts w:cs="Arial"/>
                <w:szCs w:val="22"/>
              </w:rPr>
              <w:t>8</w:t>
            </w:r>
            <w:r w:rsidR="008E082F" w:rsidRPr="009F5549">
              <w:rPr>
                <w:rFonts w:cs="Arial"/>
                <w:szCs w:val="22"/>
              </w:rPr>
              <w:t xml:space="preserve"> (Intellectual Property Rights) </w:t>
            </w:r>
          </w:p>
        </w:tc>
      </w:tr>
      <w:tr w:rsidR="00C3320D" w:rsidRPr="00C3320D" w14:paraId="3804A08C" w14:textId="77777777" w:rsidTr="003F4769">
        <w:tc>
          <w:tcPr>
            <w:tcW w:w="566" w:type="dxa"/>
          </w:tcPr>
          <w:p w14:paraId="3E8E83E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4.6</w:t>
            </w:r>
          </w:p>
        </w:tc>
        <w:tc>
          <w:tcPr>
            <w:tcW w:w="4383" w:type="dxa"/>
            <w:shd w:val="clear" w:color="auto" w:fill="auto"/>
          </w:tcPr>
          <w:p w14:paraId="7C67381D" w14:textId="03852874" w:rsidR="008E082F" w:rsidRPr="00C3320D" w:rsidRDefault="009F5549" w:rsidP="00D40F55">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Additional Terms </w:t>
            </w:r>
          </w:p>
        </w:tc>
        <w:tc>
          <w:tcPr>
            <w:tcW w:w="4185" w:type="dxa"/>
            <w:shd w:val="clear" w:color="auto" w:fill="auto"/>
          </w:tcPr>
          <w:p w14:paraId="2630C50F" w14:textId="5616E307" w:rsidR="008E082F" w:rsidRPr="003F4769" w:rsidRDefault="003F4769" w:rsidP="00D40F55">
            <w:pPr>
              <w:keepNext/>
              <w:keepLines/>
              <w:overflowPunct/>
              <w:autoSpaceDE/>
              <w:autoSpaceDN/>
              <w:spacing w:before="120" w:after="120" w:line="240" w:lineRule="auto"/>
              <w:textAlignment w:val="auto"/>
              <w:rPr>
                <w:rFonts w:cs="Arial"/>
                <w:szCs w:val="22"/>
              </w:rPr>
            </w:pPr>
            <w:r w:rsidRPr="003F4769">
              <w:rPr>
                <w:rFonts w:cs="Arial"/>
                <w:szCs w:val="22"/>
              </w:rPr>
              <w:t>Not applicable</w:t>
            </w:r>
          </w:p>
        </w:tc>
      </w:tr>
    </w:tbl>
    <w:p w14:paraId="248FFB5E" w14:textId="77777777" w:rsidR="008E082F" w:rsidRPr="00C3320D" w:rsidRDefault="008E082F" w:rsidP="00D40F55">
      <w:pPr>
        <w:pStyle w:val="ORDERFORML1PraraNo"/>
        <w:numPr>
          <w:ilvl w:val="0"/>
          <w:numId w:val="0"/>
        </w:numPr>
        <w:spacing w:before="120" w:after="120"/>
        <w:ind w:left="426"/>
        <w:rPr>
          <w:rFonts w:ascii="Arial" w:hAnsi="Arial" w:cs="Arial"/>
        </w:rPr>
      </w:pPr>
    </w:p>
    <w:p w14:paraId="42AB1D30" w14:textId="77777777" w:rsidR="008E082F" w:rsidRPr="00C3320D" w:rsidRDefault="008E082F" w:rsidP="00D40F55">
      <w:pPr>
        <w:spacing w:before="120" w:after="120" w:line="240" w:lineRule="auto"/>
        <w:rPr>
          <w:rFonts w:cs="Arial"/>
          <w:szCs w:val="22"/>
        </w:rPr>
      </w:pPr>
    </w:p>
    <w:p w14:paraId="684E4D63" w14:textId="779D299A" w:rsidR="00C97AB0" w:rsidRPr="00DB1040" w:rsidRDefault="008E082F" w:rsidP="00D40F55">
      <w:pPr>
        <w:overflowPunct/>
        <w:autoSpaceDE/>
        <w:autoSpaceDN/>
        <w:adjustRightInd/>
        <w:spacing w:before="120" w:after="120" w:line="240" w:lineRule="auto"/>
        <w:ind w:right="936"/>
        <w:jc w:val="left"/>
        <w:textAlignment w:val="auto"/>
        <w:rPr>
          <w:rFonts w:eastAsia="Calibri" w:cs="Arial"/>
          <w:b/>
          <w:szCs w:val="22"/>
          <w:u w:val="single"/>
        </w:rPr>
      </w:pPr>
      <w:r w:rsidRPr="00DB1040">
        <w:rPr>
          <w:rFonts w:eastAsia="Calibri" w:cs="Arial"/>
          <w:b/>
          <w:szCs w:val="22"/>
          <w:u w:val="single"/>
        </w:rPr>
        <w:t>SECTION C</w:t>
      </w:r>
      <w:r w:rsidR="00DB1040" w:rsidRPr="00DB1040">
        <w:rPr>
          <w:rFonts w:eastAsia="Calibri" w:cs="Arial"/>
          <w:b/>
          <w:szCs w:val="22"/>
          <w:u w:val="single"/>
        </w:rPr>
        <w:t>- SUPPLIER PROPOSAL</w:t>
      </w:r>
    </w:p>
    <w:p w14:paraId="6351F8D9" w14:textId="335EF69A" w:rsidR="00DB1040" w:rsidRDefault="00A714ED" w:rsidP="00D40F55">
      <w:pPr>
        <w:overflowPunct/>
        <w:autoSpaceDE/>
        <w:autoSpaceDN/>
        <w:adjustRightInd/>
        <w:spacing w:before="120" w:after="120" w:line="240" w:lineRule="auto"/>
        <w:ind w:right="936"/>
        <w:jc w:val="left"/>
        <w:textAlignment w:val="auto"/>
        <w:rPr>
          <w:rFonts w:eastAsia="Calibri" w:cs="Arial"/>
          <w:b/>
          <w:szCs w:val="22"/>
        </w:rPr>
      </w:pPr>
      <w:r>
        <w:rPr>
          <w:rFonts w:eastAsia="Calibri" w:cs="Arial"/>
          <w:b/>
          <w:szCs w:val="22"/>
        </w:rPr>
        <w:t>REDACTED</w:t>
      </w:r>
    </w:p>
    <w:p w14:paraId="389BAC18" w14:textId="77777777" w:rsidR="00C97AB0" w:rsidRPr="00C97AB0" w:rsidRDefault="00C97AB0" w:rsidP="00D40F55">
      <w:pPr>
        <w:overflowPunct/>
        <w:autoSpaceDE/>
        <w:autoSpaceDN/>
        <w:adjustRightInd/>
        <w:spacing w:before="120" w:after="120" w:line="240" w:lineRule="auto"/>
        <w:ind w:right="936"/>
        <w:jc w:val="left"/>
        <w:textAlignment w:val="auto"/>
        <w:rPr>
          <w:rFonts w:eastAsia="Calibri" w:cs="Arial"/>
          <w:b/>
          <w:szCs w:val="22"/>
        </w:rPr>
      </w:pPr>
    </w:p>
    <w:p w14:paraId="398BA4B0" w14:textId="4725E21F" w:rsidR="008E082F" w:rsidRDefault="009F0019" w:rsidP="00D40F55">
      <w:pPr>
        <w:overflowPunct/>
        <w:autoSpaceDE/>
        <w:autoSpaceDN/>
        <w:adjustRightInd/>
        <w:spacing w:before="120" w:after="120" w:line="240" w:lineRule="auto"/>
        <w:ind w:right="936"/>
        <w:jc w:val="left"/>
        <w:textAlignment w:val="auto"/>
        <w:rPr>
          <w:rFonts w:eastAsia="Calibri" w:cs="Arial"/>
          <w:b/>
          <w:szCs w:val="22"/>
          <w:u w:val="single"/>
        </w:rPr>
      </w:pPr>
      <w:r>
        <w:rPr>
          <w:rFonts w:eastAsia="Calibri" w:cs="Arial"/>
          <w:b/>
          <w:szCs w:val="22"/>
          <w:u w:val="single"/>
        </w:rPr>
        <w:t>STATEMENT OF REQUIREMENTS</w:t>
      </w:r>
    </w:p>
    <w:p w14:paraId="13608B18" w14:textId="77777777" w:rsidR="00C97AB0" w:rsidRPr="008C2954" w:rsidRDefault="00C97AB0" w:rsidP="00D40F55">
      <w:pPr>
        <w:overflowPunct/>
        <w:autoSpaceDE/>
        <w:autoSpaceDN/>
        <w:adjustRightInd/>
        <w:spacing w:before="120" w:after="120" w:line="240" w:lineRule="auto"/>
        <w:ind w:right="936"/>
        <w:jc w:val="left"/>
        <w:textAlignment w:val="auto"/>
        <w:rPr>
          <w:rFonts w:eastAsia="Calibri" w:cs="Arial"/>
          <w:b/>
          <w:szCs w:val="22"/>
          <w:u w:val="single"/>
        </w:rPr>
      </w:pPr>
    </w:p>
    <w:p w14:paraId="6B915392" w14:textId="77777777" w:rsidR="008C2954" w:rsidRPr="001A45DF" w:rsidRDefault="008C2954" w:rsidP="008C2954">
      <w:pPr>
        <w:pStyle w:val="Heading1"/>
        <w:keepNext/>
        <w:numPr>
          <w:ilvl w:val="0"/>
          <w:numId w:val="51"/>
        </w:numPr>
        <w:tabs>
          <w:tab w:val="clear" w:pos="720"/>
        </w:tabs>
        <w:overflowPunct w:val="0"/>
        <w:autoSpaceDE w:val="0"/>
        <w:autoSpaceDN w:val="0"/>
        <w:spacing w:after="120"/>
        <w:textAlignment w:val="baseline"/>
        <w:rPr>
          <w:sz w:val="32"/>
          <w:szCs w:val="32"/>
        </w:rPr>
      </w:pPr>
      <w:bookmarkStart w:id="1" w:name="_Toc368573027"/>
      <w:bookmarkStart w:id="2" w:name="_Toc64469440"/>
      <w:r w:rsidRPr="001A45DF">
        <w:rPr>
          <w:sz w:val="32"/>
          <w:szCs w:val="32"/>
        </w:rPr>
        <w:t>PURPOSE</w:t>
      </w:r>
      <w:bookmarkEnd w:id="1"/>
      <w:bookmarkEnd w:id="2"/>
    </w:p>
    <w:p w14:paraId="413FF92E" w14:textId="3B6946B8" w:rsidR="008C2954" w:rsidRPr="00A71270" w:rsidRDefault="008C2954" w:rsidP="008C2954">
      <w:pPr>
        <w:pStyle w:val="Heading2"/>
        <w:numPr>
          <w:ilvl w:val="1"/>
          <w:numId w:val="50"/>
        </w:numPr>
        <w:overflowPunct w:val="0"/>
        <w:autoSpaceDE w:val="0"/>
        <w:autoSpaceDN w:val="0"/>
        <w:spacing w:after="120"/>
        <w:ind w:left="709" w:hanging="709"/>
        <w:textAlignment w:val="baseline"/>
        <w:rPr>
          <w:sz w:val="24"/>
          <w:szCs w:val="24"/>
        </w:rPr>
      </w:pPr>
      <w:bookmarkStart w:id="3" w:name="_Toc296415791"/>
      <w:bookmarkStart w:id="4" w:name="_Toc368573028"/>
      <w:bookmarkStart w:id="5" w:name="_Toc297554773"/>
      <w:bookmarkStart w:id="6" w:name="_Toc296415805"/>
      <w:bookmarkStart w:id="7" w:name="_Toc296415793"/>
      <w:r w:rsidRPr="60A8C531">
        <w:rPr>
          <w:sz w:val="24"/>
          <w:szCs w:val="24"/>
        </w:rPr>
        <w:t xml:space="preserve">The purpose of this </w:t>
      </w:r>
      <w:r w:rsidR="00C97AB0">
        <w:rPr>
          <w:sz w:val="24"/>
          <w:szCs w:val="24"/>
        </w:rPr>
        <w:t>contract is for the Supplier to provide the Customer</w:t>
      </w:r>
      <w:r w:rsidRPr="60A8C531">
        <w:rPr>
          <w:sz w:val="24"/>
          <w:szCs w:val="24"/>
        </w:rPr>
        <w:t xml:space="preserve"> specialist external legal support to assist with the design and implementation of a compensation scheme relating to the collapse of London Capital &amp; Finance plc (LCF), announced in the Economic Secretary to the Treasury’s Written Ministerial Statement on 17 December 2020. </w:t>
      </w:r>
    </w:p>
    <w:p w14:paraId="1E2F6746" w14:textId="7480279B" w:rsidR="008C2954" w:rsidRPr="00A71270" w:rsidRDefault="008C2954" w:rsidP="008C2954">
      <w:pPr>
        <w:pStyle w:val="Heading2"/>
        <w:numPr>
          <w:ilvl w:val="1"/>
          <w:numId w:val="50"/>
        </w:numPr>
        <w:spacing w:after="120"/>
        <w:ind w:left="709" w:hanging="709"/>
        <w:rPr>
          <w:sz w:val="24"/>
          <w:szCs w:val="24"/>
        </w:rPr>
      </w:pPr>
      <w:bookmarkStart w:id="8" w:name="_Toc368573029"/>
      <w:bookmarkEnd w:id="3"/>
      <w:bookmarkEnd w:id="4"/>
      <w:r w:rsidRPr="60A8C531">
        <w:rPr>
          <w:sz w:val="24"/>
          <w:szCs w:val="24"/>
        </w:rPr>
        <w:t xml:space="preserve">. </w:t>
      </w:r>
    </w:p>
    <w:p w14:paraId="1B99AFD7" w14:textId="4C9F2C57" w:rsidR="008C2954" w:rsidRPr="001A45DF" w:rsidRDefault="008C2954" w:rsidP="008C2954">
      <w:pPr>
        <w:pStyle w:val="Heading1"/>
        <w:keepNext/>
        <w:numPr>
          <w:ilvl w:val="0"/>
          <w:numId w:val="50"/>
        </w:numPr>
        <w:tabs>
          <w:tab w:val="clear" w:pos="720"/>
        </w:tabs>
        <w:overflowPunct w:val="0"/>
        <w:autoSpaceDE w:val="0"/>
        <w:autoSpaceDN w:val="0"/>
        <w:spacing w:after="120"/>
        <w:textAlignment w:val="baseline"/>
        <w:rPr>
          <w:sz w:val="32"/>
          <w:szCs w:val="32"/>
        </w:rPr>
      </w:pPr>
      <w:bookmarkStart w:id="9" w:name="_Toc64469442"/>
      <w:r w:rsidRPr="001A45DF">
        <w:rPr>
          <w:sz w:val="32"/>
          <w:szCs w:val="32"/>
        </w:rPr>
        <w:t>BACKGROUND TO REQUIREMENT/OVERVIEW</w:t>
      </w:r>
      <w:bookmarkEnd w:id="5"/>
      <w:r w:rsidRPr="001A45DF">
        <w:rPr>
          <w:sz w:val="32"/>
          <w:szCs w:val="32"/>
        </w:rPr>
        <w:t xml:space="preserve"> OF REQUIREMENT</w:t>
      </w:r>
      <w:bookmarkEnd w:id="8"/>
      <w:bookmarkEnd w:id="9"/>
    </w:p>
    <w:p w14:paraId="71FB828D" w14:textId="77777777" w:rsidR="008C2954" w:rsidRPr="00C77A10" w:rsidRDefault="008C2954" w:rsidP="008C2954">
      <w:pPr>
        <w:pStyle w:val="Heading2"/>
        <w:numPr>
          <w:ilvl w:val="1"/>
          <w:numId w:val="50"/>
        </w:numPr>
        <w:spacing w:after="120"/>
        <w:ind w:left="709" w:hanging="709"/>
        <w:rPr>
          <w:rFonts w:eastAsia="Arial" w:cs="Arial"/>
          <w:sz w:val="24"/>
          <w:szCs w:val="24"/>
        </w:rPr>
      </w:pPr>
      <w:bookmarkStart w:id="10" w:name="_Toc297554774"/>
      <w:bookmarkStart w:id="11" w:name="_Toc368573030"/>
      <w:bookmarkEnd w:id="6"/>
      <w:r w:rsidRPr="60A8C531">
        <w:rPr>
          <w:sz w:val="24"/>
          <w:szCs w:val="24"/>
          <w:lang w:val="en"/>
        </w:rPr>
        <w:t xml:space="preserve">LCF went into administration on 30 January 2019 and the Financial Services Compensation Scheme (FSCS) declared it had failed on 9 January 2020. </w:t>
      </w:r>
      <w:r w:rsidRPr="60A8C531">
        <w:rPr>
          <w:sz w:val="24"/>
          <w:szCs w:val="24"/>
        </w:rPr>
        <w:t>LCF primarily issued its own mini-bonds, an unregulated investment product, to retail investors. The FSCS determined that, as the mini-bonds were not transferable, the act of issuing them was not a regulated activity within the meaning of the Financial Services and Markets Act 2000 (Regulated Activities) Order 2001. Therefore, many LCF customers were found not to be eligible for compensation by the FSCS,</w:t>
      </w:r>
    </w:p>
    <w:p w14:paraId="58CC44F2" w14:textId="2BCEF2DE" w:rsidR="008C2954" w:rsidRDefault="008C2954" w:rsidP="008C2954">
      <w:pPr>
        <w:pStyle w:val="Heading2"/>
        <w:numPr>
          <w:ilvl w:val="1"/>
          <w:numId w:val="50"/>
        </w:numPr>
        <w:spacing w:after="120"/>
        <w:ind w:left="709" w:hanging="709"/>
        <w:rPr>
          <w:rFonts w:eastAsia="Arial" w:cs="Arial"/>
          <w:sz w:val="24"/>
          <w:szCs w:val="24"/>
        </w:rPr>
      </w:pPr>
      <w:r w:rsidRPr="60A8C531">
        <w:rPr>
          <w:sz w:val="24"/>
          <w:szCs w:val="24"/>
        </w:rPr>
        <w:t xml:space="preserve">On 23 May 2019, following a request from the </w:t>
      </w:r>
      <w:r>
        <w:rPr>
          <w:sz w:val="24"/>
          <w:szCs w:val="24"/>
        </w:rPr>
        <w:t xml:space="preserve">Financial Conduct </w:t>
      </w:r>
      <w:r w:rsidR="0058568F">
        <w:rPr>
          <w:sz w:val="24"/>
          <w:szCs w:val="24"/>
        </w:rPr>
        <w:t>Customer</w:t>
      </w:r>
      <w:r w:rsidRPr="60A8C531">
        <w:rPr>
          <w:sz w:val="24"/>
          <w:szCs w:val="24"/>
        </w:rPr>
        <w:t xml:space="preserve">’s </w:t>
      </w:r>
      <w:r>
        <w:rPr>
          <w:sz w:val="24"/>
          <w:szCs w:val="24"/>
        </w:rPr>
        <w:t xml:space="preserve">(FCA) </w:t>
      </w:r>
      <w:r w:rsidRPr="60A8C531">
        <w:rPr>
          <w:sz w:val="24"/>
          <w:szCs w:val="24"/>
        </w:rPr>
        <w:t xml:space="preserve">Board, the Economic Secretary to the Treasury (EST) directed the FCA to carry out an independent investigation into the circumstances surrounding the collapse of LCF. Dame Elizabeth Gloster was appointed by the FCA to lead the investigation, which began on 23 May 2019. Dame Elizabeth delivered her </w:t>
      </w:r>
      <w:hyperlink r:id="rId9">
        <w:r w:rsidRPr="60A8C531">
          <w:rPr>
            <w:rStyle w:val="Hyperlink"/>
            <w:sz w:val="24"/>
            <w:szCs w:val="24"/>
          </w:rPr>
          <w:t>final written report</w:t>
        </w:r>
      </w:hyperlink>
      <w:r w:rsidRPr="60A8C531">
        <w:rPr>
          <w:sz w:val="24"/>
          <w:szCs w:val="24"/>
        </w:rPr>
        <w:t xml:space="preserve"> to the FCA on 23 November 2020. The FCA published its </w:t>
      </w:r>
      <w:hyperlink r:id="rId10">
        <w:r w:rsidRPr="60A8C531">
          <w:rPr>
            <w:rStyle w:val="Hyperlink"/>
            <w:sz w:val="24"/>
            <w:szCs w:val="24"/>
          </w:rPr>
          <w:t>response</w:t>
        </w:r>
      </w:hyperlink>
      <w:r w:rsidRPr="60A8C531">
        <w:rPr>
          <w:sz w:val="24"/>
          <w:szCs w:val="24"/>
        </w:rPr>
        <w:t xml:space="preserve"> on 17 December 2020, setting out why they have accepted the review’s 9 recommendations and how they will implement them. </w:t>
      </w:r>
    </w:p>
    <w:p w14:paraId="2F7DDD25" w14:textId="77777777" w:rsidR="008C2954" w:rsidRPr="00A42452" w:rsidRDefault="008C2954" w:rsidP="008C2954">
      <w:pPr>
        <w:pStyle w:val="Heading2"/>
        <w:numPr>
          <w:ilvl w:val="1"/>
          <w:numId w:val="50"/>
        </w:numPr>
        <w:spacing w:after="120"/>
        <w:ind w:left="709" w:hanging="709"/>
        <w:rPr>
          <w:sz w:val="24"/>
          <w:szCs w:val="24"/>
        </w:rPr>
      </w:pPr>
      <w:r w:rsidRPr="60A8C531">
        <w:rPr>
          <w:sz w:val="24"/>
          <w:szCs w:val="24"/>
        </w:rPr>
        <w:t xml:space="preserve">A </w:t>
      </w:r>
      <w:hyperlink r:id="rId11">
        <w:r w:rsidRPr="60A8C531">
          <w:rPr>
            <w:rStyle w:val="Hyperlink"/>
            <w:sz w:val="24"/>
            <w:szCs w:val="24"/>
          </w:rPr>
          <w:t>Judicial Review claim</w:t>
        </w:r>
      </w:hyperlink>
      <w:r w:rsidRPr="60A8C531">
        <w:rPr>
          <w:sz w:val="24"/>
          <w:szCs w:val="24"/>
        </w:rPr>
        <w:t xml:space="preserve"> was issued against the decision by the FSCS that the issue of LCF bonds on or after 3 January 2018 was not a regulated activity. </w:t>
      </w:r>
      <w:r w:rsidRPr="60A8C531">
        <w:rPr>
          <w:sz w:val="24"/>
          <w:szCs w:val="24"/>
        </w:rPr>
        <w:lastRenderedPageBreak/>
        <w:t>Permission for the claim to proceed was granted and a substantive hearing took place in January 2021, with the outcome still to be determined. The outcome of the claim may affect the scope of the Scheme. If the Claimants are successful, the FSCS may pay further compensation to individuals who purchased LCF bonds on or after 3 January 2018. This would likely reduce the level of compensation to be paid under the proposed Scheme but would leave a class of individuals uncompensated who purchased LCF bonds before 3 January 2018.</w:t>
      </w:r>
    </w:p>
    <w:p w14:paraId="0A999722" w14:textId="5C45D469" w:rsidR="008C2954" w:rsidRDefault="008C2954" w:rsidP="008C2954">
      <w:pPr>
        <w:pStyle w:val="Heading2"/>
        <w:numPr>
          <w:ilvl w:val="1"/>
          <w:numId w:val="50"/>
        </w:numPr>
        <w:spacing w:after="120"/>
        <w:ind w:left="709" w:hanging="709"/>
        <w:rPr>
          <w:sz w:val="24"/>
          <w:szCs w:val="24"/>
        </w:rPr>
      </w:pPr>
      <w:r w:rsidRPr="60A8C531">
        <w:rPr>
          <w:sz w:val="24"/>
          <w:szCs w:val="24"/>
        </w:rPr>
        <w:t xml:space="preserve">On 17 December 2020, the EST announced in a </w:t>
      </w:r>
      <w:hyperlink r:id="rId12">
        <w:r w:rsidRPr="60A8C531">
          <w:rPr>
            <w:rStyle w:val="Hyperlink"/>
            <w:sz w:val="24"/>
            <w:szCs w:val="24"/>
          </w:rPr>
          <w:t>Written Ministerial Statement</w:t>
        </w:r>
      </w:hyperlink>
      <w:r w:rsidRPr="60A8C531">
        <w:rPr>
          <w:sz w:val="24"/>
          <w:szCs w:val="24"/>
        </w:rPr>
        <w:t xml:space="preserve"> that the </w:t>
      </w:r>
      <w:r w:rsidR="0058568F">
        <w:rPr>
          <w:sz w:val="24"/>
          <w:szCs w:val="24"/>
        </w:rPr>
        <w:t>Customer</w:t>
      </w:r>
      <w:r w:rsidRPr="60A8C531">
        <w:rPr>
          <w:sz w:val="24"/>
          <w:szCs w:val="24"/>
        </w:rPr>
        <w:t xml:space="preserve"> will set up a compensation scheme (the Scheme) for LCF bondholders. The Scheme will assess whether there is a justification for further one-off compensation payments in certain circumstances for some LCF bondholders.</w:t>
      </w:r>
    </w:p>
    <w:p w14:paraId="414799CA" w14:textId="77777777" w:rsidR="008C2954" w:rsidRPr="00693F6B" w:rsidRDefault="008C2954" w:rsidP="008C2954">
      <w:pPr>
        <w:pStyle w:val="Heading2"/>
        <w:numPr>
          <w:ilvl w:val="1"/>
          <w:numId w:val="50"/>
        </w:numPr>
        <w:spacing w:after="120"/>
        <w:ind w:left="709" w:hanging="709"/>
        <w:rPr>
          <w:sz w:val="24"/>
          <w:szCs w:val="24"/>
        </w:rPr>
      </w:pPr>
      <w:r w:rsidRPr="1C57B555">
        <w:rPr>
          <w:sz w:val="24"/>
          <w:szCs w:val="24"/>
        </w:rPr>
        <w:t>The design and implementation of the Scheme will require additional and expert support and resource from the private sector, including the provision of legal services from Suppliers that have expertise in financial services and public law.</w:t>
      </w:r>
    </w:p>
    <w:p w14:paraId="72E3BB30" w14:textId="0AE209D6" w:rsidR="008C2954" w:rsidRPr="00EF6AD2" w:rsidRDefault="00782AB6" w:rsidP="008C2954">
      <w:pPr>
        <w:pStyle w:val="Heading2"/>
        <w:numPr>
          <w:ilvl w:val="1"/>
          <w:numId w:val="50"/>
        </w:numPr>
        <w:spacing w:after="120"/>
        <w:ind w:left="709" w:hanging="709"/>
        <w:rPr>
          <w:sz w:val="24"/>
          <w:szCs w:val="24"/>
        </w:rPr>
      </w:pPr>
      <w:r>
        <w:rPr>
          <w:sz w:val="24"/>
          <w:szCs w:val="24"/>
        </w:rPr>
        <w:t>REDACTED</w:t>
      </w:r>
    </w:p>
    <w:p w14:paraId="2591145A" w14:textId="2D850621" w:rsidR="008C2954" w:rsidRPr="001A45DF" w:rsidRDefault="008C2954" w:rsidP="008C2954">
      <w:pPr>
        <w:pStyle w:val="Heading1"/>
        <w:keepNext/>
        <w:numPr>
          <w:ilvl w:val="0"/>
          <w:numId w:val="50"/>
        </w:numPr>
        <w:tabs>
          <w:tab w:val="clear" w:pos="720"/>
        </w:tabs>
        <w:overflowPunct w:val="0"/>
        <w:autoSpaceDE w:val="0"/>
        <w:autoSpaceDN w:val="0"/>
        <w:spacing w:after="120"/>
        <w:textAlignment w:val="baseline"/>
        <w:rPr>
          <w:sz w:val="32"/>
          <w:szCs w:val="32"/>
        </w:rPr>
      </w:pPr>
      <w:bookmarkStart w:id="12" w:name="_Toc64469443"/>
      <w:r w:rsidRPr="001A45DF">
        <w:rPr>
          <w:sz w:val="32"/>
          <w:szCs w:val="32"/>
        </w:rPr>
        <w:t>DEFINITIONS</w:t>
      </w:r>
      <w:bookmarkEnd w:id="12"/>
      <w:r w:rsidRPr="001A45DF">
        <w:rPr>
          <w:sz w:val="32"/>
          <w:szCs w:val="32"/>
        </w:rPr>
        <w:t xml:space="preserve"> </w:t>
      </w:r>
    </w:p>
    <w:tbl>
      <w:tblPr>
        <w:tblStyle w:val="TableGrid"/>
        <w:tblW w:w="0" w:type="auto"/>
        <w:tblInd w:w="720" w:type="dxa"/>
        <w:tblLook w:val="04A0" w:firstRow="1" w:lastRow="0" w:firstColumn="1" w:lastColumn="0" w:noHBand="0" w:noVBand="1"/>
      </w:tblPr>
      <w:tblGrid>
        <w:gridCol w:w="2048"/>
        <w:gridCol w:w="6251"/>
      </w:tblGrid>
      <w:tr w:rsidR="008C2954" w14:paraId="5C120770" w14:textId="77777777" w:rsidTr="0069672E">
        <w:tc>
          <w:tcPr>
            <w:tcW w:w="2048" w:type="dxa"/>
            <w:shd w:val="clear" w:color="auto" w:fill="B8CCE4" w:themeFill="accent1" w:themeFillTint="66"/>
          </w:tcPr>
          <w:p w14:paraId="49C69A89" w14:textId="77777777" w:rsidR="008C2954" w:rsidRPr="001A45DF" w:rsidRDefault="008C2954" w:rsidP="0069672E">
            <w:pPr>
              <w:pStyle w:val="Heading2"/>
              <w:numPr>
                <w:ilvl w:val="0"/>
                <w:numId w:val="0"/>
              </w:numPr>
              <w:spacing w:after="120"/>
              <w:ind w:left="18" w:hanging="18"/>
              <w:jc w:val="left"/>
              <w:outlineLvl w:val="1"/>
              <w:rPr>
                <w:b/>
                <w:sz w:val="24"/>
                <w:szCs w:val="24"/>
                <w:highlight w:val="yellow"/>
              </w:rPr>
            </w:pPr>
            <w:r w:rsidRPr="001A45DF">
              <w:rPr>
                <w:b/>
                <w:sz w:val="24"/>
                <w:szCs w:val="24"/>
              </w:rPr>
              <w:t>Expression or Acronym</w:t>
            </w:r>
          </w:p>
        </w:tc>
        <w:tc>
          <w:tcPr>
            <w:tcW w:w="6251" w:type="dxa"/>
            <w:shd w:val="clear" w:color="auto" w:fill="B8CCE4" w:themeFill="accent1" w:themeFillTint="66"/>
          </w:tcPr>
          <w:p w14:paraId="63234B71" w14:textId="77777777" w:rsidR="008C2954" w:rsidRPr="001A45DF" w:rsidRDefault="008C2954" w:rsidP="0069672E">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8C2954" w14:paraId="55D3A1D6" w14:textId="77777777" w:rsidTr="0069672E">
        <w:tc>
          <w:tcPr>
            <w:tcW w:w="2048" w:type="dxa"/>
          </w:tcPr>
          <w:p w14:paraId="3AB44847" w14:textId="77777777" w:rsidR="008C2954" w:rsidRPr="001A45DF" w:rsidRDefault="008C2954" w:rsidP="0069672E">
            <w:pPr>
              <w:pStyle w:val="Heading2"/>
              <w:numPr>
                <w:ilvl w:val="0"/>
                <w:numId w:val="0"/>
              </w:numPr>
              <w:spacing w:after="120"/>
              <w:ind w:left="720" w:hanging="720"/>
              <w:outlineLvl w:val="1"/>
              <w:rPr>
                <w:sz w:val="24"/>
                <w:szCs w:val="24"/>
                <w:highlight w:val="yellow"/>
              </w:rPr>
            </w:pPr>
            <w:r w:rsidRPr="00444F54">
              <w:rPr>
                <w:bCs/>
                <w:sz w:val="24"/>
                <w:szCs w:val="24"/>
              </w:rPr>
              <w:t>EST</w:t>
            </w:r>
          </w:p>
        </w:tc>
        <w:tc>
          <w:tcPr>
            <w:tcW w:w="6251" w:type="dxa"/>
          </w:tcPr>
          <w:p w14:paraId="3145978C" w14:textId="77777777" w:rsidR="008C2954" w:rsidRPr="001A45DF" w:rsidRDefault="008C2954" w:rsidP="0069672E">
            <w:pPr>
              <w:pStyle w:val="Heading2"/>
              <w:numPr>
                <w:ilvl w:val="0"/>
                <w:numId w:val="0"/>
              </w:numPr>
              <w:spacing w:after="120"/>
              <w:outlineLvl w:val="1"/>
              <w:rPr>
                <w:sz w:val="24"/>
                <w:szCs w:val="24"/>
                <w:highlight w:val="yellow"/>
              </w:rPr>
            </w:pPr>
            <w:r w:rsidRPr="00444F54">
              <w:rPr>
                <w:bCs/>
                <w:sz w:val="24"/>
                <w:szCs w:val="24"/>
              </w:rPr>
              <w:t>Economic Secretary to the Treasury</w:t>
            </w:r>
          </w:p>
        </w:tc>
      </w:tr>
      <w:tr w:rsidR="008C2954" w14:paraId="36F68C96" w14:textId="77777777" w:rsidTr="0069672E">
        <w:tc>
          <w:tcPr>
            <w:tcW w:w="2048" w:type="dxa"/>
          </w:tcPr>
          <w:p w14:paraId="32F46FA0" w14:textId="77777777" w:rsidR="008C2954" w:rsidRPr="00082732" w:rsidRDefault="008C2954" w:rsidP="0069672E">
            <w:pPr>
              <w:pStyle w:val="Heading2"/>
              <w:numPr>
                <w:ilvl w:val="0"/>
                <w:numId w:val="0"/>
              </w:numPr>
              <w:spacing w:after="120"/>
              <w:ind w:left="720" w:hanging="720"/>
              <w:outlineLvl w:val="1"/>
              <w:rPr>
                <w:sz w:val="24"/>
                <w:szCs w:val="24"/>
                <w:shd w:val="clear" w:color="auto" w:fill="FFFF99"/>
              </w:rPr>
            </w:pPr>
            <w:r w:rsidRPr="00C51EF9">
              <w:rPr>
                <w:sz w:val="24"/>
                <w:szCs w:val="24"/>
              </w:rPr>
              <w:t>FCA</w:t>
            </w:r>
          </w:p>
        </w:tc>
        <w:tc>
          <w:tcPr>
            <w:tcW w:w="6251" w:type="dxa"/>
          </w:tcPr>
          <w:p w14:paraId="666B21A4" w14:textId="77777777" w:rsidR="008C2954" w:rsidRPr="001A45DF" w:rsidRDefault="008C2954" w:rsidP="0069672E">
            <w:pPr>
              <w:pStyle w:val="Heading2"/>
              <w:numPr>
                <w:ilvl w:val="0"/>
                <w:numId w:val="0"/>
              </w:numPr>
              <w:spacing w:after="120"/>
              <w:outlineLvl w:val="1"/>
              <w:rPr>
                <w:sz w:val="24"/>
                <w:szCs w:val="24"/>
              </w:rPr>
            </w:pPr>
            <w:r>
              <w:rPr>
                <w:sz w:val="24"/>
                <w:szCs w:val="24"/>
              </w:rPr>
              <w:t>Financial Conduct Authority</w:t>
            </w:r>
          </w:p>
        </w:tc>
      </w:tr>
      <w:tr w:rsidR="008C2954" w14:paraId="0640C428" w14:textId="77777777" w:rsidTr="0069672E">
        <w:tc>
          <w:tcPr>
            <w:tcW w:w="2048" w:type="dxa"/>
          </w:tcPr>
          <w:p w14:paraId="2B7C2192" w14:textId="77777777" w:rsidR="008C2954" w:rsidRPr="001A45DF" w:rsidRDefault="008C2954" w:rsidP="0069672E">
            <w:pPr>
              <w:pStyle w:val="Heading2"/>
              <w:numPr>
                <w:ilvl w:val="0"/>
                <w:numId w:val="0"/>
              </w:numPr>
              <w:spacing w:after="120"/>
              <w:ind w:left="720" w:hanging="720"/>
              <w:outlineLvl w:val="1"/>
              <w:rPr>
                <w:sz w:val="24"/>
                <w:szCs w:val="24"/>
                <w:highlight w:val="yellow"/>
              </w:rPr>
            </w:pPr>
            <w:r w:rsidRPr="00C51EF9">
              <w:rPr>
                <w:sz w:val="24"/>
                <w:szCs w:val="24"/>
              </w:rPr>
              <w:t>FSCS</w:t>
            </w:r>
          </w:p>
        </w:tc>
        <w:tc>
          <w:tcPr>
            <w:tcW w:w="6251" w:type="dxa"/>
          </w:tcPr>
          <w:p w14:paraId="5420B807" w14:textId="77777777" w:rsidR="008C2954" w:rsidRPr="001A45DF" w:rsidRDefault="008C2954" w:rsidP="0069672E">
            <w:pPr>
              <w:pStyle w:val="Heading2"/>
              <w:numPr>
                <w:ilvl w:val="0"/>
                <w:numId w:val="0"/>
              </w:numPr>
              <w:spacing w:after="120"/>
              <w:outlineLvl w:val="1"/>
              <w:rPr>
                <w:sz w:val="24"/>
                <w:szCs w:val="24"/>
                <w:highlight w:val="yellow"/>
              </w:rPr>
            </w:pPr>
            <w:r>
              <w:rPr>
                <w:sz w:val="24"/>
                <w:szCs w:val="24"/>
              </w:rPr>
              <w:t>Financial Services Compensation Scheme</w:t>
            </w:r>
          </w:p>
        </w:tc>
      </w:tr>
      <w:tr w:rsidR="008C2954" w14:paraId="0AE7A348" w14:textId="77777777" w:rsidTr="0069672E">
        <w:tc>
          <w:tcPr>
            <w:tcW w:w="2048" w:type="dxa"/>
          </w:tcPr>
          <w:p w14:paraId="7DB1DD50" w14:textId="77777777" w:rsidR="008C2954" w:rsidRPr="00B76BB3" w:rsidRDefault="008C2954" w:rsidP="0069672E">
            <w:pPr>
              <w:pStyle w:val="Heading2"/>
              <w:numPr>
                <w:ilvl w:val="0"/>
                <w:numId w:val="0"/>
              </w:numPr>
              <w:spacing w:after="120"/>
              <w:ind w:left="720" w:hanging="720"/>
              <w:outlineLvl w:val="1"/>
              <w:rPr>
                <w:sz w:val="24"/>
                <w:szCs w:val="24"/>
                <w:shd w:val="clear" w:color="auto" w:fill="FFFF99"/>
              </w:rPr>
            </w:pPr>
            <w:r w:rsidRPr="00C51EF9">
              <w:rPr>
                <w:sz w:val="24"/>
                <w:szCs w:val="24"/>
              </w:rPr>
              <w:t>LCF</w:t>
            </w:r>
          </w:p>
        </w:tc>
        <w:tc>
          <w:tcPr>
            <w:tcW w:w="6251" w:type="dxa"/>
          </w:tcPr>
          <w:p w14:paraId="2B843B67" w14:textId="77777777" w:rsidR="008C2954" w:rsidRPr="001A45DF" w:rsidRDefault="008C2954" w:rsidP="0069672E">
            <w:pPr>
              <w:pStyle w:val="Heading2"/>
              <w:numPr>
                <w:ilvl w:val="0"/>
                <w:numId w:val="0"/>
              </w:numPr>
              <w:spacing w:after="120"/>
              <w:outlineLvl w:val="1"/>
              <w:rPr>
                <w:sz w:val="24"/>
                <w:szCs w:val="24"/>
              </w:rPr>
            </w:pPr>
            <w:r>
              <w:rPr>
                <w:sz w:val="24"/>
                <w:szCs w:val="24"/>
              </w:rPr>
              <w:t>London Capital &amp; Finance plc</w:t>
            </w:r>
          </w:p>
        </w:tc>
      </w:tr>
      <w:tr w:rsidR="008C2954" w14:paraId="6F95AC30" w14:textId="77777777" w:rsidTr="0069672E">
        <w:tc>
          <w:tcPr>
            <w:tcW w:w="2048" w:type="dxa"/>
          </w:tcPr>
          <w:p w14:paraId="736FB1DB" w14:textId="77777777" w:rsidR="008C2954" w:rsidRPr="00C51EF9" w:rsidRDefault="008C2954" w:rsidP="0069672E">
            <w:pPr>
              <w:pStyle w:val="Heading2"/>
              <w:numPr>
                <w:ilvl w:val="0"/>
                <w:numId w:val="0"/>
              </w:numPr>
              <w:spacing w:after="120"/>
              <w:ind w:left="720" w:hanging="720"/>
              <w:outlineLvl w:val="1"/>
              <w:rPr>
                <w:sz w:val="24"/>
                <w:szCs w:val="24"/>
              </w:rPr>
            </w:pPr>
            <w:r>
              <w:rPr>
                <w:sz w:val="24"/>
                <w:szCs w:val="24"/>
              </w:rPr>
              <w:t>TLA</w:t>
            </w:r>
          </w:p>
        </w:tc>
        <w:tc>
          <w:tcPr>
            <w:tcW w:w="6251" w:type="dxa"/>
          </w:tcPr>
          <w:p w14:paraId="1F072150" w14:textId="77777777" w:rsidR="008C2954" w:rsidRDefault="008C2954" w:rsidP="0069672E">
            <w:pPr>
              <w:pStyle w:val="Heading2"/>
              <w:numPr>
                <w:ilvl w:val="0"/>
                <w:numId w:val="0"/>
              </w:numPr>
              <w:spacing w:after="120"/>
              <w:outlineLvl w:val="1"/>
              <w:rPr>
                <w:sz w:val="24"/>
                <w:szCs w:val="24"/>
              </w:rPr>
            </w:pPr>
            <w:r>
              <w:rPr>
                <w:sz w:val="24"/>
                <w:szCs w:val="24"/>
              </w:rPr>
              <w:t>Treasury Legal Advisers</w:t>
            </w:r>
          </w:p>
        </w:tc>
      </w:tr>
    </w:tbl>
    <w:p w14:paraId="5BFB9B22" w14:textId="7D46CF41" w:rsidR="008C2954" w:rsidRPr="001A45DF" w:rsidRDefault="008C2954" w:rsidP="008C2954">
      <w:pPr>
        <w:pStyle w:val="Heading1"/>
        <w:keepNext/>
        <w:numPr>
          <w:ilvl w:val="0"/>
          <w:numId w:val="50"/>
        </w:numPr>
        <w:tabs>
          <w:tab w:val="clear" w:pos="720"/>
        </w:tabs>
        <w:overflowPunct w:val="0"/>
        <w:autoSpaceDE w:val="0"/>
        <w:autoSpaceDN w:val="0"/>
        <w:spacing w:before="240" w:after="120"/>
        <w:textAlignment w:val="baseline"/>
        <w:rPr>
          <w:sz w:val="32"/>
          <w:szCs w:val="32"/>
        </w:rPr>
      </w:pPr>
      <w:bookmarkStart w:id="13" w:name="_Toc64469444"/>
      <w:r w:rsidRPr="001A45DF">
        <w:rPr>
          <w:sz w:val="32"/>
          <w:szCs w:val="32"/>
        </w:rPr>
        <w:t>SCOPE OF REQUIREMENT</w:t>
      </w:r>
      <w:bookmarkEnd w:id="10"/>
      <w:bookmarkEnd w:id="11"/>
      <w:bookmarkEnd w:id="13"/>
      <w:r w:rsidRPr="001A45DF">
        <w:rPr>
          <w:sz w:val="32"/>
          <w:szCs w:val="32"/>
        </w:rPr>
        <w:t xml:space="preserve"> </w:t>
      </w:r>
    </w:p>
    <w:p w14:paraId="5E7B3E31" w14:textId="77777777" w:rsidR="008C2954" w:rsidRDefault="008C2954" w:rsidP="008C2954">
      <w:pPr>
        <w:pStyle w:val="Heading2"/>
        <w:numPr>
          <w:ilvl w:val="1"/>
          <w:numId w:val="50"/>
        </w:numPr>
        <w:tabs>
          <w:tab w:val="clear" w:pos="720"/>
          <w:tab w:val="num" w:pos="862"/>
        </w:tabs>
        <w:overflowPunct w:val="0"/>
        <w:autoSpaceDE w:val="0"/>
        <w:autoSpaceDN w:val="0"/>
        <w:spacing w:after="120"/>
        <w:ind w:left="709" w:hanging="709"/>
        <w:textAlignment w:val="baseline"/>
        <w:rPr>
          <w:sz w:val="24"/>
          <w:szCs w:val="24"/>
        </w:rPr>
      </w:pPr>
      <w:bookmarkStart w:id="14" w:name="_Toc368573031"/>
      <w:bookmarkEnd w:id="7"/>
      <w:r w:rsidRPr="60A8C531">
        <w:rPr>
          <w:sz w:val="24"/>
          <w:szCs w:val="24"/>
        </w:rPr>
        <w:t xml:space="preserve">Under this Contract, the Supplier will be required to provide legal support in relation to the design and implementation of the Scheme. </w:t>
      </w:r>
    </w:p>
    <w:p w14:paraId="390DCBA5" w14:textId="77777777" w:rsidR="008C2954" w:rsidRDefault="008C2954" w:rsidP="008C2954">
      <w:pPr>
        <w:pStyle w:val="Heading2"/>
        <w:numPr>
          <w:ilvl w:val="1"/>
          <w:numId w:val="50"/>
        </w:numPr>
        <w:tabs>
          <w:tab w:val="clear" w:pos="720"/>
          <w:tab w:val="num" w:pos="862"/>
        </w:tabs>
        <w:overflowPunct w:val="0"/>
        <w:autoSpaceDE w:val="0"/>
        <w:autoSpaceDN w:val="0"/>
        <w:spacing w:after="120"/>
        <w:ind w:left="709" w:hanging="709"/>
        <w:textAlignment w:val="baseline"/>
        <w:rPr>
          <w:sz w:val="24"/>
          <w:szCs w:val="24"/>
        </w:rPr>
      </w:pPr>
      <w:r w:rsidRPr="60A8C531">
        <w:rPr>
          <w:sz w:val="24"/>
          <w:szCs w:val="24"/>
        </w:rPr>
        <w:t>The Supplier will be required, in Phase 1, to advise initially on the options for the scope and establishment of the Scheme.</w:t>
      </w:r>
    </w:p>
    <w:p w14:paraId="614A5DB8" w14:textId="49B46BD3" w:rsidR="008C2954" w:rsidRDefault="008C2954" w:rsidP="008C2954">
      <w:pPr>
        <w:pStyle w:val="Heading2"/>
        <w:numPr>
          <w:ilvl w:val="1"/>
          <w:numId w:val="50"/>
        </w:numPr>
        <w:tabs>
          <w:tab w:val="clear" w:pos="720"/>
          <w:tab w:val="num" w:pos="862"/>
        </w:tabs>
        <w:overflowPunct w:val="0"/>
        <w:autoSpaceDE w:val="0"/>
        <w:autoSpaceDN w:val="0"/>
        <w:spacing w:after="120"/>
        <w:ind w:left="709" w:hanging="709"/>
        <w:textAlignment w:val="baseline"/>
        <w:rPr>
          <w:sz w:val="24"/>
          <w:szCs w:val="24"/>
        </w:rPr>
      </w:pPr>
      <w:r w:rsidRPr="60A8C531">
        <w:rPr>
          <w:sz w:val="24"/>
          <w:szCs w:val="24"/>
        </w:rPr>
        <w:t xml:space="preserve">The scope of Phase 2 of the work will be to draft the rules of the Scheme, as well as providing the </w:t>
      </w:r>
      <w:r w:rsidR="0058568F">
        <w:rPr>
          <w:sz w:val="24"/>
          <w:szCs w:val="24"/>
        </w:rPr>
        <w:t>Customer</w:t>
      </w:r>
      <w:r w:rsidRPr="60A8C531">
        <w:rPr>
          <w:sz w:val="24"/>
          <w:szCs w:val="24"/>
        </w:rPr>
        <w:t xml:space="preserve"> with ongoing support during the establishment of the Scheme. Phase 3 will cover any further work and / or advice that will be required as the Scheme is being administered. The Supplier will work closely with the </w:t>
      </w:r>
      <w:r w:rsidR="0058568F">
        <w:rPr>
          <w:sz w:val="24"/>
          <w:szCs w:val="24"/>
        </w:rPr>
        <w:t>Customer</w:t>
      </w:r>
      <w:r w:rsidRPr="60A8C531">
        <w:rPr>
          <w:sz w:val="24"/>
          <w:szCs w:val="24"/>
        </w:rPr>
        <w:t xml:space="preserve">, who will be responsible for developing the intended policy outcomes of the Scheme. </w:t>
      </w:r>
    </w:p>
    <w:p w14:paraId="7CFA4171" w14:textId="77777777" w:rsidR="008C2954" w:rsidRDefault="008C2954" w:rsidP="008C2954">
      <w:pPr>
        <w:pStyle w:val="Heading2"/>
        <w:numPr>
          <w:ilvl w:val="1"/>
          <w:numId w:val="50"/>
        </w:numPr>
        <w:tabs>
          <w:tab w:val="clear" w:pos="720"/>
          <w:tab w:val="num" w:pos="862"/>
        </w:tabs>
        <w:overflowPunct w:val="0"/>
        <w:autoSpaceDE w:val="0"/>
        <w:autoSpaceDN w:val="0"/>
        <w:spacing w:after="120"/>
        <w:ind w:left="709" w:hanging="709"/>
        <w:textAlignment w:val="baseline"/>
        <w:rPr>
          <w:sz w:val="24"/>
          <w:szCs w:val="24"/>
        </w:rPr>
      </w:pPr>
      <w:r w:rsidRPr="60A8C531">
        <w:rPr>
          <w:sz w:val="24"/>
          <w:szCs w:val="24"/>
        </w:rPr>
        <w:t xml:space="preserve">The rules should be fair, transparent and simple, as bondholders who have suffered loss are predominantly retail investors and may not be legally represented. Bondholders should be able to assess their own eligibility without the need to have recourse to further legal or claims management representation. </w:t>
      </w:r>
    </w:p>
    <w:p w14:paraId="27AD97F2" w14:textId="737C625C" w:rsidR="008C2954" w:rsidRPr="00EF6AD2" w:rsidRDefault="008C2954" w:rsidP="008C2954">
      <w:pPr>
        <w:pStyle w:val="Heading2"/>
        <w:numPr>
          <w:ilvl w:val="1"/>
          <w:numId w:val="50"/>
        </w:numPr>
        <w:tabs>
          <w:tab w:val="clear" w:pos="720"/>
          <w:tab w:val="num" w:pos="862"/>
        </w:tabs>
        <w:overflowPunct w:val="0"/>
        <w:autoSpaceDE w:val="0"/>
        <w:autoSpaceDN w:val="0"/>
        <w:spacing w:after="120"/>
        <w:ind w:left="709" w:hanging="709"/>
        <w:textAlignment w:val="baseline"/>
        <w:rPr>
          <w:sz w:val="24"/>
          <w:szCs w:val="24"/>
        </w:rPr>
      </w:pPr>
      <w:r w:rsidRPr="1C57B555">
        <w:rPr>
          <w:sz w:val="24"/>
          <w:szCs w:val="24"/>
        </w:rPr>
        <w:lastRenderedPageBreak/>
        <w:t xml:space="preserve">The </w:t>
      </w:r>
      <w:r w:rsidR="00C97AB0">
        <w:rPr>
          <w:sz w:val="24"/>
          <w:szCs w:val="24"/>
        </w:rPr>
        <w:t>Customer</w:t>
      </w:r>
      <w:r w:rsidR="00C97AB0" w:rsidRPr="1C57B555">
        <w:rPr>
          <w:sz w:val="24"/>
          <w:szCs w:val="24"/>
        </w:rPr>
        <w:t xml:space="preserve"> </w:t>
      </w:r>
      <w:r w:rsidRPr="1C57B555">
        <w:rPr>
          <w:sz w:val="24"/>
          <w:szCs w:val="24"/>
        </w:rPr>
        <w:t>considers that that the Supplier will need to have specific expertise in the following areas: commercial, financial services and public law, including public law litigation.</w:t>
      </w:r>
    </w:p>
    <w:p w14:paraId="49AAD72F" w14:textId="3F70EDCC" w:rsidR="008C2954" w:rsidRPr="001A45DF" w:rsidRDefault="008C2954" w:rsidP="008C2954">
      <w:pPr>
        <w:pStyle w:val="Heading1"/>
        <w:keepNext/>
        <w:numPr>
          <w:ilvl w:val="0"/>
          <w:numId w:val="50"/>
        </w:numPr>
        <w:spacing w:after="120"/>
        <w:rPr>
          <w:sz w:val="32"/>
          <w:szCs w:val="32"/>
        </w:rPr>
      </w:pPr>
      <w:bookmarkStart w:id="15" w:name="_Toc64469445"/>
      <w:r w:rsidRPr="001A45DF">
        <w:rPr>
          <w:sz w:val="32"/>
          <w:szCs w:val="32"/>
        </w:rPr>
        <w:t>THE REQUIREMENT</w:t>
      </w:r>
      <w:bookmarkEnd w:id="14"/>
      <w:bookmarkEnd w:id="15"/>
    </w:p>
    <w:p w14:paraId="3A0E0FB9" w14:textId="769C455B" w:rsidR="008C2954" w:rsidRDefault="008C2954" w:rsidP="008C2954">
      <w:pPr>
        <w:pStyle w:val="Heading2"/>
        <w:numPr>
          <w:ilvl w:val="1"/>
          <w:numId w:val="50"/>
        </w:numPr>
        <w:tabs>
          <w:tab w:val="clear" w:pos="720"/>
          <w:tab w:val="num" w:pos="862"/>
        </w:tabs>
        <w:overflowPunct w:val="0"/>
        <w:autoSpaceDE w:val="0"/>
        <w:autoSpaceDN w:val="0"/>
        <w:spacing w:after="120"/>
        <w:ind w:left="709" w:hanging="709"/>
        <w:textAlignment w:val="baseline"/>
        <w:rPr>
          <w:sz w:val="24"/>
          <w:szCs w:val="24"/>
        </w:rPr>
      </w:pPr>
      <w:bookmarkStart w:id="16" w:name="_Toc368573032"/>
      <w:r w:rsidRPr="60A8C531">
        <w:rPr>
          <w:sz w:val="24"/>
          <w:szCs w:val="24"/>
        </w:rPr>
        <w:t xml:space="preserve">The </w:t>
      </w:r>
      <w:r w:rsidR="0058568F">
        <w:rPr>
          <w:sz w:val="24"/>
          <w:szCs w:val="24"/>
        </w:rPr>
        <w:t>Customer</w:t>
      </w:r>
      <w:r w:rsidRPr="60A8C531">
        <w:rPr>
          <w:sz w:val="24"/>
          <w:szCs w:val="24"/>
        </w:rPr>
        <w:t xml:space="preserve"> requires the following deliverables to be undertaken under the Contract:</w:t>
      </w:r>
    </w:p>
    <w:p w14:paraId="487E0A64" w14:textId="77777777" w:rsidR="008C2954" w:rsidRDefault="008C2954" w:rsidP="008C2954">
      <w:pPr>
        <w:pStyle w:val="Heading3"/>
        <w:numPr>
          <w:ilvl w:val="2"/>
          <w:numId w:val="50"/>
        </w:numPr>
        <w:rPr>
          <w:sz w:val="24"/>
          <w:szCs w:val="24"/>
        </w:rPr>
      </w:pPr>
      <w:r w:rsidRPr="60A8C531">
        <w:rPr>
          <w:sz w:val="24"/>
          <w:szCs w:val="24"/>
        </w:rPr>
        <w:t xml:space="preserve">Phase 1: </w:t>
      </w:r>
      <w:r>
        <w:rPr>
          <w:sz w:val="24"/>
          <w:szCs w:val="24"/>
        </w:rPr>
        <w:t xml:space="preserve">legal </w:t>
      </w:r>
      <w:r w:rsidRPr="60A8C531">
        <w:rPr>
          <w:sz w:val="24"/>
          <w:szCs w:val="24"/>
        </w:rPr>
        <w:t>advice on the options available for the creation of the Scheme, with a focus on options which deliver the policy objectives set out in the Annex</w:t>
      </w:r>
      <w:r>
        <w:rPr>
          <w:sz w:val="24"/>
          <w:szCs w:val="24"/>
        </w:rPr>
        <w:t xml:space="preserve"> at section 19</w:t>
      </w:r>
      <w:r w:rsidRPr="60A8C531">
        <w:rPr>
          <w:sz w:val="24"/>
          <w:szCs w:val="24"/>
        </w:rPr>
        <w:t>, and on the necessary implementation steps required to set the Scheme up.</w:t>
      </w:r>
      <w:r>
        <w:rPr>
          <w:sz w:val="24"/>
          <w:szCs w:val="24"/>
        </w:rPr>
        <w:t xml:space="preserve"> This could include, but is not limited to:</w:t>
      </w:r>
    </w:p>
    <w:p w14:paraId="26618488" w14:textId="77777777" w:rsidR="008C2954" w:rsidRPr="00B83610" w:rsidRDefault="008C2954" w:rsidP="008C2954">
      <w:pPr>
        <w:pStyle w:val="Heading4"/>
        <w:numPr>
          <w:ilvl w:val="3"/>
          <w:numId w:val="50"/>
        </w:numPr>
        <w:rPr>
          <w:sz w:val="24"/>
          <w:szCs w:val="24"/>
        </w:rPr>
      </w:pPr>
      <w:r w:rsidRPr="00B83610">
        <w:rPr>
          <w:sz w:val="24"/>
          <w:szCs w:val="24"/>
        </w:rPr>
        <w:t xml:space="preserve">Reviewing policy proposals for the Scheme and providing legal advice on the solutions for their implementation, including where more than one option for implementation advice is available, risk-based advice for each; </w:t>
      </w:r>
    </w:p>
    <w:p w14:paraId="062625F5" w14:textId="77777777" w:rsidR="008C2954" w:rsidRPr="00B83610" w:rsidRDefault="008C2954" w:rsidP="008C2954">
      <w:pPr>
        <w:pStyle w:val="Heading4"/>
        <w:numPr>
          <w:ilvl w:val="3"/>
          <w:numId w:val="50"/>
        </w:numPr>
        <w:spacing w:line="259" w:lineRule="auto"/>
        <w:rPr>
          <w:sz w:val="24"/>
          <w:szCs w:val="24"/>
        </w:rPr>
      </w:pPr>
      <w:r w:rsidRPr="00B83610">
        <w:rPr>
          <w:sz w:val="24"/>
          <w:szCs w:val="24"/>
        </w:rPr>
        <w:t xml:space="preserve">Reviewing associated legislation or regulatory rules of relevance to the Scheme and providing accurate summaries of any legal issues that may arise;  </w:t>
      </w:r>
    </w:p>
    <w:p w14:paraId="008AE599" w14:textId="77777777" w:rsidR="008C2954" w:rsidRPr="00B83610" w:rsidRDefault="008C2954" w:rsidP="008C2954">
      <w:pPr>
        <w:pStyle w:val="Heading4"/>
        <w:numPr>
          <w:ilvl w:val="3"/>
          <w:numId w:val="50"/>
        </w:numPr>
        <w:spacing w:line="259" w:lineRule="auto"/>
        <w:rPr>
          <w:sz w:val="24"/>
          <w:szCs w:val="24"/>
        </w:rPr>
      </w:pPr>
      <w:r w:rsidRPr="00B83610">
        <w:rPr>
          <w:sz w:val="24"/>
          <w:szCs w:val="24"/>
        </w:rPr>
        <w:t>Drafting any necessary documents to put in place any contractual arrangement between the Supplier and the Supplier’s chosen administrator of the Scheme; and</w:t>
      </w:r>
    </w:p>
    <w:p w14:paraId="6B96DDE5" w14:textId="77777777" w:rsidR="008C2954" w:rsidRPr="00B83610" w:rsidRDefault="008C2954" w:rsidP="008C2954">
      <w:pPr>
        <w:pStyle w:val="Heading4"/>
        <w:numPr>
          <w:ilvl w:val="3"/>
          <w:numId w:val="50"/>
        </w:numPr>
        <w:rPr>
          <w:sz w:val="24"/>
          <w:szCs w:val="24"/>
        </w:rPr>
      </w:pPr>
      <w:r w:rsidRPr="00B83610">
        <w:rPr>
          <w:sz w:val="24"/>
          <w:szCs w:val="24"/>
        </w:rPr>
        <w:t xml:space="preserve">Undertaking </w:t>
      </w:r>
      <w:r w:rsidRPr="00B83610">
        <w:rPr>
          <w:iCs/>
          <w:sz w:val="24"/>
          <w:szCs w:val="24"/>
        </w:rPr>
        <w:t>ad hoc</w:t>
      </w:r>
      <w:r w:rsidRPr="00B83610">
        <w:rPr>
          <w:sz w:val="24"/>
          <w:szCs w:val="24"/>
        </w:rPr>
        <w:t xml:space="preserve">, but in depth, legal research supported by concise, readily digestible summaries and advice in a form determined by the Supplier. </w:t>
      </w:r>
    </w:p>
    <w:p w14:paraId="15CB86B1" w14:textId="57DC2D1B" w:rsidR="008C2954" w:rsidRDefault="008C2954" w:rsidP="008C2954">
      <w:pPr>
        <w:pStyle w:val="Heading3"/>
        <w:numPr>
          <w:ilvl w:val="2"/>
          <w:numId w:val="50"/>
        </w:numPr>
        <w:rPr>
          <w:sz w:val="24"/>
          <w:szCs w:val="24"/>
        </w:rPr>
      </w:pPr>
      <w:r w:rsidRPr="60A8C531">
        <w:rPr>
          <w:sz w:val="24"/>
          <w:szCs w:val="24"/>
        </w:rPr>
        <w:t xml:space="preserve">Phase 2: </w:t>
      </w:r>
      <w:r>
        <w:rPr>
          <w:sz w:val="24"/>
          <w:szCs w:val="24"/>
        </w:rPr>
        <w:t xml:space="preserve">legal support in </w:t>
      </w:r>
      <w:r w:rsidRPr="60A8C531">
        <w:rPr>
          <w:sz w:val="24"/>
          <w:szCs w:val="24"/>
        </w:rPr>
        <w:t xml:space="preserve">drafting the rules of the Scheme and the agreement between the </w:t>
      </w:r>
      <w:r w:rsidR="0058568F">
        <w:rPr>
          <w:sz w:val="24"/>
          <w:szCs w:val="24"/>
        </w:rPr>
        <w:t>Customer</w:t>
      </w:r>
      <w:r w:rsidRPr="60A8C531">
        <w:rPr>
          <w:sz w:val="24"/>
          <w:szCs w:val="24"/>
        </w:rPr>
        <w:t xml:space="preserve"> and the scheme administrator (if separate from the Scheme rules). </w:t>
      </w:r>
      <w:r>
        <w:rPr>
          <w:sz w:val="24"/>
          <w:szCs w:val="24"/>
        </w:rPr>
        <w:t xml:space="preserve">The </w:t>
      </w:r>
      <w:r w:rsidR="0058568F">
        <w:rPr>
          <w:sz w:val="24"/>
          <w:szCs w:val="24"/>
        </w:rPr>
        <w:t>Customer</w:t>
      </w:r>
      <w:r>
        <w:rPr>
          <w:sz w:val="24"/>
          <w:szCs w:val="24"/>
        </w:rPr>
        <w:t xml:space="preserve"> is at an early stage of policy development for the Scheme currently and the requirements will become clearer as phase 1 progresses. The Scheme should be consistent with the </w:t>
      </w:r>
      <w:r w:rsidR="0058568F">
        <w:rPr>
          <w:sz w:val="24"/>
          <w:szCs w:val="24"/>
        </w:rPr>
        <w:t>Customer</w:t>
      </w:r>
      <w:r>
        <w:rPr>
          <w:sz w:val="24"/>
          <w:szCs w:val="24"/>
        </w:rPr>
        <w:t xml:space="preserve">’s agreed policy aims. </w:t>
      </w:r>
    </w:p>
    <w:p w14:paraId="3BFAF3EA" w14:textId="77777777" w:rsidR="008C2954" w:rsidRDefault="008C2954" w:rsidP="008C2954">
      <w:pPr>
        <w:pStyle w:val="Heading3"/>
        <w:numPr>
          <w:ilvl w:val="2"/>
          <w:numId w:val="50"/>
        </w:numPr>
        <w:rPr>
          <w:sz w:val="24"/>
          <w:szCs w:val="24"/>
        </w:rPr>
      </w:pPr>
      <w:r w:rsidRPr="60A8C531">
        <w:rPr>
          <w:sz w:val="24"/>
          <w:szCs w:val="24"/>
        </w:rPr>
        <w:t>Phase 3: ongoing work following the establishment of the Scheme which could include, but is not limited to</w:t>
      </w:r>
      <w:r>
        <w:rPr>
          <w:sz w:val="24"/>
          <w:szCs w:val="24"/>
        </w:rPr>
        <w:t>:</w:t>
      </w:r>
    </w:p>
    <w:p w14:paraId="256C3A04" w14:textId="77777777" w:rsidR="008C2954" w:rsidRPr="00B83610" w:rsidRDefault="008C2954" w:rsidP="008C2954">
      <w:pPr>
        <w:pStyle w:val="Heading4"/>
        <w:numPr>
          <w:ilvl w:val="3"/>
          <w:numId w:val="50"/>
        </w:numPr>
        <w:rPr>
          <w:sz w:val="24"/>
          <w:szCs w:val="24"/>
        </w:rPr>
      </w:pPr>
      <w:r w:rsidRPr="00B83610">
        <w:rPr>
          <w:sz w:val="24"/>
          <w:szCs w:val="24"/>
        </w:rPr>
        <w:t>Legal support on the implementation and administration of the Scheme;</w:t>
      </w:r>
    </w:p>
    <w:p w14:paraId="43FA7568" w14:textId="77777777" w:rsidR="008C2954" w:rsidRPr="00B83610" w:rsidRDefault="008C2954" w:rsidP="008C2954">
      <w:pPr>
        <w:pStyle w:val="Heading4"/>
        <w:numPr>
          <w:ilvl w:val="3"/>
          <w:numId w:val="50"/>
        </w:numPr>
        <w:rPr>
          <w:sz w:val="24"/>
          <w:szCs w:val="24"/>
        </w:rPr>
      </w:pPr>
      <w:r w:rsidRPr="00B83610">
        <w:rPr>
          <w:sz w:val="24"/>
          <w:szCs w:val="24"/>
        </w:rPr>
        <w:t xml:space="preserve">Legal support to respond to any potential legal challenges. </w:t>
      </w:r>
    </w:p>
    <w:p w14:paraId="7A76FB55" w14:textId="1FCE5BE5" w:rsidR="008C2954" w:rsidRDefault="008C2954" w:rsidP="008C2954">
      <w:pPr>
        <w:pStyle w:val="Heading2"/>
        <w:numPr>
          <w:ilvl w:val="1"/>
          <w:numId w:val="50"/>
        </w:numPr>
        <w:rPr>
          <w:sz w:val="24"/>
          <w:szCs w:val="24"/>
        </w:rPr>
      </w:pPr>
      <w:r w:rsidRPr="00B83610">
        <w:rPr>
          <w:sz w:val="24"/>
          <w:szCs w:val="24"/>
        </w:rPr>
        <w:t xml:space="preserve">The </w:t>
      </w:r>
      <w:r>
        <w:rPr>
          <w:sz w:val="24"/>
          <w:szCs w:val="24"/>
        </w:rPr>
        <w:t>S</w:t>
      </w:r>
      <w:r w:rsidRPr="00B83610">
        <w:rPr>
          <w:sz w:val="24"/>
          <w:szCs w:val="24"/>
        </w:rPr>
        <w:t xml:space="preserve">upplier </w:t>
      </w:r>
      <w:r>
        <w:rPr>
          <w:sz w:val="24"/>
          <w:szCs w:val="24"/>
        </w:rPr>
        <w:t>sha</w:t>
      </w:r>
      <w:r w:rsidRPr="00B83610">
        <w:rPr>
          <w:sz w:val="24"/>
          <w:szCs w:val="24"/>
        </w:rPr>
        <w:t xml:space="preserve">ll be responsible for drafting the rules of the Scheme. The </w:t>
      </w:r>
      <w:r w:rsidR="0058568F">
        <w:rPr>
          <w:sz w:val="24"/>
          <w:szCs w:val="24"/>
        </w:rPr>
        <w:t>Customer</w:t>
      </w:r>
      <w:r w:rsidRPr="00B83610">
        <w:rPr>
          <w:sz w:val="24"/>
          <w:szCs w:val="24"/>
        </w:rPr>
        <w:t xml:space="preserve"> will provide instructions detailing the work required and will provide regular input via weekly meetings. </w:t>
      </w:r>
    </w:p>
    <w:p w14:paraId="4194E2F1" w14:textId="32CD5CFB" w:rsidR="008C2954" w:rsidRPr="00B83610" w:rsidRDefault="008C2954" w:rsidP="008C2954">
      <w:pPr>
        <w:pStyle w:val="Heading2"/>
        <w:numPr>
          <w:ilvl w:val="1"/>
          <w:numId w:val="50"/>
        </w:numPr>
        <w:rPr>
          <w:sz w:val="24"/>
          <w:szCs w:val="24"/>
        </w:rPr>
      </w:pPr>
      <w:r w:rsidRPr="00B83610">
        <w:rPr>
          <w:sz w:val="24"/>
          <w:szCs w:val="24"/>
        </w:rPr>
        <w:lastRenderedPageBreak/>
        <w:t xml:space="preserve">The </w:t>
      </w:r>
      <w:r w:rsidR="0058568F">
        <w:rPr>
          <w:sz w:val="24"/>
          <w:szCs w:val="24"/>
        </w:rPr>
        <w:t>Customer</w:t>
      </w:r>
      <w:r w:rsidRPr="00B83610">
        <w:rPr>
          <w:sz w:val="24"/>
          <w:szCs w:val="24"/>
        </w:rPr>
        <w:t xml:space="preserve"> or TLA will provide access to relevant information and staff members to provide guidance and answer questions. Where the </w:t>
      </w:r>
      <w:r w:rsidR="0058568F">
        <w:rPr>
          <w:sz w:val="24"/>
          <w:szCs w:val="24"/>
        </w:rPr>
        <w:t>Customer</w:t>
      </w:r>
      <w:r w:rsidRPr="00B83610">
        <w:rPr>
          <w:sz w:val="24"/>
          <w:szCs w:val="24"/>
        </w:rPr>
        <w:t xml:space="preserve"> or TLA has undertaken previous analysis that relates to the questions posed, this analysis will be made available to the Supplier in the most convenient manner (including oral means to supplement any written analysis). Where such analysis is available – and subject to any exceptions stated in the instructions – the </w:t>
      </w:r>
      <w:r w:rsidR="0058568F">
        <w:rPr>
          <w:sz w:val="24"/>
          <w:szCs w:val="24"/>
        </w:rPr>
        <w:t>Customer</w:t>
      </w:r>
      <w:r w:rsidRPr="00B83610">
        <w:rPr>
          <w:sz w:val="24"/>
          <w:szCs w:val="24"/>
        </w:rPr>
        <w:t xml:space="preserve"> expects that this analysis will be utilised by the Supplier and that the Supplier will not validate this work independently, but rather will use its expertise to apply the </w:t>
      </w:r>
      <w:r w:rsidR="0058568F">
        <w:rPr>
          <w:sz w:val="24"/>
          <w:szCs w:val="24"/>
        </w:rPr>
        <w:t>Customer</w:t>
      </w:r>
      <w:r w:rsidRPr="00B83610">
        <w:rPr>
          <w:sz w:val="24"/>
          <w:szCs w:val="24"/>
        </w:rPr>
        <w:t>’s conclusions to the matter in hand.</w:t>
      </w:r>
    </w:p>
    <w:p w14:paraId="07D30328" w14:textId="200DF439" w:rsidR="008C2954" w:rsidRPr="001A45DF" w:rsidRDefault="008C2954" w:rsidP="008C2954">
      <w:pPr>
        <w:pStyle w:val="Heading1"/>
        <w:keepNext/>
        <w:numPr>
          <w:ilvl w:val="0"/>
          <w:numId w:val="50"/>
        </w:numPr>
        <w:spacing w:after="120"/>
        <w:rPr>
          <w:sz w:val="32"/>
          <w:szCs w:val="32"/>
        </w:rPr>
      </w:pPr>
      <w:bookmarkStart w:id="17" w:name="_Toc64469446"/>
      <w:r w:rsidRPr="001A45DF">
        <w:rPr>
          <w:sz w:val="32"/>
          <w:szCs w:val="32"/>
        </w:rPr>
        <w:t>KEY MILESTONES</w:t>
      </w:r>
      <w:bookmarkEnd w:id="16"/>
      <w:r w:rsidRPr="001A45DF">
        <w:rPr>
          <w:sz w:val="32"/>
          <w:szCs w:val="32"/>
        </w:rPr>
        <w:t xml:space="preserve"> AND DELIVERABLES</w:t>
      </w:r>
      <w:bookmarkEnd w:id="17"/>
    </w:p>
    <w:p w14:paraId="452CD392" w14:textId="77777777" w:rsidR="008C2954" w:rsidRPr="001A45DF" w:rsidRDefault="008C2954" w:rsidP="008C2954">
      <w:pPr>
        <w:pStyle w:val="Heading2"/>
        <w:numPr>
          <w:ilvl w:val="1"/>
          <w:numId w:val="50"/>
        </w:numPr>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 milestones/deliverables shall apply:</w:t>
      </w:r>
    </w:p>
    <w:tbl>
      <w:tblPr>
        <w:tblStyle w:val="TableGrid"/>
        <w:tblW w:w="5000" w:type="pct"/>
        <w:tblLook w:val="04A0" w:firstRow="1" w:lastRow="0" w:firstColumn="1" w:lastColumn="0" w:noHBand="0" w:noVBand="1"/>
      </w:tblPr>
      <w:tblGrid>
        <w:gridCol w:w="2671"/>
        <w:gridCol w:w="3947"/>
        <w:gridCol w:w="2401"/>
      </w:tblGrid>
      <w:tr w:rsidR="008C2954" w:rsidRPr="001A45DF" w14:paraId="169AD670" w14:textId="77777777" w:rsidTr="0069672E">
        <w:tc>
          <w:tcPr>
            <w:tcW w:w="1481" w:type="pct"/>
            <w:shd w:val="clear" w:color="auto" w:fill="B8CCE4" w:themeFill="accent1" w:themeFillTint="66"/>
            <w:vAlign w:val="center"/>
          </w:tcPr>
          <w:p w14:paraId="63BD7129" w14:textId="77777777" w:rsidR="008C2954" w:rsidRPr="002C0A45" w:rsidRDefault="008C2954" w:rsidP="0069672E">
            <w:pPr>
              <w:pStyle w:val="Heading3"/>
              <w:numPr>
                <w:ilvl w:val="0"/>
                <w:numId w:val="0"/>
              </w:numPr>
              <w:spacing w:after="120"/>
              <w:jc w:val="center"/>
              <w:outlineLvl w:val="2"/>
              <w:rPr>
                <w:b/>
                <w:sz w:val="24"/>
                <w:szCs w:val="24"/>
              </w:rPr>
            </w:pPr>
            <w:r w:rsidRPr="002C0A45">
              <w:rPr>
                <w:b/>
                <w:sz w:val="24"/>
                <w:szCs w:val="24"/>
              </w:rPr>
              <w:t>Milestone/Deliverable</w:t>
            </w:r>
          </w:p>
        </w:tc>
        <w:tc>
          <w:tcPr>
            <w:tcW w:w="2188" w:type="pct"/>
            <w:shd w:val="clear" w:color="auto" w:fill="B8CCE4" w:themeFill="accent1" w:themeFillTint="66"/>
            <w:vAlign w:val="center"/>
          </w:tcPr>
          <w:p w14:paraId="75AB2C06" w14:textId="77777777" w:rsidR="008C2954" w:rsidRPr="002C0A45" w:rsidRDefault="008C2954" w:rsidP="0069672E">
            <w:pPr>
              <w:pStyle w:val="Heading3"/>
              <w:numPr>
                <w:ilvl w:val="0"/>
                <w:numId w:val="0"/>
              </w:numPr>
              <w:spacing w:after="120"/>
              <w:jc w:val="center"/>
              <w:outlineLvl w:val="2"/>
              <w:rPr>
                <w:b/>
                <w:sz w:val="24"/>
                <w:szCs w:val="24"/>
              </w:rPr>
            </w:pPr>
            <w:r w:rsidRPr="002C0A45">
              <w:rPr>
                <w:b/>
                <w:sz w:val="24"/>
                <w:szCs w:val="24"/>
              </w:rPr>
              <w:t>Description</w:t>
            </w:r>
          </w:p>
        </w:tc>
        <w:tc>
          <w:tcPr>
            <w:tcW w:w="1331" w:type="pct"/>
            <w:shd w:val="clear" w:color="auto" w:fill="B8CCE4" w:themeFill="accent1" w:themeFillTint="66"/>
            <w:vAlign w:val="center"/>
          </w:tcPr>
          <w:p w14:paraId="42C4E53B" w14:textId="77777777" w:rsidR="008C2954" w:rsidRPr="002C0A45" w:rsidRDefault="008C2954" w:rsidP="0069672E">
            <w:pPr>
              <w:pStyle w:val="Heading3"/>
              <w:numPr>
                <w:ilvl w:val="0"/>
                <w:numId w:val="0"/>
              </w:numPr>
              <w:spacing w:after="120"/>
              <w:jc w:val="center"/>
              <w:outlineLvl w:val="2"/>
              <w:rPr>
                <w:b/>
                <w:sz w:val="24"/>
                <w:szCs w:val="24"/>
              </w:rPr>
            </w:pPr>
            <w:r w:rsidRPr="002C0A45">
              <w:rPr>
                <w:b/>
                <w:sz w:val="24"/>
                <w:szCs w:val="24"/>
              </w:rPr>
              <w:t>Timeframe or Delivery Date</w:t>
            </w:r>
          </w:p>
        </w:tc>
      </w:tr>
      <w:tr w:rsidR="008C2954" w:rsidRPr="001A45DF" w14:paraId="4A4C478B" w14:textId="77777777" w:rsidTr="0069672E">
        <w:tc>
          <w:tcPr>
            <w:tcW w:w="1481" w:type="pct"/>
            <w:vAlign w:val="center"/>
          </w:tcPr>
          <w:p w14:paraId="4D213D89" w14:textId="77777777" w:rsidR="008C2954" w:rsidRPr="001A45DF" w:rsidRDefault="008C2954" w:rsidP="0069672E">
            <w:pPr>
              <w:pStyle w:val="Heading3"/>
              <w:numPr>
                <w:ilvl w:val="0"/>
                <w:numId w:val="0"/>
              </w:numPr>
              <w:spacing w:after="120"/>
              <w:jc w:val="center"/>
              <w:outlineLvl w:val="2"/>
              <w:rPr>
                <w:sz w:val="24"/>
                <w:szCs w:val="24"/>
                <w:highlight w:val="yellow"/>
              </w:rPr>
            </w:pPr>
            <w:r w:rsidRPr="00E106FF">
              <w:rPr>
                <w:sz w:val="24"/>
                <w:szCs w:val="24"/>
              </w:rPr>
              <w:t>1</w:t>
            </w:r>
          </w:p>
        </w:tc>
        <w:tc>
          <w:tcPr>
            <w:tcW w:w="2188" w:type="pct"/>
            <w:vAlign w:val="center"/>
          </w:tcPr>
          <w:p w14:paraId="0F42891D" w14:textId="77777777" w:rsidR="008C2954" w:rsidRPr="001A45DF" w:rsidRDefault="008C2954" w:rsidP="0069672E">
            <w:pPr>
              <w:pStyle w:val="Heading3"/>
              <w:numPr>
                <w:ilvl w:val="0"/>
                <w:numId w:val="0"/>
              </w:numPr>
              <w:spacing w:after="120"/>
              <w:jc w:val="left"/>
              <w:outlineLvl w:val="2"/>
              <w:rPr>
                <w:sz w:val="24"/>
                <w:szCs w:val="24"/>
                <w:highlight w:val="yellow"/>
              </w:rPr>
            </w:pPr>
            <w:r w:rsidRPr="50D89178">
              <w:rPr>
                <w:sz w:val="24"/>
                <w:szCs w:val="24"/>
              </w:rPr>
              <w:t>Initial report on scoping options available for the establishment of the Scheme</w:t>
            </w:r>
          </w:p>
        </w:tc>
        <w:tc>
          <w:tcPr>
            <w:tcW w:w="1331" w:type="pct"/>
            <w:vAlign w:val="center"/>
          </w:tcPr>
          <w:p w14:paraId="0692D6EF" w14:textId="77777777" w:rsidR="008C2954" w:rsidRPr="001A45DF" w:rsidRDefault="008C2954" w:rsidP="0069672E">
            <w:pPr>
              <w:pStyle w:val="Heading3"/>
              <w:numPr>
                <w:ilvl w:val="0"/>
                <w:numId w:val="0"/>
              </w:numPr>
              <w:spacing w:after="120"/>
              <w:jc w:val="center"/>
              <w:outlineLvl w:val="2"/>
              <w:rPr>
                <w:sz w:val="24"/>
                <w:szCs w:val="24"/>
                <w:highlight w:val="yellow"/>
              </w:rPr>
            </w:pPr>
            <w:r w:rsidRPr="7B121601">
              <w:rPr>
                <w:sz w:val="24"/>
                <w:szCs w:val="24"/>
              </w:rPr>
              <w:t>Within 2 weeks of Contract Award</w:t>
            </w:r>
          </w:p>
        </w:tc>
      </w:tr>
      <w:tr w:rsidR="008C2954" w:rsidRPr="001A45DF" w14:paraId="6F612E42" w14:textId="77777777" w:rsidTr="0069672E">
        <w:tc>
          <w:tcPr>
            <w:tcW w:w="1481" w:type="pct"/>
            <w:vAlign w:val="center"/>
          </w:tcPr>
          <w:p w14:paraId="6B618C97" w14:textId="77777777" w:rsidR="008C2954" w:rsidRPr="001A45DF" w:rsidRDefault="008C2954" w:rsidP="0069672E">
            <w:pPr>
              <w:pStyle w:val="Heading3"/>
              <w:numPr>
                <w:ilvl w:val="0"/>
                <w:numId w:val="0"/>
              </w:numPr>
              <w:spacing w:after="120"/>
              <w:jc w:val="center"/>
              <w:outlineLvl w:val="2"/>
              <w:rPr>
                <w:sz w:val="24"/>
                <w:szCs w:val="24"/>
                <w:highlight w:val="yellow"/>
              </w:rPr>
            </w:pPr>
            <w:r w:rsidRPr="00E106FF">
              <w:rPr>
                <w:sz w:val="24"/>
                <w:szCs w:val="24"/>
              </w:rPr>
              <w:t>2</w:t>
            </w:r>
          </w:p>
        </w:tc>
        <w:tc>
          <w:tcPr>
            <w:tcW w:w="2188" w:type="pct"/>
            <w:vAlign w:val="center"/>
          </w:tcPr>
          <w:p w14:paraId="185B68AE" w14:textId="77777777" w:rsidR="008C2954" w:rsidRPr="001A45DF" w:rsidRDefault="008C2954" w:rsidP="0069672E">
            <w:pPr>
              <w:pStyle w:val="Heading3"/>
              <w:numPr>
                <w:ilvl w:val="0"/>
                <w:numId w:val="0"/>
              </w:numPr>
              <w:spacing w:after="120"/>
              <w:jc w:val="left"/>
              <w:outlineLvl w:val="2"/>
              <w:rPr>
                <w:sz w:val="24"/>
                <w:szCs w:val="24"/>
                <w:highlight w:val="yellow"/>
              </w:rPr>
            </w:pPr>
            <w:r>
              <w:rPr>
                <w:sz w:val="24"/>
                <w:szCs w:val="24"/>
              </w:rPr>
              <w:t>Drafting the rules of the Payment Scheme</w:t>
            </w:r>
          </w:p>
        </w:tc>
        <w:tc>
          <w:tcPr>
            <w:tcW w:w="1331" w:type="pct"/>
            <w:vAlign w:val="center"/>
          </w:tcPr>
          <w:p w14:paraId="05CB9D60" w14:textId="77777777" w:rsidR="008C2954" w:rsidRPr="001A45DF" w:rsidRDefault="008C2954" w:rsidP="0069672E">
            <w:pPr>
              <w:pStyle w:val="Heading3"/>
              <w:numPr>
                <w:ilvl w:val="0"/>
                <w:numId w:val="0"/>
              </w:numPr>
              <w:spacing w:after="120"/>
              <w:jc w:val="center"/>
              <w:outlineLvl w:val="2"/>
              <w:rPr>
                <w:sz w:val="24"/>
                <w:szCs w:val="24"/>
                <w:highlight w:val="yellow"/>
              </w:rPr>
            </w:pPr>
            <w:r w:rsidRPr="51F62916">
              <w:rPr>
                <w:sz w:val="24"/>
                <w:szCs w:val="24"/>
              </w:rPr>
              <w:t xml:space="preserve">Within 10 weeks of Contract Award </w:t>
            </w:r>
          </w:p>
        </w:tc>
      </w:tr>
      <w:tr w:rsidR="008C2954" w:rsidRPr="001A45DF" w14:paraId="3FCCD15E" w14:textId="77777777" w:rsidTr="0069672E">
        <w:tc>
          <w:tcPr>
            <w:tcW w:w="1481" w:type="pct"/>
            <w:vAlign w:val="center"/>
          </w:tcPr>
          <w:p w14:paraId="7E3897A1" w14:textId="77777777" w:rsidR="008C2954" w:rsidRPr="001A45DF" w:rsidRDefault="008C2954" w:rsidP="0069672E">
            <w:pPr>
              <w:pStyle w:val="Heading3"/>
              <w:numPr>
                <w:ilvl w:val="0"/>
                <w:numId w:val="0"/>
              </w:numPr>
              <w:spacing w:after="120"/>
              <w:jc w:val="center"/>
              <w:outlineLvl w:val="2"/>
              <w:rPr>
                <w:sz w:val="24"/>
                <w:szCs w:val="24"/>
                <w:highlight w:val="yellow"/>
              </w:rPr>
            </w:pPr>
            <w:r w:rsidRPr="00E106FF">
              <w:rPr>
                <w:sz w:val="24"/>
                <w:szCs w:val="24"/>
              </w:rPr>
              <w:t>3</w:t>
            </w:r>
          </w:p>
        </w:tc>
        <w:tc>
          <w:tcPr>
            <w:tcW w:w="2188" w:type="pct"/>
            <w:vAlign w:val="center"/>
          </w:tcPr>
          <w:p w14:paraId="5C1DECDA" w14:textId="77777777" w:rsidR="008C2954" w:rsidRPr="001A45DF" w:rsidRDefault="008C2954" w:rsidP="0069672E">
            <w:pPr>
              <w:pStyle w:val="Heading3"/>
              <w:numPr>
                <w:ilvl w:val="0"/>
                <w:numId w:val="0"/>
              </w:numPr>
              <w:spacing w:after="120"/>
              <w:jc w:val="left"/>
              <w:outlineLvl w:val="2"/>
              <w:rPr>
                <w:sz w:val="24"/>
                <w:szCs w:val="24"/>
                <w:highlight w:val="yellow"/>
              </w:rPr>
            </w:pPr>
            <w:r>
              <w:rPr>
                <w:sz w:val="24"/>
                <w:szCs w:val="24"/>
              </w:rPr>
              <w:t>Ongoing work following the establishment and administration of the Payment Scheme</w:t>
            </w:r>
          </w:p>
        </w:tc>
        <w:tc>
          <w:tcPr>
            <w:tcW w:w="1331" w:type="pct"/>
            <w:vAlign w:val="center"/>
          </w:tcPr>
          <w:p w14:paraId="031460A8" w14:textId="77777777" w:rsidR="008C2954" w:rsidRPr="001A45DF" w:rsidRDefault="008C2954" w:rsidP="0069672E">
            <w:pPr>
              <w:pStyle w:val="Heading3"/>
              <w:numPr>
                <w:ilvl w:val="0"/>
                <w:numId w:val="0"/>
              </w:numPr>
              <w:spacing w:after="120"/>
              <w:jc w:val="center"/>
              <w:outlineLvl w:val="2"/>
              <w:rPr>
                <w:sz w:val="24"/>
                <w:szCs w:val="24"/>
                <w:highlight w:val="yellow"/>
              </w:rPr>
            </w:pPr>
            <w:r w:rsidRPr="51F62916">
              <w:rPr>
                <w:sz w:val="24"/>
                <w:szCs w:val="24"/>
              </w:rPr>
              <w:t xml:space="preserve">Within 6 months of Contract Award </w:t>
            </w:r>
          </w:p>
        </w:tc>
      </w:tr>
    </w:tbl>
    <w:p w14:paraId="2F88CFCE" w14:textId="77777777" w:rsidR="008C2954" w:rsidRDefault="008C2954" w:rsidP="008C2954">
      <w:pPr>
        <w:pStyle w:val="Heading1"/>
        <w:numPr>
          <w:ilvl w:val="0"/>
          <w:numId w:val="0"/>
        </w:numPr>
        <w:overflowPunct w:val="0"/>
        <w:autoSpaceDE w:val="0"/>
        <w:autoSpaceDN w:val="0"/>
        <w:spacing w:after="120"/>
        <w:textAlignment w:val="baseline"/>
        <w:rPr>
          <w:rFonts w:cs="Arial"/>
          <w:szCs w:val="22"/>
        </w:rPr>
      </w:pPr>
      <w:bookmarkStart w:id="18" w:name="_Toc302637211"/>
    </w:p>
    <w:p w14:paraId="2E98D559" w14:textId="77777777" w:rsidR="008C2954" w:rsidRPr="001A45DF" w:rsidRDefault="008C2954" w:rsidP="008C2954">
      <w:pPr>
        <w:pStyle w:val="Heading1"/>
        <w:keepNext/>
        <w:numPr>
          <w:ilvl w:val="0"/>
          <w:numId w:val="50"/>
        </w:numPr>
        <w:tabs>
          <w:tab w:val="clear" w:pos="720"/>
          <w:tab w:val="num" w:pos="0"/>
        </w:tabs>
        <w:overflowPunct w:val="0"/>
        <w:autoSpaceDE w:val="0"/>
        <w:autoSpaceDN w:val="0"/>
        <w:spacing w:after="120"/>
        <w:ind w:left="709" w:hanging="709"/>
        <w:textAlignment w:val="baseline"/>
        <w:rPr>
          <w:rFonts w:cs="Arial"/>
          <w:sz w:val="32"/>
          <w:szCs w:val="32"/>
        </w:rPr>
      </w:pPr>
      <w:bookmarkStart w:id="19" w:name="_Toc368573033"/>
      <w:bookmarkStart w:id="20" w:name="_Toc64469447"/>
      <w:r w:rsidRPr="001A45DF">
        <w:rPr>
          <w:rFonts w:cs="Arial"/>
          <w:sz w:val="32"/>
          <w:szCs w:val="32"/>
        </w:rPr>
        <w:t>MANAGEMENT INFORMATION/reporting</w:t>
      </w:r>
      <w:bookmarkEnd w:id="19"/>
      <w:bookmarkEnd w:id="20"/>
    </w:p>
    <w:p w14:paraId="383D840F" w14:textId="77777777" w:rsidR="008C2954" w:rsidRPr="003B4B87" w:rsidRDefault="008C2954" w:rsidP="008C2954">
      <w:pPr>
        <w:pStyle w:val="Heading2"/>
        <w:numPr>
          <w:ilvl w:val="1"/>
          <w:numId w:val="50"/>
        </w:numPr>
        <w:spacing w:after="120"/>
        <w:ind w:left="709" w:hanging="709"/>
        <w:rPr>
          <w:sz w:val="24"/>
          <w:szCs w:val="24"/>
        </w:rPr>
      </w:pPr>
      <w:bookmarkStart w:id="21" w:name="_Toc368573034"/>
      <w:r w:rsidRPr="60A8C531">
        <w:rPr>
          <w:sz w:val="24"/>
          <w:szCs w:val="24"/>
        </w:rPr>
        <w:t xml:space="preserve">The Supplier will provide regular updates and information on progress of project deliverables. These will be worked out and agreed by both parties as the specific work is scoped. </w:t>
      </w:r>
    </w:p>
    <w:p w14:paraId="2B000D4A" w14:textId="78BE93E7" w:rsidR="008C2954" w:rsidRPr="001A45DF" w:rsidRDefault="008C2954" w:rsidP="008C2954">
      <w:pPr>
        <w:pStyle w:val="Heading1"/>
        <w:keepNext/>
        <w:numPr>
          <w:ilvl w:val="0"/>
          <w:numId w:val="50"/>
        </w:numPr>
        <w:tabs>
          <w:tab w:val="clear" w:pos="720"/>
          <w:tab w:val="num" w:pos="0"/>
        </w:tabs>
        <w:overflowPunct w:val="0"/>
        <w:autoSpaceDE w:val="0"/>
        <w:autoSpaceDN w:val="0"/>
        <w:spacing w:after="120"/>
        <w:ind w:left="709" w:hanging="709"/>
        <w:textAlignment w:val="baseline"/>
        <w:rPr>
          <w:rFonts w:cs="Arial"/>
          <w:sz w:val="32"/>
          <w:szCs w:val="32"/>
        </w:rPr>
      </w:pPr>
      <w:bookmarkStart w:id="22" w:name="_Toc64469448"/>
      <w:r w:rsidRPr="001A45DF">
        <w:rPr>
          <w:rFonts w:cs="Arial"/>
          <w:sz w:val="32"/>
          <w:szCs w:val="32"/>
        </w:rPr>
        <w:t>VOLUMES</w:t>
      </w:r>
      <w:bookmarkEnd w:id="21"/>
      <w:bookmarkEnd w:id="22"/>
    </w:p>
    <w:p w14:paraId="3C0AA18E" w14:textId="77777777" w:rsidR="008C2954" w:rsidRDefault="008C2954" w:rsidP="008C2954">
      <w:pPr>
        <w:pStyle w:val="Heading2"/>
        <w:numPr>
          <w:ilvl w:val="1"/>
          <w:numId w:val="51"/>
        </w:numPr>
        <w:rPr>
          <w:rFonts w:cs="Arial"/>
          <w:sz w:val="24"/>
          <w:szCs w:val="24"/>
        </w:rPr>
      </w:pPr>
      <w:bookmarkStart w:id="23" w:name="_Toc368573035"/>
      <w:r w:rsidRPr="50D89178">
        <w:rPr>
          <w:sz w:val="24"/>
          <w:szCs w:val="24"/>
        </w:rPr>
        <w:t>The legal advice will be required throughout the contract term, however it is expected that the bulk of the services will be</w:t>
      </w:r>
      <w:r>
        <w:rPr>
          <w:sz w:val="24"/>
          <w:szCs w:val="24"/>
        </w:rPr>
        <w:t xml:space="preserve"> delivered by 31 August 2021.</w:t>
      </w:r>
    </w:p>
    <w:p w14:paraId="7EE49DF9" w14:textId="5D079947" w:rsidR="008C2954" w:rsidRPr="001A45DF" w:rsidRDefault="008C2954" w:rsidP="008C2954">
      <w:pPr>
        <w:pStyle w:val="Heading1"/>
        <w:keepNext/>
        <w:numPr>
          <w:ilvl w:val="0"/>
          <w:numId w:val="50"/>
        </w:numPr>
        <w:tabs>
          <w:tab w:val="clear" w:pos="720"/>
          <w:tab w:val="num" w:pos="0"/>
        </w:tabs>
        <w:overflowPunct w:val="0"/>
        <w:autoSpaceDE w:val="0"/>
        <w:autoSpaceDN w:val="0"/>
        <w:spacing w:after="120"/>
        <w:ind w:left="709" w:hanging="709"/>
        <w:textAlignment w:val="baseline"/>
        <w:rPr>
          <w:rFonts w:cs="Arial"/>
          <w:sz w:val="32"/>
          <w:szCs w:val="32"/>
        </w:rPr>
      </w:pPr>
      <w:bookmarkStart w:id="24" w:name="_Toc64469449"/>
      <w:r w:rsidRPr="001A45DF">
        <w:rPr>
          <w:rFonts w:cs="Arial"/>
          <w:sz w:val="32"/>
          <w:szCs w:val="32"/>
        </w:rPr>
        <w:t>CONTINUOUS IMPROVEMENT</w:t>
      </w:r>
      <w:bookmarkEnd w:id="23"/>
      <w:bookmarkEnd w:id="24"/>
    </w:p>
    <w:p w14:paraId="238D4E0C" w14:textId="77777777" w:rsidR="008C2954" w:rsidRPr="001A45DF" w:rsidRDefault="008C2954" w:rsidP="008C2954">
      <w:pPr>
        <w:pStyle w:val="Heading2"/>
        <w:numPr>
          <w:ilvl w:val="1"/>
          <w:numId w:val="50"/>
        </w:numPr>
        <w:spacing w:after="120"/>
        <w:ind w:left="709" w:hanging="709"/>
        <w:rPr>
          <w:sz w:val="24"/>
          <w:szCs w:val="24"/>
        </w:rPr>
      </w:pPr>
      <w:r w:rsidRPr="001A45DF">
        <w:rPr>
          <w:sz w:val="24"/>
          <w:szCs w:val="24"/>
        </w:rPr>
        <w:t>The Supplier will be expected to continually improve the way in which the required Services are to be delivered throughout the Contract duration.</w:t>
      </w:r>
    </w:p>
    <w:p w14:paraId="7EF7EE1C" w14:textId="08F0022B" w:rsidR="008C2954" w:rsidRPr="001A45DF" w:rsidRDefault="008C2954" w:rsidP="008C2954">
      <w:pPr>
        <w:pStyle w:val="Heading2"/>
        <w:numPr>
          <w:ilvl w:val="1"/>
          <w:numId w:val="50"/>
        </w:numPr>
        <w:spacing w:after="120"/>
        <w:ind w:left="709" w:hanging="709"/>
        <w:rPr>
          <w:sz w:val="24"/>
          <w:szCs w:val="24"/>
        </w:rPr>
      </w:pPr>
      <w:r w:rsidRPr="001A45DF">
        <w:rPr>
          <w:sz w:val="24"/>
          <w:szCs w:val="24"/>
        </w:rPr>
        <w:t xml:space="preserve">The Supplier should present new ways of working to the </w:t>
      </w:r>
      <w:r w:rsidR="0058568F">
        <w:rPr>
          <w:sz w:val="24"/>
          <w:szCs w:val="24"/>
        </w:rPr>
        <w:t>Customer</w:t>
      </w:r>
      <w:r w:rsidRPr="001A45DF">
        <w:rPr>
          <w:sz w:val="24"/>
          <w:szCs w:val="24"/>
        </w:rPr>
        <w:t xml:space="preserve"> during </w:t>
      </w:r>
      <w:r w:rsidRPr="00EF6AD2">
        <w:rPr>
          <w:sz w:val="24"/>
          <w:szCs w:val="24"/>
        </w:rPr>
        <w:t>monthly</w:t>
      </w:r>
      <w:r w:rsidRPr="001A45DF">
        <w:rPr>
          <w:sz w:val="24"/>
          <w:szCs w:val="24"/>
        </w:rPr>
        <w:t xml:space="preserve"> Contract review meetings. </w:t>
      </w:r>
    </w:p>
    <w:p w14:paraId="08769A84" w14:textId="21EC9CE1" w:rsidR="008C2954" w:rsidRPr="001A45DF" w:rsidRDefault="008C2954" w:rsidP="008C2954">
      <w:pPr>
        <w:pStyle w:val="Heading2"/>
        <w:numPr>
          <w:ilvl w:val="1"/>
          <w:numId w:val="50"/>
        </w:numPr>
        <w:spacing w:after="120"/>
        <w:ind w:left="709" w:hanging="709"/>
        <w:rPr>
          <w:sz w:val="24"/>
          <w:szCs w:val="24"/>
        </w:rPr>
      </w:pPr>
      <w:r w:rsidRPr="001A45DF">
        <w:rPr>
          <w:sz w:val="24"/>
          <w:szCs w:val="24"/>
        </w:rPr>
        <w:t xml:space="preserve">Changes to the way in which the Services are to be delivered must be brought to the </w:t>
      </w:r>
      <w:r w:rsidR="0058568F">
        <w:rPr>
          <w:sz w:val="24"/>
          <w:szCs w:val="24"/>
        </w:rPr>
        <w:t>Customer</w:t>
      </w:r>
      <w:r w:rsidRPr="001A45DF">
        <w:rPr>
          <w:sz w:val="24"/>
          <w:szCs w:val="24"/>
        </w:rPr>
        <w:t>’s attention and agreed prior to any changes being implemented.</w:t>
      </w:r>
    </w:p>
    <w:p w14:paraId="4912749F" w14:textId="5FCE81F9" w:rsidR="008C2954" w:rsidRPr="001A45DF" w:rsidRDefault="008C2954" w:rsidP="008C2954">
      <w:pPr>
        <w:pStyle w:val="Heading1"/>
        <w:keepNext/>
        <w:numPr>
          <w:ilvl w:val="0"/>
          <w:numId w:val="50"/>
        </w:numPr>
        <w:tabs>
          <w:tab w:val="clear" w:pos="720"/>
          <w:tab w:val="num" w:pos="0"/>
        </w:tabs>
        <w:overflowPunct w:val="0"/>
        <w:autoSpaceDE w:val="0"/>
        <w:autoSpaceDN w:val="0"/>
        <w:spacing w:after="120"/>
        <w:ind w:left="709" w:hanging="709"/>
        <w:textAlignment w:val="baseline"/>
        <w:rPr>
          <w:rFonts w:cs="Arial"/>
          <w:sz w:val="32"/>
          <w:szCs w:val="32"/>
        </w:rPr>
      </w:pPr>
      <w:bookmarkStart w:id="25" w:name="_Toc368573036"/>
      <w:bookmarkStart w:id="26" w:name="_Toc64469450"/>
      <w:r w:rsidRPr="001A45DF">
        <w:rPr>
          <w:rFonts w:cs="Arial"/>
          <w:sz w:val="32"/>
          <w:szCs w:val="32"/>
        </w:rPr>
        <w:lastRenderedPageBreak/>
        <w:t>QUALITY</w:t>
      </w:r>
      <w:bookmarkEnd w:id="25"/>
      <w:bookmarkEnd w:id="26"/>
    </w:p>
    <w:p w14:paraId="6410DA37" w14:textId="77777777" w:rsidR="008C2954" w:rsidRPr="00C5496C" w:rsidRDefault="008C2954" w:rsidP="008C2954">
      <w:pPr>
        <w:pStyle w:val="Heading2"/>
        <w:numPr>
          <w:ilvl w:val="1"/>
          <w:numId w:val="50"/>
        </w:numPr>
        <w:spacing w:after="120"/>
        <w:ind w:left="709" w:hanging="709"/>
        <w:rPr>
          <w:sz w:val="24"/>
          <w:szCs w:val="24"/>
        </w:rPr>
      </w:pPr>
      <w:bookmarkStart w:id="27" w:name="_Toc368573037"/>
      <w:r w:rsidRPr="60A8C531">
        <w:rPr>
          <w:sz w:val="24"/>
          <w:szCs w:val="24"/>
        </w:rPr>
        <w:t>The assessment should be of the high standards that would be expected from a leading law firm.</w:t>
      </w:r>
    </w:p>
    <w:p w14:paraId="6377AAED" w14:textId="7688F676" w:rsidR="008C2954" w:rsidRPr="001A45DF" w:rsidRDefault="008C2954" w:rsidP="008C2954">
      <w:pPr>
        <w:pStyle w:val="Heading1"/>
        <w:keepNext/>
        <w:numPr>
          <w:ilvl w:val="0"/>
          <w:numId w:val="50"/>
        </w:numPr>
        <w:tabs>
          <w:tab w:val="clear" w:pos="720"/>
          <w:tab w:val="num" w:pos="0"/>
        </w:tabs>
        <w:overflowPunct w:val="0"/>
        <w:autoSpaceDE w:val="0"/>
        <w:autoSpaceDN w:val="0"/>
        <w:spacing w:after="120"/>
        <w:ind w:left="709" w:hanging="709"/>
        <w:textAlignment w:val="baseline"/>
        <w:rPr>
          <w:rFonts w:cs="Arial"/>
          <w:sz w:val="32"/>
          <w:szCs w:val="32"/>
        </w:rPr>
      </w:pPr>
      <w:bookmarkStart w:id="28" w:name="_Toc368573038"/>
      <w:bookmarkStart w:id="29" w:name="_Toc64469452"/>
      <w:bookmarkEnd w:id="27"/>
      <w:r w:rsidRPr="001A45DF">
        <w:rPr>
          <w:rFonts w:cs="Arial"/>
          <w:sz w:val="32"/>
          <w:szCs w:val="32"/>
        </w:rPr>
        <w:t>STAFF AND CUSTOMER SERVICE</w:t>
      </w:r>
      <w:bookmarkEnd w:id="28"/>
      <w:bookmarkEnd w:id="29"/>
    </w:p>
    <w:p w14:paraId="00E522DD" w14:textId="77777777" w:rsidR="008C2954" w:rsidRPr="001A45DF" w:rsidRDefault="008C2954" w:rsidP="008C2954">
      <w:pPr>
        <w:pStyle w:val="Heading2"/>
        <w:numPr>
          <w:ilvl w:val="1"/>
          <w:numId w:val="50"/>
        </w:numPr>
        <w:spacing w:after="120"/>
        <w:ind w:left="709" w:hanging="709"/>
        <w:rPr>
          <w:sz w:val="24"/>
          <w:szCs w:val="24"/>
        </w:rPr>
      </w:pPr>
      <w:r w:rsidRPr="001A45DF">
        <w:rPr>
          <w:sz w:val="24"/>
          <w:szCs w:val="24"/>
        </w:rPr>
        <w:t>The Supplier shall provide a sufficient level of resource throughout the duration of the Contract in order to consistently deliver a quality service.</w:t>
      </w:r>
    </w:p>
    <w:p w14:paraId="717726D0" w14:textId="77777777" w:rsidR="008C2954" w:rsidRPr="001A45DF" w:rsidRDefault="008C2954" w:rsidP="008C2954">
      <w:pPr>
        <w:pStyle w:val="Heading2"/>
        <w:numPr>
          <w:ilvl w:val="1"/>
          <w:numId w:val="50"/>
        </w:numPr>
        <w:spacing w:after="120"/>
        <w:ind w:left="709" w:hanging="709"/>
        <w:rPr>
          <w:sz w:val="24"/>
          <w:szCs w:val="24"/>
        </w:rPr>
      </w:pPr>
      <w:r w:rsidRPr="001A45DF">
        <w:rPr>
          <w:sz w:val="24"/>
          <w:szCs w:val="24"/>
        </w:rPr>
        <w:t xml:space="preserve">The Supplier’s staff assigned to the Contract shall have the relevant qualifications and experience to deliver the Contract to the required standard. </w:t>
      </w:r>
    </w:p>
    <w:p w14:paraId="0318F20D" w14:textId="2EF903EE" w:rsidR="008C2954" w:rsidRPr="001A45DF" w:rsidRDefault="008C2954" w:rsidP="008C2954">
      <w:pPr>
        <w:pStyle w:val="Heading2"/>
        <w:numPr>
          <w:ilvl w:val="1"/>
          <w:numId w:val="50"/>
        </w:numPr>
        <w:spacing w:after="120"/>
        <w:ind w:left="709" w:hanging="709"/>
        <w:rPr>
          <w:sz w:val="24"/>
          <w:szCs w:val="24"/>
        </w:rPr>
      </w:pPr>
      <w:r w:rsidRPr="001A45DF">
        <w:rPr>
          <w:sz w:val="24"/>
          <w:szCs w:val="24"/>
        </w:rPr>
        <w:t xml:space="preserve">The Supplier shall ensure that staff understand the </w:t>
      </w:r>
      <w:r w:rsidR="0058568F">
        <w:rPr>
          <w:sz w:val="24"/>
          <w:szCs w:val="24"/>
        </w:rPr>
        <w:t>Customer</w:t>
      </w:r>
      <w:r w:rsidRPr="001A45DF">
        <w:rPr>
          <w:sz w:val="24"/>
          <w:szCs w:val="24"/>
        </w:rPr>
        <w:t xml:space="preserve">’s vision and objectives and will provide excellent customer service to the </w:t>
      </w:r>
      <w:r w:rsidR="0058568F">
        <w:rPr>
          <w:sz w:val="24"/>
          <w:szCs w:val="24"/>
        </w:rPr>
        <w:t xml:space="preserve">Customer </w:t>
      </w:r>
      <w:r w:rsidRPr="001A45DF">
        <w:rPr>
          <w:sz w:val="24"/>
          <w:szCs w:val="24"/>
        </w:rPr>
        <w:t xml:space="preserve">throughout the duration of the Contract.  </w:t>
      </w:r>
    </w:p>
    <w:p w14:paraId="6F0A9EBB" w14:textId="09FF8DC0" w:rsidR="008C2954" w:rsidRPr="001A45DF" w:rsidRDefault="00C97AB0" w:rsidP="008C2954">
      <w:pPr>
        <w:pStyle w:val="Heading1"/>
        <w:keepNext/>
        <w:numPr>
          <w:ilvl w:val="0"/>
          <w:numId w:val="50"/>
        </w:numPr>
        <w:tabs>
          <w:tab w:val="clear" w:pos="720"/>
          <w:tab w:val="num" w:pos="0"/>
        </w:tabs>
        <w:overflowPunct w:val="0"/>
        <w:autoSpaceDE w:val="0"/>
        <w:autoSpaceDN w:val="0"/>
        <w:spacing w:after="120"/>
        <w:ind w:left="709" w:hanging="709"/>
        <w:textAlignment w:val="baseline"/>
        <w:rPr>
          <w:rFonts w:cs="Arial"/>
          <w:sz w:val="32"/>
          <w:szCs w:val="32"/>
        </w:rPr>
      </w:pPr>
      <w:bookmarkStart w:id="30" w:name="_Toc368573039"/>
      <w:bookmarkStart w:id="31" w:name="_Toc64469453"/>
      <w:r w:rsidRPr="001A45DF">
        <w:rPr>
          <w:rFonts w:cs="Arial"/>
          <w:sz w:val="32"/>
          <w:szCs w:val="32"/>
        </w:rPr>
        <w:t>SERVICE LEVELS AND PERFORMANCE</w:t>
      </w:r>
      <w:bookmarkEnd w:id="30"/>
      <w:bookmarkEnd w:id="31"/>
    </w:p>
    <w:p w14:paraId="05786D1E" w14:textId="168EEBCC" w:rsidR="008C2954" w:rsidRPr="00EF6AD2" w:rsidRDefault="008C2954" w:rsidP="008C2954">
      <w:pPr>
        <w:pStyle w:val="Heading2"/>
        <w:numPr>
          <w:ilvl w:val="1"/>
          <w:numId w:val="50"/>
        </w:numPr>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 xml:space="preserve">The </w:t>
      </w:r>
      <w:r w:rsidR="0058568F">
        <w:rPr>
          <w:sz w:val="24"/>
          <w:szCs w:val="24"/>
        </w:rPr>
        <w:t>Customer</w:t>
      </w:r>
      <w:r w:rsidRPr="001A45DF">
        <w:rPr>
          <w:sz w:val="24"/>
          <w:szCs w:val="24"/>
        </w:rPr>
        <w:t xml:space="preserve"> will measure the quality of the Supplier’s delivery by:</w:t>
      </w:r>
    </w:p>
    <w:tbl>
      <w:tblPr>
        <w:tblStyle w:val="TableGrid"/>
        <w:tblW w:w="0" w:type="auto"/>
        <w:tblInd w:w="720" w:type="dxa"/>
        <w:tblLook w:val="04A0" w:firstRow="1" w:lastRow="0" w:firstColumn="1" w:lastColumn="0" w:noHBand="0" w:noVBand="1"/>
      </w:tblPr>
      <w:tblGrid>
        <w:gridCol w:w="1163"/>
        <w:gridCol w:w="2418"/>
        <w:gridCol w:w="3239"/>
        <w:gridCol w:w="1479"/>
      </w:tblGrid>
      <w:tr w:rsidR="008C2954" w14:paraId="434D1C9F" w14:textId="77777777" w:rsidTr="0069672E">
        <w:tc>
          <w:tcPr>
            <w:tcW w:w="1163" w:type="dxa"/>
            <w:shd w:val="clear" w:color="auto" w:fill="B8CCE4" w:themeFill="accent1" w:themeFillTint="66"/>
          </w:tcPr>
          <w:p w14:paraId="77FEC1C8" w14:textId="77777777" w:rsidR="008C2954" w:rsidRPr="002C0A45" w:rsidRDefault="008C2954" w:rsidP="0069672E">
            <w:pPr>
              <w:pStyle w:val="Heading2"/>
              <w:numPr>
                <w:ilvl w:val="0"/>
                <w:numId w:val="0"/>
              </w:numPr>
              <w:jc w:val="center"/>
              <w:outlineLvl w:val="1"/>
              <w:rPr>
                <w:b/>
                <w:sz w:val="24"/>
                <w:szCs w:val="24"/>
              </w:rPr>
            </w:pPr>
            <w:r w:rsidRPr="002C0A45">
              <w:rPr>
                <w:b/>
                <w:sz w:val="24"/>
                <w:szCs w:val="24"/>
              </w:rPr>
              <w:t>KPI/SLA</w:t>
            </w:r>
          </w:p>
        </w:tc>
        <w:tc>
          <w:tcPr>
            <w:tcW w:w="2418" w:type="dxa"/>
            <w:shd w:val="clear" w:color="auto" w:fill="B8CCE4" w:themeFill="accent1" w:themeFillTint="66"/>
          </w:tcPr>
          <w:p w14:paraId="035D041B" w14:textId="77777777" w:rsidR="008C2954" w:rsidRPr="002C0A45" w:rsidRDefault="008C2954" w:rsidP="0069672E">
            <w:pPr>
              <w:pStyle w:val="Heading2"/>
              <w:numPr>
                <w:ilvl w:val="0"/>
                <w:numId w:val="0"/>
              </w:numPr>
              <w:jc w:val="center"/>
              <w:outlineLvl w:val="1"/>
              <w:rPr>
                <w:b/>
                <w:sz w:val="24"/>
                <w:szCs w:val="24"/>
              </w:rPr>
            </w:pPr>
            <w:r w:rsidRPr="002C0A45">
              <w:rPr>
                <w:b/>
                <w:sz w:val="24"/>
                <w:szCs w:val="24"/>
              </w:rPr>
              <w:t>Service Area</w:t>
            </w:r>
          </w:p>
        </w:tc>
        <w:tc>
          <w:tcPr>
            <w:tcW w:w="3239" w:type="dxa"/>
            <w:shd w:val="clear" w:color="auto" w:fill="B8CCE4" w:themeFill="accent1" w:themeFillTint="66"/>
          </w:tcPr>
          <w:p w14:paraId="22732965" w14:textId="77777777" w:rsidR="008C2954" w:rsidRPr="002C0A45" w:rsidRDefault="008C2954" w:rsidP="0069672E">
            <w:pPr>
              <w:pStyle w:val="Heading2"/>
              <w:numPr>
                <w:ilvl w:val="0"/>
                <w:numId w:val="0"/>
              </w:numPr>
              <w:jc w:val="center"/>
              <w:outlineLvl w:val="1"/>
              <w:rPr>
                <w:b/>
                <w:sz w:val="24"/>
                <w:szCs w:val="24"/>
              </w:rPr>
            </w:pPr>
            <w:r w:rsidRPr="002C0A45">
              <w:rPr>
                <w:b/>
                <w:sz w:val="24"/>
                <w:szCs w:val="24"/>
              </w:rPr>
              <w:t>KPI/SLA description</w:t>
            </w:r>
          </w:p>
        </w:tc>
        <w:tc>
          <w:tcPr>
            <w:tcW w:w="1479" w:type="dxa"/>
            <w:shd w:val="clear" w:color="auto" w:fill="B8CCE4" w:themeFill="accent1" w:themeFillTint="66"/>
          </w:tcPr>
          <w:p w14:paraId="3707DA43" w14:textId="77777777" w:rsidR="008C2954" w:rsidRPr="002C0A45" w:rsidRDefault="008C2954" w:rsidP="0069672E">
            <w:pPr>
              <w:pStyle w:val="Heading2"/>
              <w:numPr>
                <w:ilvl w:val="0"/>
                <w:numId w:val="0"/>
              </w:numPr>
              <w:jc w:val="center"/>
              <w:outlineLvl w:val="1"/>
              <w:rPr>
                <w:b/>
                <w:sz w:val="24"/>
                <w:szCs w:val="24"/>
              </w:rPr>
            </w:pPr>
            <w:r w:rsidRPr="002C0A45">
              <w:rPr>
                <w:b/>
                <w:sz w:val="24"/>
                <w:szCs w:val="24"/>
              </w:rPr>
              <w:t>Target</w:t>
            </w:r>
          </w:p>
        </w:tc>
      </w:tr>
      <w:tr w:rsidR="008C2954" w14:paraId="5DC8EEC3" w14:textId="77777777" w:rsidTr="0069672E">
        <w:tc>
          <w:tcPr>
            <w:tcW w:w="1163" w:type="dxa"/>
          </w:tcPr>
          <w:p w14:paraId="004FE944" w14:textId="77777777" w:rsidR="008C2954" w:rsidRPr="001A45DF" w:rsidRDefault="008C2954" w:rsidP="0069672E">
            <w:pPr>
              <w:pStyle w:val="Heading2"/>
              <w:numPr>
                <w:ilvl w:val="0"/>
                <w:numId w:val="0"/>
              </w:numPr>
              <w:jc w:val="center"/>
              <w:outlineLvl w:val="1"/>
              <w:rPr>
                <w:sz w:val="24"/>
                <w:szCs w:val="24"/>
              </w:rPr>
            </w:pPr>
            <w:r w:rsidRPr="001A45DF">
              <w:rPr>
                <w:sz w:val="24"/>
                <w:szCs w:val="24"/>
              </w:rPr>
              <w:t>1</w:t>
            </w:r>
          </w:p>
        </w:tc>
        <w:tc>
          <w:tcPr>
            <w:tcW w:w="2418" w:type="dxa"/>
          </w:tcPr>
          <w:p w14:paraId="14B47F97" w14:textId="77777777" w:rsidR="008C2954" w:rsidRPr="001A45DF" w:rsidRDefault="008C2954" w:rsidP="0069672E">
            <w:pPr>
              <w:pStyle w:val="Heading2"/>
              <w:numPr>
                <w:ilvl w:val="0"/>
                <w:numId w:val="0"/>
              </w:numPr>
              <w:jc w:val="left"/>
              <w:outlineLvl w:val="1"/>
              <w:rPr>
                <w:sz w:val="24"/>
                <w:szCs w:val="24"/>
              </w:rPr>
            </w:pPr>
            <w:r>
              <w:rPr>
                <w:sz w:val="24"/>
                <w:szCs w:val="24"/>
              </w:rPr>
              <w:t>Responding to emails of instructions/requests for advice</w:t>
            </w:r>
          </w:p>
        </w:tc>
        <w:tc>
          <w:tcPr>
            <w:tcW w:w="3239" w:type="dxa"/>
          </w:tcPr>
          <w:p w14:paraId="6B8F8BF0" w14:textId="77777777" w:rsidR="008C2954" w:rsidRPr="001A45DF" w:rsidRDefault="008C2954" w:rsidP="0069672E">
            <w:pPr>
              <w:pStyle w:val="Heading2"/>
              <w:numPr>
                <w:ilvl w:val="0"/>
                <w:numId w:val="0"/>
              </w:numPr>
              <w:jc w:val="left"/>
              <w:outlineLvl w:val="1"/>
              <w:rPr>
                <w:sz w:val="24"/>
                <w:szCs w:val="24"/>
              </w:rPr>
            </w:pPr>
            <w:r>
              <w:rPr>
                <w:sz w:val="24"/>
                <w:szCs w:val="24"/>
              </w:rPr>
              <w:t>Supplier to respond to emails in a timely manner (24 hours)</w:t>
            </w:r>
          </w:p>
        </w:tc>
        <w:tc>
          <w:tcPr>
            <w:tcW w:w="1479" w:type="dxa"/>
          </w:tcPr>
          <w:p w14:paraId="7CF8545A" w14:textId="77777777" w:rsidR="008C2954" w:rsidRPr="001A45DF" w:rsidRDefault="008C2954" w:rsidP="0069672E">
            <w:pPr>
              <w:pStyle w:val="Heading2"/>
              <w:numPr>
                <w:ilvl w:val="0"/>
                <w:numId w:val="0"/>
              </w:numPr>
              <w:outlineLvl w:val="1"/>
              <w:rPr>
                <w:sz w:val="24"/>
                <w:szCs w:val="24"/>
              </w:rPr>
            </w:pPr>
            <w:r>
              <w:rPr>
                <w:sz w:val="24"/>
                <w:szCs w:val="24"/>
              </w:rPr>
              <w:t>100%</w:t>
            </w:r>
          </w:p>
        </w:tc>
      </w:tr>
      <w:tr w:rsidR="008C2954" w14:paraId="671C1628" w14:textId="77777777" w:rsidTr="0069672E">
        <w:tc>
          <w:tcPr>
            <w:tcW w:w="1163" w:type="dxa"/>
          </w:tcPr>
          <w:p w14:paraId="007CA89A" w14:textId="77777777" w:rsidR="008C2954" w:rsidRPr="001A45DF" w:rsidRDefault="008C2954" w:rsidP="0069672E">
            <w:pPr>
              <w:pStyle w:val="Heading2"/>
              <w:numPr>
                <w:ilvl w:val="0"/>
                <w:numId w:val="0"/>
              </w:numPr>
              <w:jc w:val="center"/>
              <w:outlineLvl w:val="1"/>
              <w:rPr>
                <w:sz w:val="24"/>
                <w:szCs w:val="24"/>
              </w:rPr>
            </w:pPr>
            <w:r w:rsidRPr="001A45DF">
              <w:rPr>
                <w:sz w:val="24"/>
                <w:szCs w:val="24"/>
              </w:rPr>
              <w:t>2</w:t>
            </w:r>
          </w:p>
        </w:tc>
        <w:tc>
          <w:tcPr>
            <w:tcW w:w="2418" w:type="dxa"/>
          </w:tcPr>
          <w:p w14:paraId="495CD5CA" w14:textId="77777777" w:rsidR="008C2954" w:rsidRPr="001A45DF" w:rsidRDefault="008C2954" w:rsidP="0069672E">
            <w:pPr>
              <w:pStyle w:val="Heading2"/>
              <w:numPr>
                <w:ilvl w:val="0"/>
                <w:numId w:val="0"/>
              </w:numPr>
              <w:outlineLvl w:val="1"/>
              <w:rPr>
                <w:sz w:val="24"/>
                <w:szCs w:val="24"/>
              </w:rPr>
            </w:pPr>
            <w:r>
              <w:rPr>
                <w:sz w:val="24"/>
                <w:szCs w:val="24"/>
              </w:rPr>
              <w:t>Provision of legal advice</w:t>
            </w:r>
          </w:p>
        </w:tc>
        <w:tc>
          <w:tcPr>
            <w:tcW w:w="3239" w:type="dxa"/>
          </w:tcPr>
          <w:p w14:paraId="098288EB" w14:textId="77777777" w:rsidR="008C2954" w:rsidRPr="001A45DF" w:rsidRDefault="008C2954" w:rsidP="0069672E">
            <w:pPr>
              <w:pStyle w:val="Heading2"/>
              <w:numPr>
                <w:ilvl w:val="0"/>
                <w:numId w:val="0"/>
              </w:numPr>
              <w:outlineLvl w:val="1"/>
              <w:rPr>
                <w:sz w:val="24"/>
                <w:szCs w:val="24"/>
              </w:rPr>
            </w:pPr>
            <w:r>
              <w:rPr>
                <w:sz w:val="24"/>
                <w:szCs w:val="24"/>
              </w:rPr>
              <w:t xml:space="preserve">Supplier to provide legal advice to agreed deadlines </w:t>
            </w:r>
          </w:p>
        </w:tc>
        <w:tc>
          <w:tcPr>
            <w:tcW w:w="1479" w:type="dxa"/>
          </w:tcPr>
          <w:p w14:paraId="6FCB58D7" w14:textId="77777777" w:rsidR="008C2954" w:rsidRPr="001A45DF" w:rsidRDefault="008C2954" w:rsidP="0069672E">
            <w:pPr>
              <w:pStyle w:val="Heading2"/>
              <w:numPr>
                <w:ilvl w:val="0"/>
                <w:numId w:val="0"/>
              </w:numPr>
              <w:outlineLvl w:val="1"/>
              <w:rPr>
                <w:sz w:val="24"/>
                <w:szCs w:val="24"/>
              </w:rPr>
            </w:pPr>
            <w:r>
              <w:rPr>
                <w:sz w:val="24"/>
                <w:szCs w:val="24"/>
              </w:rPr>
              <w:t>100%</w:t>
            </w:r>
          </w:p>
        </w:tc>
      </w:tr>
      <w:tr w:rsidR="008C2954" w14:paraId="44792A88" w14:textId="77777777" w:rsidTr="0069672E">
        <w:tc>
          <w:tcPr>
            <w:tcW w:w="1163" w:type="dxa"/>
          </w:tcPr>
          <w:p w14:paraId="3B8AE5A8" w14:textId="77777777" w:rsidR="008C2954" w:rsidRPr="001A45DF" w:rsidRDefault="008C2954" w:rsidP="0069672E">
            <w:pPr>
              <w:pStyle w:val="Heading2"/>
              <w:numPr>
                <w:ilvl w:val="0"/>
                <w:numId w:val="0"/>
              </w:numPr>
              <w:jc w:val="center"/>
              <w:outlineLvl w:val="1"/>
              <w:rPr>
                <w:sz w:val="24"/>
                <w:szCs w:val="24"/>
              </w:rPr>
            </w:pPr>
            <w:r w:rsidRPr="001A45DF">
              <w:rPr>
                <w:sz w:val="24"/>
                <w:szCs w:val="24"/>
              </w:rPr>
              <w:t>3</w:t>
            </w:r>
          </w:p>
        </w:tc>
        <w:tc>
          <w:tcPr>
            <w:tcW w:w="2418" w:type="dxa"/>
          </w:tcPr>
          <w:p w14:paraId="5A9931CD" w14:textId="77777777" w:rsidR="008C2954" w:rsidRPr="001A45DF" w:rsidRDefault="008C2954" w:rsidP="0069672E">
            <w:pPr>
              <w:pStyle w:val="Heading2"/>
              <w:numPr>
                <w:ilvl w:val="0"/>
                <w:numId w:val="0"/>
              </w:numPr>
              <w:outlineLvl w:val="1"/>
              <w:rPr>
                <w:sz w:val="24"/>
                <w:szCs w:val="24"/>
              </w:rPr>
            </w:pPr>
            <w:r>
              <w:rPr>
                <w:sz w:val="24"/>
                <w:szCs w:val="24"/>
              </w:rPr>
              <w:t>Service Delivery</w:t>
            </w:r>
          </w:p>
        </w:tc>
        <w:tc>
          <w:tcPr>
            <w:tcW w:w="3239" w:type="dxa"/>
          </w:tcPr>
          <w:p w14:paraId="42186229" w14:textId="77777777" w:rsidR="008C2954" w:rsidRPr="001A45DF" w:rsidRDefault="008C2954" w:rsidP="0069672E">
            <w:pPr>
              <w:pStyle w:val="Heading2"/>
              <w:numPr>
                <w:ilvl w:val="0"/>
                <w:numId w:val="0"/>
              </w:numPr>
              <w:outlineLvl w:val="1"/>
              <w:rPr>
                <w:sz w:val="24"/>
                <w:szCs w:val="24"/>
              </w:rPr>
            </w:pPr>
            <w:r>
              <w:rPr>
                <w:sz w:val="24"/>
                <w:szCs w:val="24"/>
              </w:rPr>
              <w:t>Attendance at weekly review meetings</w:t>
            </w:r>
          </w:p>
        </w:tc>
        <w:tc>
          <w:tcPr>
            <w:tcW w:w="1479" w:type="dxa"/>
          </w:tcPr>
          <w:p w14:paraId="3C7A8CD2" w14:textId="77777777" w:rsidR="008C2954" w:rsidRPr="001A45DF" w:rsidRDefault="008C2954" w:rsidP="0069672E">
            <w:pPr>
              <w:pStyle w:val="Heading2"/>
              <w:numPr>
                <w:ilvl w:val="0"/>
                <w:numId w:val="0"/>
              </w:numPr>
              <w:outlineLvl w:val="1"/>
              <w:rPr>
                <w:sz w:val="24"/>
                <w:szCs w:val="24"/>
              </w:rPr>
            </w:pPr>
            <w:r>
              <w:rPr>
                <w:sz w:val="24"/>
                <w:szCs w:val="24"/>
              </w:rPr>
              <w:t>100%</w:t>
            </w:r>
          </w:p>
        </w:tc>
      </w:tr>
    </w:tbl>
    <w:p w14:paraId="77617FDD" w14:textId="77777777" w:rsidR="008C2954" w:rsidRDefault="008C2954" w:rsidP="008C2954">
      <w:pPr>
        <w:pStyle w:val="Heading2"/>
        <w:numPr>
          <w:ilvl w:val="0"/>
          <w:numId w:val="0"/>
        </w:numPr>
        <w:ind w:left="720"/>
      </w:pPr>
    </w:p>
    <w:p w14:paraId="72734708" w14:textId="42C76A67" w:rsidR="008C2954" w:rsidRPr="001A45DF" w:rsidRDefault="00C97AB0" w:rsidP="008C2954">
      <w:pPr>
        <w:pStyle w:val="Heading1"/>
        <w:keepNext/>
        <w:numPr>
          <w:ilvl w:val="0"/>
          <w:numId w:val="50"/>
        </w:numPr>
        <w:spacing w:after="120"/>
        <w:rPr>
          <w:sz w:val="32"/>
          <w:szCs w:val="32"/>
        </w:rPr>
      </w:pPr>
      <w:bookmarkStart w:id="32" w:name="_Toc368573040"/>
      <w:bookmarkStart w:id="33" w:name="_Toc64469454"/>
      <w:r w:rsidRPr="001A45DF">
        <w:rPr>
          <w:sz w:val="32"/>
          <w:szCs w:val="32"/>
        </w:rPr>
        <w:t>SECURITY AND CONFIDENTIALITY REQUIREMENTS</w:t>
      </w:r>
      <w:bookmarkEnd w:id="32"/>
      <w:bookmarkEnd w:id="33"/>
    </w:p>
    <w:p w14:paraId="4B78E096" w14:textId="77777777" w:rsidR="008C2954" w:rsidRPr="00001AE7" w:rsidRDefault="008C2954" w:rsidP="008C2954">
      <w:pPr>
        <w:pStyle w:val="Heading2"/>
        <w:numPr>
          <w:ilvl w:val="1"/>
          <w:numId w:val="50"/>
        </w:numPr>
        <w:spacing w:after="120"/>
        <w:ind w:left="709" w:hanging="709"/>
        <w:rPr>
          <w:sz w:val="24"/>
          <w:szCs w:val="24"/>
        </w:rPr>
      </w:pPr>
      <w:bookmarkStart w:id="34" w:name="_Toc368573042"/>
      <w:r w:rsidRPr="60A8C531">
        <w:rPr>
          <w:sz w:val="24"/>
          <w:szCs w:val="24"/>
        </w:rPr>
        <w:t xml:space="preserve">The Supplier’s staff should have the suitable qualifications and experience to enable undertake the work. </w:t>
      </w:r>
    </w:p>
    <w:p w14:paraId="774CBCDF" w14:textId="77777777" w:rsidR="008C2954" w:rsidRPr="00001AE7" w:rsidRDefault="008C2954" w:rsidP="008C2954">
      <w:pPr>
        <w:pStyle w:val="Heading2"/>
        <w:numPr>
          <w:ilvl w:val="1"/>
          <w:numId w:val="50"/>
        </w:numPr>
        <w:spacing w:after="120"/>
        <w:ind w:left="709" w:hanging="709"/>
        <w:rPr>
          <w:sz w:val="24"/>
          <w:szCs w:val="24"/>
        </w:rPr>
      </w:pPr>
      <w:r w:rsidRPr="60A8C531">
        <w:rPr>
          <w:sz w:val="24"/>
          <w:szCs w:val="24"/>
        </w:rPr>
        <w:t xml:space="preserve">The Supplier must keep confidential any information provided to it to enable it to produce its assessment. </w:t>
      </w:r>
    </w:p>
    <w:p w14:paraId="55F6A3CE" w14:textId="533AA89D" w:rsidR="008C2954" w:rsidRPr="00001AE7" w:rsidRDefault="008C2954" w:rsidP="008C2954">
      <w:pPr>
        <w:pStyle w:val="Heading2"/>
        <w:numPr>
          <w:ilvl w:val="1"/>
          <w:numId w:val="50"/>
        </w:numPr>
        <w:spacing w:after="120"/>
        <w:ind w:left="709" w:hanging="709"/>
        <w:rPr>
          <w:sz w:val="24"/>
          <w:szCs w:val="24"/>
        </w:rPr>
      </w:pPr>
      <w:r w:rsidRPr="60A8C531">
        <w:rPr>
          <w:sz w:val="24"/>
          <w:szCs w:val="24"/>
        </w:rPr>
        <w:t xml:space="preserve">Any advice provided by the Supplier is confidential and must not be disclosed to any party other than the </w:t>
      </w:r>
      <w:r w:rsidR="0058568F">
        <w:rPr>
          <w:sz w:val="24"/>
          <w:szCs w:val="24"/>
        </w:rPr>
        <w:t>Customer</w:t>
      </w:r>
      <w:r w:rsidRPr="60A8C531">
        <w:rPr>
          <w:sz w:val="24"/>
          <w:szCs w:val="24"/>
        </w:rPr>
        <w:t xml:space="preserve"> </w:t>
      </w:r>
    </w:p>
    <w:p w14:paraId="71F70C25" w14:textId="06E6E4B4" w:rsidR="008C2954" w:rsidRPr="001A45DF" w:rsidRDefault="008A792D" w:rsidP="008C2954">
      <w:pPr>
        <w:pStyle w:val="Heading1"/>
        <w:keepNext/>
        <w:numPr>
          <w:ilvl w:val="0"/>
          <w:numId w:val="50"/>
        </w:numPr>
        <w:tabs>
          <w:tab w:val="clear" w:pos="720"/>
          <w:tab w:val="num" w:pos="0"/>
        </w:tabs>
        <w:overflowPunct w:val="0"/>
        <w:autoSpaceDE w:val="0"/>
        <w:autoSpaceDN w:val="0"/>
        <w:spacing w:after="120"/>
        <w:ind w:left="709" w:hanging="709"/>
        <w:textAlignment w:val="baseline"/>
        <w:rPr>
          <w:rFonts w:cs="Arial"/>
          <w:sz w:val="32"/>
          <w:szCs w:val="32"/>
        </w:rPr>
      </w:pPr>
      <w:bookmarkStart w:id="35" w:name="_Toc64469455"/>
      <w:r w:rsidRPr="001A45DF">
        <w:rPr>
          <w:rFonts w:cs="Arial"/>
          <w:sz w:val="32"/>
          <w:szCs w:val="32"/>
        </w:rPr>
        <w:t>PAYMENT AND INVOICING</w:t>
      </w:r>
      <w:bookmarkEnd w:id="35"/>
      <w:r w:rsidRPr="001A45DF">
        <w:rPr>
          <w:rFonts w:cs="Arial"/>
          <w:sz w:val="32"/>
          <w:szCs w:val="32"/>
        </w:rPr>
        <w:t xml:space="preserve"> </w:t>
      </w:r>
    </w:p>
    <w:p w14:paraId="2D99E061" w14:textId="77777777" w:rsidR="008C2954" w:rsidRPr="001A45DF" w:rsidRDefault="008C2954" w:rsidP="008C2954">
      <w:pPr>
        <w:pStyle w:val="Heading2"/>
        <w:numPr>
          <w:ilvl w:val="1"/>
          <w:numId w:val="50"/>
        </w:numPr>
        <w:rPr>
          <w:sz w:val="24"/>
          <w:szCs w:val="24"/>
        </w:rPr>
      </w:pPr>
      <w:r w:rsidRPr="001A45DF">
        <w:rPr>
          <w:rFonts w:cs="Arial"/>
          <w:color w:val="000000"/>
          <w:sz w:val="24"/>
          <w:szCs w:val="24"/>
          <w:shd w:val="clear" w:color="auto" w:fill="FFFFFF"/>
        </w:rPr>
        <w:t xml:space="preserve">Payment can only be made following satisfactory delivery of pre-agreed certified products and deliverables. </w:t>
      </w:r>
    </w:p>
    <w:p w14:paraId="0341A350" w14:textId="77777777" w:rsidR="008C2954" w:rsidRPr="00D128BB" w:rsidRDefault="008C2954" w:rsidP="008C2954">
      <w:pPr>
        <w:pStyle w:val="Heading2"/>
        <w:numPr>
          <w:ilvl w:val="1"/>
          <w:numId w:val="50"/>
        </w:numPr>
        <w:rPr>
          <w:sz w:val="24"/>
          <w:szCs w:val="24"/>
        </w:rPr>
      </w:pPr>
      <w:r w:rsidRPr="001A45DF">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0822DEC6" w14:textId="77777777" w:rsidR="008C2954" w:rsidRPr="001A45DF" w:rsidRDefault="008C2954" w:rsidP="008C2954">
      <w:pPr>
        <w:pStyle w:val="Heading2"/>
        <w:numPr>
          <w:ilvl w:val="1"/>
          <w:numId w:val="50"/>
        </w:numPr>
        <w:rPr>
          <w:sz w:val="24"/>
          <w:szCs w:val="24"/>
        </w:rPr>
      </w:pPr>
      <w:r>
        <w:rPr>
          <w:rFonts w:cs="Arial"/>
          <w:color w:val="000000"/>
          <w:sz w:val="24"/>
          <w:szCs w:val="24"/>
          <w:shd w:val="clear" w:color="auto" w:fill="FFFFFF"/>
        </w:rPr>
        <w:t>Invoices shall be submitted monthly in arrears.</w:t>
      </w:r>
    </w:p>
    <w:bookmarkEnd w:id="34"/>
    <w:p w14:paraId="3CC919F0" w14:textId="77777777" w:rsidR="008C2954" w:rsidRPr="007C23AC" w:rsidRDefault="008C2954" w:rsidP="008C2954">
      <w:pPr>
        <w:pStyle w:val="Heading2"/>
        <w:numPr>
          <w:ilvl w:val="1"/>
          <w:numId w:val="50"/>
        </w:numPr>
        <w:rPr>
          <w:sz w:val="24"/>
          <w:szCs w:val="24"/>
        </w:rPr>
      </w:pPr>
      <w:r>
        <w:rPr>
          <w:rFonts w:cs="Arial"/>
          <w:color w:val="000000"/>
          <w:sz w:val="24"/>
          <w:szCs w:val="24"/>
          <w:shd w:val="clear" w:color="auto" w:fill="FFFFFF"/>
        </w:rPr>
        <w:lastRenderedPageBreak/>
        <w:t>Invoicing address:</w:t>
      </w:r>
    </w:p>
    <w:p w14:paraId="09F4EC04" w14:textId="77777777" w:rsidR="008C2954" w:rsidRPr="001B35DB" w:rsidRDefault="008C2954" w:rsidP="008C2954">
      <w:pPr>
        <w:spacing w:before="120" w:after="120"/>
        <w:ind w:firstLine="720"/>
        <w:rPr>
          <w:rFonts w:cs="Arial"/>
          <w:sz w:val="24"/>
        </w:rPr>
      </w:pPr>
      <w:r w:rsidRPr="001B35DB">
        <w:rPr>
          <w:rFonts w:cs="Arial"/>
          <w:sz w:val="24"/>
        </w:rPr>
        <w:t>1 Horse Guards Road</w:t>
      </w:r>
    </w:p>
    <w:p w14:paraId="140F05DC" w14:textId="77777777" w:rsidR="008C2954" w:rsidRPr="001B35DB" w:rsidRDefault="008C2954" w:rsidP="008C2954">
      <w:pPr>
        <w:spacing w:before="120" w:after="120"/>
        <w:ind w:firstLine="720"/>
        <w:rPr>
          <w:rFonts w:cs="Arial"/>
          <w:sz w:val="24"/>
        </w:rPr>
      </w:pPr>
      <w:r w:rsidRPr="001B35DB">
        <w:rPr>
          <w:rFonts w:cs="Arial"/>
          <w:sz w:val="24"/>
        </w:rPr>
        <w:t>London</w:t>
      </w:r>
    </w:p>
    <w:p w14:paraId="1F608970" w14:textId="77777777" w:rsidR="008C2954" w:rsidRPr="001B35DB" w:rsidRDefault="008C2954" w:rsidP="008C2954">
      <w:pPr>
        <w:spacing w:before="120" w:after="120"/>
        <w:ind w:firstLine="720"/>
        <w:rPr>
          <w:rFonts w:cs="Arial"/>
          <w:sz w:val="24"/>
        </w:rPr>
      </w:pPr>
      <w:r w:rsidRPr="001B35DB">
        <w:rPr>
          <w:rFonts w:cs="Arial"/>
          <w:sz w:val="24"/>
        </w:rPr>
        <w:t>Greater London</w:t>
      </w:r>
    </w:p>
    <w:p w14:paraId="55855039" w14:textId="77777777" w:rsidR="008C2954" w:rsidRPr="001B35DB" w:rsidRDefault="008C2954" w:rsidP="008C2954">
      <w:pPr>
        <w:spacing w:before="120" w:after="120"/>
        <w:ind w:firstLine="720"/>
        <w:rPr>
          <w:rFonts w:cs="Arial"/>
          <w:sz w:val="24"/>
        </w:rPr>
      </w:pPr>
      <w:r w:rsidRPr="001B35DB">
        <w:rPr>
          <w:rFonts w:cs="Arial"/>
          <w:sz w:val="24"/>
        </w:rPr>
        <w:t>England</w:t>
      </w:r>
    </w:p>
    <w:p w14:paraId="76637FEF" w14:textId="77777777" w:rsidR="008C2954" w:rsidRPr="001B35DB" w:rsidRDefault="008C2954" w:rsidP="008C2954">
      <w:pPr>
        <w:pStyle w:val="Heading2"/>
        <w:numPr>
          <w:ilvl w:val="0"/>
          <w:numId w:val="0"/>
        </w:numPr>
        <w:ind w:left="720"/>
        <w:rPr>
          <w:sz w:val="24"/>
          <w:szCs w:val="24"/>
        </w:rPr>
      </w:pPr>
      <w:r w:rsidRPr="001B35DB">
        <w:rPr>
          <w:sz w:val="24"/>
          <w:szCs w:val="24"/>
        </w:rPr>
        <w:t>SW1A 2HQ</w:t>
      </w:r>
      <w:r w:rsidRPr="001B35DB" w:rsidDel="0001156D">
        <w:rPr>
          <w:sz w:val="24"/>
          <w:szCs w:val="24"/>
        </w:rPr>
        <w:t xml:space="preserve"> </w:t>
      </w:r>
    </w:p>
    <w:p w14:paraId="622FDCDF" w14:textId="37510AC6" w:rsidR="008C2954" w:rsidRDefault="008C2954" w:rsidP="008C2954">
      <w:pPr>
        <w:pStyle w:val="Heading2"/>
        <w:numPr>
          <w:ilvl w:val="1"/>
          <w:numId w:val="0"/>
        </w:numPr>
        <w:ind w:left="720"/>
        <w:rPr>
          <w:sz w:val="23"/>
          <w:szCs w:val="23"/>
        </w:rPr>
      </w:pPr>
      <w:r>
        <w:rPr>
          <w:sz w:val="23"/>
          <w:szCs w:val="23"/>
        </w:rPr>
        <w:t xml:space="preserve">For the attention of: </w:t>
      </w:r>
      <w:r w:rsidR="00A714ED">
        <w:rPr>
          <w:sz w:val="23"/>
          <w:szCs w:val="23"/>
        </w:rPr>
        <w:t>REDACTED</w:t>
      </w:r>
    </w:p>
    <w:p w14:paraId="61394A53" w14:textId="77777777" w:rsidR="008C2954" w:rsidRPr="001A45DF" w:rsidRDefault="008C2954" w:rsidP="008C2954">
      <w:pPr>
        <w:pStyle w:val="Heading1"/>
        <w:keepNext/>
        <w:numPr>
          <w:ilvl w:val="0"/>
          <w:numId w:val="50"/>
        </w:numPr>
        <w:tabs>
          <w:tab w:val="clear" w:pos="720"/>
          <w:tab w:val="num" w:pos="0"/>
        </w:tabs>
        <w:overflowPunct w:val="0"/>
        <w:autoSpaceDE w:val="0"/>
        <w:autoSpaceDN w:val="0"/>
        <w:spacing w:after="120"/>
        <w:ind w:left="709" w:hanging="709"/>
        <w:textAlignment w:val="baseline"/>
        <w:rPr>
          <w:rFonts w:cs="Arial"/>
          <w:sz w:val="32"/>
          <w:szCs w:val="32"/>
        </w:rPr>
      </w:pPr>
      <w:bookmarkStart w:id="36" w:name="_Toc64469456"/>
      <w:r w:rsidRPr="001A45DF">
        <w:rPr>
          <w:rFonts w:cs="Arial"/>
          <w:sz w:val="32"/>
          <w:szCs w:val="32"/>
        </w:rPr>
        <w:t>CONTRACT MANAGEMENT</w:t>
      </w:r>
      <w:bookmarkEnd w:id="36"/>
      <w:r w:rsidRPr="001A45DF">
        <w:rPr>
          <w:rFonts w:cs="Arial"/>
          <w:sz w:val="32"/>
          <w:szCs w:val="32"/>
        </w:rPr>
        <w:t xml:space="preserve"> </w:t>
      </w:r>
    </w:p>
    <w:p w14:paraId="6DE540E5" w14:textId="2695139E" w:rsidR="008C2954" w:rsidRPr="009106C8" w:rsidRDefault="008C2954" w:rsidP="008C2954">
      <w:pPr>
        <w:pStyle w:val="Heading2"/>
        <w:numPr>
          <w:ilvl w:val="1"/>
          <w:numId w:val="50"/>
        </w:numPr>
        <w:rPr>
          <w:rFonts w:cs="Arial"/>
          <w:sz w:val="24"/>
          <w:szCs w:val="24"/>
        </w:rPr>
      </w:pPr>
      <w:r w:rsidRPr="60A8C531">
        <w:rPr>
          <w:sz w:val="24"/>
          <w:szCs w:val="24"/>
        </w:rPr>
        <w:t xml:space="preserve">The Supplier is required to attend weekly meetings as required by the </w:t>
      </w:r>
      <w:r w:rsidR="0058568F">
        <w:rPr>
          <w:sz w:val="24"/>
          <w:szCs w:val="24"/>
        </w:rPr>
        <w:t>Customer</w:t>
      </w:r>
    </w:p>
    <w:p w14:paraId="0EF77CDE" w14:textId="77777777" w:rsidR="008C2954" w:rsidRPr="009106C8" w:rsidRDefault="008C2954" w:rsidP="008C2954">
      <w:pPr>
        <w:pStyle w:val="Heading2"/>
        <w:numPr>
          <w:ilvl w:val="1"/>
          <w:numId w:val="50"/>
        </w:numPr>
        <w:spacing w:after="120"/>
        <w:ind w:left="709" w:hanging="709"/>
        <w:rPr>
          <w:sz w:val="24"/>
          <w:szCs w:val="24"/>
        </w:rPr>
      </w:pPr>
      <w:r w:rsidRPr="009106C8">
        <w:rPr>
          <w:sz w:val="24"/>
          <w:szCs w:val="24"/>
        </w:rPr>
        <w:t>Attendance at Contract Review meetings shall be at the Supplier’s own expense.</w:t>
      </w:r>
    </w:p>
    <w:p w14:paraId="477E04E0" w14:textId="3D0A3853" w:rsidR="008C2954" w:rsidRPr="009106C8" w:rsidRDefault="008A792D" w:rsidP="008C2954">
      <w:pPr>
        <w:pStyle w:val="Heading1"/>
        <w:keepNext/>
        <w:numPr>
          <w:ilvl w:val="0"/>
          <w:numId w:val="50"/>
        </w:numPr>
        <w:spacing w:after="120"/>
        <w:rPr>
          <w:sz w:val="32"/>
          <w:szCs w:val="32"/>
        </w:rPr>
      </w:pPr>
      <w:bookmarkStart w:id="37" w:name="_Toc368573043"/>
      <w:bookmarkStart w:id="38" w:name="_Toc64469457"/>
      <w:bookmarkEnd w:id="18"/>
      <w:r w:rsidRPr="009106C8">
        <w:rPr>
          <w:sz w:val="32"/>
          <w:szCs w:val="32"/>
        </w:rPr>
        <w:t>LOCATION</w:t>
      </w:r>
      <w:bookmarkEnd w:id="37"/>
      <w:bookmarkEnd w:id="38"/>
      <w:r w:rsidR="008C2954" w:rsidRPr="009106C8">
        <w:rPr>
          <w:sz w:val="32"/>
          <w:szCs w:val="32"/>
        </w:rPr>
        <w:t xml:space="preserve"> </w:t>
      </w:r>
    </w:p>
    <w:p w14:paraId="488DD001" w14:textId="77777777" w:rsidR="008C2954" w:rsidRPr="00EF6AD2" w:rsidRDefault="008C2954" w:rsidP="008C2954">
      <w:pPr>
        <w:pStyle w:val="Heading2"/>
        <w:numPr>
          <w:ilvl w:val="1"/>
          <w:numId w:val="50"/>
        </w:numPr>
        <w:spacing w:after="120"/>
        <w:ind w:left="709" w:hanging="709"/>
        <w:rPr>
          <w:sz w:val="24"/>
          <w:szCs w:val="24"/>
        </w:rPr>
      </w:pPr>
      <w:r w:rsidRPr="00EF6AD2">
        <w:rPr>
          <w:sz w:val="24"/>
          <w:szCs w:val="24"/>
        </w:rPr>
        <w:t>The location of the Services will be carried out at the Supplier’s premises.</w:t>
      </w:r>
    </w:p>
    <w:p w14:paraId="03718CE9" w14:textId="77777777" w:rsidR="008C2954" w:rsidRPr="002F4D97" w:rsidRDefault="008C2954" w:rsidP="008C2954">
      <w:pPr>
        <w:pStyle w:val="Heading2"/>
        <w:numPr>
          <w:ilvl w:val="0"/>
          <w:numId w:val="0"/>
        </w:numPr>
        <w:spacing w:after="120"/>
      </w:pPr>
    </w:p>
    <w:p w14:paraId="36377241" w14:textId="77777777" w:rsidR="008C2954" w:rsidRPr="00E61F93" w:rsidRDefault="008C2954" w:rsidP="008C2954">
      <w:pPr>
        <w:pStyle w:val="Heading1"/>
        <w:keepNext/>
        <w:numPr>
          <w:ilvl w:val="0"/>
          <w:numId w:val="50"/>
        </w:numPr>
        <w:spacing w:after="120"/>
        <w:rPr>
          <w:sz w:val="32"/>
          <w:szCs w:val="32"/>
        </w:rPr>
      </w:pPr>
      <w:bookmarkStart w:id="39" w:name="_Toc64469458"/>
      <w:r w:rsidRPr="00E61F93">
        <w:rPr>
          <w:sz w:val="32"/>
          <w:szCs w:val="32"/>
        </w:rPr>
        <w:t>Annex - Policy Objectives</w:t>
      </w:r>
      <w:bookmarkEnd w:id="39"/>
    </w:p>
    <w:p w14:paraId="0826F684" w14:textId="723E47F5" w:rsidR="008C2954" w:rsidRDefault="008C2954" w:rsidP="008C2954">
      <w:pPr>
        <w:pStyle w:val="Heading2"/>
        <w:numPr>
          <w:ilvl w:val="1"/>
          <w:numId w:val="50"/>
        </w:numPr>
        <w:spacing w:after="120"/>
        <w:ind w:left="709" w:hanging="709"/>
        <w:rPr>
          <w:sz w:val="24"/>
          <w:szCs w:val="24"/>
        </w:rPr>
      </w:pPr>
      <w:r w:rsidRPr="51F62916">
        <w:rPr>
          <w:sz w:val="24"/>
          <w:szCs w:val="24"/>
        </w:rPr>
        <w:t xml:space="preserve">The following represents the current policy objectives of the </w:t>
      </w:r>
      <w:r w:rsidR="0058568F">
        <w:rPr>
          <w:sz w:val="24"/>
          <w:szCs w:val="24"/>
        </w:rPr>
        <w:t>Customer</w:t>
      </w:r>
      <w:r w:rsidRPr="51F62916">
        <w:rPr>
          <w:sz w:val="24"/>
          <w:szCs w:val="24"/>
        </w:rPr>
        <w:t xml:space="preserve"> with regards to the Scheme. These are subject to change as the Scheme is developed, but are provided here to assist Suppliers in submitting bids.</w:t>
      </w:r>
    </w:p>
    <w:p w14:paraId="59CBE3B1" w14:textId="0AAB8861" w:rsidR="008C2954" w:rsidRPr="00B83610" w:rsidRDefault="008C2954" w:rsidP="008C2954">
      <w:pPr>
        <w:pStyle w:val="Heading3"/>
        <w:numPr>
          <w:ilvl w:val="2"/>
          <w:numId w:val="50"/>
        </w:numPr>
        <w:rPr>
          <w:sz w:val="24"/>
          <w:szCs w:val="24"/>
        </w:rPr>
      </w:pPr>
      <w:r w:rsidRPr="00B83610">
        <w:rPr>
          <w:sz w:val="24"/>
          <w:szCs w:val="24"/>
        </w:rPr>
        <w:t xml:space="preserve">Reduce the overall risk of judicial review to public bodies, including the </w:t>
      </w:r>
      <w:r w:rsidR="008E649B">
        <w:rPr>
          <w:sz w:val="24"/>
          <w:szCs w:val="24"/>
        </w:rPr>
        <w:t>Customer.</w:t>
      </w:r>
    </w:p>
    <w:p w14:paraId="7DEAF0E9" w14:textId="77777777" w:rsidR="008C2954" w:rsidRPr="00B83610" w:rsidRDefault="008C2954" w:rsidP="008C2954">
      <w:pPr>
        <w:pStyle w:val="Heading3"/>
        <w:numPr>
          <w:ilvl w:val="2"/>
          <w:numId w:val="50"/>
        </w:numPr>
        <w:rPr>
          <w:sz w:val="24"/>
          <w:szCs w:val="24"/>
        </w:rPr>
      </w:pPr>
      <w:r w:rsidRPr="00B83610">
        <w:rPr>
          <w:sz w:val="24"/>
          <w:szCs w:val="24"/>
        </w:rPr>
        <w:t>Create a single point of compensation for LCF bondholders (avoiding, for example, the need to seek other routes of redress such as the regulators’ Complaints Scheme).</w:t>
      </w:r>
    </w:p>
    <w:p w14:paraId="39292543" w14:textId="77777777" w:rsidR="008C2954" w:rsidRPr="00B83610" w:rsidRDefault="008C2954" w:rsidP="008C2954">
      <w:pPr>
        <w:pStyle w:val="Heading3"/>
        <w:numPr>
          <w:ilvl w:val="2"/>
          <w:numId w:val="50"/>
        </w:numPr>
        <w:rPr>
          <w:sz w:val="24"/>
          <w:szCs w:val="24"/>
        </w:rPr>
      </w:pPr>
      <w:r w:rsidRPr="00B83610">
        <w:rPr>
          <w:sz w:val="24"/>
          <w:szCs w:val="24"/>
        </w:rPr>
        <w:t>Ensure that the Scheme offers good value for money for the Exchequer.</w:t>
      </w:r>
    </w:p>
    <w:p w14:paraId="7A8756AD" w14:textId="77777777" w:rsidR="008C2954" w:rsidRPr="00B83610" w:rsidRDefault="008C2954" w:rsidP="008C2954">
      <w:pPr>
        <w:pStyle w:val="Heading3"/>
        <w:numPr>
          <w:ilvl w:val="2"/>
          <w:numId w:val="50"/>
        </w:numPr>
        <w:rPr>
          <w:sz w:val="24"/>
          <w:szCs w:val="24"/>
        </w:rPr>
      </w:pPr>
      <w:r w:rsidRPr="00B83610">
        <w:rPr>
          <w:sz w:val="24"/>
          <w:szCs w:val="24"/>
        </w:rPr>
        <w:t>Ensure that the Scheme is simple to navigate for bondholders without having to seek external advice, and ensure that it can be run down quickly.</w:t>
      </w:r>
    </w:p>
    <w:p w14:paraId="351514CC" w14:textId="5C487E38" w:rsidR="008C2954" w:rsidRPr="00B83610" w:rsidRDefault="008C2954" w:rsidP="008C2954">
      <w:pPr>
        <w:pStyle w:val="Heading3"/>
        <w:numPr>
          <w:ilvl w:val="2"/>
          <w:numId w:val="50"/>
        </w:numPr>
        <w:rPr>
          <w:sz w:val="24"/>
          <w:szCs w:val="24"/>
        </w:rPr>
      </w:pPr>
      <w:r w:rsidRPr="00B83610">
        <w:rPr>
          <w:sz w:val="24"/>
          <w:szCs w:val="24"/>
        </w:rPr>
        <w:t xml:space="preserve">Ensure that those who recover compensation through the Scheme subrogate their rights to funds recovered through the insolvency process and forego any complaints or compensation claims that they might have against the FCA (or any other public body including the </w:t>
      </w:r>
      <w:r w:rsidR="0058568F">
        <w:rPr>
          <w:sz w:val="24"/>
          <w:szCs w:val="24"/>
        </w:rPr>
        <w:t>Customer</w:t>
      </w:r>
      <w:r w:rsidRPr="00B83610">
        <w:rPr>
          <w:sz w:val="24"/>
          <w:szCs w:val="24"/>
        </w:rPr>
        <w:t>).</w:t>
      </w:r>
    </w:p>
    <w:p w14:paraId="04CBA9F5" w14:textId="4BC2067A" w:rsidR="008C2954" w:rsidRPr="00B83610" w:rsidRDefault="00782AB6" w:rsidP="008C2954">
      <w:pPr>
        <w:pStyle w:val="Heading3"/>
        <w:numPr>
          <w:ilvl w:val="2"/>
          <w:numId w:val="50"/>
        </w:numPr>
        <w:rPr>
          <w:sz w:val="24"/>
          <w:szCs w:val="24"/>
        </w:rPr>
      </w:pPr>
      <w:r>
        <w:rPr>
          <w:sz w:val="24"/>
          <w:szCs w:val="24"/>
        </w:rPr>
        <w:t>REDACTED</w:t>
      </w:r>
      <w:bookmarkStart w:id="40" w:name="_GoBack"/>
      <w:bookmarkEnd w:id="40"/>
    </w:p>
    <w:p w14:paraId="1443D94C" w14:textId="77777777" w:rsidR="008C2954" w:rsidRDefault="008C2954" w:rsidP="008C2954">
      <w:pPr>
        <w:pStyle w:val="Heading1"/>
        <w:numPr>
          <w:ilvl w:val="0"/>
          <w:numId w:val="0"/>
        </w:numPr>
        <w:ind w:left="720" w:hanging="720"/>
      </w:pPr>
    </w:p>
    <w:p w14:paraId="09F4026B" w14:textId="77777777" w:rsidR="008C2954" w:rsidRPr="00A74FE3" w:rsidRDefault="008C2954" w:rsidP="008C2954">
      <w:pPr>
        <w:tabs>
          <w:tab w:val="left" w:pos="1392"/>
        </w:tabs>
        <w:rPr>
          <w:rFonts w:eastAsia="STZhongsong"/>
        </w:rPr>
      </w:pPr>
    </w:p>
    <w:p w14:paraId="6B19F9AC" w14:textId="77777777" w:rsidR="00E560CC" w:rsidRPr="00C3320D" w:rsidRDefault="00E560CC" w:rsidP="00D40F55">
      <w:pPr>
        <w:pStyle w:val="MarginText"/>
        <w:spacing w:before="120" w:after="120"/>
        <w:rPr>
          <w:rFonts w:cs="Arial"/>
          <w:b/>
          <w:szCs w:val="22"/>
        </w:rPr>
        <w:sectPr w:rsidR="00E560CC" w:rsidRPr="00C3320D" w:rsidSect="005037E1">
          <w:headerReference w:type="even" r:id="rId13"/>
          <w:headerReference w:type="default" r:id="rId14"/>
          <w:footerReference w:type="even" r:id="rId15"/>
          <w:footerReference w:type="default" r:id="rId16"/>
          <w:headerReference w:type="first" r:id="rId17"/>
          <w:footerReference w:type="first" r:id="rId18"/>
          <w:endnotePr>
            <w:numFmt w:val="decimal"/>
          </w:endnotePr>
          <w:type w:val="continuous"/>
          <w:pgSz w:w="11909" w:h="16834" w:code="9"/>
          <w:pgMar w:top="1440" w:right="1440" w:bottom="1440" w:left="1440" w:header="706" w:footer="706" w:gutter="0"/>
          <w:cols w:space="720"/>
          <w:docGrid w:linePitch="299"/>
        </w:sectPr>
      </w:pPr>
    </w:p>
    <w:p w14:paraId="5E8C3564" w14:textId="6B4E9125" w:rsidR="00F807DC" w:rsidRPr="00C3320D" w:rsidRDefault="0046589E" w:rsidP="00D40F55">
      <w:pPr>
        <w:pStyle w:val="MarginText"/>
        <w:spacing w:before="120" w:after="120"/>
        <w:jc w:val="center"/>
        <w:rPr>
          <w:rFonts w:cs="Arial"/>
          <w:b/>
          <w:szCs w:val="22"/>
        </w:rPr>
      </w:pPr>
      <w:r w:rsidRPr="00C3320D">
        <w:rPr>
          <w:rFonts w:cs="Arial"/>
          <w:b/>
          <w:szCs w:val="22"/>
        </w:rPr>
        <w:lastRenderedPageBreak/>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1E954A53" w14:textId="003DAD68" w:rsidR="00D314BF"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61252496" w:history="1">
        <w:r w:rsidR="00D314BF" w:rsidRPr="00CC1C14">
          <w:rPr>
            <w:rStyle w:val="Hyperlink"/>
            <w:rFonts w:cs="Arial"/>
            <w:noProof/>
          </w:rPr>
          <w:t>1.</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DEFINITIONS AND INTERPRETATION</w:t>
        </w:r>
        <w:r w:rsidR="00D314BF">
          <w:rPr>
            <w:noProof/>
          </w:rPr>
          <w:tab/>
        </w:r>
        <w:r w:rsidR="00D314BF">
          <w:rPr>
            <w:noProof/>
          </w:rPr>
          <w:fldChar w:fldCharType="begin"/>
        </w:r>
        <w:r w:rsidR="00D314BF">
          <w:rPr>
            <w:noProof/>
          </w:rPr>
          <w:instrText xml:space="preserve"> PAGEREF _Toc61252496 \h </w:instrText>
        </w:r>
        <w:r w:rsidR="00D314BF">
          <w:rPr>
            <w:noProof/>
          </w:rPr>
        </w:r>
        <w:r w:rsidR="00D314BF">
          <w:rPr>
            <w:noProof/>
          </w:rPr>
          <w:fldChar w:fldCharType="separate"/>
        </w:r>
        <w:r w:rsidR="00D314BF">
          <w:rPr>
            <w:noProof/>
          </w:rPr>
          <w:t>13</w:t>
        </w:r>
        <w:r w:rsidR="00D314BF">
          <w:rPr>
            <w:noProof/>
          </w:rPr>
          <w:fldChar w:fldCharType="end"/>
        </w:r>
      </w:hyperlink>
    </w:p>
    <w:p w14:paraId="60511A3B" w14:textId="61A9167E" w:rsidR="00D314BF" w:rsidRDefault="00015F04">
      <w:pPr>
        <w:pStyle w:val="TOC1"/>
        <w:rPr>
          <w:rFonts w:asciiTheme="minorHAnsi" w:eastAsiaTheme="minorEastAsia" w:hAnsiTheme="minorHAnsi" w:cstheme="minorBidi"/>
          <w:caps w:val="0"/>
          <w:noProof/>
          <w:szCs w:val="22"/>
          <w:lang w:eastAsia="en-GB"/>
        </w:rPr>
      </w:pPr>
      <w:hyperlink w:anchor="_Toc61252497" w:history="1">
        <w:r w:rsidR="00D314BF" w:rsidRPr="00CC1C14">
          <w:rPr>
            <w:rStyle w:val="Hyperlink"/>
            <w:rFonts w:cs="Arial"/>
            <w:noProof/>
          </w:rPr>
          <w:t>2.</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The Ordered Panel Services</w:t>
        </w:r>
        <w:r w:rsidR="00D314BF">
          <w:rPr>
            <w:noProof/>
          </w:rPr>
          <w:tab/>
        </w:r>
        <w:r w:rsidR="00D314BF">
          <w:rPr>
            <w:noProof/>
          </w:rPr>
          <w:fldChar w:fldCharType="begin"/>
        </w:r>
        <w:r w:rsidR="00D314BF">
          <w:rPr>
            <w:noProof/>
          </w:rPr>
          <w:instrText xml:space="preserve"> PAGEREF _Toc61252497 \h </w:instrText>
        </w:r>
        <w:r w:rsidR="00D314BF">
          <w:rPr>
            <w:noProof/>
          </w:rPr>
        </w:r>
        <w:r w:rsidR="00D314BF">
          <w:rPr>
            <w:noProof/>
          </w:rPr>
          <w:fldChar w:fldCharType="separate"/>
        </w:r>
        <w:r w:rsidR="00D314BF">
          <w:rPr>
            <w:noProof/>
          </w:rPr>
          <w:t>14</w:t>
        </w:r>
        <w:r w:rsidR="00D314BF">
          <w:rPr>
            <w:noProof/>
          </w:rPr>
          <w:fldChar w:fldCharType="end"/>
        </w:r>
      </w:hyperlink>
    </w:p>
    <w:p w14:paraId="22683F99" w14:textId="295FC2B5" w:rsidR="00D314BF" w:rsidRDefault="00015F04">
      <w:pPr>
        <w:pStyle w:val="TOC1"/>
        <w:rPr>
          <w:rFonts w:asciiTheme="minorHAnsi" w:eastAsiaTheme="minorEastAsia" w:hAnsiTheme="minorHAnsi" w:cstheme="minorBidi"/>
          <w:caps w:val="0"/>
          <w:noProof/>
          <w:szCs w:val="22"/>
          <w:lang w:eastAsia="en-GB"/>
        </w:rPr>
      </w:pPr>
      <w:hyperlink w:anchor="_Toc61252498" w:history="1">
        <w:r w:rsidR="00D314BF" w:rsidRPr="00CC1C14">
          <w:rPr>
            <w:rStyle w:val="Hyperlink"/>
            <w:rFonts w:cs="Arial"/>
            <w:noProof/>
          </w:rPr>
          <w:t>3.</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Delivery and management of the Ordered Panel Services</w:t>
        </w:r>
        <w:r w:rsidR="00D314BF">
          <w:rPr>
            <w:noProof/>
          </w:rPr>
          <w:tab/>
        </w:r>
        <w:r w:rsidR="00D314BF">
          <w:rPr>
            <w:noProof/>
          </w:rPr>
          <w:fldChar w:fldCharType="begin"/>
        </w:r>
        <w:r w:rsidR="00D314BF">
          <w:rPr>
            <w:noProof/>
          </w:rPr>
          <w:instrText xml:space="preserve"> PAGEREF _Toc61252498 \h </w:instrText>
        </w:r>
        <w:r w:rsidR="00D314BF">
          <w:rPr>
            <w:noProof/>
          </w:rPr>
        </w:r>
        <w:r w:rsidR="00D314BF">
          <w:rPr>
            <w:noProof/>
          </w:rPr>
          <w:fldChar w:fldCharType="separate"/>
        </w:r>
        <w:r w:rsidR="00D314BF">
          <w:rPr>
            <w:noProof/>
          </w:rPr>
          <w:t>14</w:t>
        </w:r>
        <w:r w:rsidR="00D314BF">
          <w:rPr>
            <w:noProof/>
          </w:rPr>
          <w:fldChar w:fldCharType="end"/>
        </w:r>
      </w:hyperlink>
    </w:p>
    <w:p w14:paraId="145C9538" w14:textId="22FEB825" w:rsidR="00D314BF" w:rsidRDefault="00015F04">
      <w:pPr>
        <w:pStyle w:val="TOC1"/>
        <w:rPr>
          <w:rFonts w:asciiTheme="minorHAnsi" w:eastAsiaTheme="minorEastAsia" w:hAnsiTheme="minorHAnsi" w:cstheme="minorBidi"/>
          <w:caps w:val="0"/>
          <w:noProof/>
          <w:szCs w:val="22"/>
          <w:lang w:eastAsia="en-GB"/>
        </w:rPr>
      </w:pPr>
      <w:hyperlink w:anchor="_Toc61252499" w:history="1">
        <w:r w:rsidR="00D314BF" w:rsidRPr="00CC1C14">
          <w:rPr>
            <w:rStyle w:val="Hyperlink"/>
            <w:rFonts w:cs="Arial"/>
            <w:noProof/>
          </w:rPr>
          <w:t>4.</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Variation and Extension</w:t>
        </w:r>
        <w:r w:rsidR="00D314BF">
          <w:rPr>
            <w:noProof/>
          </w:rPr>
          <w:tab/>
        </w:r>
        <w:r w:rsidR="00D314BF">
          <w:rPr>
            <w:noProof/>
          </w:rPr>
          <w:fldChar w:fldCharType="begin"/>
        </w:r>
        <w:r w:rsidR="00D314BF">
          <w:rPr>
            <w:noProof/>
          </w:rPr>
          <w:instrText xml:space="preserve"> PAGEREF _Toc61252499 \h </w:instrText>
        </w:r>
        <w:r w:rsidR="00D314BF">
          <w:rPr>
            <w:noProof/>
          </w:rPr>
        </w:r>
        <w:r w:rsidR="00D314BF">
          <w:rPr>
            <w:noProof/>
          </w:rPr>
          <w:fldChar w:fldCharType="separate"/>
        </w:r>
        <w:r w:rsidR="00D314BF">
          <w:rPr>
            <w:noProof/>
          </w:rPr>
          <w:t>18</w:t>
        </w:r>
        <w:r w:rsidR="00D314BF">
          <w:rPr>
            <w:noProof/>
          </w:rPr>
          <w:fldChar w:fldCharType="end"/>
        </w:r>
      </w:hyperlink>
    </w:p>
    <w:p w14:paraId="3ED54781" w14:textId="59580378" w:rsidR="00D314BF" w:rsidRDefault="00015F04">
      <w:pPr>
        <w:pStyle w:val="TOC1"/>
        <w:rPr>
          <w:rFonts w:asciiTheme="minorHAnsi" w:eastAsiaTheme="minorEastAsia" w:hAnsiTheme="minorHAnsi" w:cstheme="minorBidi"/>
          <w:caps w:val="0"/>
          <w:noProof/>
          <w:szCs w:val="22"/>
          <w:lang w:eastAsia="en-GB"/>
        </w:rPr>
      </w:pPr>
      <w:hyperlink w:anchor="_Toc61252500" w:history="1">
        <w:r w:rsidR="00D314BF" w:rsidRPr="00CC1C14">
          <w:rPr>
            <w:rStyle w:val="Hyperlink"/>
            <w:rFonts w:cs="Arial"/>
            <w:noProof/>
          </w:rPr>
          <w:t>5.</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Personnel</w:t>
        </w:r>
        <w:r w:rsidR="00D314BF">
          <w:rPr>
            <w:noProof/>
          </w:rPr>
          <w:tab/>
        </w:r>
        <w:r w:rsidR="00D314BF">
          <w:rPr>
            <w:noProof/>
          </w:rPr>
          <w:fldChar w:fldCharType="begin"/>
        </w:r>
        <w:r w:rsidR="00D314BF">
          <w:rPr>
            <w:noProof/>
          </w:rPr>
          <w:instrText xml:space="preserve"> PAGEREF _Toc61252500 \h </w:instrText>
        </w:r>
        <w:r w:rsidR="00D314BF">
          <w:rPr>
            <w:noProof/>
          </w:rPr>
        </w:r>
        <w:r w:rsidR="00D314BF">
          <w:rPr>
            <w:noProof/>
          </w:rPr>
          <w:fldChar w:fldCharType="separate"/>
        </w:r>
        <w:r w:rsidR="00D314BF">
          <w:rPr>
            <w:noProof/>
          </w:rPr>
          <w:t>19</w:t>
        </w:r>
        <w:r w:rsidR="00D314BF">
          <w:rPr>
            <w:noProof/>
          </w:rPr>
          <w:fldChar w:fldCharType="end"/>
        </w:r>
      </w:hyperlink>
    </w:p>
    <w:p w14:paraId="1725089E" w14:textId="366D1FB6" w:rsidR="00D314BF" w:rsidRDefault="00015F04">
      <w:pPr>
        <w:pStyle w:val="TOC1"/>
        <w:rPr>
          <w:rFonts w:asciiTheme="minorHAnsi" w:eastAsiaTheme="minorEastAsia" w:hAnsiTheme="minorHAnsi" w:cstheme="minorBidi"/>
          <w:caps w:val="0"/>
          <w:noProof/>
          <w:szCs w:val="22"/>
          <w:lang w:eastAsia="en-GB"/>
        </w:rPr>
      </w:pPr>
      <w:hyperlink w:anchor="_Toc61252501" w:history="1">
        <w:r w:rsidR="00D314BF" w:rsidRPr="00CC1C14">
          <w:rPr>
            <w:rStyle w:val="Hyperlink"/>
            <w:rFonts w:cs="Arial"/>
            <w:noProof/>
          </w:rPr>
          <w:t>6.</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CHARGES AND INVOICING</w:t>
        </w:r>
        <w:r w:rsidR="00D314BF">
          <w:rPr>
            <w:noProof/>
          </w:rPr>
          <w:tab/>
        </w:r>
        <w:r w:rsidR="00D314BF">
          <w:rPr>
            <w:noProof/>
          </w:rPr>
          <w:fldChar w:fldCharType="begin"/>
        </w:r>
        <w:r w:rsidR="00D314BF">
          <w:rPr>
            <w:noProof/>
          </w:rPr>
          <w:instrText xml:space="preserve"> PAGEREF _Toc61252501 \h </w:instrText>
        </w:r>
        <w:r w:rsidR="00D314BF">
          <w:rPr>
            <w:noProof/>
          </w:rPr>
        </w:r>
        <w:r w:rsidR="00D314BF">
          <w:rPr>
            <w:noProof/>
          </w:rPr>
          <w:fldChar w:fldCharType="separate"/>
        </w:r>
        <w:r w:rsidR="00D314BF">
          <w:rPr>
            <w:noProof/>
          </w:rPr>
          <w:t>25</w:t>
        </w:r>
        <w:r w:rsidR="00D314BF">
          <w:rPr>
            <w:noProof/>
          </w:rPr>
          <w:fldChar w:fldCharType="end"/>
        </w:r>
      </w:hyperlink>
    </w:p>
    <w:p w14:paraId="02C84655" w14:textId="50E83251" w:rsidR="00D314BF" w:rsidRDefault="00015F04">
      <w:pPr>
        <w:pStyle w:val="TOC1"/>
        <w:rPr>
          <w:rFonts w:asciiTheme="minorHAnsi" w:eastAsiaTheme="minorEastAsia" w:hAnsiTheme="minorHAnsi" w:cstheme="minorBidi"/>
          <w:caps w:val="0"/>
          <w:noProof/>
          <w:szCs w:val="22"/>
          <w:lang w:eastAsia="en-GB"/>
        </w:rPr>
      </w:pPr>
      <w:hyperlink w:anchor="_Toc61252502" w:history="1">
        <w:r w:rsidR="00D314BF" w:rsidRPr="00CC1C14">
          <w:rPr>
            <w:rStyle w:val="Hyperlink"/>
            <w:rFonts w:cs="Arial"/>
            <w:noProof/>
          </w:rPr>
          <w:t>7.</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LIABILITY AND INSURANCE</w:t>
        </w:r>
        <w:r w:rsidR="00D314BF">
          <w:rPr>
            <w:noProof/>
          </w:rPr>
          <w:tab/>
        </w:r>
        <w:r w:rsidR="00D314BF">
          <w:rPr>
            <w:noProof/>
          </w:rPr>
          <w:fldChar w:fldCharType="begin"/>
        </w:r>
        <w:r w:rsidR="00D314BF">
          <w:rPr>
            <w:noProof/>
          </w:rPr>
          <w:instrText xml:space="preserve"> PAGEREF _Toc61252502 \h </w:instrText>
        </w:r>
        <w:r w:rsidR="00D314BF">
          <w:rPr>
            <w:noProof/>
          </w:rPr>
        </w:r>
        <w:r w:rsidR="00D314BF">
          <w:rPr>
            <w:noProof/>
          </w:rPr>
          <w:fldChar w:fldCharType="separate"/>
        </w:r>
        <w:r w:rsidR="00D314BF">
          <w:rPr>
            <w:noProof/>
          </w:rPr>
          <w:t>27</w:t>
        </w:r>
        <w:r w:rsidR="00D314BF">
          <w:rPr>
            <w:noProof/>
          </w:rPr>
          <w:fldChar w:fldCharType="end"/>
        </w:r>
      </w:hyperlink>
    </w:p>
    <w:p w14:paraId="583ECF71" w14:textId="6576DB48" w:rsidR="00D314BF" w:rsidRDefault="00015F04">
      <w:pPr>
        <w:pStyle w:val="TOC1"/>
        <w:rPr>
          <w:rFonts w:asciiTheme="minorHAnsi" w:eastAsiaTheme="minorEastAsia" w:hAnsiTheme="minorHAnsi" w:cstheme="minorBidi"/>
          <w:caps w:val="0"/>
          <w:noProof/>
          <w:szCs w:val="22"/>
          <w:lang w:eastAsia="en-GB"/>
        </w:rPr>
      </w:pPr>
      <w:hyperlink w:anchor="_Toc61252503" w:history="1">
        <w:r w:rsidR="00D314BF" w:rsidRPr="00CC1C14">
          <w:rPr>
            <w:rStyle w:val="Hyperlink"/>
            <w:rFonts w:cs="Arial"/>
            <w:noProof/>
          </w:rPr>
          <w:t>8.</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INTELLECTUAL PROPERTY RIGHTS</w:t>
        </w:r>
        <w:r w:rsidR="00D314BF">
          <w:rPr>
            <w:noProof/>
          </w:rPr>
          <w:tab/>
        </w:r>
        <w:r w:rsidR="00D314BF">
          <w:rPr>
            <w:noProof/>
          </w:rPr>
          <w:fldChar w:fldCharType="begin"/>
        </w:r>
        <w:r w:rsidR="00D314BF">
          <w:rPr>
            <w:noProof/>
          </w:rPr>
          <w:instrText xml:space="preserve"> PAGEREF _Toc61252503 \h </w:instrText>
        </w:r>
        <w:r w:rsidR="00D314BF">
          <w:rPr>
            <w:noProof/>
          </w:rPr>
        </w:r>
        <w:r w:rsidR="00D314BF">
          <w:rPr>
            <w:noProof/>
          </w:rPr>
          <w:fldChar w:fldCharType="separate"/>
        </w:r>
        <w:r w:rsidR="00D314BF">
          <w:rPr>
            <w:noProof/>
          </w:rPr>
          <w:t>29</w:t>
        </w:r>
        <w:r w:rsidR="00D314BF">
          <w:rPr>
            <w:noProof/>
          </w:rPr>
          <w:fldChar w:fldCharType="end"/>
        </w:r>
      </w:hyperlink>
    </w:p>
    <w:p w14:paraId="7CA91477" w14:textId="4710C074" w:rsidR="00D314BF" w:rsidRDefault="00015F04">
      <w:pPr>
        <w:pStyle w:val="TOC1"/>
        <w:rPr>
          <w:rFonts w:asciiTheme="minorHAnsi" w:eastAsiaTheme="minorEastAsia" w:hAnsiTheme="minorHAnsi" w:cstheme="minorBidi"/>
          <w:caps w:val="0"/>
          <w:noProof/>
          <w:szCs w:val="22"/>
          <w:lang w:eastAsia="en-GB"/>
        </w:rPr>
      </w:pPr>
      <w:hyperlink w:anchor="_Toc61252504" w:history="1">
        <w:r w:rsidR="00D314BF" w:rsidRPr="00CC1C14">
          <w:rPr>
            <w:rStyle w:val="Hyperlink"/>
            <w:rFonts w:cs="Arial"/>
            <w:noProof/>
          </w:rPr>
          <w:t>9.</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PROTECTION OF INFORMATION</w:t>
        </w:r>
        <w:r w:rsidR="00D314BF">
          <w:rPr>
            <w:noProof/>
          </w:rPr>
          <w:tab/>
        </w:r>
        <w:r w:rsidR="00D314BF">
          <w:rPr>
            <w:noProof/>
          </w:rPr>
          <w:fldChar w:fldCharType="begin"/>
        </w:r>
        <w:r w:rsidR="00D314BF">
          <w:rPr>
            <w:noProof/>
          </w:rPr>
          <w:instrText xml:space="preserve"> PAGEREF _Toc61252504 \h </w:instrText>
        </w:r>
        <w:r w:rsidR="00D314BF">
          <w:rPr>
            <w:noProof/>
          </w:rPr>
        </w:r>
        <w:r w:rsidR="00D314BF">
          <w:rPr>
            <w:noProof/>
          </w:rPr>
          <w:fldChar w:fldCharType="separate"/>
        </w:r>
        <w:r w:rsidR="00D314BF">
          <w:rPr>
            <w:noProof/>
          </w:rPr>
          <w:t>30</w:t>
        </w:r>
        <w:r w:rsidR="00D314BF">
          <w:rPr>
            <w:noProof/>
          </w:rPr>
          <w:fldChar w:fldCharType="end"/>
        </w:r>
      </w:hyperlink>
    </w:p>
    <w:p w14:paraId="7D831815" w14:textId="34CCDF39" w:rsidR="00D314BF" w:rsidRDefault="00015F04">
      <w:pPr>
        <w:pStyle w:val="TOC1"/>
        <w:rPr>
          <w:rFonts w:asciiTheme="minorHAnsi" w:eastAsiaTheme="minorEastAsia" w:hAnsiTheme="minorHAnsi" w:cstheme="minorBidi"/>
          <w:caps w:val="0"/>
          <w:noProof/>
          <w:szCs w:val="22"/>
          <w:lang w:eastAsia="en-GB"/>
        </w:rPr>
      </w:pPr>
      <w:hyperlink w:anchor="_Toc61252505" w:history="1">
        <w:r w:rsidR="00D314BF" w:rsidRPr="00CC1C14">
          <w:rPr>
            <w:rStyle w:val="Hyperlink"/>
            <w:rFonts w:cs="Arial"/>
            <w:noProof/>
          </w:rPr>
          <w:t>10.</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WARRANTIES, REPRESENTATIONS AND UNDERTAKINGS</w:t>
        </w:r>
        <w:r w:rsidR="00D314BF">
          <w:rPr>
            <w:noProof/>
          </w:rPr>
          <w:tab/>
        </w:r>
        <w:r w:rsidR="00D314BF">
          <w:rPr>
            <w:noProof/>
          </w:rPr>
          <w:fldChar w:fldCharType="begin"/>
        </w:r>
        <w:r w:rsidR="00D314BF">
          <w:rPr>
            <w:noProof/>
          </w:rPr>
          <w:instrText xml:space="preserve"> PAGEREF _Toc61252505 \h </w:instrText>
        </w:r>
        <w:r w:rsidR="00D314BF">
          <w:rPr>
            <w:noProof/>
          </w:rPr>
        </w:r>
        <w:r w:rsidR="00D314BF">
          <w:rPr>
            <w:noProof/>
          </w:rPr>
          <w:fldChar w:fldCharType="separate"/>
        </w:r>
        <w:r w:rsidR="00D314BF">
          <w:rPr>
            <w:noProof/>
          </w:rPr>
          <w:t>35</w:t>
        </w:r>
        <w:r w:rsidR="00D314BF">
          <w:rPr>
            <w:noProof/>
          </w:rPr>
          <w:fldChar w:fldCharType="end"/>
        </w:r>
      </w:hyperlink>
    </w:p>
    <w:p w14:paraId="293FCB67" w14:textId="2C4957A1" w:rsidR="00D314BF" w:rsidRDefault="00015F04">
      <w:pPr>
        <w:pStyle w:val="TOC1"/>
        <w:rPr>
          <w:rFonts w:asciiTheme="minorHAnsi" w:eastAsiaTheme="minorEastAsia" w:hAnsiTheme="minorHAnsi" w:cstheme="minorBidi"/>
          <w:caps w:val="0"/>
          <w:noProof/>
          <w:szCs w:val="22"/>
          <w:lang w:eastAsia="en-GB"/>
        </w:rPr>
      </w:pPr>
      <w:hyperlink w:anchor="_Toc61252506" w:history="1">
        <w:r w:rsidR="00D314BF" w:rsidRPr="00CC1C14">
          <w:rPr>
            <w:rStyle w:val="Hyperlink"/>
            <w:rFonts w:cs="Arial"/>
            <w:noProof/>
          </w:rPr>
          <w:t>11.</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TERMINATION</w:t>
        </w:r>
        <w:r w:rsidR="00D314BF">
          <w:rPr>
            <w:noProof/>
          </w:rPr>
          <w:tab/>
        </w:r>
        <w:r w:rsidR="00D314BF">
          <w:rPr>
            <w:noProof/>
          </w:rPr>
          <w:fldChar w:fldCharType="begin"/>
        </w:r>
        <w:r w:rsidR="00D314BF">
          <w:rPr>
            <w:noProof/>
          </w:rPr>
          <w:instrText xml:space="preserve"> PAGEREF _Toc61252506 \h </w:instrText>
        </w:r>
        <w:r w:rsidR="00D314BF">
          <w:rPr>
            <w:noProof/>
          </w:rPr>
        </w:r>
        <w:r w:rsidR="00D314BF">
          <w:rPr>
            <w:noProof/>
          </w:rPr>
          <w:fldChar w:fldCharType="separate"/>
        </w:r>
        <w:r w:rsidR="00D314BF">
          <w:rPr>
            <w:noProof/>
          </w:rPr>
          <w:t>37</w:t>
        </w:r>
        <w:r w:rsidR="00D314BF">
          <w:rPr>
            <w:noProof/>
          </w:rPr>
          <w:fldChar w:fldCharType="end"/>
        </w:r>
      </w:hyperlink>
    </w:p>
    <w:p w14:paraId="0F6AE5F1" w14:textId="77139A17" w:rsidR="00D314BF" w:rsidRDefault="00015F04">
      <w:pPr>
        <w:pStyle w:val="TOC1"/>
        <w:rPr>
          <w:rFonts w:asciiTheme="minorHAnsi" w:eastAsiaTheme="minorEastAsia" w:hAnsiTheme="minorHAnsi" w:cstheme="minorBidi"/>
          <w:caps w:val="0"/>
          <w:noProof/>
          <w:szCs w:val="22"/>
          <w:lang w:eastAsia="en-GB"/>
        </w:rPr>
      </w:pPr>
      <w:hyperlink w:anchor="_Toc61252507" w:history="1">
        <w:r w:rsidR="00D314BF" w:rsidRPr="00CC1C14">
          <w:rPr>
            <w:rStyle w:val="Hyperlink"/>
            <w:rFonts w:cs="Arial"/>
            <w:noProof/>
          </w:rPr>
          <w:t>12.</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CONSEQUENCES OF EXPIRY OR TERMINATION</w:t>
        </w:r>
        <w:r w:rsidR="00D314BF">
          <w:rPr>
            <w:noProof/>
          </w:rPr>
          <w:tab/>
        </w:r>
        <w:r w:rsidR="00D314BF">
          <w:rPr>
            <w:noProof/>
          </w:rPr>
          <w:fldChar w:fldCharType="begin"/>
        </w:r>
        <w:r w:rsidR="00D314BF">
          <w:rPr>
            <w:noProof/>
          </w:rPr>
          <w:instrText xml:space="preserve"> PAGEREF _Toc61252507 \h </w:instrText>
        </w:r>
        <w:r w:rsidR="00D314BF">
          <w:rPr>
            <w:noProof/>
          </w:rPr>
        </w:r>
        <w:r w:rsidR="00D314BF">
          <w:rPr>
            <w:noProof/>
          </w:rPr>
          <w:fldChar w:fldCharType="separate"/>
        </w:r>
        <w:r w:rsidR="00D314BF">
          <w:rPr>
            <w:noProof/>
          </w:rPr>
          <w:t>40</w:t>
        </w:r>
        <w:r w:rsidR="00D314BF">
          <w:rPr>
            <w:noProof/>
          </w:rPr>
          <w:fldChar w:fldCharType="end"/>
        </w:r>
      </w:hyperlink>
    </w:p>
    <w:p w14:paraId="130418E2" w14:textId="01E81E72" w:rsidR="00D314BF" w:rsidRDefault="00015F04">
      <w:pPr>
        <w:pStyle w:val="TOC1"/>
        <w:rPr>
          <w:rFonts w:asciiTheme="minorHAnsi" w:eastAsiaTheme="minorEastAsia" w:hAnsiTheme="minorHAnsi" w:cstheme="minorBidi"/>
          <w:caps w:val="0"/>
          <w:noProof/>
          <w:szCs w:val="22"/>
          <w:lang w:eastAsia="en-GB"/>
        </w:rPr>
      </w:pPr>
      <w:hyperlink w:anchor="_Toc61252508" w:history="1">
        <w:r w:rsidR="00D314BF" w:rsidRPr="00CC1C14">
          <w:rPr>
            <w:rStyle w:val="Hyperlink"/>
            <w:rFonts w:cs="Arial"/>
            <w:noProof/>
          </w:rPr>
          <w:t>13.</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PUBLICITY, MEDIA AND OFFICIAL ENQUIRIES</w:t>
        </w:r>
        <w:r w:rsidR="00D314BF">
          <w:rPr>
            <w:noProof/>
          </w:rPr>
          <w:tab/>
        </w:r>
        <w:r w:rsidR="00D314BF">
          <w:rPr>
            <w:noProof/>
          </w:rPr>
          <w:fldChar w:fldCharType="begin"/>
        </w:r>
        <w:r w:rsidR="00D314BF">
          <w:rPr>
            <w:noProof/>
          </w:rPr>
          <w:instrText xml:space="preserve"> PAGEREF _Toc61252508 \h </w:instrText>
        </w:r>
        <w:r w:rsidR="00D314BF">
          <w:rPr>
            <w:noProof/>
          </w:rPr>
        </w:r>
        <w:r w:rsidR="00D314BF">
          <w:rPr>
            <w:noProof/>
          </w:rPr>
          <w:fldChar w:fldCharType="separate"/>
        </w:r>
        <w:r w:rsidR="00D314BF">
          <w:rPr>
            <w:noProof/>
          </w:rPr>
          <w:t>42</w:t>
        </w:r>
        <w:r w:rsidR="00D314BF">
          <w:rPr>
            <w:noProof/>
          </w:rPr>
          <w:fldChar w:fldCharType="end"/>
        </w:r>
      </w:hyperlink>
    </w:p>
    <w:p w14:paraId="1F3B50C6" w14:textId="1BB785FE" w:rsidR="00D314BF" w:rsidRDefault="00015F04">
      <w:pPr>
        <w:pStyle w:val="TOC1"/>
        <w:rPr>
          <w:rFonts w:asciiTheme="minorHAnsi" w:eastAsiaTheme="minorEastAsia" w:hAnsiTheme="minorHAnsi" w:cstheme="minorBidi"/>
          <w:caps w:val="0"/>
          <w:noProof/>
          <w:szCs w:val="22"/>
          <w:lang w:eastAsia="en-GB"/>
        </w:rPr>
      </w:pPr>
      <w:hyperlink w:anchor="_Toc61252509" w:history="1">
        <w:r w:rsidR="00D314BF" w:rsidRPr="00CC1C14">
          <w:rPr>
            <w:rStyle w:val="Hyperlink"/>
            <w:rFonts w:cs="Arial"/>
            <w:noProof/>
          </w:rPr>
          <w:t>14.</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PREVENTION OF FRAUD AND BRIBERY</w:t>
        </w:r>
        <w:r w:rsidR="00D314BF">
          <w:rPr>
            <w:noProof/>
          </w:rPr>
          <w:tab/>
        </w:r>
        <w:r w:rsidR="00D314BF">
          <w:rPr>
            <w:noProof/>
          </w:rPr>
          <w:fldChar w:fldCharType="begin"/>
        </w:r>
        <w:r w:rsidR="00D314BF">
          <w:rPr>
            <w:noProof/>
          </w:rPr>
          <w:instrText xml:space="preserve"> PAGEREF _Toc61252509 \h </w:instrText>
        </w:r>
        <w:r w:rsidR="00D314BF">
          <w:rPr>
            <w:noProof/>
          </w:rPr>
        </w:r>
        <w:r w:rsidR="00D314BF">
          <w:rPr>
            <w:noProof/>
          </w:rPr>
          <w:fldChar w:fldCharType="separate"/>
        </w:r>
        <w:r w:rsidR="00D314BF">
          <w:rPr>
            <w:noProof/>
          </w:rPr>
          <w:t>42</w:t>
        </w:r>
        <w:r w:rsidR="00D314BF">
          <w:rPr>
            <w:noProof/>
          </w:rPr>
          <w:fldChar w:fldCharType="end"/>
        </w:r>
      </w:hyperlink>
    </w:p>
    <w:p w14:paraId="41967806" w14:textId="114EC3D3" w:rsidR="00D314BF" w:rsidRDefault="00015F04">
      <w:pPr>
        <w:pStyle w:val="TOC1"/>
        <w:rPr>
          <w:rFonts w:asciiTheme="minorHAnsi" w:eastAsiaTheme="minorEastAsia" w:hAnsiTheme="minorHAnsi" w:cstheme="minorBidi"/>
          <w:caps w:val="0"/>
          <w:noProof/>
          <w:szCs w:val="22"/>
          <w:lang w:eastAsia="en-GB"/>
        </w:rPr>
      </w:pPr>
      <w:hyperlink w:anchor="_Toc61252510" w:history="1">
        <w:r w:rsidR="00D314BF" w:rsidRPr="00CC1C14">
          <w:rPr>
            <w:rStyle w:val="Hyperlink"/>
            <w:rFonts w:cs="Arial"/>
            <w:noProof/>
          </w:rPr>
          <w:t>15.</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NON-DISCRIMINATION</w:t>
        </w:r>
        <w:r w:rsidR="00D314BF">
          <w:rPr>
            <w:noProof/>
          </w:rPr>
          <w:tab/>
        </w:r>
        <w:r w:rsidR="00D314BF">
          <w:rPr>
            <w:noProof/>
          </w:rPr>
          <w:fldChar w:fldCharType="begin"/>
        </w:r>
        <w:r w:rsidR="00D314BF">
          <w:rPr>
            <w:noProof/>
          </w:rPr>
          <w:instrText xml:space="preserve"> PAGEREF _Toc61252510 \h </w:instrText>
        </w:r>
        <w:r w:rsidR="00D314BF">
          <w:rPr>
            <w:noProof/>
          </w:rPr>
        </w:r>
        <w:r w:rsidR="00D314BF">
          <w:rPr>
            <w:noProof/>
          </w:rPr>
          <w:fldChar w:fldCharType="separate"/>
        </w:r>
        <w:r w:rsidR="00D314BF">
          <w:rPr>
            <w:noProof/>
          </w:rPr>
          <w:t>43</w:t>
        </w:r>
        <w:r w:rsidR="00D314BF">
          <w:rPr>
            <w:noProof/>
          </w:rPr>
          <w:fldChar w:fldCharType="end"/>
        </w:r>
      </w:hyperlink>
    </w:p>
    <w:p w14:paraId="44874B95" w14:textId="3465875D" w:rsidR="00D314BF" w:rsidRDefault="00015F04">
      <w:pPr>
        <w:pStyle w:val="TOC1"/>
        <w:rPr>
          <w:rFonts w:asciiTheme="minorHAnsi" w:eastAsiaTheme="minorEastAsia" w:hAnsiTheme="minorHAnsi" w:cstheme="minorBidi"/>
          <w:caps w:val="0"/>
          <w:noProof/>
          <w:szCs w:val="22"/>
          <w:lang w:eastAsia="en-GB"/>
        </w:rPr>
      </w:pPr>
      <w:hyperlink w:anchor="_Toc61252511" w:history="1">
        <w:r w:rsidR="00D314BF" w:rsidRPr="00CC1C14">
          <w:rPr>
            <w:rStyle w:val="Hyperlink"/>
            <w:rFonts w:cs="Arial"/>
            <w:noProof/>
          </w:rPr>
          <w:t>16.</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ASSIGNMENT AND NOVATION</w:t>
        </w:r>
        <w:r w:rsidR="00D314BF">
          <w:rPr>
            <w:noProof/>
          </w:rPr>
          <w:tab/>
        </w:r>
        <w:r w:rsidR="00D314BF">
          <w:rPr>
            <w:noProof/>
          </w:rPr>
          <w:fldChar w:fldCharType="begin"/>
        </w:r>
        <w:r w:rsidR="00D314BF">
          <w:rPr>
            <w:noProof/>
          </w:rPr>
          <w:instrText xml:space="preserve"> PAGEREF _Toc61252511 \h </w:instrText>
        </w:r>
        <w:r w:rsidR="00D314BF">
          <w:rPr>
            <w:noProof/>
          </w:rPr>
        </w:r>
        <w:r w:rsidR="00D314BF">
          <w:rPr>
            <w:noProof/>
          </w:rPr>
          <w:fldChar w:fldCharType="separate"/>
        </w:r>
        <w:r w:rsidR="00D314BF">
          <w:rPr>
            <w:noProof/>
          </w:rPr>
          <w:t>44</w:t>
        </w:r>
        <w:r w:rsidR="00D314BF">
          <w:rPr>
            <w:noProof/>
          </w:rPr>
          <w:fldChar w:fldCharType="end"/>
        </w:r>
      </w:hyperlink>
    </w:p>
    <w:p w14:paraId="156B5EF6" w14:textId="439E85A4" w:rsidR="00D314BF" w:rsidRDefault="00015F04">
      <w:pPr>
        <w:pStyle w:val="TOC1"/>
        <w:rPr>
          <w:rFonts w:asciiTheme="minorHAnsi" w:eastAsiaTheme="minorEastAsia" w:hAnsiTheme="minorHAnsi" w:cstheme="minorBidi"/>
          <w:caps w:val="0"/>
          <w:noProof/>
          <w:szCs w:val="22"/>
          <w:lang w:eastAsia="en-GB"/>
        </w:rPr>
      </w:pPr>
      <w:hyperlink w:anchor="_Toc61252512" w:history="1">
        <w:r w:rsidR="00D314BF" w:rsidRPr="00CC1C14">
          <w:rPr>
            <w:rStyle w:val="Hyperlink"/>
            <w:rFonts w:cs="Arial"/>
            <w:noProof/>
          </w:rPr>
          <w:t>17.</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WAIVER AND CUMULATIVE REMEDIES</w:t>
        </w:r>
        <w:r w:rsidR="00D314BF">
          <w:rPr>
            <w:noProof/>
          </w:rPr>
          <w:tab/>
        </w:r>
        <w:r w:rsidR="00D314BF">
          <w:rPr>
            <w:noProof/>
          </w:rPr>
          <w:fldChar w:fldCharType="begin"/>
        </w:r>
        <w:r w:rsidR="00D314BF">
          <w:rPr>
            <w:noProof/>
          </w:rPr>
          <w:instrText xml:space="preserve"> PAGEREF _Toc61252512 \h </w:instrText>
        </w:r>
        <w:r w:rsidR="00D314BF">
          <w:rPr>
            <w:noProof/>
          </w:rPr>
        </w:r>
        <w:r w:rsidR="00D314BF">
          <w:rPr>
            <w:noProof/>
          </w:rPr>
          <w:fldChar w:fldCharType="separate"/>
        </w:r>
        <w:r w:rsidR="00D314BF">
          <w:rPr>
            <w:noProof/>
          </w:rPr>
          <w:t>45</w:t>
        </w:r>
        <w:r w:rsidR="00D314BF">
          <w:rPr>
            <w:noProof/>
          </w:rPr>
          <w:fldChar w:fldCharType="end"/>
        </w:r>
      </w:hyperlink>
    </w:p>
    <w:p w14:paraId="5326AFF3" w14:textId="69BEFA2D" w:rsidR="00D314BF" w:rsidRDefault="00015F04">
      <w:pPr>
        <w:pStyle w:val="TOC1"/>
        <w:rPr>
          <w:rFonts w:asciiTheme="minorHAnsi" w:eastAsiaTheme="minorEastAsia" w:hAnsiTheme="minorHAnsi" w:cstheme="minorBidi"/>
          <w:caps w:val="0"/>
          <w:noProof/>
          <w:szCs w:val="22"/>
          <w:lang w:eastAsia="en-GB"/>
        </w:rPr>
      </w:pPr>
      <w:hyperlink w:anchor="_Toc61252513" w:history="1">
        <w:r w:rsidR="00D314BF" w:rsidRPr="00CC1C14">
          <w:rPr>
            <w:rStyle w:val="Hyperlink"/>
            <w:rFonts w:cs="Arial"/>
            <w:noProof/>
          </w:rPr>
          <w:t>18.</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FURTHER ASSURANCES</w:t>
        </w:r>
        <w:r w:rsidR="00D314BF">
          <w:rPr>
            <w:noProof/>
          </w:rPr>
          <w:tab/>
        </w:r>
        <w:r w:rsidR="00D314BF">
          <w:rPr>
            <w:noProof/>
          </w:rPr>
          <w:fldChar w:fldCharType="begin"/>
        </w:r>
        <w:r w:rsidR="00D314BF">
          <w:rPr>
            <w:noProof/>
          </w:rPr>
          <w:instrText xml:space="preserve"> PAGEREF _Toc61252513 \h </w:instrText>
        </w:r>
        <w:r w:rsidR="00D314BF">
          <w:rPr>
            <w:noProof/>
          </w:rPr>
        </w:r>
        <w:r w:rsidR="00D314BF">
          <w:rPr>
            <w:noProof/>
          </w:rPr>
          <w:fldChar w:fldCharType="separate"/>
        </w:r>
        <w:r w:rsidR="00D314BF">
          <w:rPr>
            <w:noProof/>
          </w:rPr>
          <w:t>45</w:t>
        </w:r>
        <w:r w:rsidR="00D314BF">
          <w:rPr>
            <w:noProof/>
          </w:rPr>
          <w:fldChar w:fldCharType="end"/>
        </w:r>
      </w:hyperlink>
    </w:p>
    <w:p w14:paraId="0E38DA0B" w14:textId="6DCBAE59" w:rsidR="00D314BF" w:rsidRDefault="00015F04">
      <w:pPr>
        <w:pStyle w:val="TOC1"/>
        <w:rPr>
          <w:rFonts w:asciiTheme="minorHAnsi" w:eastAsiaTheme="minorEastAsia" w:hAnsiTheme="minorHAnsi" w:cstheme="minorBidi"/>
          <w:caps w:val="0"/>
          <w:noProof/>
          <w:szCs w:val="22"/>
          <w:lang w:eastAsia="en-GB"/>
        </w:rPr>
      </w:pPr>
      <w:hyperlink w:anchor="_Toc61252514" w:history="1">
        <w:r w:rsidR="00D314BF" w:rsidRPr="00CC1C14">
          <w:rPr>
            <w:rStyle w:val="Hyperlink"/>
            <w:rFonts w:cs="Arial"/>
            <w:noProof/>
          </w:rPr>
          <w:t>19.</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SEVERABILITY</w:t>
        </w:r>
        <w:r w:rsidR="00D314BF">
          <w:rPr>
            <w:noProof/>
          </w:rPr>
          <w:tab/>
        </w:r>
        <w:r w:rsidR="00D314BF">
          <w:rPr>
            <w:noProof/>
          </w:rPr>
          <w:fldChar w:fldCharType="begin"/>
        </w:r>
        <w:r w:rsidR="00D314BF">
          <w:rPr>
            <w:noProof/>
          </w:rPr>
          <w:instrText xml:space="preserve"> PAGEREF _Toc61252514 \h </w:instrText>
        </w:r>
        <w:r w:rsidR="00D314BF">
          <w:rPr>
            <w:noProof/>
          </w:rPr>
        </w:r>
        <w:r w:rsidR="00D314BF">
          <w:rPr>
            <w:noProof/>
          </w:rPr>
          <w:fldChar w:fldCharType="separate"/>
        </w:r>
        <w:r w:rsidR="00D314BF">
          <w:rPr>
            <w:noProof/>
          </w:rPr>
          <w:t>45</w:t>
        </w:r>
        <w:r w:rsidR="00D314BF">
          <w:rPr>
            <w:noProof/>
          </w:rPr>
          <w:fldChar w:fldCharType="end"/>
        </w:r>
      </w:hyperlink>
    </w:p>
    <w:p w14:paraId="36118687" w14:textId="6023C839" w:rsidR="00D314BF" w:rsidRDefault="00015F04">
      <w:pPr>
        <w:pStyle w:val="TOC1"/>
        <w:rPr>
          <w:rFonts w:asciiTheme="minorHAnsi" w:eastAsiaTheme="minorEastAsia" w:hAnsiTheme="minorHAnsi" w:cstheme="minorBidi"/>
          <w:caps w:val="0"/>
          <w:noProof/>
          <w:szCs w:val="22"/>
          <w:lang w:eastAsia="en-GB"/>
        </w:rPr>
      </w:pPr>
      <w:hyperlink w:anchor="_Toc61252515" w:history="1">
        <w:r w:rsidR="00D314BF" w:rsidRPr="00CC1C14">
          <w:rPr>
            <w:rStyle w:val="Hyperlink"/>
            <w:rFonts w:cs="Arial"/>
            <w:noProof/>
          </w:rPr>
          <w:t>20.</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RELATIONSHIP OF THE PARTIES</w:t>
        </w:r>
        <w:r w:rsidR="00D314BF">
          <w:rPr>
            <w:noProof/>
          </w:rPr>
          <w:tab/>
        </w:r>
        <w:r w:rsidR="00D314BF">
          <w:rPr>
            <w:noProof/>
          </w:rPr>
          <w:fldChar w:fldCharType="begin"/>
        </w:r>
        <w:r w:rsidR="00D314BF">
          <w:rPr>
            <w:noProof/>
          </w:rPr>
          <w:instrText xml:space="preserve"> PAGEREF _Toc61252515 \h </w:instrText>
        </w:r>
        <w:r w:rsidR="00D314BF">
          <w:rPr>
            <w:noProof/>
          </w:rPr>
        </w:r>
        <w:r w:rsidR="00D314BF">
          <w:rPr>
            <w:noProof/>
          </w:rPr>
          <w:fldChar w:fldCharType="separate"/>
        </w:r>
        <w:r w:rsidR="00D314BF">
          <w:rPr>
            <w:noProof/>
          </w:rPr>
          <w:t>45</w:t>
        </w:r>
        <w:r w:rsidR="00D314BF">
          <w:rPr>
            <w:noProof/>
          </w:rPr>
          <w:fldChar w:fldCharType="end"/>
        </w:r>
      </w:hyperlink>
    </w:p>
    <w:p w14:paraId="5962BB2A" w14:textId="46C9D983" w:rsidR="00D314BF" w:rsidRDefault="00015F04">
      <w:pPr>
        <w:pStyle w:val="TOC1"/>
        <w:rPr>
          <w:rFonts w:asciiTheme="minorHAnsi" w:eastAsiaTheme="minorEastAsia" w:hAnsiTheme="minorHAnsi" w:cstheme="minorBidi"/>
          <w:caps w:val="0"/>
          <w:noProof/>
          <w:szCs w:val="22"/>
          <w:lang w:eastAsia="en-GB"/>
        </w:rPr>
      </w:pPr>
      <w:hyperlink w:anchor="_Toc61252516" w:history="1">
        <w:r w:rsidR="00D314BF" w:rsidRPr="00CC1C14">
          <w:rPr>
            <w:rStyle w:val="Hyperlink"/>
            <w:rFonts w:cs="Arial"/>
            <w:noProof/>
          </w:rPr>
          <w:t>21.</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ENTIRE AGREEMENT</w:t>
        </w:r>
        <w:r w:rsidR="00D314BF">
          <w:rPr>
            <w:noProof/>
          </w:rPr>
          <w:tab/>
        </w:r>
        <w:r w:rsidR="00D314BF">
          <w:rPr>
            <w:noProof/>
          </w:rPr>
          <w:fldChar w:fldCharType="begin"/>
        </w:r>
        <w:r w:rsidR="00D314BF">
          <w:rPr>
            <w:noProof/>
          </w:rPr>
          <w:instrText xml:space="preserve"> PAGEREF _Toc61252516 \h </w:instrText>
        </w:r>
        <w:r w:rsidR="00D314BF">
          <w:rPr>
            <w:noProof/>
          </w:rPr>
        </w:r>
        <w:r w:rsidR="00D314BF">
          <w:rPr>
            <w:noProof/>
          </w:rPr>
          <w:fldChar w:fldCharType="separate"/>
        </w:r>
        <w:r w:rsidR="00D314BF">
          <w:rPr>
            <w:noProof/>
          </w:rPr>
          <w:t>45</w:t>
        </w:r>
        <w:r w:rsidR="00D314BF">
          <w:rPr>
            <w:noProof/>
          </w:rPr>
          <w:fldChar w:fldCharType="end"/>
        </w:r>
      </w:hyperlink>
    </w:p>
    <w:p w14:paraId="3BB31718" w14:textId="151FC141" w:rsidR="00D314BF" w:rsidRDefault="00015F04">
      <w:pPr>
        <w:pStyle w:val="TOC1"/>
        <w:rPr>
          <w:rFonts w:asciiTheme="minorHAnsi" w:eastAsiaTheme="minorEastAsia" w:hAnsiTheme="minorHAnsi" w:cstheme="minorBidi"/>
          <w:caps w:val="0"/>
          <w:noProof/>
          <w:szCs w:val="22"/>
          <w:lang w:eastAsia="en-GB"/>
        </w:rPr>
      </w:pPr>
      <w:hyperlink w:anchor="_Toc61252517" w:history="1">
        <w:r w:rsidR="00D314BF" w:rsidRPr="00CC1C14">
          <w:rPr>
            <w:rStyle w:val="Hyperlink"/>
            <w:rFonts w:cs="Arial"/>
            <w:noProof/>
          </w:rPr>
          <w:t>22.</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CONTRACTS (RIGHTS OF THIRD PARTIES) ACT</w:t>
        </w:r>
        <w:r w:rsidR="00D314BF">
          <w:rPr>
            <w:noProof/>
          </w:rPr>
          <w:tab/>
        </w:r>
        <w:r w:rsidR="00D314BF">
          <w:rPr>
            <w:noProof/>
          </w:rPr>
          <w:fldChar w:fldCharType="begin"/>
        </w:r>
        <w:r w:rsidR="00D314BF">
          <w:rPr>
            <w:noProof/>
          </w:rPr>
          <w:instrText xml:space="preserve"> PAGEREF _Toc61252517 \h </w:instrText>
        </w:r>
        <w:r w:rsidR="00D314BF">
          <w:rPr>
            <w:noProof/>
          </w:rPr>
        </w:r>
        <w:r w:rsidR="00D314BF">
          <w:rPr>
            <w:noProof/>
          </w:rPr>
          <w:fldChar w:fldCharType="separate"/>
        </w:r>
        <w:r w:rsidR="00D314BF">
          <w:rPr>
            <w:noProof/>
          </w:rPr>
          <w:t>46</w:t>
        </w:r>
        <w:r w:rsidR="00D314BF">
          <w:rPr>
            <w:noProof/>
          </w:rPr>
          <w:fldChar w:fldCharType="end"/>
        </w:r>
      </w:hyperlink>
    </w:p>
    <w:p w14:paraId="6089CF94" w14:textId="2052FF58" w:rsidR="00D314BF" w:rsidRDefault="00015F04">
      <w:pPr>
        <w:pStyle w:val="TOC1"/>
        <w:rPr>
          <w:rFonts w:asciiTheme="minorHAnsi" w:eastAsiaTheme="minorEastAsia" w:hAnsiTheme="minorHAnsi" w:cstheme="minorBidi"/>
          <w:caps w:val="0"/>
          <w:noProof/>
          <w:szCs w:val="22"/>
          <w:lang w:eastAsia="en-GB"/>
        </w:rPr>
      </w:pPr>
      <w:hyperlink w:anchor="_Toc61252518" w:history="1">
        <w:r w:rsidR="00D314BF" w:rsidRPr="00CC1C14">
          <w:rPr>
            <w:rStyle w:val="Hyperlink"/>
            <w:rFonts w:cs="Arial"/>
            <w:noProof/>
          </w:rPr>
          <w:t>23.</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NOTICES</w:t>
        </w:r>
        <w:r w:rsidR="00D314BF">
          <w:rPr>
            <w:noProof/>
          </w:rPr>
          <w:tab/>
        </w:r>
        <w:r w:rsidR="00D314BF">
          <w:rPr>
            <w:noProof/>
          </w:rPr>
          <w:fldChar w:fldCharType="begin"/>
        </w:r>
        <w:r w:rsidR="00D314BF">
          <w:rPr>
            <w:noProof/>
          </w:rPr>
          <w:instrText xml:space="preserve"> PAGEREF _Toc61252518 \h </w:instrText>
        </w:r>
        <w:r w:rsidR="00D314BF">
          <w:rPr>
            <w:noProof/>
          </w:rPr>
        </w:r>
        <w:r w:rsidR="00D314BF">
          <w:rPr>
            <w:noProof/>
          </w:rPr>
          <w:fldChar w:fldCharType="separate"/>
        </w:r>
        <w:r w:rsidR="00D314BF">
          <w:rPr>
            <w:noProof/>
          </w:rPr>
          <w:t>46</w:t>
        </w:r>
        <w:r w:rsidR="00D314BF">
          <w:rPr>
            <w:noProof/>
          </w:rPr>
          <w:fldChar w:fldCharType="end"/>
        </w:r>
      </w:hyperlink>
    </w:p>
    <w:p w14:paraId="21ED5522" w14:textId="5BCC259A" w:rsidR="00D314BF" w:rsidRDefault="00015F04">
      <w:pPr>
        <w:pStyle w:val="TOC1"/>
        <w:rPr>
          <w:rFonts w:asciiTheme="minorHAnsi" w:eastAsiaTheme="minorEastAsia" w:hAnsiTheme="minorHAnsi" w:cstheme="minorBidi"/>
          <w:caps w:val="0"/>
          <w:noProof/>
          <w:szCs w:val="22"/>
          <w:lang w:eastAsia="en-GB"/>
        </w:rPr>
      </w:pPr>
      <w:hyperlink w:anchor="_Toc61252519" w:history="1">
        <w:r w:rsidR="00D314BF" w:rsidRPr="00CC1C14">
          <w:rPr>
            <w:rStyle w:val="Hyperlink"/>
            <w:rFonts w:cs="Arial"/>
            <w:noProof/>
          </w:rPr>
          <w:t>24.</w:t>
        </w:r>
        <w:r w:rsidR="00D314BF">
          <w:rPr>
            <w:rFonts w:asciiTheme="minorHAnsi" w:eastAsiaTheme="minorEastAsia" w:hAnsiTheme="minorHAnsi" w:cstheme="minorBidi"/>
            <w:caps w:val="0"/>
            <w:noProof/>
            <w:szCs w:val="22"/>
            <w:lang w:eastAsia="en-GB"/>
          </w:rPr>
          <w:tab/>
        </w:r>
        <w:r w:rsidR="00D314BF" w:rsidRPr="00CC1C14">
          <w:rPr>
            <w:rStyle w:val="Hyperlink"/>
            <w:rFonts w:cs="Arial"/>
            <w:noProof/>
          </w:rPr>
          <w:t>DISPUTES AND LAW</w:t>
        </w:r>
        <w:r w:rsidR="00D314BF">
          <w:rPr>
            <w:noProof/>
          </w:rPr>
          <w:tab/>
        </w:r>
        <w:r w:rsidR="00D314BF">
          <w:rPr>
            <w:noProof/>
          </w:rPr>
          <w:fldChar w:fldCharType="begin"/>
        </w:r>
        <w:r w:rsidR="00D314BF">
          <w:rPr>
            <w:noProof/>
          </w:rPr>
          <w:instrText xml:space="preserve"> PAGEREF _Toc61252519 \h </w:instrText>
        </w:r>
        <w:r w:rsidR="00D314BF">
          <w:rPr>
            <w:noProof/>
          </w:rPr>
        </w:r>
        <w:r w:rsidR="00D314BF">
          <w:rPr>
            <w:noProof/>
          </w:rPr>
          <w:fldChar w:fldCharType="separate"/>
        </w:r>
        <w:r w:rsidR="00D314BF">
          <w:rPr>
            <w:noProof/>
          </w:rPr>
          <w:t>47</w:t>
        </w:r>
        <w:r w:rsidR="00D314BF">
          <w:rPr>
            <w:noProof/>
          </w:rPr>
          <w:fldChar w:fldCharType="end"/>
        </w:r>
      </w:hyperlink>
    </w:p>
    <w:p w14:paraId="28E7B033" w14:textId="6E14A7F9" w:rsidR="00D314BF" w:rsidRDefault="00015F04">
      <w:pPr>
        <w:pStyle w:val="TOC1"/>
        <w:rPr>
          <w:rFonts w:asciiTheme="minorHAnsi" w:eastAsiaTheme="minorEastAsia" w:hAnsiTheme="minorHAnsi" w:cstheme="minorBidi"/>
          <w:caps w:val="0"/>
          <w:noProof/>
          <w:szCs w:val="22"/>
          <w:lang w:eastAsia="en-GB"/>
        </w:rPr>
      </w:pPr>
      <w:hyperlink w:anchor="_Toc61252520" w:history="1">
        <w:r w:rsidR="00D314BF" w:rsidRPr="00CC1C14">
          <w:rPr>
            <w:rStyle w:val="Hyperlink"/>
            <w:rFonts w:cs="Arial"/>
            <w:noProof/>
          </w:rPr>
          <w:t>CONTRACT SCHEDULE 1: DEFINITIONS</w:t>
        </w:r>
        <w:r w:rsidR="00D314BF">
          <w:rPr>
            <w:noProof/>
          </w:rPr>
          <w:tab/>
        </w:r>
        <w:r w:rsidR="00D314BF">
          <w:rPr>
            <w:noProof/>
          </w:rPr>
          <w:fldChar w:fldCharType="begin"/>
        </w:r>
        <w:r w:rsidR="00D314BF">
          <w:rPr>
            <w:noProof/>
          </w:rPr>
          <w:instrText xml:space="preserve"> PAGEREF _Toc61252520 \h </w:instrText>
        </w:r>
        <w:r w:rsidR="00D314BF">
          <w:rPr>
            <w:noProof/>
          </w:rPr>
        </w:r>
        <w:r w:rsidR="00D314BF">
          <w:rPr>
            <w:noProof/>
          </w:rPr>
          <w:fldChar w:fldCharType="separate"/>
        </w:r>
        <w:r w:rsidR="00D314BF">
          <w:rPr>
            <w:noProof/>
          </w:rPr>
          <w:t>49</w:t>
        </w:r>
        <w:r w:rsidR="00D314BF">
          <w:rPr>
            <w:noProof/>
          </w:rPr>
          <w:fldChar w:fldCharType="end"/>
        </w:r>
      </w:hyperlink>
    </w:p>
    <w:p w14:paraId="5B5F6CDE" w14:textId="579888C7" w:rsidR="00D314BF" w:rsidRDefault="00015F04">
      <w:pPr>
        <w:pStyle w:val="TOC1"/>
        <w:rPr>
          <w:rFonts w:asciiTheme="minorHAnsi" w:eastAsiaTheme="minorEastAsia" w:hAnsiTheme="minorHAnsi" w:cstheme="minorBidi"/>
          <w:caps w:val="0"/>
          <w:noProof/>
          <w:szCs w:val="22"/>
          <w:lang w:eastAsia="en-GB"/>
        </w:rPr>
      </w:pPr>
      <w:hyperlink w:anchor="_Toc61252521" w:history="1">
        <w:r w:rsidR="00D314BF" w:rsidRPr="00CC1C14">
          <w:rPr>
            <w:rStyle w:val="Hyperlink"/>
            <w:rFonts w:cs="Arial"/>
            <w:noProof/>
          </w:rPr>
          <w:t>CONTRACT SCHEDULE 2: EXIT MANAGEMENT</w:t>
        </w:r>
        <w:r w:rsidR="00D314BF">
          <w:rPr>
            <w:noProof/>
          </w:rPr>
          <w:tab/>
        </w:r>
        <w:r w:rsidR="00D314BF">
          <w:rPr>
            <w:noProof/>
          </w:rPr>
          <w:fldChar w:fldCharType="begin"/>
        </w:r>
        <w:r w:rsidR="00D314BF">
          <w:rPr>
            <w:noProof/>
          </w:rPr>
          <w:instrText xml:space="preserve"> PAGEREF _Toc61252521 \h </w:instrText>
        </w:r>
        <w:r w:rsidR="00D314BF">
          <w:rPr>
            <w:noProof/>
          </w:rPr>
        </w:r>
        <w:r w:rsidR="00D314BF">
          <w:rPr>
            <w:noProof/>
          </w:rPr>
          <w:fldChar w:fldCharType="separate"/>
        </w:r>
        <w:r w:rsidR="00D314BF">
          <w:rPr>
            <w:noProof/>
          </w:rPr>
          <w:t>60</w:t>
        </w:r>
        <w:r w:rsidR="00D314BF">
          <w:rPr>
            <w:noProof/>
          </w:rPr>
          <w:fldChar w:fldCharType="end"/>
        </w:r>
      </w:hyperlink>
    </w:p>
    <w:p w14:paraId="76E06067" w14:textId="2BAE3B9A" w:rsidR="00D314BF" w:rsidRDefault="00015F04">
      <w:pPr>
        <w:pStyle w:val="TOC1"/>
        <w:rPr>
          <w:rFonts w:asciiTheme="minorHAnsi" w:eastAsiaTheme="minorEastAsia" w:hAnsiTheme="minorHAnsi" w:cstheme="minorBidi"/>
          <w:caps w:val="0"/>
          <w:noProof/>
          <w:szCs w:val="22"/>
          <w:lang w:eastAsia="en-GB"/>
        </w:rPr>
      </w:pPr>
      <w:hyperlink w:anchor="_Toc61252522" w:history="1">
        <w:r w:rsidR="00D314BF" w:rsidRPr="00CC1C14">
          <w:rPr>
            <w:rStyle w:val="Hyperlink"/>
            <w:rFonts w:cs="Arial"/>
            <w:noProof/>
          </w:rPr>
          <w:t>CONTRACT SCHEDULE 3: STAFF TRANSFER</w:t>
        </w:r>
        <w:r w:rsidR="00D314BF">
          <w:rPr>
            <w:noProof/>
          </w:rPr>
          <w:tab/>
        </w:r>
        <w:r w:rsidR="00D314BF">
          <w:rPr>
            <w:noProof/>
          </w:rPr>
          <w:fldChar w:fldCharType="begin"/>
        </w:r>
        <w:r w:rsidR="00D314BF">
          <w:rPr>
            <w:noProof/>
          </w:rPr>
          <w:instrText xml:space="preserve"> PAGEREF _Toc61252522 \h </w:instrText>
        </w:r>
        <w:r w:rsidR="00D314BF">
          <w:rPr>
            <w:noProof/>
          </w:rPr>
        </w:r>
        <w:r w:rsidR="00D314BF">
          <w:rPr>
            <w:noProof/>
          </w:rPr>
          <w:fldChar w:fldCharType="separate"/>
        </w:r>
        <w:r w:rsidR="00D314BF">
          <w:rPr>
            <w:noProof/>
          </w:rPr>
          <w:t>71</w:t>
        </w:r>
        <w:r w:rsidR="00D314BF">
          <w:rPr>
            <w:noProof/>
          </w:rPr>
          <w:fldChar w:fldCharType="end"/>
        </w:r>
      </w:hyperlink>
    </w:p>
    <w:p w14:paraId="18DF54DE" w14:textId="732B2DDD" w:rsidR="00D314BF" w:rsidRDefault="00015F04">
      <w:pPr>
        <w:pStyle w:val="TOC1"/>
        <w:rPr>
          <w:rFonts w:asciiTheme="minorHAnsi" w:eastAsiaTheme="minorEastAsia" w:hAnsiTheme="minorHAnsi" w:cstheme="minorBidi"/>
          <w:caps w:val="0"/>
          <w:noProof/>
          <w:szCs w:val="22"/>
          <w:lang w:eastAsia="en-GB"/>
        </w:rPr>
      </w:pPr>
      <w:hyperlink w:anchor="_Toc61252523" w:history="1">
        <w:r w:rsidR="00D314BF" w:rsidRPr="00CC1C14">
          <w:rPr>
            <w:rStyle w:val="Hyperlink"/>
            <w:rFonts w:cs="Arial"/>
            <w:noProof/>
          </w:rPr>
          <w:t>CONTRACT SCHEDULE 4: TRANSPARENCY REPORTS</w:t>
        </w:r>
        <w:r w:rsidR="00D314BF">
          <w:rPr>
            <w:noProof/>
          </w:rPr>
          <w:tab/>
        </w:r>
        <w:r w:rsidR="00D314BF">
          <w:rPr>
            <w:noProof/>
          </w:rPr>
          <w:fldChar w:fldCharType="begin"/>
        </w:r>
        <w:r w:rsidR="00D314BF">
          <w:rPr>
            <w:noProof/>
          </w:rPr>
          <w:instrText xml:space="preserve"> PAGEREF _Toc61252523 \h </w:instrText>
        </w:r>
        <w:r w:rsidR="00D314BF">
          <w:rPr>
            <w:noProof/>
          </w:rPr>
        </w:r>
        <w:r w:rsidR="00D314BF">
          <w:rPr>
            <w:noProof/>
          </w:rPr>
          <w:fldChar w:fldCharType="separate"/>
        </w:r>
        <w:r w:rsidR="00D314BF">
          <w:rPr>
            <w:noProof/>
          </w:rPr>
          <w:t>104</w:t>
        </w:r>
        <w:r w:rsidR="00D314BF">
          <w:rPr>
            <w:noProof/>
          </w:rPr>
          <w:fldChar w:fldCharType="end"/>
        </w:r>
      </w:hyperlink>
    </w:p>
    <w:p w14:paraId="4AC78F75" w14:textId="2913CC73" w:rsidR="00D314BF" w:rsidRDefault="00015F04">
      <w:pPr>
        <w:pStyle w:val="TOC1"/>
        <w:rPr>
          <w:rFonts w:asciiTheme="minorHAnsi" w:eastAsiaTheme="minorEastAsia" w:hAnsiTheme="minorHAnsi" w:cstheme="minorBidi"/>
          <w:caps w:val="0"/>
          <w:noProof/>
          <w:szCs w:val="22"/>
          <w:lang w:eastAsia="en-GB"/>
        </w:rPr>
      </w:pPr>
      <w:hyperlink w:anchor="_Toc61252524" w:history="1">
        <w:r w:rsidR="00D314BF" w:rsidRPr="00CC1C14">
          <w:rPr>
            <w:rStyle w:val="Hyperlink"/>
            <w:rFonts w:cs="Arial"/>
            <w:noProof/>
          </w:rPr>
          <w:t>Contract Schedule 5 –Record of Personal Data Transfer under Legal Services Contract</w:t>
        </w:r>
        <w:r w:rsidR="00D314BF">
          <w:rPr>
            <w:noProof/>
          </w:rPr>
          <w:tab/>
        </w:r>
        <w:r w:rsidR="00D314BF">
          <w:rPr>
            <w:noProof/>
          </w:rPr>
          <w:fldChar w:fldCharType="begin"/>
        </w:r>
        <w:r w:rsidR="00D314BF">
          <w:rPr>
            <w:noProof/>
          </w:rPr>
          <w:instrText xml:space="preserve"> PAGEREF _Toc61252524 \h </w:instrText>
        </w:r>
        <w:r w:rsidR="00D314BF">
          <w:rPr>
            <w:noProof/>
          </w:rPr>
        </w:r>
        <w:r w:rsidR="00D314BF">
          <w:rPr>
            <w:noProof/>
          </w:rPr>
          <w:fldChar w:fldCharType="separate"/>
        </w:r>
        <w:r w:rsidR="00D314BF">
          <w:rPr>
            <w:noProof/>
          </w:rPr>
          <w:t>106</w:t>
        </w:r>
        <w:r w:rsidR="00D314BF">
          <w:rPr>
            <w:noProof/>
          </w:rPr>
          <w:fldChar w:fldCharType="end"/>
        </w:r>
      </w:hyperlink>
    </w:p>
    <w:p w14:paraId="4D20371C" w14:textId="26B23B2F"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41" w:name="TOCField"/>
      <w:bookmarkEnd w:id="41"/>
      <w:r w:rsidRPr="00C3320D">
        <w:rPr>
          <w:rFonts w:cs="Arial"/>
          <w:b/>
          <w:szCs w:val="22"/>
        </w:rPr>
        <w:lastRenderedPageBreak/>
        <w:t>RECITALS</w:t>
      </w:r>
    </w:p>
    <w:p w14:paraId="14283023" w14:textId="3DD2004F" w:rsidR="00415BB5" w:rsidRPr="00C3320D" w:rsidRDefault="008B0862" w:rsidP="00345F70">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42" w:name="_Toc303802818"/>
      <w:bookmarkStart w:id="43" w:name="_Toc430879909"/>
      <w:bookmarkStart w:id="44" w:name="_Toc430880107"/>
      <w:bookmarkStart w:id="45" w:name="_Toc430880393"/>
      <w:bookmarkStart w:id="46" w:name="_Toc430880538"/>
      <w:bookmarkStart w:id="47" w:name="_Toc430880794"/>
      <w:bookmarkStart w:id="48" w:name="_Toc430941298"/>
      <w:bookmarkStart w:id="49" w:name="_Toc431551111"/>
      <w:bookmarkStart w:id="50" w:name="_Toc303802819"/>
      <w:bookmarkStart w:id="51" w:name="_Toc430879910"/>
      <w:bookmarkStart w:id="52" w:name="_Toc430880108"/>
      <w:bookmarkStart w:id="53" w:name="_Toc430880394"/>
      <w:bookmarkStart w:id="54" w:name="_Toc430880539"/>
      <w:bookmarkStart w:id="55" w:name="_Toc430880795"/>
      <w:bookmarkStart w:id="56" w:name="_Toc430941299"/>
      <w:bookmarkStart w:id="57"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42"/>
      <w:bookmarkEnd w:id="43"/>
      <w:bookmarkEnd w:id="44"/>
      <w:bookmarkEnd w:id="45"/>
      <w:bookmarkEnd w:id="46"/>
      <w:bookmarkEnd w:id="47"/>
      <w:bookmarkEnd w:id="48"/>
      <w:bookmarkEnd w:id="49"/>
    </w:p>
    <w:p w14:paraId="64CB6509" w14:textId="6B00CA1F" w:rsidR="00415BB5" w:rsidRPr="00C3320D" w:rsidRDefault="00415BB5" w:rsidP="00345F70">
      <w:pPr>
        <w:pStyle w:val="GPSSectionHeading"/>
        <w:numPr>
          <w:ilvl w:val="0"/>
          <w:numId w:val="28"/>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 xml:space="preserve">The Customer issued its Statement of Requirements for the provision of the Ordered Panel Services on </w:t>
      </w:r>
      <w:r w:rsidR="00E114DF" w:rsidRPr="00E114DF">
        <w:rPr>
          <w:rFonts w:cs="Arial"/>
          <w:b w:val="0"/>
          <w:caps w:val="0"/>
          <w:color w:val="auto"/>
          <w:u w:val="none"/>
        </w:rPr>
        <w:t>08</w:t>
      </w:r>
      <w:r w:rsidR="001F1958" w:rsidRPr="00E114DF">
        <w:rPr>
          <w:rFonts w:cs="Arial"/>
          <w:b w:val="0"/>
          <w:caps w:val="0"/>
          <w:color w:val="auto"/>
          <w:u w:val="none"/>
        </w:rPr>
        <w:t>.</w:t>
      </w:r>
      <w:r w:rsidR="00E114DF" w:rsidRPr="00E114DF">
        <w:rPr>
          <w:rFonts w:cs="Arial"/>
          <w:b w:val="0"/>
          <w:caps w:val="0"/>
          <w:color w:val="auto"/>
          <w:u w:val="none"/>
        </w:rPr>
        <w:t>03</w:t>
      </w:r>
      <w:r w:rsidR="003F4769" w:rsidRPr="00E114DF">
        <w:rPr>
          <w:rFonts w:cs="Arial"/>
          <w:b w:val="0"/>
          <w:caps w:val="0"/>
          <w:color w:val="auto"/>
          <w:u w:val="none"/>
        </w:rPr>
        <w:t>.2021</w:t>
      </w:r>
      <w:r w:rsidRPr="00E114DF">
        <w:rPr>
          <w:rFonts w:cs="Arial"/>
          <w:b w:val="0"/>
          <w:i/>
          <w:caps w:val="0"/>
          <w:color w:val="auto"/>
          <w:u w:val="none"/>
        </w:rPr>
        <w:t>.</w:t>
      </w:r>
      <w:bookmarkEnd w:id="50"/>
      <w:bookmarkEnd w:id="51"/>
      <w:bookmarkEnd w:id="52"/>
      <w:bookmarkEnd w:id="53"/>
      <w:bookmarkEnd w:id="54"/>
      <w:bookmarkEnd w:id="55"/>
      <w:bookmarkEnd w:id="56"/>
      <w:bookmarkEnd w:id="57"/>
    </w:p>
    <w:p w14:paraId="69EFFE8E" w14:textId="43A693D7" w:rsidR="00415BB5" w:rsidRPr="00C3320D" w:rsidRDefault="00415BB5" w:rsidP="00345F70">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58" w:name="_Toc303802820"/>
      <w:bookmarkStart w:id="59" w:name="_Toc430879911"/>
      <w:bookmarkStart w:id="60" w:name="_Toc430880109"/>
      <w:bookmarkStart w:id="61" w:name="_Toc430880395"/>
      <w:bookmarkStart w:id="62" w:name="_Toc430880540"/>
      <w:bookmarkStart w:id="63" w:name="_Toc430880796"/>
      <w:bookmarkStart w:id="64" w:name="_Toc430941300"/>
      <w:bookmarkStart w:id="65" w:name="_Toc431551113"/>
      <w:r w:rsidRPr="00C3320D">
        <w:rPr>
          <w:rFonts w:cs="Arial"/>
          <w:b w:val="0"/>
          <w:caps w:val="0"/>
          <w:color w:val="auto"/>
          <w:u w:val="none"/>
        </w:rPr>
        <w:t xml:space="preserve">In response to the Statement of Requirements the Supplier submitted a Tender to the Customer on the </w:t>
      </w:r>
      <w:r w:rsidR="00E114DF" w:rsidRPr="00E114DF">
        <w:rPr>
          <w:rFonts w:cs="Arial"/>
          <w:b w:val="0"/>
          <w:caps w:val="0"/>
          <w:color w:val="auto"/>
          <w:u w:val="none"/>
        </w:rPr>
        <w:t>19</w:t>
      </w:r>
      <w:r w:rsidR="003F4769" w:rsidRPr="00E114DF">
        <w:rPr>
          <w:rFonts w:cs="Arial"/>
          <w:b w:val="0"/>
          <w:caps w:val="0"/>
          <w:color w:val="auto"/>
          <w:u w:val="none"/>
        </w:rPr>
        <w:t>.</w:t>
      </w:r>
      <w:r w:rsidR="00E114DF" w:rsidRPr="00E114DF">
        <w:rPr>
          <w:rFonts w:cs="Arial"/>
          <w:b w:val="0"/>
          <w:caps w:val="0"/>
          <w:color w:val="auto"/>
          <w:u w:val="none"/>
        </w:rPr>
        <w:t>03</w:t>
      </w:r>
      <w:r w:rsidR="003F4769" w:rsidRPr="00E114DF">
        <w:rPr>
          <w:rFonts w:cs="Arial"/>
          <w:b w:val="0"/>
          <w:caps w:val="0"/>
          <w:color w:val="auto"/>
          <w:u w:val="none"/>
        </w:rPr>
        <w:t>.2021</w:t>
      </w:r>
      <w:r w:rsidRPr="00C3320D">
        <w:rPr>
          <w:rFonts w:cs="Arial"/>
          <w:b w:val="0"/>
          <w:caps w:val="0"/>
          <w:color w:val="auto"/>
          <w:u w:val="none"/>
        </w:rPr>
        <w:t xml:space="preserve"> through which it provided to the Customer its solution for providing the Ordered Panel Services.</w:t>
      </w:r>
      <w:bookmarkEnd w:id="58"/>
      <w:bookmarkEnd w:id="59"/>
      <w:bookmarkEnd w:id="60"/>
      <w:bookmarkEnd w:id="61"/>
      <w:bookmarkEnd w:id="62"/>
      <w:bookmarkEnd w:id="63"/>
      <w:bookmarkEnd w:id="64"/>
      <w:bookmarkEnd w:id="65"/>
    </w:p>
    <w:p w14:paraId="37058A31" w14:textId="5790151B" w:rsidR="00415BB5" w:rsidRPr="00C3320D" w:rsidRDefault="00415BB5" w:rsidP="00345F70">
      <w:pPr>
        <w:pStyle w:val="GPSSectionHeading"/>
        <w:numPr>
          <w:ilvl w:val="0"/>
          <w:numId w:val="28"/>
        </w:numPr>
        <w:tabs>
          <w:tab w:val="left" w:pos="1134"/>
        </w:tabs>
        <w:spacing w:before="120" w:after="120"/>
        <w:ind w:left="1134" w:hanging="567"/>
        <w:jc w:val="both"/>
        <w:rPr>
          <w:rFonts w:cs="Arial"/>
          <w:b w:val="0"/>
          <w:caps w:val="0"/>
          <w:color w:val="auto"/>
          <w:u w:val="none"/>
        </w:rPr>
      </w:pPr>
      <w:bookmarkStart w:id="66" w:name="_Toc303802821"/>
      <w:bookmarkStart w:id="67" w:name="_Toc430879912"/>
      <w:bookmarkStart w:id="68" w:name="_Toc430880110"/>
      <w:bookmarkStart w:id="69" w:name="_Toc430880396"/>
      <w:bookmarkStart w:id="70" w:name="_Toc430880541"/>
      <w:bookmarkStart w:id="71" w:name="_Toc430880797"/>
      <w:bookmarkStart w:id="72" w:name="_Toc430941301"/>
      <w:bookmarkStart w:id="73"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66"/>
      <w:bookmarkEnd w:id="67"/>
      <w:bookmarkEnd w:id="68"/>
      <w:bookmarkEnd w:id="69"/>
      <w:bookmarkEnd w:id="70"/>
      <w:bookmarkEnd w:id="71"/>
      <w:bookmarkEnd w:id="72"/>
      <w:bookmarkEnd w:id="73"/>
    </w:p>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74" w:name="_Toc61252496"/>
      <w:r w:rsidRPr="00C3320D">
        <w:rPr>
          <w:rFonts w:cs="Arial"/>
          <w:szCs w:val="22"/>
        </w:rPr>
        <w:t>DEFINITIONS AND INTERPRETATION</w:t>
      </w:r>
      <w:bookmarkEnd w:id="74"/>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75"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75"/>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76" w:name="_Toc61252497"/>
      <w:r w:rsidRPr="00C3320D">
        <w:rPr>
          <w:rFonts w:cs="Arial"/>
          <w:szCs w:val="22"/>
        </w:rPr>
        <w:t>The Ordered Panel Services</w:t>
      </w:r>
      <w:bookmarkEnd w:id="76"/>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77" w:name="_Toc61252498"/>
      <w:r w:rsidRPr="00C3320D">
        <w:rPr>
          <w:rFonts w:cs="Arial"/>
          <w:szCs w:val="22"/>
        </w:rPr>
        <w:t xml:space="preserve">Delivery and management of </w:t>
      </w:r>
      <w:r w:rsidR="00F60EC1" w:rsidRPr="00C3320D">
        <w:rPr>
          <w:rFonts w:cs="Arial"/>
          <w:szCs w:val="22"/>
        </w:rPr>
        <w:t>the Ordered Panel Services</w:t>
      </w:r>
      <w:bookmarkEnd w:id="77"/>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78"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78"/>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79"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79"/>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80"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80"/>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81"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81"/>
    </w:p>
    <w:p w14:paraId="6F7B83E1" w14:textId="77777777" w:rsidR="00C901FE" w:rsidRPr="00C3320D" w:rsidRDefault="00C901FE" w:rsidP="00D40F55">
      <w:pPr>
        <w:pStyle w:val="Heading1"/>
        <w:spacing w:before="120" w:after="120"/>
        <w:rPr>
          <w:rFonts w:cs="Arial"/>
          <w:szCs w:val="22"/>
        </w:rPr>
      </w:pPr>
      <w:bookmarkStart w:id="82" w:name="_Toc461109632"/>
      <w:bookmarkStart w:id="83" w:name="_Toc461109633"/>
      <w:bookmarkStart w:id="84" w:name="_Toc61252499"/>
      <w:bookmarkEnd w:id="82"/>
      <w:bookmarkEnd w:id="83"/>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84"/>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85"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85"/>
    </w:p>
    <w:p w14:paraId="344FC365" w14:textId="77777777" w:rsidR="00F6759D" w:rsidRPr="00C3320D" w:rsidRDefault="00F6759D" w:rsidP="00D40F55">
      <w:pPr>
        <w:pStyle w:val="Heading1"/>
        <w:spacing w:before="120" w:after="120"/>
        <w:rPr>
          <w:rFonts w:cs="Arial"/>
          <w:szCs w:val="22"/>
        </w:rPr>
      </w:pPr>
      <w:bookmarkStart w:id="86" w:name="_Toc61252500"/>
      <w:r w:rsidRPr="00C3320D">
        <w:rPr>
          <w:rFonts w:cs="Arial"/>
          <w:szCs w:val="22"/>
        </w:rPr>
        <w:t>Personnel</w:t>
      </w:r>
      <w:bookmarkEnd w:id="86"/>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87" w:name="_Ref363736216"/>
      <w:r w:rsidRPr="00C3320D">
        <w:rPr>
          <w:rFonts w:cs="Arial"/>
          <w:szCs w:val="22"/>
        </w:rPr>
        <w:t>The Supplier shall:</w:t>
      </w:r>
      <w:bookmarkEnd w:id="87"/>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88" w:name="_Ref358297649"/>
      <w:r w:rsidRPr="00C3320D">
        <w:rPr>
          <w:rFonts w:cs="Arial"/>
          <w:szCs w:val="22"/>
        </w:rPr>
        <w:t>The Parties agree that</w:t>
      </w:r>
      <w:r w:rsidR="00FA30C4" w:rsidRPr="00C3320D">
        <w:rPr>
          <w:rFonts w:cs="Arial"/>
          <w:szCs w:val="22"/>
        </w:rPr>
        <w:t>:</w:t>
      </w:r>
      <w:bookmarkEnd w:id="88"/>
    </w:p>
    <w:p w14:paraId="513D7722" w14:textId="14E84AA8" w:rsidR="00FA30C4" w:rsidRPr="00C3320D" w:rsidRDefault="00FA30C4" w:rsidP="00D40F55">
      <w:pPr>
        <w:pStyle w:val="Heading3"/>
        <w:spacing w:before="120" w:after="120"/>
        <w:rPr>
          <w:rFonts w:cs="Arial"/>
          <w:szCs w:val="22"/>
        </w:rPr>
      </w:pPr>
      <w:bookmarkStart w:id="89"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90" w:name="_Ref358300369"/>
      <w:bookmarkEnd w:id="89"/>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90"/>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91" w:name="_Ref359425071"/>
      <w:r w:rsidRPr="00C3320D">
        <w:rPr>
          <w:rFonts w:cs="Arial"/>
          <w:szCs w:val="22"/>
        </w:rPr>
        <w:lastRenderedPageBreak/>
        <w:t>Prior to sub-contacting any of its obligations under this Legal Services Contract, the Supplier shall notify the Customer and provide the Customer with:</w:t>
      </w:r>
      <w:bookmarkEnd w:id="91"/>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92"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92"/>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345F70">
      <w:pPr>
        <w:pStyle w:val="GPSL4numberedclause"/>
        <w:numPr>
          <w:ilvl w:val="3"/>
          <w:numId w:val="34"/>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345F70">
      <w:pPr>
        <w:pStyle w:val="GPSL4numberedclause"/>
        <w:numPr>
          <w:ilvl w:val="3"/>
          <w:numId w:val="34"/>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345F70">
      <w:pPr>
        <w:pStyle w:val="GPSL4numberedclause"/>
        <w:numPr>
          <w:ilvl w:val="3"/>
          <w:numId w:val="35"/>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345F70">
      <w:pPr>
        <w:pStyle w:val="GPSL4numberedclause"/>
        <w:numPr>
          <w:ilvl w:val="3"/>
          <w:numId w:val="34"/>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345F70">
      <w:pPr>
        <w:pStyle w:val="GPSL4numberedclause"/>
        <w:numPr>
          <w:ilvl w:val="3"/>
          <w:numId w:val="34"/>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345F70">
      <w:pPr>
        <w:pStyle w:val="GPSL4numberedclause"/>
        <w:numPr>
          <w:ilvl w:val="3"/>
          <w:numId w:val="34"/>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345F70">
      <w:pPr>
        <w:pStyle w:val="GPSL4numberedclause"/>
        <w:numPr>
          <w:ilvl w:val="3"/>
          <w:numId w:val="34"/>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93"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93"/>
    </w:p>
    <w:p w14:paraId="01A870A0" w14:textId="77777777" w:rsidR="00A904F4" w:rsidRPr="00C3320D" w:rsidRDefault="00A904F4" w:rsidP="00D40F55">
      <w:pPr>
        <w:pStyle w:val="Heading3"/>
        <w:spacing w:before="120" w:after="120"/>
        <w:rPr>
          <w:rFonts w:cs="Arial"/>
          <w:szCs w:val="22"/>
        </w:rPr>
      </w:pPr>
      <w:bookmarkStart w:id="94"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94"/>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95" w:name="_Ref359339111"/>
      <w:r w:rsidRPr="00C3320D">
        <w:rPr>
          <w:rFonts w:cs="Arial"/>
          <w:szCs w:val="22"/>
        </w:rPr>
        <w:t>The Supplier shall</w:t>
      </w:r>
      <w:bookmarkEnd w:id="95"/>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96" w:name="_Ref379548295"/>
      <w:r w:rsidRPr="00C3320D">
        <w:rPr>
          <w:rFonts w:cs="Arial"/>
          <w:szCs w:val="22"/>
        </w:rPr>
        <w:t>The Customer may require the Supplier to terminate:</w:t>
      </w:r>
      <w:bookmarkEnd w:id="96"/>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345F70">
      <w:pPr>
        <w:pStyle w:val="GPSL4numberedclause"/>
        <w:numPr>
          <w:ilvl w:val="3"/>
          <w:numId w:val="36"/>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345F70">
      <w:pPr>
        <w:pStyle w:val="GPSL4numberedclause"/>
        <w:numPr>
          <w:ilvl w:val="3"/>
          <w:numId w:val="35"/>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345F70">
      <w:pPr>
        <w:pStyle w:val="GPSL4numberedclause"/>
        <w:numPr>
          <w:ilvl w:val="3"/>
          <w:numId w:val="37"/>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345F70">
      <w:pPr>
        <w:pStyle w:val="GPSL4numberedclause"/>
        <w:numPr>
          <w:ilvl w:val="3"/>
          <w:numId w:val="35"/>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97"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97"/>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98" w:name="_Toc61252501"/>
      <w:r w:rsidRPr="00C3320D">
        <w:rPr>
          <w:rFonts w:cs="Arial"/>
          <w:szCs w:val="22"/>
        </w:rPr>
        <w:t>CHARGES</w:t>
      </w:r>
      <w:r w:rsidR="00A34A70" w:rsidRPr="00C3320D">
        <w:rPr>
          <w:rFonts w:cs="Arial"/>
          <w:szCs w:val="22"/>
        </w:rPr>
        <w:t xml:space="preserve"> AND INVOICING</w:t>
      </w:r>
      <w:bookmarkEnd w:id="98"/>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2F72DAD9" w:rsidR="00E56DC7" w:rsidRPr="003F4769" w:rsidRDefault="007562F7" w:rsidP="00D40F55">
      <w:pPr>
        <w:pStyle w:val="Heading3"/>
        <w:spacing w:before="120" w:after="120"/>
        <w:rPr>
          <w:rFonts w:cs="Arial"/>
          <w:szCs w:val="22"/>
        </w:rPr>
      </w:pPr>
      <w:r w:rsidRPr="003F4769">
        <w:rPr>
          <w:rFonts w:cs="Arial"/>
          <w:szCs w:val="22"/>
        </w:rPr>
        <w:t xml:space="preserve">In consideration of the </w:t>
      </w:r>
      <w:r w:rsidR="00151B56" w:rsidRPr="003F4769">
        <w:rPr>
          <w:rFonts w:cs="Arial"/>
          <w:szCs w:val="22"/>
        </w:rPr>
        <w:t>Supplier</w:t>
      </w:r>
      <w:r w:rsidRPr="003F4769">
        <w:rPr>
          <w:rFonts w:cs="Arial"/>
          <w:szCs w:val="22"/>
        </w:rPr>
        <w:t xml:space="preserve">'s performance of its obligations under </w:t>
      </w:r>
      <w:r w:rsidR="002479FD" w:rsidRPr="003F4769">
        <w:rPr>
          <w:rFonts w:cs="Arial"/>
          <w:szCs w:val="22"/>
        </w:rPr>
        <w:t>this</w:t>
      </w:r>
      <w:r w:rsidR="00A34A70" w:rsidRPr="003F4769">
        <w:rPr>
          <w:rFonts w:cs="Arial"/>
          <w:szCs w:val="22"/>
        </w:rPr>
        <w:t xml:space="preserve"> </w:t>
      </w:r>
      <w:r w:rsidR="008C689D" w:rsidRPr="003F4769">
        <w:rPr>
          <w:rFonts w:cs="Arial"/>
          <w:szCs w:val="22"/>
        </w:rPr>
        <w:t>Legal Services Contract</w:t>
      </w:r>
      <w:r w:rsidRPr="003F4769">
        <w:rPr>
          <w:rFonts w:cs="Arial"/>
          <w:szCs w:val="22"/>
        </w:rPr>
        <w:t xml:space="preserve">, the </w:t>
      </w:r>
      <w:r w:rsidR="00C158E8" w:rsidRPr="003F4769">
        <w:rPr>
          <w:rFonts w:cs="Arial"/>
          <w:szCs w:val="22"/>
        </w:rPr>
        <w:t>Customer</w:t>
      </w:r>
      <w:r w:rsidRPr="003F4769">
        <w:rPr>
          <w:rFonts w:cs="Arial"/>
          <w:szCs w:val="22"/>
        </w:rPr>
        <w:t xml:space="preserve"> shall pay the</w:t>
      </w:r>
      <w:r w:rsidR="00A34A70" w:rsidRPr="003F4769">
        <w:rPr>
          <w:rFonts w:cs="Arial"/>
          <w:szCs w:val="22"/>
        </w:rPr>
        <w:t xml:space="preserve"> undisputed</w:t>
      </w:r>
      <w:r w:rsidRPr="003F4769">
        <w:rPr>
          <w:rFonts w:cs="Arial"/>
          <w:szCs w:val="22"/>
        </w:rPr>
        <w:t xml:space="preserve"> </w:t>
      </w:r>
      <w:r w:rsidR="00AB51E9" w:rsidRPr="003F4769">
        <w:rPr>
          <w:rFonts w:cs="Arial"/>
          <w:szCs w:val="22"/>
        </w:rPr>
        <w:t>Charges</w:t>
      </w:r>
      <w:r w:rsidRPr="003F4769">
        <w:rPr>
          <w:rFonts w:cs="Arial"/>
          <w:szCs w:val="22"/>
        </w:rPr>
        <w:t xml:space="preserve"> in accordance with </w:t>
      </w:r>
      <w:r w:rsidR="00304EEF" w:rsidRPr="003F4769">
        <w:rPr>
          <w:rFonts w:cs="Arial"/>
          <w:szCs w:val="22"/>
        </w:rPr>
        <w:t xml:space="preserve">this </w:t>
      </w:r>
      <w:r w:rsidR="00E6002D" w:rsidRPr="003F4769">
        <w:rPr>
          <w:rFonts w:cs="Arial"/>
          <w:szCs w:val="22"/>
        </w:rPr>
        <w:t>Clause </w:t>
      </w:r>
      <w:r w:rsidR="00304EEF" w:rsidRPr="003F4769">
        <w:rPr>
          <w:rFonts w:cs="Arial"/>
          <w:szCs w:val="22"/>
        </w:rPr>
        <w:t>6</w:t>
      </w:r>
      <w:r w:rsidR="00AC4EAD" w:rsidRPr="003F4769">
        <w:rPr>
          <w:rFonts w:cs="Arial"/>
          <w:szCs w:val="22"/>
        </w:rPr>
        <w:t xml:space="preserve"> </w:t>
      </w:r>
      <w:r w:rsidRPr="003F4769">
        <w:rPr>
          <w:rFonts w:cs="Arial"/>
          <w:szCs w:val="22"/>
        </w:rPr>
        <w:t>(</w:t>
      </w:r>
      <w:r w:rsidR="00A34A70" w:rsidRPr="003F4769">
        <w:rPr>
          <w:rFonts w:cs="Arial"/>
          <w:szCs w:val="22"/>
        </w:rPr>
        <w:t>Charges and Invoicing)</w:t>
      </w:r>
      <w:r w:rsidRPr="003F4769">
        <w:rPr>
          <w:rFonts w:cs="Arial"/>
          <w:szCs w:val="22"/>
        </w:rPr>
        <w:t>.</w:t>
      </w:r>
      <w:r w:rsidR="00E56DC7" w:rsidRPr="003F4769">
        <w:rPr>
          <w:rFonts w:cs="Arial"/>
          <w:szCs w:val="22"/>
        </w:rPr>
        <w:t xml:space="preserve"> </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99"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99"/>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100"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100"/>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101"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101"/>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102" w:name="_Ref313370178"/>
      <w:r w:rsidRPr="00C3320D">
        <w:rPr>
          <w:rFonts w:cs="Arial"/>
          <w:b/>
          <w:szCs w:val="22"/>
        </w:rPr>
        <w:t>Recovery of Sums Due</w:t>
      </w:r>
      <w:bookmarkEnd w:id="102"/>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103" w:name="_Toc61252502"/>
      <w:bookmarkStart w:id="104" w:name="_Ref313371594"/>
      <w:r w:rsidRPr="00C3320D">
        <w:rPr>
          <w:rFonts w:cs="Arial"/>
          <w:szCs w:val="22"/>
        </w:rPr>
        <w:lastRenderedPageBreak/>
        <w:t>LIABILITY</w:t>
      </w:r>
      <w:r w:rsidR="003C6C6B" w:rsidRPr="00C3320D">
        <w:rPr>
          <w:rFonts w:cs="Arial"/>
          <w:szCs w:val="22"/>
        </w:rPr>
        <w:t xml:space="preserve"> AND INSURANCE</w:t>
      </w:r>
      <w:bookmarkEnd w:id="103"/>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105" w:name="_Ref311654936"/>
      <w:r w:rsidRPr="00C3320D">
        <w:rPr>
          <w:rFonts w:cs="Arial"/>
          <w:szCs w:val="22"/>
        </w:rPr>
        <w:t>Neither Party excludes or limits its liability for:</w:t>
      </w:r>
      <w:bookmarkEnd w:id="105"/>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4AA2A180" w14:textId="58B79CD5" w:rsidR="001651CF" w:rsidRPr="00C3320D" w:rsidRDefault="00AC4EAD" w:rsidP="003F4769">
      <w:pPr>
        <w:pStyle w:val="Heading3"/>
        <w:spacing w:before="120" w:after="120"/>
        <w:rPr>
          <w:rFonts w:cs="Arial"/>
          <w:b/>
          <w:i/>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3F4769">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106"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106"/>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107" w:name="_Ref313366946"/>
      <w:bookmarkStart w:id="108" w:name="_Toc61252503"/>
      <w:bookmarkEnd w:id="104"/>
      <w:r w:rsidRPr="00C3320D">
        <w:rPr>
          <w:rFonts w:cs="Arial"/>
          <w:szCs w:val="22"/>
        </w:rPr>
        <w:t>INTELLECTUAL PROPERTY RIGHTS</w:t>
      </w:r>
      <w:bookmarkEnd w:id="107"/>
      <w:bookmarkEnd w:id="108"/>
    </w:p>
    <w:p w14:paraId="2AEA58D8" w14:textId="340AD279" w:rsidR="00F14CCD" w:rsidRPr="00C3320D" w:rsidRDefault="0025590B" w:rsidP="00D40F55">
      <w:pPr>
        <w:pStyle w:val="Heading2"/>
        <w:tabs>
          <w:tab w:val="num" w:pos="720"/>
        </w:tabs>
        <w:spacing w:before="120" w:after="120"/>
        <w:ind w:left="720"/>
        <w:rPr>
          <w:rFonts w:cs="Arial"/>
          <w:szCs w:val="22"/>
        </w:rPr>
      </w:pPr>
      <w:bookmarkStart w:id="109"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109"/>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110"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110"/>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111" w:name="_Ref313367870"/>
      <w:bookmarkStart w:id="112" w:name="_Toc61252504"/>
      <w:r w:rsidRPr="00C3320D">
        <w:rPr>
          <w:rFonts w:cs="Arial"/>
          <w:szCs w:val="22"/>
        </w:rPr>
        <w:t>PROTECTION OF INFORMATION</w:t>
      </w:r>
      <w:bookmarkEnd w:id="111"/>
      <w:bookmarkEnd w:id="112"/>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113" w:name="_Ref313367297"/>
      <w:r w:rsidRPr="00C3320D">
        <w:rPr>
          <w:rFonts w:cs="Arial"/>
          <w:b/>
          <w:szCs w:val="22"/>
        </w:rPr>
        <w:t>Protection of Personal Data</w:t>
      </w:r>
      <w:bookmarkEnd w:id="113"/>
    </w:p>
    <w:p w14:paraId="076A993E" w14:textId="5F17D800" w:rsidR="00345F70" w:rsidRDefault="00345F70" w:rsidP="00345F70">
      <w:pPr>
        <w:pStyle w:val="Heading3"/>
        <w:numPr>
          <w:ilvl w:val="2"/>
          <w:numId w:val="47"/>
        </w:numPr>
        <w:rPr>
          <w:rFonts w:cs="Arial"/>
        </w:rPr>
      </w:pPr>
      <w:r>
        <w:rPr>
          <w:rFonts w:cs="Arial"/>
          <w:szCs w:val="22"/>
        </w:rPr>
        <w:t xml:space="preserve">With </w:t>
      </w:r>
      <w:r>
        <w:rPr>
          <w:rFonts w:cs="Arial"/>
        </w:rPr>
        <w:t>respect to Personal Data provided by one Party to another Party (as further described in Contract Schedule 5 - Record of Personal Data Transfer) for which each Party acts as Controller but which is not under the Joint Control each Party undertakes to comply with the applicable Data Protection Legislation in respect of their processing of such Personal Data as Controller.</w:t>
      </w:r>
    </w:p>
    <w:p w14:paraId="1F85812B" w14:textId="77777777" w:rsidR="00345F70" w:rsidRDefault="00345F70" w:rsidP="00345F70">
      <w:pPr>
        <w:pStyle w:val="Heading3"/>
        <w:numPr>
          <w:ilvl w:val="2"/>
          <w:numId w:val="47"/>
        </w:numPr>
        <w:rPr>
          <w:rFonts w:cs="Arial"/>
        </w:rPr>
      </w:pPr>
      <w:r>
        <w:rPr>
          <w:rFonts w:cs="Arial"/>
        </w:rPr>
        <w:t>Each Party shall process the Personal Data in compliance with its obligations under the Data Protection Legislation and not do anything to cause the other Party to be in breach of it.</w:t>
      </w:r>
    </w:p>
    <w:p w14:paraId="5FB91773" w14:textId="77777777" w:rsidR="00345F70" w:rsidRDefault="00345F70" w:rsidP="00345F70">
      <w:pPr>
        <w:pStyle w:val="Heading3"/>
        <w:numPr>
          <w:ilvl w:val="2"/>
          <w:numId w:val="47"/>
        </w:numPr>
        <w:rPr>
          <w:rFonts w:cs="Arial"/>
        </w:rPr>
      </w:pPr>
      <w:r>
        <w:rPr>
          <w:rFonts w:cs="Arial"/>
        </w:rPr>
        <w:lastRenderedPageBreak/>
        <w:t>Where a Party has provided Personal Data to the other Party in accordance with this Clause 9, the recipient of the Personal Data will provide all such relevant documents and information relating to its data protection policies and procedures as the other Party may reasonably require.</w:t>
      </w:r>
    </w:p>
    <w:p w14:paraId="5AC585E5" w14:textId="77777777" w:rsidR="00345F70" w:rsidRDefault="00345F70" w:rsidP="00345F70">
      <w:pPr>
        <w:pStyle w:val="Heading3"/>
        <w:numPr>
          <w:ilvl w:val="2"/>
          <w:numId w:val="47"/>
        </w:numPr>
        <w:rPr>
          <w:rFonts w:cs="Arial"/>
        </w:rPr>
      </w:pPr>
      <w:r>
        <w:rPr>
          <w:rFonts w:cs="Arial"/>
        </w:rPr>
        <w:t>The Parties shall be responsible for their own compliance with Articles 13 and 14 GDPR in respect of the processing of Personal Data for the purposes of this Legal Services Contract.</w:t>
      </w:r>
    </w:p>
    <w:p w14:paraId="66AE8A57" w14:textId="77777777" w:rsidR="00345F70" w:rsidRDefault="00345F70" w:rsidP="00345F70">
      <w:pPr>
        <w:pStyle w:val="Heading3"/>
        <w:numPr>
          <w:ilvl w:val="2"/>
          <w:numId w:val="47"/>
        </w:numPr>
        <w:rPr>
          <w:rFonts w:cs="Arial"/>
        </w:rPr>
      </w:pPr>
      <w:r>
        <w:rPr>
          <w:rFonts w:cs="Arial"/>
        </w:rPr>
        <w:t>The Parties shall only provide Personal Data to each other:</w:t>
      </w:r>
    </w:p>
    <w:p w14:paraId="50FE17E0" w14:textId="77777777" w:rsidR="00345F70" w:rsidRDefault="00345F70" w:rsidP="00345F70">
      <w:pPr>
        <w:pStyle w:val="Heading4"/>
        <w:numPr>
          <w:ilvl w:val="3"/>
          <w:numId w:val="47"/>
        </w:numPr>
        <w:rPr>
          <w:rFonts w:cs="Arial"/>
        </w:rPr>
      </w:pPr>
      <w:r>
        <w:rPr>
          <w:rFonts w:cs="Arial"/>
        </w:rPr>
        <w:t>to the extent necessary to perform the respective obligations under this Legal Services Contract;</w:t>
      </w:r>
    </w:p>
    <w:p w14:paraId="3EE6D846" w14:textId="77777777" w:rsidR="00345F70" w:rsidRDefault="00345F70" w:rsidP="00345F70">
      <w:pPr>
        <w:pStyle w:val="Heading4"/>
        <w:numPr>
          <w:ilvl w:val="3"/>
          <w:numId w:val="47"/>
        </w:numPr>
        <w:rPr>
          <w:rFonts w:cs="Arial"/>
        </w:rPr>
      </w:pPr>
      <w:r>
        <w:rPr>
          <w:rFonts w:cs="Arial"/>
        </w:rPr>
        <w:t>in compliance with the Data Protection Legislation (including by ensuring all required fair processing information has been given to affected Data Subjects); and</w:t>
      </w:r>
    </w:p>
    <w:p w14:paraId="3903BE7C" w14:textId="77777777" w:rsidR="00345F70" w:rsidRDefault="00345F70" w:rsidP="00345F70">
      <w:pPr>
        <w:pStyle w:val="Heading4"/>
        <w:numPr>
          <w:ilvl w:val="3"/>
          <w:numId w:val="47"/>
        </w:numPr>
        <w:rPr>
          <w:rFonts w:cs="Arial"/>
        </w:rPr>
      </w:pPr>
      <w:r>
        <w:rPr>
          <w:rFonts w:cs="Arial"/>
        </w:rPr>
        <w:t>where it has recorded it in Contract Schedule 5 – Record of Personal Data.</w:t>
      </w:r>
    </w:p>
    <w:p w14:paraId="5FAF78B5" w14:textId="77777777" w:rsidR="00345F70" w:rsidRDefault="00345F70" w:rsidP="00345F70">
      <w:pPr>
        <w:pStyle w:val="Heading3"/>
        <w:numPr>
          <w:ilvl w:val="2"/>
          <w:numId w:val="47"/>
        </w:numPr>
        <w:rPr>
          <w:rFonts w:cs="Arial"/>
        </w:rPr>
      </w:pPr>
      <w:r>
        <w:rPr>
          <w:rFonts w:cs="Arial"/>
        </w:rPr>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14:paraId="69B6938A" w14:textId="77777777" w:rsidR="00345F70" w:rsidRDefault="00345F70" w:rsidP="00345F70">
      <w:pPr>
        <w:pStyle w:val="Heading3"/>
        <w:numPr>
          <w:ilvl w:val="2"/>
          <w:numId w:val="47"/>
        </w:numPr>
        <w:rPr>
          <w:rFonts w:cs="Arial"/>
        </w:rPr>
      </w:pPr>
      <w:r>
        <w:rPr>
          <w:rFonts w:cs="Arial"/>
        </w:rPr>
        <w:t>A Party processing Personal Data for the purposes of this Legal Services Contract shall maintain a record of its processing activities in accordance with Article 30 GDPR and shall make the record available to the other Party upon reasonable request.</w:t>
      </w:r>
    </w:p>
    <w:p w14:paraId="1C470288" w14:textId="77777777" w:rsidR="00345F70" w:rsidRDefault="00345F70" w:rsidP="00345F70">
      <w:pPr>
        <w:pStyle w:val="Heading3"/>
        <w:numPr>
          <w:ilvl w:val="2"/>
          <w:numId w:val="47"/>
        </w:numPr>
        <w:rPr>
          <w:rFonts w:cs="Arial"/>
        </w:rPr>
      </w:pPr>
      <w:r>
        <w:rPr>
          <w:rFonts w:cs="Arial"/>
        </w:rPr>
        <w:t>Where a Party receives a request by any Data Subject to exercise any of their rights under the Data Protection Legislation in relation to the Personal Data provided to it by the other Party pursuant to this Legal Services Contract (“Request Recipient”):</w:t>
      </w:r>
    </w:p>
    <w:p w14:paraId="6B38D65F" w14:textId="77777777" w:rsidR="00345F70" w:rsidRDefault="00345F70" w:rsidP="00345F70">
      <w:pPr>
        <w:pStyle w:val="Heading4"/>
        <w:numPr>
          <w:ilvl w:val="3"/>
          <w:numId w:val="47"/>
        </w:numPr>
        <w:rPr>
          <w:rFonts w:cs="Arial"/>
        </w:rPr>
      </w:pPr>
      <w:r>
        <w:rPr>
          <w:rFonts w:cs="Arial"/>
        </w:rPr>
        <w:t>the other Party shall provide any information and/or assistance as reasonably requested by the Request Recipient to help it respond to the request or correspondence, at the cost of the party receiving the Request Recipient; or</w:t>
      </w:r>
    </w:p>
    <w:p w14:paraId="7E84F8D6" w14:textId="77777777" w:rsidR="00345F70" w:rsidRDefault="00345F70" w:rsidP="00345F70">
      <w:pPr>
        <w:pStyle w:val="Heading4"/>
        <w:numPr>
          <w:ilvl w:val="3"/>
          <w:numId w:val="47"/>
        </w:numPr>
        <w:rPr>
          <w:rFonts w:cs="Arial"/>
        </w:rPr>
      </w:pPr>
      <w:r>
        <w:rPr>
          <w:rFonts w:cs="Arial"/>
        </w:rPr>
        <w:t>where the request or correspondence is directed to the other party and/or relates to the other party's Processing of the Personal Data, the Request Recipient will:</w:t>
      </w:r>
    </w:p>
    <w:p w14:paraId="4E4B3389" w14:textId="77777777" w:rsidR="00345F70" w:rsidRDefault="00345F70" w:rsidP="00345F70">
      <w:pPr>
        <w:pStyle w:val="GPSL6numbered"/>
        <w:numPr>
          <w:ilvl w:val="5"/>
          <w:numId w:val="34"/>
        </w:numPr>
        <w:tabs>
          <w:tab w:val="num" w:pos="4320"/>
        </w:tabs>
        <w:ind w:left="4253" w:hanging="709"/>
        <w:rPr>
          <w:rFonts w:ascii="Arial" w:hAnsi="Arial"/>
        </w:rPr>
      </w:pPr>
      <w:r>
        <w:rPr>
          <w:rFonts w:ascii="Arial" w:hAnsi="Arial"/>
        </w:rPr>
        <w:t xml:space="preserve">promptly, and in any event within five (5) Working Days of receipt of the request or correspondence, inform the other party that it has received the </w:t>
      </w:r>
      <w:r>
        <w:rPr>
          <w:rFonts w:ascii="Arial" w:hAnsi="Arial"/>
        </w:rPr>
        <w:lastRenderedPageBreak/>
        <w:t>same and shall forward such request or correspondence to the other party; and</w:t>
      </w:r>
    </w:p>
    <w:p w14:paraId="3604EA1C" w14:textId="77777777" w:rsidR="00345F70" w:rsidRDefault="00345F70" w:rsidP="00345F70">
      <w:pPr>
        <w:pStyle w:val="GPSL6numbered"/>
        <w:numPr>
          <w:ilvl w:val="5"/>
          <w:numId w:val="34"/>
        </w:numPr>
        <w:tabs>
          <w:tab w:val="num" w:pos="4320"/>
        </w:tabs>
        <w:ind w:left="4253" w:hanging="709"/>
        <w:rPr>
          <w:rFonts w:ascii="Arial" w:hAnsi="Arial"/>
        </w:rPr>
      </w:pPr>
      <w:r>
        <w:rPr>
          <w:rFonts w:ascii="Arial" w:hAnsi="Arial"/>
        </w:rPr>
        <w:t>provide any information and/or assistance as reasonably requested by the other party to help it respond to the request or correspondence in the timeframes specified by Data Protection Legislation.</w:t>
      </w:r>
    </w:p>
    <w:p w14:paraId="7595F7C1" w14:textId="77777777" w:rsidR="00345F70" w:rsidRDefault="00345F70" w:rsidP="00345F70">
      <w:pPr>
        <w:pStyle w:val="Heading3"/>
        <w:numPr>
          <w:ilvl w:val="2"/>
          <w:numId w:val="47"/>
        </w:numPr>
        <w:rPr>
          <w:rFonts w:cs="Arial"/>
        </w:rPr>
      </w:pPr>
      <w:r>
        <w:rPr>
          <w:rFonts w:cs="Arial"/>
        </w:rPr>
        <w:t>Each Party shall promptly notify the other party upon it becoming aware of any Personal Data Breach relating to Personal Data provided by the other Party pursuant to this Legal Services Contract and shall:</w:t>
      </w:r>
    </w:p>
    <w:p w14:paraId="154EA12D" w14:textId="77777777" w:rsidR="00345F70" w:rsidRDefault="00345F70" w:rsidP="00345F70">
      <w:pPr>
        <w:pStyle w:val="Heading4"/>
        <w:numPr>
          <w:ilvl w:val="3"/>
          <w:numId w:val="47"/>
        </w:numPr>
        <w:rPr>
          <w:rFonts w:cs="Arial"/>
        </w:rPr>
      </w:pPr>
      <w:r>
        <w:rPr>
          <w:rFonts w:cs="Arial"/>
        </w:rPr>
        <w:t xml:space="preserve">do all such things as reasonably necessary to assist the other Party in mitigating the effects of the Personal Data Breach; </w:t>
      </w:r>
    </w:p>
    <w:p w14:paraId="0489EAC8" w14:textId="77777777" w:rsidR="00345F70" w:rsidRDefault="00345F70" w:rsidP="00345F70">
      <w:pPr>
        <w:pStyle w:val="Heading4"/>
        <w:numPr>
          <w:ilvl w:val="3"/>
          <w:numId w:val="47"/>
        </w:numPr>
        <w:rPr>
          <w:rFonts w:cs="Arial"/>
        </w:rPr>
      </w:pPr>
      <w:r>
        <w:rPr>
          <w:rFonts w:cs="Arial"/>
        </w:rPr>
        <w:t xml:space="preserve">implement any measures necessary to restore the security of any compromised Personal Data; </w:t>
      </w:r>
    </w:p>
    <w:p w14:paraId="3A00AD4F" w14:textId="77777777" w:rsidR="00345F70" w:rsidRDefault="00345F70" w:rsidP="00345F70">
      <w:pPr>
        <w:pStyle w:val="Heading4"/>
        <w:numPr>
          <w:ilvl w:val="3"/>
          <w:numId w:val="47"/>
        </w:numPr>
        <w:rPr>
          <w:rFonts w:cs="Arial"/>
        </w:rPr>
      </w:pPr>
      <w:r>
        <w:rPr>
          <w:rFonts w:cs="Arial"/>
        </w:rPr>
        <w:t>work with the other Party to make any required notifications to the Information Commissioner’s Office and affected Data Subjects in accordance with the Data Protection Legislation (including the timeframes set out therein); and</w:t>
      </w:r>
    </w:p>
    <w:p w14:paraId="47058172" w14:textId="77777777" w:rsidR="00345F70" w:rsidRDefault="00345F70" w:rsidP="00345F70">
      <w:pPr>
        <w:pStyle w:val="Heading4"/>
        <w:numPr>
          <w:ilvl w:val="3"/>
          <w:numId w:val="47"/>
        </w:numPr>
        <w:rPr>
          <w:rFonts w:cs="Arial"/>
        </w:rPr>
      </w:pPr>
      <w:r>
        <w:rPr>
          <w:rFonts w:cs="Arial"/>
        </w:rPr>
        <w:t>not do anything which may damage the reputation of the other Party or that Party's relationship with the relevant Data Subjects, save as required by Law.</w:t>
      </w:r>
    </w:p>
    <w:p w14:paraId="3943D2C6" w14:textId="77777777" w:rsidR="00345F70" w:rsidRDefault="00345F70" w:rsidP="00345F70">
      <w:pPr>
        <w:pStyle w:val="Heading3"/>
        <w:numPr>
          <w:ilvl w:val="2"/>
          <w:numId w:val="47"/>
        </w:numPr>
        <w:rPr>
          <w:rFonts w:cs="Arial"/>
        </w:rPr>
      </w:pPr>
      <w:r>
        <w:rPr>
          <w:rFonts w:cs="Arial"/>
        </w:rPr>
        <w:t xml:space="preserve">Personal Data provided by one Party to the other Party may be used exclusively to exercise rights and obligations under this Legal Services Contract as specified in Contract Schedule 5. </w:t>
      </w:r>
    </w:p>
    <w:p w14:paraId="79F9C008" w14:textId="77777777" w:rsidR="00345F70" w:rsidRDefault="00345F70" w:rsidP="00345F70">
      <w:pPr>
        <w:pStyle w:val="Heading3"/>
        <w:numPr>
          <w:ilvl w:val="2"/>
          <w:numId w:val="47"/>
        </w:numPr>
        <w:rPr>
          <w:rFonts w:cs="Arial"/>
        </w:rPr>
      </w:pPr>
      <w:r>
        <w:rPr>
          <w:rFonts w:cs="Arial"/>
        </w:rPr>
        <w:t xml:space="preserve">Personal Data shall not be retained or processed for longer than is necessary to perform each Party’s respective obligations under this Legal Services Contract which is specified in Contract Schedule 5. </w:t>
      </w:r>
    </w:p>
    <w:p w14:paraId="7D48E565" w14:textId="77777777" w:rsidR="00345F70" w:rsidRDefault="00345F70" w:rsidP="00345F70">
      <w:pPr>
        <w:pStyle w:val="Heading3"/>
        <w:numPr>
          <w:ilvl w:val="2"/>
          <w:numId w:val="47"/>
        </w:numPr>
        <w:rPr>
          <w:rFonts w:cs="Arial"/>
        </w:rPr>
      </w:pPr>
      <w:r>
        <w:rPr>
          <w:rFonts w:cs="Arial"/>
        </w:rPr>
        <w:t>Where an employee of a Party is seconded to the other Party, the host Party shall be the Controller of Personal Data, and the seconded employee shall be a third party of that Controller for purposes of the GDPR.</w:t>
      </w:r>
    </w:p>
    <w:p w14:paraId="70954282" w14:textId="77777777" w:rsidR="00345F70" w:rsidRDefault="00345F70" w:rsidP="00345F70">
      <w:pPr>
        <w:pStyle w:val="Heading3"/>
        <w:numPr>
          <w:ilvl w:val="2"/>
          <w:numId w:val="47"/>
        </w:numPr>
        <w:rPr>
          <w:rFonts w:cs="Arial"/>
        </w:rPr>
      </w:pPr>
      <w:r>
        <w:rPr>
          <w:rFonts w:cs="Arial"/>
        </w:rPr>
        <w:t>In the event that the one Party acts a Controller and the other Party acts as its Processer in respect of Personal Data under this Legal Services Contract, the Parties shall implement clauses in respect of the Controller to Processer relationship contained in Procurement Policy Note 02/18 (or any update to it thereof) in respect of that Personal Data in an Annex to Contract Schedule 5.</w:t>
      </w:r>
    </w:p>
    <w:p w14:paraId="292567F2" w14:textId="77777777" w:rsidR="00345F70" w:rsidRDefault="00345F70" w:rsidP="00345F70">
      <w:pPr>
        <w:pStyle w:val="Heading3"/>
        <w:numPr>
          <w:ilvl w:val="2"/>
          <w:numId w:val="47"/>
        </w:numPr>
        <w:rPr>
          <w:rFonts w:cs="Arial"/>
        </w:rPr>
      </w:pPr>
      <w:r>
        <w:rPr>
          <w:rFonts w:cs="Arial"/>
        </w:rPr>
        <w:t>In the event that Parties act as Joint Controllers in respect of Personal Data under this Legal Services Contract, the parties shall implement clauses in respect of Joint Control that are necessary to comply with GDPR Article 26 as an Annex to Contract Schedule 5.</w:t>
      </w:r>
    </w:p>
    <w:p w14:paraId="7B03821A" w14:textId="4A63FAD4" w:rsidR="000C727A" w:rsidRPr="00345F70" w:rsidRDefault="00345F70" w:rsidP="00345F70">
      <w:pPr>
        <w:pStyle w:val="Heading3"/>
        <w:numPr>
          <w:ilvl w:val="2"/>
          <w:numId w:val="47"/>
        </w:numPr>
        <w:rPr>
          <w:rFonts w:cs="Arial"/>
        </w:rPr>
      </w:pPr>
      <w:r>
        <w:rPr>
          <w:rFonts w:cs="Arial"/>
        </w:rPr>
        <w:t>Notwithstanding Clause 9.1.13 and 9.1.14, where the Supplier is required to exercise its regulatory and/or legal obligations in respect of Personal Data, it shall act as an Independent Controller of Personal Data in accordance with Clause 9.1.2 to 9.1.11.</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14" w:name="_Ref313367753"/>
      <w:r w:rsidRPr="00C3320D">
        <w:rPr>
          <w:rFonts w:cs="Arial"/>
          <w:b/>
          <w:szCs w:val="22"/>
        </w:rPr>
        <w:lastRenderedPageBreak/>
        <w:t>Confidentiality</w:t>
      </w:r>
      <w:bookmarkEnd w:id="114"/>
    </w:p>
    <w:p w14:paraId="1EED7F04" w14:textId="77777777" w:rsidR="00F807DC" w:rsidRPr="00C3320D" w:rsidRDefault="007562F7" w:rsidP="00D40F55">
      <w:pPr>
        <w:pStyle w:val="Heading3"/>
        <w:keepNext/>
        <w:spacing w:before="120" w:after="120"/>
        <w:rPr>
          <w:rFonts w:cs="Arial"/>
          <w:szCs w:val="22"/>
        </w:rPr>
      </w:pPr>
      <w:bookmarkStart w:id="115"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15"/>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16"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16"/>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in confidence and is not to be disclosed to any third party) or any person </w:t>
      </w:r>
      <w:r w:rsidRPr="00C3320D">
        <w:rPr>
          <w:rFonts w:cs="Arial"/>
          <w:szCs w:val="22"/>
        </w:rPr>
        <w:lastRenderedPageBreak/>
        <w:t>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17"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17"/>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18"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18"/>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19" w:name="_Ref313369975"/>
      <w:r w:rsidRPr="00C3320D">
        <w:rPr>
          <w:rFonts w:cs="Arial"/>
          <w:b/>
          <w:szCs w:val="22"/>
        </w:rPr>
        <w:t>Freedom of Information</w:t>
      </w:r>
      <w:bookmarkEnd w:id="119"/>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20"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20"/>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9"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w:t>
      </w:r>
      <w:r w:rsidR="000A4ADA" w:rsidRPr="00C3320D">
        <w:rPr>
          <w:rFonts w:cs="Arial"/>
          <w:szCs w:val="22"/>
        </w:rPr>
        <w:lastRenderedPageBreak/>
        <w:t>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21" w:name="_Ref313372170"/>
      <w:bookmarkStart w:id="122" w:name="_Toc61252505"/>
      <w:r w:rsidRPr="00C3320D">
        <w:rPr>
          <w:rFonts w:cs="Arial"/>
          <w:szCs w:val="22"/>
        </w:rPr>
        <w:t>WARRANTIES</w:t>
      </w:r>
      <w:r w:rsidR="00A14D96" w:rsidRPr="00C3320D">
        <w:rPr>
          <w:rFonts w:cs="Arial"/>
          <w:szCs w:val="22"/>
        </w:rPr>
        <w:t>,</w:t>
      </w:r>
      <w:r w:rsidRPr="00C3320D">
        <w:rPr>
          <w:rFonts w:cs="Arial"/>
          <w:szCs w:val="22"/>
        </w:rPr>
        <w:t xml:space="preserve"> REPRESENTATIONS</w:t>
      </w:r>
      <w:bookmarkEnd w:id="121"/>
      <w:r w:rsidR="00A14D96" w:rsidRPr="00C3320D">
        <w:rPr>
          <w:rFonts w:cs="Arial"/>
          <w:szCs w:val="22"/>
        </w:rPr>
        <w:t xml:space="preserve"> AND UNDERTAKINGS</w:t>
      </w:r>
      <w:bookmarkEnd w:id="122"/>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23"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23"/>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 xml:space="preserve">computing environment (including the hardware, software and/or telecommunications networks or </w:t>
      </w:r>
      <w:r w:rsidR="00370BE4" w:rsidRPr="00C3320D">
        <w:rPr>
          <w:rFonts w:cs="Arial"/>
          <w:szCs w:val="22"/>
        </w:rPr>
        <w:lastRenderedPageBreak/>
        <w:t>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24" w:name="_Ref358971011"/>
      <w:r w:rsidRPr="00C3320D">
        <w:rPr>
          <w:rFonts w:cs="Arial"/>
          <w:szCs w:val="22"/>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24"/>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25" w:name="_Ref313373896"/>
      <w:bookmarkStart w:id="126" w:name="_Toc61252506"/>
      <w:r w:rsidRPr="00C3320D">
        <w:rPr>
          <w:rFonts w:cs="Arial"/>
          <w:szCs w:val="22"/>
        </w:rPr>
        <w:t>TERMINATION</w:t>
      </w:r>
      <w:bookmarkEnd w:id="125"/>
      <w:bookmarkEnd w:id="126"/>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27" w:name="_Ref313371016"/>
      <w:r w:rsidRPr="00C3320D">
        <w:rPr>
          <w:rFonts w:cs="Arial"/>
          <w:b/>
          <w:szCs w:val="22"/>
        </w:rPr>
        <w:t>Termination on Insolvency</w:t>
      </w:r>
      <w:bookmarkEnd w:id="127"/>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28" w:name="_Ref313369326"/>
      <w:r w:rsidRPr="00C3320D">
        <w:rPr>
          <w:rFonts w:cs="Arial"/>
          <w:b/>
          <w:szCs w:val="22"/>
        </w:rPr>
        <w:t xml:space="preserve">Termination on </w:t>
      </w:r>
      <w:bookmarkEnd w:id="128"/>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29"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w:t>
      </w:r>
      <w:r w:rsidRPr="00C3320D">
        <w:rPr>
          <w:rFonts w:cs="Arial"/>
          <w:szCs w:val="22"/>
        </w:rPr>
        <w:lastRenderedPageBreak/>
        <w:t xml:space="preserve">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29"/>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30" w:name="_Ref313371033"/>
      <w:bookmarkStart w:id="131" w:name="_Ref313369604"/>
      <w:r w:rsidRPr="00C3320D">
        <w:rPr>
          <w:rFonts w:cs="Arial"/>
          <w:b/>
          <w:szCs w:val="22"/>
        </w:rPr>
        <w:t>Termination on Change of Control</w:t>
      </w:r>
      <w:bookmarkEnd w:id="130"/>
    </w:p>
    <w:p w14:paraId="383040C0" w14:textId="77777777" w:rsidR="00BB527F" w:rsidRPr="00C3320D" w:rsidRDefault="00BB527F" w:rsidP="00D40F55">
      <w:pPr>
        <w:pStyle w:val="Heading3"/>
        <w:spacing w:before="120" w:after="120"/>
        <w:rPr>
          <w:rFonts w:cs="Arial"/>
          <w:szCs w:val="22"/>
        </w:rPr>
      </w:pPr>
      <w:bookmarkStart w:id="132"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32"/>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31"/>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lastRenderedPageBreak/>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33" w:name="_Ref313370007"/>
      <w:bookmarkStart w:id="134" w:name="_Toc61252507"/>
      <w:r w:rsidRPr="00C3320D">
        <w:rPr>
          <w:rFonts w:cs="Arial"/>
          <w:szCs w:val="22"/>
        </w:rPr>
        <w:t>CONSEQUENCES OF EXPIRY OR TERMINATION</w:t>
      </w:r>
      <w:bookmarkEnd w:id="133"/>
      <w:bookmarkEnd w:id="134"/>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lastRenderedPageBreak/>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35"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35"/>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36"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36"/>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37"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37"/>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lastRenderedPageBreak/>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38" w:name="_Ref313373915"/>
      <w:bookmarkStart w:id="139" w:name="_Toc61252508"/>
      <w:r w:rsidRPr="00C3320D">
        <w:rPr>
          <w:rFonts w:cs="Arial"/>
          <w:szCs w:val="22"/>
        </w:rPr>
        <w:t>PUBLICITY, MEDIA AND OFFICIAL ENQUIRIES</w:t>
      </w:r>
      <w:bookmarkEnd w:id="138"/>
      <w:bookmarkEnd w:id="139"/>
    </w:p>
    <w:p w14:paraId="7B2B5338" w14:textId="77777777" w:rsidR="00F807DC" w:rsidRPr="00C3320D" w:rsidRDefault="007562F7" w:rsidP="00D40F55">
      <w:pPr>
        <w:pStyle w:val="Heading2"/>
        <w:tabs>
          <w:tab w:val="num" w:pos="720"/>
        </w:tabs>
        <w:spacing w:before="120" w:after="120"/>
        <w:ind w:left="720"/>
        <w:rPr>
          <w:rFonts w:cs="Arial"/>
          <w:szCs w:val="22"/>
        </w:rPr>
      </w:pPr>
      <w:bookmarkStart w:id="140"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40"/>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41" w:name="_Ref313370019"/>
      <w:bookmarkStart w:id="142" w:name="_Toc61252509"/>
      <w:r w:rsidRPr="00C3320D">
        <w:rPr>
          <w:rFonts w:cs="Arial"/>
          <w:szCs w:val="22"/>
        </w:rPr>
        <w:t xml:space="preserve">PREVENTION OF </w:t>
      </w:r>
      <w:bookmarkEnd w:id="141"/>
      <w:r w:rsidR="00325324" w:rsidRPr="00C3320D">
        <w:rPr>
          <w:rFonts w:cs="Arial"/>
          <w:szCs w:val="22"/>
        </w:rPr>
        <w:t>FRAUD AND BRIBERY</w:t>
      </w:r>
      <w:bookmarkEnd w:id="142"/>
    </w:p>
    <w:p w14:paraId="1F2281DA" w14:textId="77777777" w:rsidR="00DC5B63" w:rsidRPr="00C3320D" w:rsidRDefault="00DC5B63" w:rsidP="00D40F55">
      <w:pPr>
        <w:pStyle w:val="Heading2"/>
        <w:tabs>
          <w:tab w:val="num" w:pos="720"/>
        </w:tabs>
        <w:spacing w:before="120" w:after="120"/>
        <w:ind w:left="720"/>
        <w:rPr>
          <w:rFonts w:cs="Arial"/>
          <w:szCs w:val="22"/>
        </w:rPr>
      </w:pPr>
      <w:bookmarkStart w:id="143" w:name="_Ref360700144"/>
      <w:r w:rsidRPr="00C3320D">
        <w:rPr>
          <w:rFonts w:cs="Arial"/>
          <w:szCs w:val="22"/>
        </w:rPr>
        <w:t>The Supplier represents and warrants that neither it, nor to the best of its knowledge any Supplier Personnel, have at any time prior to the Commencement Date:</w:t>
      </w:r>
      <w:bookmarkEnd w:id="143"/>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lastRenderedPageBreak/>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44"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44"/>
    </w:p>
    <w:p w14:paraId="42343349" w14:textId="77777777" w:rsidR="00DC5B63" w:rsidRPr="00C3320D" w:rsidRDefault="00DC5B63" w:rsidP="00D40F55">
      <w:pPr>
        <w:pStyle w:val="Heading3"/>
        <w:spacing w:before="120" w:after="120"/>
        <w:rPr>
          <w:rFonts w:cs="Arial"/>
          <w:szCs w:val="22"/>
        </w:rPr>
      </w:pPr>
      <w:bookmarkStart w:id="145"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45"/>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46"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46"/>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47"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47"/>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w:t>
      </w:r>
      <w:r w:rsidRPr="00C3320D">
        <w:rPr>
          <w:rFonts w:cs="Arial"/>
          <w:szCs w:val="22"/>
        </w:rPr>
        <w:lastRenderedPageBreak/>
        <w:t xml:space="preserve">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48" w:name="_Toc61252510"/>
      <w:r w:rsidRPr="00C3320D">
        <w:rPr>
          <w:rFonts w:cs="Arial"/>
          <w:szCs w:val="22"/>
        </w:rPr>
        <w:t>NON-DISCRIMINATION</w:t>
      </w:r>
      <w:bookmarkEnd w:id="148"/>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49"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50" w:name="_Toc461102337"/>
      <w:bookmarkStart w:id="151" w:name="_Toc461102400"/>
      <w:bookmarkStart w:id="152" w:name="_Toc461102479"/>
      <w:bookmarkStart w:id="153" w:name="_Toc461109646"/>
      <w:bookmarkStart w:id="154" w:name="_Toc461102338"/>
      <w:bookmarkStart w:id="155" w:name="_Toc461102401"/>
      <w:bookmarkStart w:id="156" w:name="_Toc461102480"/>
      <w:bookmarkStart w:id="157" w:name="_Toc461109647"/>
      <w:bookmarkStart w:id="158" w:name="_Toc461102339"/>
      <w:bookmarkStart w:id="159" w:name="_Toc461102402"/>
      <w:bookmarkStart w:id="160" w:name="_Toc461102481"/>
      <w:bookmarkStart w:id="161" w:name="_Toc461109648"/>
      <w:bookmarkStart w:id="162" w:name="_Toc461102340"/>
      <w:bookmarkStart w:id="163" w:name="_Toc461102403"/>
      <w:bookmarkStart w:id="164" w:name="_Toc461102482"/>
      <w:bookmarkStart w:id="165" w:name="_Toc461109649"/>
      <w:bookmarkStart w:id="166" w:name="_Toc461102341"/>
      <w:bookmarkStart w:id="167" w:name="_Toc461102404"/>
      <w:bookmarkStart w:id="168" w:name="_Toc461102483"/>
      <w:bookmarkStart w:id="169" w:name="_Toc461109650"/>
      <w:bookmarkStart w:id="170" w:name="_Toc461102342"/>
      <w:bookmarkStart w:id="171" w:name="_Toc461102405"/>
      <w:bookmarkStart w:id="172" w:name="_Toc461102484"/>
      <w:bookmarkStart w:id="173" w:name="_Toc461109651"/>
      <w:bookmarkStart w:id="174" w:name="_Toc461102343"/>
      <w:bookmarkStart w:id="175" w:name="_Toc461102406"/>
      <w:bookmarkStart w:id="176" w:name="_Toc461102485"/>
      <w:bookmarkStart w:id="177" w:name="_Toc461109652"/>
      <w:bookmarkStart w:id="178" w:name="_Toc461102344"/>
      <w:bookmarkStart w:id="179" w:name="_Toc461102407"/>
      <w:bookmarkStart w:id="180" w:name="_Toc461102486"/>
      <w:bookmarkStart w:id="181" w:name="_Toc461109653"/>
      <w:bookmarkStart w:id="182" w:name="_Toc461102345"/>
      <w:bookmarkStart w:id="183" w:name="_Toc461102408"/>
      <w:bookmarkStart w:id="184" w:name="_Toc461102487"/>
      <w:bookmarkStart w:id="185" w:name="_Toc461109654"/>
      <w:bookmarkStart w:id="186" w:name="_Toc461102346"/>
      <w:bookmarkStart w:id="187" w:name="_Toc461102409"/>
      <w:bookmarkStart w:id="188" w:name="_Toc461102488"/>
      <w:bookmarkStart w:id="189" w:name="_Toc461109655"/>
      <w:bookmarkStart w:id="190" w:name="_Toc461102347"/>
      <w:bookmarkStart w:id="191" w:name="_Toc461102410"/>
      <w:bookmarkStart w:id="192" w:name="_Toc461102489"/>
      <w:bookmarkStart w:id="193" w:name="_Toc461109656"/>
      <w:bookmarkStart w:id="194" w:name="_Toc461102348"/>
      <w:bookmarkStart w:id="195" w:name="_Toc461102411"/>
      <w:bookmarkStart w:id="196" w:name="_Toc461102490"/>
      <w:bookmarkStart w:id="197" w:name="_Toc461109657"/>
      <w:bookmarkStart w:id="198" w:name="_Toc461102349"/>
      <w:bookmarkStart w:id="199" w:name="_Toc461102412"/>
      <w:bookmarkStart w:id="200" w:name="_Toc461102491"/>
      <w:bookmarkStart w:id="201" w:name="_Toc461109658"/>
      <w:bookmarkStart w:id="202" w:name="_Toc61252511"/>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C3320D">
        <w:rPr>
          <w:rFonts w:cs="Arial"/>
          <w:szCs w:val="22"/>
        </w:rPr>
        <w:t>ASSIGNMENT AND NOVATION</w:t>
      </w:r>
      <w:bookmarkEnd w:id="202"/>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203"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203"/>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 xml:space="preserve">Legal </w:t>
      </w:r>
      <w:r w:rsidR="008C689D" w:rsidRPr="00C3320D">
        <w:rPr>
          <w:rFonts w:cs="Arial"/>
          <w:szCs w:val="22"/>
        </w:rPr>
        <w:lastRenderedPageBreak/>
        <w:t>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204"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204"/>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205" w:name="_Toc61252512"/>
      <w:r w:rsidRPr="00C3320D">
        <w:rPr>
          <w:rFonts w:cs="Arial"/>
          <w:szCs w:val="22"/>
        </w:rPr>
        <w:t>WAIVER</w:t>
      </w:r>
      <w:r w:rsidR="00312EB4" w:rsidRPr="00C3320D">
        <w:rPr>
          <w:rFonts w:cs="Arial"/>
          <w:szCs w:val="22"/>
        </w:rPr>
        <w:t xml:space="preserve"> AND CUMULATIVE REMEDIES</w:t>
      </w:r>
      <w:bookmarkEnd w:id="205"/>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206" w:name="_Toc461102352"/>
      <w:bookmarkStart w:id="207" w:name="_Toc461102415"/>
      <w:bookmarkStart w:id="208" w:name="_Toc461102494"/>
      <w:bookmarkStart w:id="209" w:name="_Toc461109661"/>
      <w:bookmarkStart w:id="210" w:name="_Toc461102353"/>
      <w:bookmarkStart w:id="211" w:name="_Toc461102416"/>
      <w:bookmarkStart w:id="212" w:name="_Toc461102495"/>
      <w:bookmarkStart w:id="213" w:name="_Toc461109662"/>
      <w:bookmarkStart w:id="214" w:name="_Toc461102354"/>
      <w:bookmarkStart w:id="215" w:name="_Toc461102417"/>
      <w:bookmarkStart w:id="216" w:name="_Toc461102496"/>
      <w:bookmarkStart w:id="217" w:name="_Toc461109663"/>
      <w:bookmarkStart w:id="218" w:name="_Toc461102355"/>
      <w:bookmarkStart w:id="219" w:name="_Toc461102418"/>
      <w:bookmarkStart w:id="220" w:name="_Toc461102497"/>
      <w:bookmarkStart w:id="221" w:name="_Toc461109664"/>
      <w:bookmarkStart w:id="222" w:name="_Toc461102356"/>
      <w:bookmarkStart w:id="223" w:name="_Toc461102419"/>
      <w:bookmarkStart w:id="224" w:name="_Toc461102498"/>
      <w:bookmarkStart w:id="225" w:name="_Toc461109665"/>
      <w:bookmarkStart w:id="226" w:name="_Toc61252513"/>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C3320D">
        <w:rPr>
          <w:rFonts w:cs="Arial"/>
          <w:szCs w:val="22"/>
        </w:rPr>
        <w:t>FURTHER ASSURANCES</w:t>
      </w:r>
      <w:bookmarkEnd w:id="226"/>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27" w:name="_Toc61252514"/>
      <w:r w:rsidRPr="00C3320D">
        <w:rPr>
          <w:rFonts w:cs="Arial"/>
          <w:szCs w:val="22"/>
        </w:rPr>
        <w:t>SEVERABILITY</w:t>
      </w:r>
      <w:bookmarkEnd w:id="227"/>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lastRenderedPageBreak/>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28" w:name="_Toc61252515"/>
      <w:r w:rsidRPr="00C3320D">
        <w:rPr>
          <w:rFonts w:cs="Arial"/>
          <w:szCs w:val="22"/>
        </w:rPr>
        <w:t>RELATIONSHIP OF THE PARTIES</w:t>
      </w:r>
      <w:bookmarkEnd w:id="228"/>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29" w:name="_Toc61252516"/>
      <w:r w:rsidRPr="00C3320D">
        <w:rPr>
          <w:rFonts w:cs="Arial"/>
          <w:szCs w:val="22"/>
        </w:rPr>
        <w:t>ENTIRE AGREEMENT</w:t>
      </w:r>
      <w:bookmarkEnd w:id="229"/>
    </w:p>
    <w:p w14:paraId="1B57DF5A" w14:textId="77777777" w:rsidR="00F807DC" w:rsidRPr="00C3320D" w:rsidRDefault="00837B0E" w:rsidP="00D40F55">
      <w:pPr>
        <w:pStyle w:val="Heading2"/>
        <w:spacing w:before="120" w:after="120"/>
        <w:rPr>
          <w:rFonts w:cs="Arial"/>
          <w:szCs w:val="22"/>
        </w:rPr>
      </w:pPr>
      <w:bookmarkStart w:id="230"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30"/>
    </w:p>
    <w:p w14:paraId="15204E5F" w14:textId="77777777" w:rsidR="00F807DC" w:rsidRPr="00C3320D" w:rsidRDefault="007562F7" w:rsidP="00D40F55">
      <w:pPr>
        <w:pStyle w:val="Heading2"/>
        <w:spacing w:before="120" w:after="120"/>
        <w:rPr>
          <w:rFonts w:cs="Arial"/>
          <w:szCs w:val="22"/>
        </w:rPr>
      </w:pPr>
      <w:bookmarkStart w:id="231"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31"/>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32" w:name="_Toc461102361"/>
      <w:bookmarkStart w:id="233" w:name="_Toc461102424"/>
      <w:bookmarkStart w:id="234" w:name="_Toc461102503"/>
      <w:bookmarkStart w:id="235" w:name="_Toc461109670"/>
      <w:bookmarkStart w:id="236" w:name="_Toc461102362"/>
      <w:bookmarkStart w:id="237" w:name="_Toc461102425"/>
      <w:bookmarkStart w:id="238" w:name="_Toc461102504"/>
      <w:bookmarkStart w:id="239" w:name="_Toc461109671"/>
      <w:bookmarkStart w:id="240" w:name="_Ref313370095"/>
      <w:bookmarkStart w:id="241" w:name="_Toc61252517"/>
      <w:bookmarkEnd w:id="232"/>
      <w:bookmarkEnd w:id="233"/>
      <w:bookmarkEnd w:id="234"/>
      <w:bookmarkEnd w:id="235"/>
      <w:bookmarkEnd w:id="236"/>
      <w:bookmarkEnd w:id="237"/>
      <w:bookmarkEnd w:id="238"/>
      <w:bookmarkEnd w:id="239"/>
      <w:r w:rsidRPr="00C3320D">
        <w:rPr>
          <w:rFonts w:cs="Arial"/>
          <w:szCs w:val="22"/>
        </w:rPr>
        <w:t>CONTRACTS (RIGHTS OF THIRD PARTIES) ACT</w:t>
      </w:r>
      <w:bookmarkEnd w:id="240"/>
      <w:bookmarkEnd w:id="241"/>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42"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w:t>
      </w:r>
      <w:r w:rsidR="00C2656E" w:rsidRPr="00C3320D">
        <w:rPr>
          <w:rFonts w:cs="Arial"/>
          <w:szCs w:val="22"/>
        </w:rPr>
        <w:lastRenderedPageBreak/>
        <w:t xml:space="preserve">(reading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43" w:name="_Toc61252518"/>
      <w:r w:rsidRPr="00C3320D">
        <w:rPr>
          <w:rFonts w:cs="Arial"/>
          <w:szCs w:val="22"/>
        </w:rPr>
        <w:t>NOTICES</w:t>
      </w:r>
      <w:bookmarkEnd w:id="242"/>
      <w:bookmarkEnd w:id="243"/>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44"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44"/>
    </w:p>
    <w:p w14:paraId="28A053EE" w14:textId="77777777" w:rsidR="00F807DC" w:rsidRPr="00C3320D" w:rsidRDefault="007562F7" w:rsidP="00D40F55">
      <w:pPr>
        <w:pStyle w:val="Heading2"/>
        <w:spacing w:before="120" w:after="120"/>
        <w:rPr>
          <w:rFonts w:cs="Arial"/>
          <w:szCs w:val="22"/>
        </w:rPr>
      </w:pPr>
      <w:bookmarkStart w:id="245"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45"/>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46" w:name="_Toc461102365"/>
      <w:bookmarkStart w:id="247" w:name="_Toc461102428"/>
      <w:bookmarkStart w:id="248" w:name="_Toc461102507"/>
      <w:bookmarkStart w:id="249" w:name="_Toc461109674"/>
      <w:bookmarkStart w:id="250" w:name="_Toc314810842"/>
      <w:bookmarkStart w:id="251" w:name="_Toc61252519"/>
      <w:bookmarkEnd w:id="246"/>
      <w:bookmarkEnd w:id="247"/>
      <w:bookmarkEnd w:id="248"/>
      <w:bookmarkEnd w:id="249"/>
      <w:r w:rsidRPr="00C3320D">
        <w:rPr>
          <w:rFonts w:cs="Arial"/>
          <w:szCs w:val="22"/>
        </w:rPr>
        <w:t>DISPUTES AND LAW</w:t>
      </w:r>
      <w:bookmarkEnd w:id="250"/>
      <w:bookmarkEnd w:id="251"/>
    </w:p>
    <w:p w14:paraId="5958DD30" w14:textId="77777777" w:rsidR="00185555" w:rsidRPr="00C3320D" w:rsidRDefault="00185555" w:rsidP="00D40F55">
      <w:pPr>
        <w:pStyle w:val="Heading2"/>
        <w:keepNext/>
        <w:spacing w:before="120" w:after="120"/>
        <w:rPr>
          <w:rFonts w:cs="Arial"/>
          <w:szCs w:val="22"/>
        </w:rPr>
      </w:pPr>
      <w:bookmarkStart w:id="252" w:name="_Ref313370109"/>
      <w:r w:rsidRPr="00C3320D">
        <w:rPr>
          <w:rFonts w:cs="Arial"/>
          <w:szCs w:val="22"/>
        </w:rPr>
        <w:t>Governing Law and Jurisdiction</w:t>
      </w:r>
      <w:bookmarkEnd w:id="252"/>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53" w:name="_Ref313372098"/>
      <w:r w:rsidRPr="00C3320D">
        <w:rPr>
          <w:rFonts w:cs="Arial"/>
          <w:szCs w:val="22"/>
        </w:rPr>
        <w:t>Dispute Resolution</w:t>
      </w:r>
      <w:bookmarkEnd w:id="253"/>
    </w:p>
    <w:p w14:paraId="2F12A5E2" w14:textId="77777777" w:rsidR="00185555" w:rsidRPr="00C3320D" w:rsidRDefault="00185555" w:rsidP="00D40F55">
      <w:pPr>
        <w:pStyle w:val="Heading3"/>
        <w:spacing w:before="120" w:after="120"/>
        <w:rPr>
          <w:rFonts w:cs="Arial"/>
          <w:szCs w:val="22"/>
        </w:rPr>
      </w:pPr>
      <w:bookmarkStart w:id="254"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54"/>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55" w:name="_Ref313371432"/>
      <w:r w:rsidRPr="00C3320D">
        <w:rPr>
          <w:rFonts w:cs="Arial"/>
          <w:szCs w:val="22"/>
        </w:rPr>
        <w:t>The procedure for mediation is as follows:</w:t>
      </w:r>
      <w:bookmarkEnd w:id="255"/>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56"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56"/>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57" w:name="_Toc127759065"/>
      <w:bookmarkStart w:id="258" w:name="_Toc139080105"/>
      <w:bookmarkStart w:id="259" w:name="_Toc296514644"/>
      <w:bookmarkStart w:id="260" w:name="_Toc297577110"/>
      <w:bookmarkStart w:id="261" w:name="_Toc297577509"/>
      <w:bookmarkStart w:id="262" w:name="_Toc297624436"/>
    </w:p>
    <w:bookmarkEnd w:id="257"/>
    <w:bookmarkEnd w:id="258"/>
    <w:bookmarkEnd w:id="259"/>
    <w:bookmarkEnd w:id="260"/>
    <w:bookmarkEnd w:id="261"/>
    <w:bookmarkEnd w:id="262"/>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63" w:name="_Toc431551184"/>
      <w:bookmarkStart w:id="264" w:name="_Toc61252520"/>
      <w:bookmarkStart w:id="265" w:name="bmCompoundReference"/>
      <w:r w:rsidRPr="00C3320D">
        <w:rPr>
          <w:rFonts w:cs="Arial"/>
          <w:szCs w:val="22"/>
        </w:rPr>
        <w:lastRenderedPageBreak/>
        <w:t xml:space="preserve">CONTRACT </w:t>
      </w:r>
      <w:r w:rsidR="00D02ECD" w:rsidRPr="00C3320D">
        <w:rPr>
          <w:rFonts w:cs="Arial"/>
          <w:szCs w:val="22"/>
        </w:rPr>
        <w:t>SCHEDULE 1: DEFINITIONS</w:t>
      </w:r>
      <w:bookmarkEnd w:id="263"/>
      <w:bookmarkEnd w:id="264"/>
    </w:p>
    <w:p w14:paraId="0A0481F9" w14:textId="77777777" w:rsidR="005C28AA" w:rsidRPr="00C3320D" w:rsidRDefault="00D02ECD" w:rsidP="00345F70">
      <w:pPr>
        <w:pStyle w:val="ScheduleL1"/>
        <w:numPr>
          <w:ilvl w:val="0"/>
          <w:numId w:val="31"/>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345F70">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345F70">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345F70">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345F70">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345F70">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345F70">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345F70">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345F70">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345F70">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0D943A78" w:rsidR="00A72942" w:rsidRPr="00C3320D" w:rsidRDefault="00A72942" w:rsidP="001F1958">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panel agreement between the Authority and the Supplier dated </w:t>
            </w:r>
            <w:r w:rsidR="00191736" w:rsidRPr="001F1958">
              <w:rPr>
                <w:rFonts w:cs="Arial"/>
                <w:szCs w:val="22"/>
              </w:rPr>
              <w:t>FaCLS 24/08/2017</w:t>
            </w:r>
            <w:r w:rsidRPr="001F1958">
              <w:rPr>
                <w:rFonts w:cs="Arial"/>
                <w:szCs w:val="22"/>
              </w:rPr>
              <w:t xml:space="preserve">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66" w:author="Nick Williams" w:date="2021-04-19T09:02: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345F70">
            <w:pPr>
              <w:pStyle w:val="GPsDefinition"/>
              <w:numPr>
                <w:ilvl w:val="0"/>
                <w:numId w:val="41"/>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345F70">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345F70">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345F70">
            <w:pPr>
              <w:pStyle w:val="GPSDefinitionL2"/>
              <w:numPr>
                <w:ilvl w:val="1"/>
                <w:numId w:val="41"/>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20"/>
          <w:headerReference w:type="default" r:id="rId21"/>
          <w:footerReference w:type="even" r:id="rId22"/>
          <w:headerReference w:type="first" r:id="rId23"/>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67" w:name="_Ref313382840"/>
      <w:bookmarkStart w:id="268" w:name="_Toc314810852"/>
      <w:bookmarkStart w:id="269" w:name="_Ref349134118"/>
      <w:bookmarkStart w:id="270" w:name="_Toc350503094"/>
      <w:bookmarkStart w:id="271" w:name="_Toc350504084"/>
      <w:bookmarkStart w:id="272" w:name="_Toc351710926"/>
      <w:bookmarkStart w:id="273" w:name="_Toc358671836"/>
      <w:bookmarkStart w:id="274" w:name="_Toc431551203"/>
      <w:bookmarkStart w:id="275" w:name="_Toc61252521"/>
      <w:bookmarkEnd w:id="265"/>
      <w:r w:rsidRPr="00C3320D">
        <w:rPr>
          <w:rFonts w:cs="Arial"/>
          <w:szCs w:val="22"/>
        </w:rPr>
        <w:t xml:space="preserve">CONTRACT </w:t>
      </w:r>
      <w:r w:rsidR="00EE4546" w:rsidRPr="00C3320D">
        <w:rPr>
          <w:rFonts w:cs="Arial"/>
          <w:szCs w:val="22"/>
        </w:rPr>
        <w:t>SCHEDULE 2: EXIT MANAGEMENT</w:t>
      </w:r>
      <w:bookmarkEnd w:id="267"/>
      <w:bookmarkEnd w:id="268"/>
      <w:bookmarkEnd w:id="269"/>
      <w:bookmarkEnd w:id="270"/>
      <w:bookmarkEnd w:id="271"/>
      <w:bookmarkEnd w:id="272"/>
      <w:bookmarkEnd w:id="273"/>
      <w:bookmarkEnd w:id="274"/>
      <w:bookmarkEnd w:id="275"/>
    </w:p>
    <w:p w14:paraId="21C64077" w14:textId="77777777" w:rsidR="00EE4546" w:rsidRPr="00C3320D" w:rsidRDefault="00EE4546" w:rsidP="00345F70">
      <w:pPr>
        <w:pStyle w:val="GPSL1CLAUSEHEADING"/>
        <w:numPr>
          <w:ilvl w:val="0"/>
          <w:numId w:val="38"/>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345F70">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345F70">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76" w:name="_Ref364241015"/>
      <w:r w:rsidRPr="00C3320D">
        <w:rPr>
          <w:rFonts w:ascii="Arial" w:hAnsi="Arial"/>
        </w:rPr>
        <w:t>create and maintain a Register of all:</w:t>
      </w:r>
      <w:bookmarkEnd w:id="276"/>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77"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77"/>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78"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78"/>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79"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79"/>
    </w:p>
    <w:p w14:paraId="54A9E6BF" w14:textId="77777777" w:rsidR="00EE4546" w:rsidRPr="00C3320D" w:rsidRDefault="00EE4546" w:rsidP="00345F70">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80"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80"/>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81"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81"/>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345F70">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82"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83" w:name="_Ref364270026"/>
      <w:r w:rsidRPr="00C3320D">
        <w:rPr>
          <w:rFonts w:ascii="Arial" w:hAnsi="Arial"/>
        </w:rPr>
        <w:t>Unless otherwise specified by the Customer or Approved, the Exit Plan shall set out, as a minimum:</w:t>
      </w:r>
      <w:bookmarkEnd w:id="283"/>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82"/>
    <w:p w14:paraId="0A7104E2" w14:textId="77777777" w:rsidR="00EE4546" w:rsidRPr="00C3320D" w:rsidRDefault="00EE4546" w:rsidP="00345F70">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84"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84"/>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85"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85"/>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345F70">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86"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86"/>
    </w:p>
    <w:p w14:paraId="6D3D33C3" w14:textId="77777777" w:rsidR="00EE4546" w:rsidRPr="00C3320D" w:rsidRDefault="00EE4546" w:rsidP="00D40F55">
      <w:pPr>
        <w:pStyle w:val="GPSL3numberedclause"/>
        <w:rPr>
          <w:rFonts w:ascii="Arial" w:hAnsi="Arial"/>
        </w:rPr>
      </w:pPr>
      <w:bookmarkStart w:id="287"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87"/>
    </w:p>
    <w:p w14:paraId="3A36C9B8" w14:textId="77777777" w:rsidR="00EE4546" w:rsidRPr="00C3320D" w:rsidRDefault="00EE4546" w:rsidP="00D40F55">
      <w:pPr>
        <w:pStyle w:val="GPSL3numberedclause"/>
        <w:rPr>
          <w:rFonts w:ascii="Arial" w:hAnsi="Arial"/>
        </w:rPr>
      </w:pPr>
      <w:bookmarkStart w:id="288" w:name="_Ref27372751"/>
      <w:bookmarkStart w:id="289" w:name="_Ref127426020"/>
      <w:r w:rsidRPr="00C3320D">
        <w:rPr>
          <w:rFonts w:ascii="Arial" w:hAnsi="Arial"/>
        </w:rPr>
        <w:t>at the Customer's request and on reasonable notice, deliver up-to-date Registers to the</w:t>
      </w:r>
      <w:bookmarkEnd w:id="288"/>
      <w:r w:rsidRPr="00C3320D">
        <w:rPr>
          <w:rFonts w:ascii="Arial" w:hAnsi="Arial"/>
        </w:rPr>
        <w:t xml:space="preserve"> Customer.</w:t>
      </w:r>
      <w:bookmarkEnd w:id="289"/>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345F70">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90" w:name="_Ref127352385"/>
      <w:r w:rsidRPr="00C3320D">
        <w:rPr>
          <w:rFonts w:ascii="Arial" w:hAnsi="Arial"/>
        </w:rPr>
        <w:t>The Supplier shall comply with all of its obligations contained in the Exit Plan.</w:t>
      </w:r>
      <w:bookmarkEnd w:id="290"/>
    </w:p>
    <w:p w14:paraId="06A3AE66" w14:textId="77777777" w:rsidR="00EE4546" w:rsidRPr="00C3320D" w:rsidRDefault="00EE4546" w:rsidP="00D40F55">
      <w:pPr>
        <w:pStyle w:val="GPSL2numberedclause"/>
        <w:rPr>
          <w:rFonts w:ascii="Arial" w:hAnsi="Arial"/>
        </w:rPr>
      </w:pPr>
      <w:bookmarkStart w:id="291"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91"/>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92" w:name="_DV_M565"/>
      <w:bookmarkEnd w:id="292"/>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93"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93"/>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94"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94"/>
    </w:p>
    <w:p w14:paraId="0B2342CC" w14:textId="77777777" w:rsidR="00EE4546" w:rsidRPr="00C3320D" w:rsidRDefault="00EE4546" w:rsidP="00345F70">
      <w:pPr>
        <w:pStyle w:val="GPSL1SCHEDULEHeading"/>
        <w:numPr>
          <w:ilvl w:val="0"/>
          <w:numId w:val="18"/>
        </w:numPr>
        <w:spacing w:before="120" w:after="120"/>
        <w:rPr>
          <w:rFonts w:ascii="Arial" w:hAnsi="Arial"/>
        </w:rPr>
      </w:pPr>
      <w:bookmarkStart w:id="295" w:name="_Ref127425445"/>
      <w:r w:rsidRPr="00C3320D">
        <w:rPr>
          <w:rFonts w:ascii="Arial" w:hAnsi="Arial"/>
        </w:rPr>
        <w:t xml:space="preserve">ASSETS and SUB-CONTRACTS </w:t>
      </w:r>
      <w:bookmarkEnd w:id="295"/>
    </w:p>
    <w:p w14:paraId="62C6516B" w14:textId="77777777" w:rsidR="00EE4546" w:rsidRPr="00C3320D" w:rsidRDefault="00EE4546" w:rsidP="00D40F55">
      <w:pPr>
        <w:pStyle w:val="GPSL2numberedclause"/>
        <w:rPr>
          <w:rFonts w:ascii="Arial" w:hAnsi="Arial"/>
        </w:rPr>
      </w:pPr>
      <w:bookmarkStart w:id="296" w:name="_Ref127425768"/>
      <w:r w:rsidRPr="00C3320D">
        <w:rPr>
          <w:rFonts w:ascii="Arial" w:hAnsi="Arial"/>
        </w:rPr>
        <w:t>Following notice of termination of this Contract  and during the Termination Assistance Period, the Supplier shall not, without the Customer's prior written consent:</w:t>
      </w:r>
      <w:bookmarkEnd w:id="296"/>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97"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97"/>
    </w:p>
    <w:p w14:paraId="70E3987E" w14:textId="77777777" w:rsidR="00EE4546" w:rsidRPr="00C3320D" w:rsidRDefault="00EE4546" w:rsidP="00D40F55">
      <w:pPr>
        <w:pStyle w:val="GPSL3numberedclause"/>
        <w:rPr>
          <w:rFonts w:ascii="Arial" w:hAnsi="Arial"/>
        </w:rPr>
      </w:pPr>
      <w:bookmarkStart w:id="298" w:name="_Ref364352534"/>
      <w:bookmarkStart w:id="299"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98"/>
      <w:r w:rsidRPr="00C3320D">
        <w:rPr>
          <w:rFonts w:ascii="Arial" w:hAnsi="Arial"/>
        </w:rPr>
        <w:t xml:space="preserve"> </w:t>
      </w:r>
      <w:bookmarkEnd w:id="299"/>
    </w:p>
    <w:p w14:paraId="665E12EE" w14:textId="77777777" w:rsidR="00EE4546" w:rsidRPr="00C3320D" w:rsidRDefault="00EE4546" w:rsidP="00D40F55">
      <w:pPr>
        <w:pStyle w:val="GPSL3numberedclause"/>
        <w:rPr>
          <w:rFonts w:ascii="Arial" w:hAnsi="Arial"/>
        </w:rPr>
      </w:pPr>
      <w:bookmarkStart w:id="300" w:name="a301038"/>
      <w:bookmarkStart w:id="301" w:name="_Ref364350801"/>
      <w:bookmarkStart w:id="302" w:name="_Ref127958943"/>
      <w:bookmarkEnd w:id="300"/>
      <w:r w:rsidRPr="00C3320D">
        <w:rPr>
          <w:rFonts w:ascii="Arial" w:hAnsi="Arial"/>
        </w:rPr>
        <w:t>which, if any, of:</w:t>
      </w:r>
      <w:bookmarkEnd w:id="301"/>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303"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302"/>
      <w:bookmarkEnd w:id="303"/>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304"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304"/>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305"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306" w:name="_Ref127426673"/>
      <w:bookmarkEnd w:id="305"/>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306"/>
    </w:p>
    <w:p w14:paraId="22A18A65" w14:textId="77777777" w:rsidR="00EE4546" w:rsidRPr="00C3320D" w:rsidRDefault="00EE4546" w:rsidP="00D40F55">
      <w:pPr>
        <w:pStyle w:val="GPSL2numberedclause"/>
        <w:rPr>
          <w:rFonts w:ascii="Arial" w:hAnsi="Arial"/>
        </w:rPr>
      </w:pPr>
      <w:bookmarkStart w:id="307"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307"/>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308"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308"/>
    </w:p>
    <w:p w14:paraId="74833E86" w14:textId="77777777" w:rsidR="00EE4546" w:rsidRPr="00C3320D" w:rsidRDefault="00EE4546" w:rsidP="00345F70">
      <w:pPr>
        <w:pStyle w:val="GPSL1SCHEDULEHeading"/>
        <w:numPr>
          <w:ilvl w:val="0"/>
          <w:numId w:val="18"/>
        </w:numPr>
        <w:spacing w:before="120" w:after="120"/>
        <w:rPr>
          <w:rFonts w:ascii="Arial" w:hAnsi="Arial"/>
        </w:rPr>
      </w:pPr>
      <w:bookmarkStart w:id="309" w:name="_DV_M564"/>
      <w:bookmarkStart w:id="310" w:name="_DV_M566"/>
      <w:bookmarkStart w:id="311" w:name="_DV_M567"/>
      <w:bookmarkEnd w:id="309"/>
      <w:bookmarkEnd w:id="310"/>
      <w:bookmarkEnd w:id="311"/>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345F70">
      <w:pPr>
        <w:pStyle w:val="GPSL1SCHEDULEHeading"/>
        <w:numPr>
          <w:ilvl w:val="0"/>
          <w:numId w:val="18"/>
        </w:numPr>
        <w:spacing w:before="120" w:after="120"/>
        <w:rPr>
          <w:rFonts w:ascii="Arial" w:hAnsi="Arial"/>
        </w:rPr>
      </w:pPr>
      <w:bookmarkStart w:id="312" w:name="_Ref127425458"/>
      <w:r w:rsidRPr="00C3320D">
        <w:rPr>
          <w:rFonts w:ascii="Arial" w:hAnsi="Arial"/>
        </w:rPr>
        <w:t xml:space="preserve">CHARGES </w:t>
      </w:r>
      <w:bookmarkEnd w:id="312"/>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345F70">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313"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314" w:name="_Ref127426852"/>
      <w:r w:rsidRPr="00C3320D">
        <w:rPr>
          <w:rFonts w:ascii="Arial" w:hAnsi="Arial"/>
        </w:rPr>
        <w:t>) as follows:</w:t>
      </w:r>
      <w:bookmarkEnd w:id="313"/>
      <w:bookmarkEnd w:id="314"/>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15" w:name="_Toc431551204"/>
      <w:bookmarkStart w:id="316" w:name="_Toc61252522"/>
      <w:r w:rsidRPr="00C3320D">
        <w:rPr>
          <w:rFonts w:cs="Arial"/>
          <w:szCs w:val="22"/>
        </w:rPr>
        <w:lastRenderedPageBreak/>
        <w:t>CONTRACT SCHEDULE 3: STAFF TRANSFER</w:t>
      </w:r>
      <w:bookmarkEnd w:id="315"/>
      <w:bookmarkEnd w:id="316"/>
    </w:p>
    <w:p w14:paraId="30C43DC8" w14:textId="77777777" w:rsidR="00FA30C4" w:rsidRPr="00C3320D" w:rsidRDefault="00FA30C4" w:rsidP="00345F70">
      <w:pPr>
        <w:pStyle w:val="GPSL1CLAUSEHEADING"/>
        <w:numPr>
          <w:ilvl w:val="0"/>
          <w:numId w:val="39"/>
        </w:numPr>
        <w:spacing w:before="120" w:after="120"/>
        <w:rPr>
          <w:rFonts w:ascii="Arial" w:hAnsi="Arial"/>
        </w:rPr>
      </w:pPr>
      <w:bookmarkStart w:id="317" w:name="_Ref384036770"/>
      <w:r w:rsidRPr="00C3320D">
        <w:rPr>
          <w:rFonts w:ascii="Arial" w:hAnsi="Arial"/>
        </w:rPr>
        <w:t>DEFINITIONS</w:t>
      </w:r>
      <w:bookmarkEnd w:id="317"/>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345F70">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345F70">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345F70">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345F70">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345F70">
            <w:pPr>
              <w:pStyle w:val="Guidancenoteparagraphtext"/>
              <w:numPr>
                <w:ilvl w:val="0"/>
                <w:numId w:val="33"/>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345F70">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345F70">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345F70">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345F70">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345F70">
            <w:pPr>
              <w:pStyle w:val="Guidancenoteparagraphtext"/>
              <w:numPr>
                <w:ilvl w:val="0"/>
                <w:numId w:val="33"/>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18"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18"/>
    </w:p>
    <w:p w14:paraId="6E6E0EFF" w14:textId="77777777" w:rsidR="00FA30C4" w:rsidRPr="00C3320D" w:rsidRDefault="00FA30C4" w:rsidP="00D40F55">
      <w:pPr>
        <w:pStyle w:val="GPSL2numberedclause"/>
        <w:rPr>
          <w:rFonts w:ascii="Arial" w:hAnsi="Arial"/>
        </w:rPr>
      </w:pPr>
      <w:bookmarkStart w:id="319"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19"/>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20" w:name="_Toc431551205"/>
      <w:r w:rsidRPr="00C3320D">
        <w:rPr>
          <w:rFonts w:ascii="Arial" w:hAnsi="Arial" w:cs="Arial"/>
        </w:rPr>
        <w:lastRenderedPageBreak/>
        <w:t>ANNEX TO PART A: PENSIONS</w:t>
      </w:r>
      <w:bookmarkEnd w:id="320"/>
    </w:p>
    <w:p w14:paraId="7F1EC1C8" w14:textId="77777777" w:rsidR="00FA30C4" w:rsidRPr="00884ACC" w:rsidRDefault="00FA30C4" w:rsidP="00345F70">
      <w:pPr>
        <w:pStyle w:val="GPSL1CLAUSEHEADING"/>
        <w:numPr>
          <w:ilvl w:val="0"/>
          <w:numId w:val="42"/>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21"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1"/>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345F70">
      <w:pPr>
        <w:pStyle w:val="GPSL1CLAUSEHEADING"/>
        <w:numPr>
          <w:ilvl w:val="0"/>
          <w:numId w:val="43"/>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22" w:name="_Toc431551206"/>
      <w:r w:rsidRPr="00C3320D">
        <w:rPr>
          <w:rFonts w:ascii="Arial" w:hAnsi="Arial" w:cs="Arial"/>
        </w:rPr>
        <w:lastRenderedPageBreak/>
        <w:t>ANNEX TO PART B: Pensions</w:t>
      </w:r>
      <w:bookmarkEnd w:id="322"/>
    </w:p>
    <w:p w14:paraId="5EE2FF19" w14:textId="77777777" w:rsidR="00FA30C4" w:rsidRPr="00DB297D" w:rsidRDefault="00FA30C4" w:rsidP="00345F70">
      <w:pPr>
        <w:pStyle w:val="GPSL1CLAUSEHEADING"/>
        <w:numPr>
          <w:ilvl w:val="0"/>
          <w:numId w:val="44"/>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23"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23"/>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345F70">
      <w:pPr>
        <w:pStyle w:val="GPSL1CLAUSEHEADING"/>
        <w:numPr>
          <w:ilvl w:val="0"/>
          <w:numId w:val="45"/>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345F70">
      <w:pPr>
        <w:pStyle w:val="GPSL1CLAUSEHEADING"/>
        <w:numPr>
          <w:ilvl w:val="0"/>
          <w:numId w:val="46"/>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345F70">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24"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24"/>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25" w:name="_Toc431551210"/>
      <w:bookmarkStart w:id="326" w:name="_Toc61252523"/>
      <w:r w:rsidRPr="00C3320D">
        <w:rPr>
          <w:rFonts w:cs="Arial"/>
          <w:szCs w:val="22"/>
        </w:rPr>
        <w:lastRenderedPageBreak/>
        <w:t>CONTRACT SCHEDULE 4: TRANSPARENCY REPORTS</w:t>
      </w:r>
      <w:bookmarkEnd w:id="325"/>
      <w:bookmarkEnd w:id="326"/>
    </w:p>
    <w:p w14:paraId="0C8680FC" w14:textId="77777777" w:rsidR="007F2EC5" w:rsidRPr="00C3320D" w:rsidRDefault="005A3C1B" w:rsidP="00345F70">
      <w:pPr>
        <w:pStyle w:val="GPSL1CLAUSEHEADING"/>
        <w:numPr>
          <w:ilvl w:val="0"/>
          <w:numId w:val="38"/>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27" w:name="_Toc431551211"/>
      <w:r w:rsidRPr="00C3320D">
        <w:rPr>
          <w:rFonts w:ascii="Arial" w:hAnsi="Arial" w:cs="Arial"/>
        </w:rPr>
        <w:lastRenderedPageBreak/>
        <w:t>ANNEX 1: LIST OF TRANSPARENCY REPORTS</w:t>
      </w:r>
      <w:bookmarkEnd w:id="327"/>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2D477D83" w:rsidR="00585E76" w:rsidRDefault="00585E76" w:rsidP="00D40F55">
      <w:pPr>
        <w:pStyle w:val="NP2ndLevel"/>
        <w:spacing w:before="120" w:after="120"/>
        <w:ind w:left="0" w:firstLine="0"/>
        <w:rPr>
          <w:rFonts w:ascii="Arial" w:hAnsi="Arial" w:cs="Arial"/>
          <w:sz w:val="22"/>
          <w:szCs w:val="22"/>
        </w:rPr>
      </w:pPr>
    </w:p>
    <w:p w14:paraId="2AA6DDD6" w14:textId="49879994" w:rsidR="00D314BF" w:rsidRDefault="00D314BF" w:rsidP="00D40F55">
      <w:pPr>
        <w:pStyle w:val="NP2ndLevel"/>
        <w:spacing w:before="120" w:after="120"/>
        <w:ind w:left="0" w:firstLine="0"/>
        <w:rPr>
          <w:rFonts w:ascii="Arial" w:hAnsi="Arial" w:cs="Arial"/>
          <w:sz w:val="22"/>
          <w:szCs w:val="22"/>
        </w:rPr>
      </w:pPr>
    </w:p>
    <w:p w14:paraId="721BA525" w14:textId="409D17F7" w:rsidR="00D314BF" w:rsidRDefault="00D314BF" w:rsidP="00D40F55">
      <w:pPr>
        <w:pStyle w:val="NP2ndLevel"/>
        <w:spacing w:before="120" w:after="120"/>
        <w:ind w:left="0" w:firstLine="0"/>
        <w:rPr>
          <w:rFonts w:ascii="Arial" w:hAnsi="Arial" w:cs="Arial"/>
          <w:sz w:val="22"/>
          <w:szCs w:val="22"/>
        </w:rPr>
      </w:pPr>
    </w:p>
    <w:p w14:paraId="65AD2FCD" w14:textId="281CA819" w:rsidR="00D314BF" w:rsidRDefault="00D314BF" w:rsidP="00D40F55">
      <w:pPr>
        <w:pStyle w:val="NP2ndLevel"/>
        <w:spacing w:before="120" w:after="120"/>
        <w:ind w:left="0" w:firstLine="0"/>
        <w:rPr>
          <w:rFonts w:ascii="Arial" w:hAnsi="Arial" w:cs="Arial"/>
          <w:sz w:val="22"/>
          <w:szCs w:val="22"/>
        </w:rPr>
      </w:pPr>
    </w:p>
    <w:p w14:paraId="6E699647" w14:textId="77ADC188" w:rsidR="00D314BF" w:rsidRDefault="00D314BF" w:rsidP="00D40F55">
      <w:pPr>
        <w:pStyle w:val="NP2ndLevel"/>
        <w:spacing w:before="120" w:after="120"/>
        <w:ind w:left="0" w:firstLine="0"/>
        <w:rPr>
          <w:rFonts w:ascii="Arial" w:hAnsi="Arial" w:cs="Arial"/>
          <w:sz w:val="22"/>
          <w:szCs w:val="22"/>
        </w:rPr>
      </w:pPr>
    </w:p>
    <w:p w14:paraId="5FE6741E" w14:textId="49724319" w:rsidR="00D314BF" w:rsidRDefault="00D314BF" w:rsidP="00D40F55">
      <w:pPr>
        <w:pStyle w:val="NP2ndLevel"/>
        <w:spacing w:before="120" w:after="120"/>
        <w:ind w:left="0" w:firstLine="0"/>
        <w:rPr>
          <w:rFonts w:ascii="Arial" w:hAnsi="Arial" w:cs="Arial"/>
          <w:sz w:val="22"/>
          <w:szCs w:val="22"/>
        </w:rPr>
      </w:pPr>
    </w:p>
    <w:p w14:paraId="3F84F7CA" w14:textId="0DAA2371" w:rsidR="00D314BF" w:rsidRDefault="00D314BF" w:rsidP="00D40F55">
      <w:pPr>
        <w:pStyle w:val="NP2ndLevel"/>
        <w:spacing w:before="120" w:after="120"/>
        <w:ind w:left="0" w:firstLine="0"/>
        <w:rPr>
          <w:rFonts w:ascii="Arial" w:hAnsi="Arial" w:cs="Arial"/>
          <w:sz w:val="22"/>
          <w:szCs w:val="22"/>
        </w:rPr>
      </w:pPr>
    </w:p>
    <w:p w14:paraId="531E6FC8" w14:textId="34F5F14A" w:rsidR="00D314BF" w:rsidRDefault="00D314BF" w:rsidP="00D40F55">
      <w:pPr>
        <w:pStyle w:val="NP2ndLevel"/>
        <w:spacing w:before="120" w:after="120"/>
        <w:ind w:left="0" w:firstLine="0"/>
        <w:rPr>
          <w:rFonts w:ascii="Arial" w:hAnsi="Arial" w:cs="Arial"/>
          <w:sz w:val="22"/>
          <w:szCs w:val="22"/>
        </w:rPr>
      </w:pPr>
    </w:p>
    <w:p w14:paraId="5A367C26" w14:textId="3E2EAEB7" w:rsidR="00D314BF" w:rsidRDefault="00D314BF" w:rsidP="00D40F55">
      <w:pPr>
        <w:pStyle w:val="NP2ndLevel"/>
        <w:spacing w:before="120" w:after="120"/>
        <w:ind w:left="0" w:firstLine="0"/>
        <w:rPr>
          <w:rFonts w:ascii="Arial" w:hAnsi="Arial" w:cs="Arial"/>
          <w:sz w:val="22"/>
          <w:szCs w:val="22"/>
        </w:rPr>
      </w:pPr>
    </w:p>
    <w:p w14:paraId="1FF18158" w14:textId="2C399867" w:rsidR="00D314BF" w:rsidRDefault="00D314BF" w:rsidP="00D40F55">
      <w:pPr>
        <w:pStyle w:val="NP2ndLevel"/>
        <w:spacing w:before="120" w:after="120"/>
        <w:ind w:left="0" w:firstLine="0"/>
        <w:rPr>
          <w:rFonts w:ascii="Arial" w:hAnsi="Arial" w:cs="Arial"/>
          <w:sz w:val="22"/>
          <w:szCs w:val="22"/>
        </w:rPr>
      </w:pPr>
    </w:p>
    <w:p w14:paraId="389860D0" w14:textId="602A6BC7" w:rsidR="00D314BF" w:rsidRDefault="00D314BF" w:rsidP="00D40F55">
      <w:pPr>
        <w:pStyle w:val="NP2ndLevel"/>
        <w:spacing w:before="120" w:after="120"/>
        <w:ind w:left="0" w:firstLine="0"/>
        <w:rPr>
          <w:rFonts w:ascii="Arial" w:hAnsi="Arial" w:cs="Arial"/>
          <w:sz w:val="22"/>
          <w:szCs w:val="22"/>
        </w:rPr>
      </w:pPr>
    </w:p>
    <w:p w14:paraId="5675989E" w14:textId="539F50F6" w:rsidR="00D314BF" w:rsidRDefault="00D314BF" w:rsidP="00D40F55">
      <w:pPr>
        <w:pStyle w:val="NP2ndLevel"/>
        <w:spacing w:before="120" w:after="120"/>
        <w:ind w:left="0" w:firstLine="0"/>
        <w:rPr>
          <w:rFonts w:ascii="Arial" w:hAnsi="Arial" w:cs="Arial"/>
          <w:sz w:val="22"/>
          <w:szCs w:val="22"/>
        </w:rPr>
      </w:pPr>
    </w:p>
    <w:p w14:paraId="21F1CC3B" w14:textId="0B3FF93D" w:rsidR="00D314BF" w:rsidRDefault="00D314BF" w:rsidP="00D40F55">
      <w:pPr>
        <w:pStyle w:val="NP2ndLevel"/>
        <w:spacing w:before="120" w:after="120"/>
        <w:ind w:left="0" w:firstLine="0"/>
        <w:rPr>
          <w:rFonts w:ascii="Arial" w:hAnsi="Arial" w:cs="Arial"/>
          <w:sz w:val="22"/>
          <w:szCs w:val="22"/>
        </w:rPr>
      </w:pPr>
    </w:p>
    <w:p w14:paraId="30494272" w14:textId="2F0DC725" w:rsidR="00D314BF" w:rsidRDefault="00D314BF" w:rsidP="00D40F55">
      <w:pPr>
        <w:pStyle w:val="NP2ndLevel"/>
        <w:spacing w:before="120" w:after="120"/>
        <w:ind w:left="0" w:firstLine="0"/>
        <w:rPr>
          <w:rFonts w:ascii="Arial" w:hAnsi="Arial" w:cs="Arial"/>
          <w:sz w:val="22"/>
          <w:szCs w:val="22"/>
        </w:rPr>
      </w:pPr>
    </w:p>
    <w:p w14:paraId="3E9DA80A" w14:textId="7632B2F0" w:rsidR="00D314BF" w:rsidRDefault="00D314BF" w:rsidP="00D40F55">
      <w:pPr>
        <w:pStyle w:val="NP2ndLevel"/>
        <w:spacing w:before="120" w:after="120"/>
        <w:ind w:left="0" w:firstLine="0"/>
        <w:rPr>
          <w:rFonts w:ascii="Arial" w:hAnsi="Arial" w:cs="Arial"/>
          <w:sz w:val="22"/>
          <w:szCs w:val="22"/>
        </w:rPr>
      </w:pPr>
    </w:p>
    <w:p w14:paraId="12079AF3" w14:textId="460DE850" w:rsidR="00D314BF" w:rsidRDefault="00D314BF" w:rsidP="00D40F55">
      <w:pPr>
        <w:pStyle w:val="NP2ndLevel"/>
        <w:spacing w:before="120" w:after="120"/>
        <w:ind w:left="0" w:firstLine="0"/>
        <w:rPr>
          <w:rFonts w:ascii="Arial" w:hAnsi="Arial" w:cs="Arial"/>
          <w:sz w:val="22"/>
          <w:szCs w:val="22"/>
        </w:rPr>
      </w:pPr>
    </w:p>
    <w:p w14:paraId="1E962965" w14:textId="3B95BE90" w:rsidR="00D314BF" w:rsidRDefault="00D314BF" w:rsidP="00D40F55">
      <w:pPr>
        <w:pStyle w:val="NP2ndLevel"/>
        <w:spacing w:before="120" w:after="120"/>
        <w:ind w:left="0" w:firstLine="0"/>
        <w:rPr>
          <w:rFonts w:ascii="Arial" w:hAnsi="Arial" w:cs="Arial"/>
          <w:sz w:val="22"/>
          <w:szCs w:val="22"/>
        </w:rPr>
      </w:pPr>
    </w:p>
    <w:p w14:paraId="66EF3CCC" w14:textId="4B006FEF" w:rsidR="00D314BF" w:rsidRDefault="00D314BF" w:rsidP="00D40F55">
      <w:pPr>
        <w:pStyle w:val="NP2ndLevel"/>
        <w:spacing w:before="120" w:after="120"/>
        <w:ind w:left="0" w:firstLine="0"/>
        <w:rPr>
          <w:rFonts w:ascii="Arial" w:hAnsi="Arial" w:cs="Arial"/>
          <w:sz w:val="22"/>
          <w:szCs w:val="22"/>
        </w:rPr>
      </w:pPr>
    </w:p>
    <w:p w14:paraId="11AC002A" w14:textId="3D9A8822" w:rsidR="00D314BF" w:rsidRDefault="00D314BF" w:rsidP="00D40F55">
      <w:pPr>
        <w:pStyle w:val="NP2ndLevel"/>
        <w:spacing w:before="120" w:after="120"/>
        <w:ind w:left="0" w:firstLine="0"/>
        <w:rPr>
          <w:rFonts w:ascii="Arial" w:hAnsi="Arial" w:cs="Arial"/>
          <w:sz w:val="22"/>
          <w:szCs w:val="22"/>
        </w:rPr>
      </w:pPr>
    </w:p>
    <w:p w14:paraId="4C21021B" w14:textId="77777777" w:rsidR="00D314BF" w:rsidRPr="00D314BF" w:rsidRDefault="00D314BF" w:rsidP="00D314BF">
      <w:pPr>
        <w:pStyle w:val="Heading1"/>
        <w:keepNext/>
        <w:numPr>
          <w:ilvl w:val="0"/>
          <w:numId w:val="0"/>
        </w:numPr>
        <w:tabs>
          <w:tab w:val="left" w:pos="720"/>
        </w:tabs>
        <w:spacing w:before="120" w:after="120"/>
        <w:ind w:left="567"/>
        <w:jc w:val="center"/>
        <w:rPr>
          <w:rFonts w:ascii="Calibri" w:hAnsi="Calibri" w:cs="Calibri"/>
          <w:iCs/>
          <w:color w:val="000000"/>
          <w:lang w:bidi="he-IL"/>
        </w:rPr>
      </w:pPr>
      <w:bookmarkStart w:id="328" w:name="_Toc61252524"/>
      <w:r w:rsidRPr="00D314BF">
        <w:rPr>
          <w:rFonts w:cs="Arial"/>
          <w:szCs w:val="22"/>
        </w:rPr>
        <w:lastRenderedPageBreak/>
        <w:t>Contract Schedule 5 –Record of Personal Data Transfer under Legal Services Contract</w:t>
      </w:r>
      <w:bookmarkEnd w:id="328"/>
    </w:p>
    <w:p w14:paraId="295A971C" w14:textId="77777777" w:rsidR="00D314BF" w:rsidRPr="00D314BF" w:rsidRDefault="00D314BF" w:rsidP="00D314BF">
      <w:pPr>
        <w:keepNext/>
        <w:numPr>
          <w:ilvl w:val="2"/>
          <w:numId w:val="48"/>
        </w:numPr>
        <w:overflowPunct/>
        <w:autoSpaceDE/>
        <w:adjustRightInd/>
        <w:spacing w:before="240" w:line="240" w:lineRule="auto"/>
        <w:jc w:val="left"/>
        <w:textAlignment w:val="auto"/>
        <w:rPr>
          <w:rFonts w:cs="Arial"/>
          <w:szCs w:val="22"/>
        </w:rPr>
      </w:pPr>
      <w:r w:rsidRPr="00D314BF">
        <w:rPr>
          <w:rFonts w:cs="Arial"/>
          <w:szCs w:val="22"/>
        </w:rPr>
        <w:t>The contract details of the Authority Data Protection Officer is:</w:t>
      </w:r>
    </w:p>
    <w:p w14:paraId="1363C3B9" w14:textId="123D98BC" w:rsidR="00D314BF" w:rsidRPr="00D314BF" w:rsidRDefault="00C140A9" w:rsidP="00D314BF">
      <w:pPr>
        <w:keepNext/>
        <w:spacing w:before="240"/>
        <w:ind w:left="1080" w:firstLine="360"/>
        <w:contextualSpacing/>
        <w:rPr>
          <w:rFonts w:cs="Arial"/>
          <w:szCs w:val="22"/>
        </w:rPr>
      </w:pPr>
      <w:r>
        <w:rPr>
          <w:rFonts w:cs="Arial"/>
          <w:b/>
          <w:szCs w:val="22"/>
        </w:rPr>
        <w:t>TO BE COMPLETED UPON AWARD</w:t>
      </w:r>
    </w:p>
    <w:p w14:paraId="75584CAC" w14:textId="77777777" w:rsidR="00D314BF" w:rsidRPr="00D314BF" w:rsidRDefault="00D314BF" w:rsidP="00D314BF">
      <w:pPr>
        <w:keepNext/>
        <w:numPr>
          <w:ilvl w:val="2"/>
          <w:numId w:val="48"/>
        </w:numPr>
        <w:overflowPunct/>
        <w:autoSpaceDE/>
        <w:adjustRightInd/>
        <w:spacing w:before="240" w:line="240" w:lineRule="auto"/>
        <w:jc w:val="left"/>
        <w:textAlignment w:val="auto"/>
        <w:rPr>
          <w:rFonts w:cs="Arial"/>
          <w:szCs w:val="22"/>
        </w:rPr>
      </w:pPr>
      <w:r w:rsidRPr="00D314BF">
        <w:rPr>
          <w:rFonts w:cs="Arial"/>
          <w:szCs w:val="22"/>
        </w:rPr>
        <w:t>The contract details of the Service Provider Data Protection Officer is:</w:t>
      </w:r>
    </w:p>
    <w:p w14:paraId="578252BA" w14:textId="7D517DED" w:rsidR="00D314BF" w:rsidRPr="00D314BF" w:rsidRDefault="00C140A9" w:rsidP="00D314BF">
      <w:pPr>
        <w:keepNext/>
        <w:spacing w:before="240"/>
        <w:ind w:left="1440"/>
        <w:rPr>
          <w:rFonts w:cs="Arial"/>
          <w:szCs w:val="22"/>
        </w:rPr>
      </w:pPr>
      <w:r>
        <w:rPr>
          <w:rFonts w:cs="Arial"/>
          <w:b/>
          <w:szCs w:val="22"/>
        </w:rPr>
        <w:t>TO BE COMPLETED FOLLOWING AWARD</w:t>
      </w:r>
    </w:p>
    <w:p w14:paraId="3DAC874E" w14:textId="77777777" w:rsidR="00D314BF" w:rsidRPr="00D314BF" w:rsidRDefault="00D314BF" w:rsidP="00D314BF">
      <w:pPr>
        <w:keepNext/>
        <w:numPr>
          <w:ilvl w:val="2"/>
          <w:numId w:val="48"/>
        </w:numPr>
        <w:overflowPunct/>
        <w:autoSpaceDE/>
        <w:adjustRightInd/>
        <w:spacing w:before="240" w:line="240" w:lineRule="auto"/>
        <w:jc w:val="left"/>
        <w:textAlignment w:val="auto"/>
        <w:rPr>
          <w:rFonts w:cs="Arial"/>
          <w:szCs w:val="22"/>
        </w:rPr>
      </w:pPr>
      <w:r w:rsidRPr="00D314BF">
        <w:rPr>
          <w:rFonts w:cs="Arial"/>
          <w:szCs w:val="22"/>
        </w:rPr>
        <w:t>Any such further instructions shall be incorporated into this Schedule.</w:t>
      </w:r>
    </w:p>
    <w:p w14:paraId="1ECF9E18" w14:textId="77777777" w:rsidR="00D314BF" w:rsidRPr="00D314BF" w:rsidRDefault="00D314BF" w:rsidP="00D314BF">
      <w:pPr>
        <w:keepNext/>
        <w:outlineLvl w:val="0"/>
        <w:rPr>
          <w:rFonts w:eastAsia="STZhongsong" w:cs="Arial"/>
          <w:b/>
          <w:szCs w:val="22"/>
          <w:lang w:eastAsia="zh-CN"/>
        </w:rPr>
      </w:pPr>
    </w:p>
    <w:tbl>
      <w:tblPr>
        <w:tblW w:w="0" w:type="auto"/>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7592"/>
      </w:tblGrid>
      <w:tr w:rsidR="00D314BF" w:rsidRPr="00D314BF" w14:paraId="3556959C" w14:textId="77777777" w:rsidTr="001F1958">
        <w:trPr>
          <w:trHeight w:val="399"/>
        </w:trPr>
        <w:tc>
          <w:tcPr>
            <w:tcW w:w="24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DF0C1A2" w14:textId="77777777" w:rsidR="00D314BF" w:rsidRPr="00D314BF" w:rsidRDefault="00D314BF">
            <w:pPr>
              <w:rPr>
                <w:rFonts w:cs="Arial"/>
                <w:b/>
                <w:szCs w:val="22"/>
              </w:rPr>
            </w:pPr>
            <w:r w:rsidRPr="00D314BF">
              <w:rPr>
                <w:rFonts w:cs="Arial"/>
                <w:b/>
                <w:szCs w:val="22"/>
              </w:rPr>
              <w:t>Contract Reference:</w:t>
            </w:r>
          </w:p>
        </w:tc>
        <w:tc>
          <w:tcPr>
            <w:tcW w:w="75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8411F32" w14:textId="10B436F8" w:rsidR="00D314BF" w:rsidRPr="00C140A9" w:rsidRDefault="00C140A9" w:rsidP="001F1958">
            <w:pPr>
              <w:jc w:val="center"/>
              <w:rPr>
                <w:rFonts w:cs="Arial"/>
                <w:b/>
                <w:szCs w:val="22"/>
              </w:rPr>
            </w:pPr>
            <w:r>
              <w:rPr>
                <w:rFonts w:cs="Arial"/>
                <w:b/>
                <w:szCs w:val="22"/>
              </w:rPr>
              <w:t>CCLL2</w:t>
            </w:r>
            <w:r w:rsidR="001F1958">
              <w:rPr>
                <w:rFonts w:cs="Arial"/>
                <w:b/>
                <w:szCs w:val="22"/>
              </w:rPr>
              <w:t>1A07</w:t>
            </w:r>
          </w:p>
        </w:tc>
      </w:tr>
      <w:tr w:rsidR="00D314BF" w:rsidRPr="00D314BF" w14:paraId="6A537C05" w14:textId="77777777" w:rsidTr="001F1958">
        <w:trPr>
          <w:trHeight w:val="381"/>
        </w:trPr>
        <w:tc>
          <w:tcPr>
            <w:tcW w:w="24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5B65058" w14:textId="77777777" w:rsidR="00D314BF" w:rsidRPr="00D314BF" w:rsidRDefault="00D314BF">
            <w:pPr>
              <w:rPr>
                <w:rFonts w:cs="Arial"/>
                <w:b/>
                <w:szCs w:val="22"/>
              </w:rPr>
            </w:pPr>
            <w:r w:rsidRPr="00D314BF">
              <w:rPr>
                <w:rFonts w:cs="Arial"/>
                <w:b/>
                <w:szCs w:val="22"/>
              </w:rPr>
              <w:t xml:space="preserve">Date: </w:t>
            </w:r>
          </w:p>
        </w:tc>
        <w:tc>
          <w:tcPr>
            <w:tcW w:w="7592" w:type="dxa"/>
            <w:tcBorders>
              <w:top w:val="single" w:sz="4" w:space="0" w:color="auto"/>
              <w:left w:val="single" w:sz="4" w:space="0" w:color="auto"/>
              <w:bottom w:val="single" w:sz="4" w:space="0" w:color="auto"/>
              <w:right w:val="single" w:sz="4" w:space="0" w:color="auto"/>
            </w:tcBorders>
            <w:shd w:val="clear" w:color="auto" w:fill="BFBFBF"/>
            <w:vAlign w:val="center"/>
          </w:tcPr>
          <w:p w14:paraId="4E353588" w14:textId="18AFDB38" w:rsidR="00D314BF" w:rsidRPr="00D314BF" w:rsidRDefault="003A6A2C" w:rsidP="001F1958">
            <w:pPr>
              <w:jc w:val="center"/>
              <w:rPr>
                <w:rFonts w:cs="Arial"/>
                <w:b/>
                <w:szCs w:val="22"/>
              </w:rPr>
            </w:pPr>
            <w:r>
              <w:rPr>
                <w:rFonts w:cs="Arial"/>
                <w:b/>
                <w:szCs w:val="22"/>
              </w:rPr>
              <w:t>16</w:t>
            </w:r>
            <w:r w:rsidRPr="003A6A2C">
              <w:rPr>
                <w:rFonts w:cs="Arial"/>
                <w:b/>
                <w:szCs w:val="22"/>
                <w:vertAlign w:val="superscript"/>
              </w:rPr>
              <w:t>TH</w:t>
            </w:r>
            <w:r>
              <w:rPr>
                <w:rFonts w:cs="Arial"/>
                <w:b/>
                <w:szCs w:val="22"/>
              </w:rPr>
              <w:t xml:space="preserve"> April 2021</w:t>
            </w:r>
          </w:p>
        </w:tc>
      </w:tr>
      <w:tr w:rsidR="00D314BF" w:rsidRPr="00D314BF" w14:paraId="74E7F038" w14:textId="77777777" w:rsidTr="001F1958">
        <w:trPr>
          <w:trHeight w:val="984"/>
        </w:trPr>
        <w:tc>
          <w:tcPr>
            <w:tcW w:w="242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FC9AEF3" w14:textId="77777777" w:rsidR="00D314BF" w:rsidRPr="00D314BF" w:rsidRDefault="00D314BF">
            <w:pPr>
              <w:rPr>
                <w:rFonts w:cs="Arial"/>
                <w:b/>
                <w:szCs w:val="22"/>
              </w:rPr>
            </w:pPr>
            <w:r w:rsidRPr="00D314BF">
              <w:rPr>
                <w:rFonts w:cs="Arial"/>
                <w:b/>
                <w:szCs w:val="22"/>
              </w:rPr>
              <w:t>Description Of Authorised Processing</w:t>
            </w:r>
          </w:p>
        </w:tc>
        <w:tc>
          <w:tcPr>
            <w:tcW w:w="75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495FAB" w14:textId="77777777" w:rsidR="00D314BF" w:rsidRPr="00D314BF" w:rsidRDefault="00D314BF">
            <w:pPr>
              <w:jc w:val="center"/>
              <w:rPr>
                <w:rFonts w:cs="Arial"/>
                <w:b/>
                <w:szCs w:val="22"/>
              </w:rPr>
            </w:pPr>
            <w:r w:rsidRPr="00D314BF">
              <w:rPr>
                <w:rFonts w:cs="Arial"/>
                <w:b/>
                <w:szCs w:val="22"/>
              </w:rPr>
              <w:t>Details</w:t>
            </w:r>
          </w:p>
        </w:tc>
      </w:tr>
      <w:tr w:rsidR="00D314BF" w:rsidRPr="00D314BF" w14:paraId="769FD9CE" w14:textId="77777777" w:rsidTr="001F1958">
        <w:trPr>
          <w:trHeight w:val="1630"/>
        </w:trPr>
        <w:tc>
          <w:tcPr>
            <w:tcW w:w="2425" w:type="dxa"/>
            <w:tcBorders>
              <w:top w:val="single" w:sz="4" w:space="0" w:color="auto"/>
              <w:left w:val="single" w:sz="4" w:space="0" w:color="auto"/>
              <w:bottom w:val="single" w:sz="4" w:space="0" w:color="auto"/>
              <w:right w:val="single" w:sz="4" w:space="0" w:color="auto"/>
            </w:tcBorders>
            <w:hideMark/>
          </w:tcPr>
          <w:p w14:paraId="00F79107" w14:textId="77777777" w:rsidR="00D314BF" w:rsidRPr="00D314BF" w:rsidRDefault="00D314BF">
            <w:pPr>
              <w:rPr>
                <w:rFonts w:cs="Arial"/>
                <w:szCs w:val="22"/>
              </w:rPr>
            </w:pPr>
            <w:r w:rsidRPr="00D314BF">
              <w:rPr>
                <w:rFonts w:cs="Arial"/>
                <w:szCs w:val="22"/>
              </w:rPr>
              <w:t>Identity of the Controller and Processor</w:t>
            </w:r>
          </w:p>
        </w:tc>
        <w:tc>
          <w:tcPr>
            <w:tcW w:w="7592" w:type="dxa"/>
            <w:tcBorders>
              <w:top w:val="single" w:sz="4" w:space="0" w:color="auto"/>
              <w:left w:val="single" w:sz="4" w:space="0" w:color="auto"/>
              <w:bottom w:val="single" w:sz="4" w:space="0" w:color="auto"/>
              <w:right w:val="single" w:sz="4" w:space="0" w:color="auto"/>
            </w:tcBorders>
          </w:tcPr>
          <w:p w14:paraId="3483769C" w14:textId="77777777" w:rsidR="00D314BF" w:rsidRPr="00D314BF" w:rsidRDefault="00D314BF">
            <w:pPr>
              <w:rPr>
                <w:rFonts w:cs="Arial"/>
                <w:szCs w:val="22"/>
              </w:rPr>
            </w:pPr>
            <w:r w:rsidRPr="00D314BF">
              <w:rPr>
                <w:rFonts w:cs="Arial"/>
                <w:szCs w:val="22"/>
              </w:rPr>
              <w:t>Each Party is an independent controller of the following Personal Data which it receives:</w:t>
            </w:r>
          </w:p>
          <w:p w14:paraId="56903DCE" w14:textId="34AA72A4" w:rsidR="00D314BF" w:rsidRPr="001F1958" w:rsidRDefault="00D314BF" w:rsidP="00C140A9">
            <w:pPr>
              <w:numPr>
                <w:ilvl w:val="0"/>
                <w:numId w:val="49"/>
              </w:numPr>
              <w:overflowPunct/>
              <w:autoSpaceDE/>
              <w:adjustRightInd/>
              <w:spacing w:after="200" w:line="240" w:lineRule="auto"/>
              <w:contextualSpacing/>
              <w:jc w:val="left"/>
              <w:textAlignment w:val="auto"/>
              <w:rPr>
                <w:rFonts w:cs="Arial"/>
                <w:szCs w:val="22"/>
              </w:rPr>
            </w:pPr>
            <w:r w:rsidRPr="00D314BF">
              <w:rPr>
                <w:rFonts w:cs="Arial"/>
                <w:szCs w:val="22"/>
              </w:rPr>
              <w:t xml:space="preserve"> Personal Data of Staff of either Party</w:t>
            </w:r>
          </w:p>
        </w:tc>
      </w:tr>
      <w:tr w:rsidR="00D314BF" w:rsidRPr="00D314BF" w14:paraId="52E8C6A2" w14:textId="77777777" w:rsidTr="001F1958">
        <w:trPr>
          <w:trHeight w:val="786"/>
        </w:trPr>
        <w:tc>
          <w:tcPr>
            <w:tcW w:w="2425" w:type="dxa"/>
            <w:tcBorders>
              <w:top w:val="single" w:sz="4" w:space="0" w:color="auto"/>
              <w:left w:val="single" w:sz="4" w:space="0" w:color="auto"/>
              <w:bottom w:val="single" w:sz="4" w:space="0" w:color="auto"/>
              <w:right w:val="single" w:sz="4" w:space="0" w:color="auto"/>
            </w:tcBorders>
            <w:hideMark/>
          </w:tcPr>
          <w:p w14:paraId="6D73A919" w14:textId="77777777" w:rsidR="00D314BF" w:rsidRPr="00D314BF" w:rsidRDefault="00D314BF">
            <w:pPr>
              <w:rPr>
                <w:rFonts w:cs="Arial"/>
                <w:szCs w:val="22"/>
              </w:rPr>
            </w:pPr>
            <w:r w:rsidRPr="00D314BF">
              <w:rPr>
                <w:rFonts w:cs="Arial"/>
                <w:szCs w:val="22"/>
              </w:rPr>
              <w:t>Use of Personal Data</w:t>
            </w:r>
          </w:p>
        </w:tc>
        <w:tc>
          <w:tcPr>
            <w:tcW w:w="7592" w:type="dxa"/>
            <w:tcBorders>
              <w:top w:val="single" w:sz="4" w:space="0" w:color="auto"/>
              <w:left w:val="single" w:sz="4" w:space="0" w:color="auto"/>
              <w:bottom w:val="single" w:sz="4" w:space="0" w:color="auto"/>
              <w:right w:val="single" w:sz="4" w:space="0" w:color="auto"/>
            </w:tcBorders>
            <w:hideMark/>
          </w:tcPr>
          <w:p w14:paraId="092B0844" w14:textId="77777777" w:rsidR="00D314BF" w:rsidRPr="00D314BF" w:rsidRDefault="00D314BF">
            <w:pPr>
              <w:rPr>
                <w:rFonts w:cs="Arial"/>
                <w:szCs w:val="22"/>
              </w:rPr>
            </w:pPr>
            <w:r w:rsidRPr="00D314BF">
              <w:rPr>
                <w:rFonts w:cs="Arial"/>
                <w:szCs w:val="22"/>
              </w:rPr>
              <w:t xml:space="preserve">Management of this Legal Services Contract and any case of claim supported under it. </w:t>
            </w:r>
          </w:p>
        </w:tc>
      </w:tr>
      <w:tr w:rsidR="00D314BF" w:rsidRPr="00D314BF" w14:paraId="5217F97E" w14:textId="77777777" w:rsidTr="001F1958">
        <w:trPr>
          <w:trHeight w:val="1055"/>
        </w:trPr>
        <w:tc>
          <w:tcPr>
            <w:tcW w:w="2425" w:type="dxa"/>
            <w:tcBorders>
              <w:top w:val="single" w:sz="4" w:space="0" w:color="auto"/>
              <w:left w:val="single" w:sz="4" w:space="0" w:color="auto"/>
              <w:bottom w:val="single" w:sz="4" w:space="0" w:color="auto"/>
              <w:right w:val="single" w:sz="4" w:space="0" w:color="auto"/>
            </w:tcBorders>
            <w:hideMark/>
          </w:tcPr>
          <w:p w14:paraId="47191BF4" w14:textId="77777777" w:rsidR="00D314BF" w:rsidRPr="00D314BF" w:rsidRDefault="00D314BF">
            <w:pPr>
              <w:rPr>
                <w:rFonts w:cs="Arial"/>
                <w:szCs w:val="22"/>
              </w:rPr>
            </w:pPr>
            <w:r w:rsidRPr="00D314BF">
              <w:rPr>
                <w:rFonts w:cs="Arial"/>
                <w:szCs w:val="22"/>
              </w:rPr>
              <w:t xml:space="preserve">Duration of the processing and retention. </w:t>
            </w:r>
          </w:p>
        </w:tc>
        <w:tc>
          <w:tcPr>
            <w:tcW w:w="7592" w:type="dxa"/>
            <w:tcBorders>
              <w:top w:val="single" w:sz="4" w:space="0" w:color="auto"/>
              <w:left w:val="single" w:sz="4" w:space="0" w:color="auto"/>
              <w:bottom w:val="single" w:sz="4" w:space="0" w:color="auto"/>
              <w:right w:val="single" w:sz="4" w:space="0" w:color="auto"/>
            </w:tcBorders>
            <w:hideMark/>
          </w:tcPr>
          <w:p w14:paraId="29523715" w14:textId="77777777" w:rsidR="00D314BF" w:rsidRPr="00D314BF" w:rsidRDefault="00D314BF">
            <w:pPr>
              <w:rPr>
                <w:rFonts w:cs="Arial"/>
                <w:szCs w:val="22"/>
              </w:rPr>
            </w:pPr>
            <w:r w:rsidRPr="00D314BF">
              <w:rPr>
                <w:rFonts w:cs="Arial"/>
                <w:szCs w:val="22"/>
              </w:rPr>
              <w:t>From the outset of the Legal Services Contract  date, and up to 7 years after it expires</w:t>
            </w:r>
          </w:p>
        </w:tc>
      </w:tr>
      <w:tr w:rsidR="00D314BF" w:rsidRPr="00D314BF" w14:paraId="125ACD50" w14:textId="77777777" w:rsidTr="001F1958">
        <w:trPr>
          <w:trHeight w:val="948"/>
        </w:trPr>
        <w:tc>
          <w:tcPr>
            <w:tcW w:w="2425" w:type="dxa"/>
            <w:tcBorders>
              <w:top w:val="single" w:sz="4" w:space="0" w:color="auto"/>
              <w:left w:val="single" w:sz="4" w:space="0" w:color="auto"/>
              <w:bottom w:val="single" w:sz="4" w:space="0" w:color="auto"/>
              <w:right w:val="single" w:sz="4" w:space="0" w:color="auto"/>
            </w:tcBorders>
            <w:hideMark/>
          </w:tcPr>
          <w:p w14:paraId="7CCB40F2" w14:textId="77777777" w:rsidR="00D314BF" w:rsidRPr="00D314BF" w:rsidRDefault="00D314BF">
            <w:pPr>
              <w:rPr>
                <w:rFonts w:cs="Arial"/>
                <w:szCs w:val="22"/>
              </w:rPr>
            </w:pPr>
            <w:r w:rsidRPr="00D314BF">
              <w:rPr>
                <w:rFonts w:cs="Arial"/>
                <w:szCs w:val="22"/>
              </w:rPr>
              <w:t>Nature and purposes of the processing</w:t>
            </w:r>
          </w:p>
        </w:tc>
        <w:tc>
          <w:tcPr>
            <w:tcW w:w="7592" w:type="dxa"/>
            <w:tcBorders>
              <w:top w:val="single" w:sz="4" w:space="0" w:color="auto"/>
              <w:left w:val="single" w:sz="4" w:space="0" w:color="auto"/>
              <w:bottom w:val="single" w:sz="4" w:space="0" w:color="auto"/>
              <w:right w:val="single" w:sz="4" w:space="0" w:color="auto"/>
            </w:tcBorders>
            <w:hideMark/>
          </w:tcPr>
          <w:p w14:paraId="1C876C84" w14:textId="77777777" w:rsidR="00D314BF" w:rsidRPr="00D314BF" w:rsidRDefault="00D314BF">
            <w:pPr>
              <w:rPr>
                <w:rFonts w:cs="Arial"/>
                <w:szCs w:val="22"/>
              </w:rPr>
            </w:pPr>
            <w:r w:rsidRPr="00D314BF">
              <w:rPr>
                <w:rFonts w:cs="Arial"/>
                <w:szCs w:val="22"/>
              </w:rPr>
              <w:t>Provision of legal services under this Legal Services Contract.</w:t>
            </w:r>
          </w:p>
        </w:tc>
      </w:tr>
      <w:tr w:rsidR="00D314BF" w:rsidRPr="00D314BF" w14:paraId="0472CB3F" w14:textId="77777777" w:rsidTr="001F1958">
        <w:trPr>
          <w:trHeight w:val="1412"/>
        </w:trPr>
        <w:tc>
          <w:tcPr>
            <w:tcW w:w="2425" w:type="dxa"/>
            <w:tcBorders>
              <w:top w:val="single" w:sz="4" w:space="0" w:color="auto"/>
              <w:left w:val="single" w:sz="4" w:space="0" w:color="auto"/>
              <w:bottom w:val="single" w:sz="4" w:space="0" w:color="auto"/>
              <w:right w:val="single" w:sz="4" w:space="0" w:color="auto"/>
            </w:tcBorders>
            <w:hideMark/>
          </w:tcPr>
          <w:p w14:paraId="408322DF" w14:textId="77777777" w:rsidR="00D314BF" w:rsidRPr="00D314BF" w:rsidRDefault="00D314BF">
            <w:pPr>
              <w:rPr>
                <w:rFonts w:cs="Arial"/>
                <w:szCs w:val="22"/>
              </w:rPr>
            </w:pPr>
            <w:r w:rsidRPr="00D314BF">
              <w:rPr>
                <w:rFonts w:cs="Arial"/>
                <w:szCs w:val="22"/>
              </w:rPr>
              <w:t>Type of Personal Data</w:t>
            </w:r>
          </w:p>
        </w:tc>
        <w:tc>
          <w:tcPr>
            <w:tcW w:w="7592" w:type="dxa"/>
            <w:tcBorders>
              <w:top w:val="single" w:sz="4" w:space="0" w:color="auto"/>
              <w:left w:val="single" w:sz="4" w:space="0" w:color="auto"/>
              <w:bottom w:val="single" w:sz="4" w:space="0" w:color="auto"/>
              <w:right w:val="single" w:sz="4" w:space="0" w:color="auto"/>
            </w:tcBorders>
          </w:tcPr>
          <w:p w14:paraId="01DD9052" w14:textId="77777777" w:rsidR="00D314BF" w:rsidRPr="00D314BF" w:rsidRDefault="00D314BF">
            <w:pPr>
              <w:rPr>
                <w:rFonts w:cs="Arial"/>
                <w:b/>
                <w:szCs w:val="22"/>
              </w:rPr>
            </w:pPr>
            <w:r w:rsidRPr="00D314BF">
              <w:rPr>
                <w:rFonts w:cs="Arial"/>
                <w:szCs w:val="22"/>
              </w:rPr>
              <w:t xml:space="preserve"> </w:t>
            </w:r>
            <w:r w:rsidRPr="00D314BF">
              <w:rPr>
                <w:rFonts w:cs="Arial"/>
                <w:b/>
                <w:szCs w:val="22"/>
              </w:rPr>
              <w:t>Staff of either Party:</w:t>
            </w:r>
          </w:p>
          <w:p w14:paraId="2BF63BF5" w14:textId="77777777" w:rsidR="00D314BF" w:rsidRPr="00D314BF" w:rsidRDefault="00D314BF">
            <w:pPr>
              <w:rPr>
                <w:rFonts w:cs="Arial"/>
                <w:szCs w:val="22"/>
              </w:rPr>
            </w:pPr>
            <w:r w:rsidRPr="00D314BF">
              <w:rPr>
                <w:rFonts w:cs="Arial"/>
                <w:szCs w:val="22"/>
              </w:rPr>
              <w:t>Full name</w:t>
            </w:r>
          </w:p>
          <w:p w14:paraId="2066F941" w14:textId="77777777" w:rsidR="00D314BF" w:rsidRPr="00D314BF" w:rsidRDefault="00D314BF">
            <w:pPr>
              <w:rPr>
                <w:rFonts w:cs="Arial"/>
                <w:szCs w:val="22"/>
              </w:rPr>
            </w:pPr>
            <w:r w:rsidRPr="00D314BF">
              <w:rPr>
                <w:rFonts w:cs="Arial"/>
                <w:szCs w:val="22"/>
              </w:rPr>
              <w:t>Workplace address</w:t>
            </w:r>
          </w:p>
          <w:p w14:paraId="2974F587" w14:textId="77777777" w:rsidR="00D314BF" w:rsidRPr="00D314BF" w:rsidRDefault="00D314BF">
            <w:pPr>
              <w:rPr>
                <w:rFonts w:cs="Arial"/>
                <w:szCs w:val="22"/>
              </w:rPr>
            </w:pPr>
            <w:r w:rsidRPr="00D314BF">
              <w:rPr>
                <w:rFonts w:cs="Arial"/>
                <w:szCs w:val="22"/>
              </w:rPr>
              <w:lastRenderedPageBreak/>
              <w:t xml:space="preserve">Workplace Phone Number </w:t>
            </w:r>
          </w:p>
          <w:p w14:paraId="74A54C73" w14:textId="1D2DAC15" w:rsidR="00D314BF" w:rsidRPr="00D314BF" w:rsidRDefault="00D314BF" w:rsidP="00E8149D">
            <w:pPr>
              <w:rPr>
                <w:rFonts w:cs="Arial"/>
                <w:szCs w:val="22"/>
              </w:rPr>
            </w:pPr>
            <w:r w:rsidRPr="00D314BF">
              <w:rPr>
                <w:rFonts w:cs="Arial"/>
                <w:szCs w:val="22"/>
              </w:rPr>
              <w:t xml:space="preserve">Workplace email address </w:t>
            </w:r>
          </w:p>
        </w:tc>
      </w:tr>
      <w:tr w:rsidR="00D314BF" w:rsidRPr="00D314BF" w14:paraId="7E7A956C" w14:textId="77777777" w:rsidTr="001F1958">
        <w:trPr>
          <w:trHeight w:val="794"/>
        </w:trPr>
        <w:tc>
          <w:tcPr>
            <w:tcW w:w="2425" w:type="dxa"/>
            <w:tcBorders>
              <w:top w:val="single" w:sz="4" w:space="0" w:color="auto"/>
              <w:left w:val="single" w:sz="4" w:space="0" w:color="auto"/>
              <w:bottom w:val="single" w:sz="4" w:space="0" w:color="auto"/>
              <w:right w:val="single" w:sz="4" w:space="0" w:color="auto"/>
            </w:tcBorders>
            <w:hideMark/>
          </w:tcPr>
          <w:p w14:paraId="42EBDFEA" w14:textId="77777777" w:rsidR="00D314BF" w:rsidRPr="00D314BF" w:rsidRDefault="00D314BF">
            <w:pPr>
              <w:rPr>
                <w:rFonts w:cs="Arial"/>
                <w:szCs w:val="22"/>
              </w:rPr>
            </w:pPr>
            <w:r w:rsidRPr="00D314BF">
              <w:rPr>
                <w:rFonts w:cs="Arial"/>
                <w:szCs w:val="22"/>
              </w:rPr>
              <w:lastRenderedPageBreak/>
              <w:t>Categories of Data Subject</w:t>
            </w:r>
          </w:p>
        </w:tc>
        <w:tc>
          <w:tcPr>
            <w:tcW w:w="7592" w:type="dxa"/>
            <w:tcBorders>
              <w:top w:val="single" w:sz="4" w:space="0" w:color="auto"/>
              <w:left w:val="single" w:sz="4" w:space="0" w:color="auto"/>
              <w:bottom w:val="single" w:sz="4" w:space="0" w:color="auto"/>
              <w:right w:val="single" w:sz="4" w:space="0" w:color="auto"/>
            </w:tcBorders>
            <w:hideMark/>
          </w:tcPr>
          <w:p w14:paraId="1ED2224D" w14:textId="65480003" w:rsidR="00D314BF" w:rsidRPr="00D314BF" w:rsidRDefault="00C140A9" w:rsidP="00C140A9">
            <w:pPr>
              <w:spacing w:line="240" w:lineRule="auto"/>
              <w:rPr>
                <w:rFonts w:cs="Arial"/>
                <w:szCs w:val="22"/>
              </w:rPr>
            </w:pPr>
            <w:r>
              <w:rPr>
                <w:rFonts w:cs="Arial"/>
                <w:szCs w:val="22"/>
              </w:rPr>
              <w:t xml:space="preserve">Staff of either Party </w:t>
            </w:r>
          </w:p>
        </w:tc>
      </w:tr>
    </w:tbl>
    <w:p w14:paraId="6C656487" w14:textId="77777777" w:rsidR="00D314BF" w:rsidRPr="00C3320D" w:rsidRDefault="00D314BF" w:rsidP="00D40F55">
      <w:pPr>
        <w:pStyle w:val="NP2ndLevel"/>
        <w:spacing w:before="120" w:after="120"/>
        <w:ind w:left="0" w:firstLine="0"/>
        <w:rPr>
          <w:rFonts w:ascii="Arial" w:hAnsi="Arial" w:cs="Arial"/>
          <w:sz w:val="22"/>
          <w:szCs w:val="22"/>
        </w:rPr>
      </w:pPr>
    </w:p>
    <w:sectPr w:rsidR="00D314BF" w:rsidRPr="00C3320D" w:rsidSect="00764633">
      <w:endnotePr>
        <w:numFmt w:val="decimal"/>
      </w:endnotePr>
      <w:pgSz w:w="11909" w:h="16834" w:code="9"/>
      <w:pgMar w:top="1440" w:right="1440" w:bottom="1440" w:left="1440" w:header="706" w:footer="706"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6B00C45" w16cid:durableId="24241D92"/>
  <w16cid:commentId w16cid:paraId="2D3266DB" w16cid:durableId="24242271"/>
  <w16cid:commentId w16cid:paraId="64699C3C" w16cid:durableId="2424235C"/>
  <w16cid:commentId w16cid:paraId="48BF8F78" w16cid:durableId="242423B4"/>
  <w16cid:commentId w16cid:paraId="62E0855C" w16cid:durableId="2424246F"/>
  <w16cid:commentId w16cid:paraId="4C1FA55D" w16cid:durableId="242424D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576E1" w14:textId="77777777" w:rsidR="00015F04" w:rsidRDefault="00015F04">
      <w:pPr>
        <w:spacing w:after="0" w:line="20" w:lineRule="exact"/>
      </w:pPr>
    </w:p>
  </w:endnote>
  <w:endnote w:type="continuationSeparator" w:id="0">
    <w:p w14:paraId="022F05B6" w14:textId="77777777" w:rsidR="00015F04" w:rsidRDefault="00015F04">
      <w:pPr>
        <w:spacing w:after="0" w:line="20" w:lineRule="exact"/>
      </w:pPr>
    </w:p>
  </w:endnote>
  <w:endnote w:type="continuationNotice" w:id="1">
    <w:p w14:paraId="10325B49" w14:textId="77777777" w:rsidR="00015F04" w:rsidRDefault="00015F04">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69672E" w:rsidRDefault="0069672E"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69672E" w:rsidRDefault="0069672E"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69672E" w:rsidRDefault="0069672E"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1D1B6019" w:rsidR="0069672E" w:rsidRPr="00BE527E" w:rsidRDefault="0069672E" w:rsidP="00D35C2B">
    <w:pPr>
      <w:pStyle w:val="Footer"/>
      <w:jc w:val="left"/>
      <w:rPr>
        <w:sz w:val="16"/>
        <w:szCs w:val="16"/>
      </w:rPr>
    </w:pPr>
    <w:r w:rsidRPr="00BE527E">
      <w:rPr>
        <w:sz w:val="16"/>
        <w:szCs w:val="16"/>
      </w:rPr>
      <w:t xml:space="preserve">RM3787 Panel </w:t>
    </w:r>
  </w:p>
  <w:p w14:paraId="4259A12B" w14:textId="0E4EF7BA" w:rsidR="0069672E" w:rsidRPr="00BE527E" w:rsidRDefault="0069672E" w:rsidP="00D35C2B">
    <w:pPr>
      <w:pStyle w:val="Footer"/>
      <w:jc w:val="left"/>
      <w:rPr>
        <w:sz w:val="16"/>
        <w:szCs w:val="16"/>
      </w:rPr>
    </w:pPr>
    <w:r w:rsidRPr="00BE527E">
      <w:rPr>
        <w:sz w:val="16"/>
        <w:szCs w:val="16"/>
      </w:rPr>
      <w:t>Attachment 8 Panel Agreement Schedule 4 – Finance &amp; Complex Legal Services Contract and Order Form</w:t>
    </w:r>
  </w:p>
  <w:p w14:paraId="0388C5B1" w14:textId="50CC8ACA" w:rsidR="0069672E" w:rsidRPr="00BE527E" w:rsidRDefault="0069672E" w:rsidP="00D35C2B">
    <w:pPr>
      <w:pStyle w:val="Footer"/>
      <w:jc w:val="left"/>
      <w:rPr>
        <w:sz w:val="16"/>
        <w:szCs w:val="16"/>
      </w:rPr>
    </w:pPr>
    <w:r w:rsidRPr="00BE527E">
      <w:rPr>
        <w:sz w:val="16"/>
        <w:szCs w:val="16"/>
      </w:rPr>
      <w:t>CCLL2</w:t>
    </w:r>
    <w:r>
      <w:rPr>
        <w:sz w:val="16"/>
        <w:szCs w:val="16"/>
      </w:rPr>
      <w:t>1A07</w:t>
    </w:r>
    <w:r w:rsidRPr="00BE527E">
      <w:rPr>
        <w:sz w:val="16"/>
        <w:szCs w:val="16"/>
      </w:rPr>
      <w:t xml:space="preserve"> – </w:t>
    </w:r>
    <w:r>
      <w:rPr>
        <w:sz w:val="16"/>
        <w:szCs w:val="16"/>
      </w:rPr>
      <w:t>Provision of Advice in Relation to the Establishment of the London Capital &amp; Finance Compensation Scheme</w:t>
    </w:r>
  </w:p>
  <w:p w14:paraId="70F2FF03" w14:textId="624A7F86" w:rsidR="0069672E" w:rsidRPr="00BE527E" w:rsidRDefault="0069672E" w:rsidP="00D35C2B">
    <w:pPr>
      <w:pStyle w:val="Footer"/>
      <w:jc w:val="left"/>
      <w:rPr>
        <w:rFonts w:cs="Arial"/>
        <w:sz w:val="16"/>
        <w:szCs w:val="19"/>
        <w:shd w:val="clear" w:color="auto" w:fill="FFFFFF"/>
      </w:rPr>
    </w:pPr>
    <w:r w:rsidRPr="00BE527E">
      <w:rPr>
        <w:rFonts w:cs="Arial"/>
        <w:sz w:val="16"/>
        <w:szCs w:val="19"/>
        <w:shd w:val="clear" w:color="auto" w:fill="FFFFFF"/>
      </w:rPr>
      <w:t>© Crown copyright 2017</w:t>
    </w:r>
  </w:p>
  <w:p w14:paraId="6B8871A6" w14:textId="708D4AA1" w:rsidR="0069672E" w:rsidRDefault="00015F04" w:rsidP="00D35C2B">
    <w:pPr>
      <w:pStyle w:val="Footer"/>
      <w:jc w:val="center"/>
    </w:pPr>
    <w:sdt>
      <w:sdtPr>
        <w:rPr>
          <w:highlight w:val="yellow"/>
        </w:rPr>
        <w:id w:val="-1144888219"/>
        <w:docPartObj>
          <w:docPartGallery w:val="Page Numbers (Bottom of Page)"/>
          <w:docPartUnique/>
        </w:docPartObj>
      </w:sdtPr>
      <w:sdtEndPr>
        <w:rPr>
          <w:noProof/>
          <w:highlight w:val="none"/>
        </w:rPr>
      </w:sdtEndPr>
      <w:sdtContent>
        <w:r w:rsidR="0069672E">
          <w:fldChar w:fldCharType="begin"/>
        </w:r>
        <w:r w:rsidR="0069672E">
          <w:instrText xml:space="preserve"> PAGE   \* MERGEFORMAT </w:instrText>
        </w:r>
        <w:r w:rsidR="0069672E">
          <w:fldChar w:fldCharType="separate"/>
        </w:r>
        <w:r w:rsidR="00782AB6">
          <w:rPr>
            <w:noProof/>
          </w:rPr>
          <w:t>1</w:t>
        </w:r>
        <w:r w:rsidR="0069672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69672E" w:rsidRPr="00D35C2B" w:rsidRDefault="0069672E"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69672E" w:rsidRPr="00D35C2B" w:rsidRDefault="0069672E"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69672E" w:rsidRPr="00D35C2B" w:rsidRDefault="0069672E"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69672E" w:rsidRPr="00D35C2B" w:rsidRDefault="0069672E"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69672E" w:rsidRDefault="00015F04" w:rsidP="00353A2B">
    <w:pPr>
      <w:pStyle w:val="Footer"/>
      <w:jc w:val="center"/>
    </w:pPr>
    <w:sdt>
      <w:sdtPr>
        <w:id w:val="1363323381"/>
        <w:docPartObj>
          <w:docPartGallery w:val="Page Numbers (Bottom of Page)"/>
          <w:docPartUnique/>
        </w:docPartObj>
      </w:sdtPr>
      <w:sdtEndPr>
        <w:rPr>
          <w:noProof/>
        </w:rPr>
      </w:sdtEndPr>
      <w:sdtContent>
        <w:r w:rsidR="0069672E">
          <w:fldChar w:fldCharType="begin"/>
        </w:r>
        <w:r w:rsidR="0069672E">
          <w:instrText xml:space="preserve"> PAGE   \* MERGEFORMAT </w:instrText>
        </w:r>
        <w:r w:rsidR="0069672E">
          <w:fldChar w:fldCharType="separate"/>
        </w:r>
        <w:r w:rsidR="0069672E">
          <w:rPr>
            <w:noProof/>
          </w:rPr>
          <w:t>48</w:t>
        </w:r>
        <w:r w:rsidR="0069672E">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69672E" w:rsidRDefault="0069672E"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69672E" w:rsidRDefault="0069672E"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69672E" w:rsidRDefault="0069672E"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6F85F3" w14:textId="77777777" w:rsidR="00015F04" w:rsidRDefault="00015F04">
      <w:pPr>
        <w:spacing w:after="0" w:line="240" w:lineRule="auto"/>
      </w:pPr>
      <w:r>
        <w:separator/>
      </w:r>
    </w:p>
  </w:footnote>
  <w:footnote w:type="continuationSeparator" w:id="0">
    <w:p w14:paraId="70EB56E0" w14:textId="77777777" w:rsidR="00015F04" w:rsidRDefault="00015F04">
      <w:pPr>
        <w:spacing w:after="0" w:line="240" w:lineRule="auto"/>
      </w:pPr>
      <w:r>
        <w:continuationSeparator/>
      </w:r>
    </w:p>
  </w:footnote>
  <w:footnote w:type="continuationNotice" w:id="1">
    <w:p w14:paraId="72D2F560" w14:textId="77777777" w:rsidR="00015F04" w:rsidRDefault="00015F0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69672E" w:rsidRDefault="0069672E"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69672E" w:rsidRDefault="0069672E"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69672E" w:rsidRDefault="0069672E"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69672E" w:rsidRDefault="0069672E"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69672E" w:rsidRDefault="0069672E"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69672E" w:rsidRDefault="0069672E"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73573D"/>
    <w:multiLevelType w:val="hybridMultilevel"/>
    <w:tmpl w:val="EF368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3"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4"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5"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8"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1"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3"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4" w15:restartNumberingAfterBreak="0">
    <w:nsid w:val="51200365"/>
    <w:multiLevelType w:val="multilevel"/>
    <w:tmpl w:val="7E24A6D6"/>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b w:val="0"/>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decimal"/>
      <w:lvlText w:val=""/>
      <w:lvlJc w:val="left"/>
      <w:pPr>
        <w:tabs>
          <w:tab w:val="num" w:pos="5040"/>
        </w:tabs>
        <w:ind w:left="5040" w:hanging="720"/>
      </w:pPr>
      <w:rPr>
        <w:caps w:val="0"/>
        <w:effect w:val="none"/>
      </w:rPr>
    </w:lvl>
    <w:lvl w:ilvl="8">
      <w:start w:val="1"/>
      <w:numFmt w:val="decimal"/>
      <w:lvlText w:val=""/>
      <w:lvlJc w:val="left"/>
      <w:pPr>
        <w:tabs>
          <w:tab w:val="num" w:pos="5040"/>
        </w:tabs>
        <w:ind w:left="5040" w:hanging="720"/>
      </w:pPr>
      <w:rPr>
        <w:caps w:val="0"/>
        <w:effect w:val="none"/>
      </w:rPr>
    </w:lvl>
  </w:abstractNum>
  <w:abstractNum w:abstractNumId="25"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6"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7"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9"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3"/>
  </w:num>
  <w:num w:numId="3">
    <w:abstractNumId w:val="17"/>
  </w:num>
  <w:num w:numId="4">
    <w:abstractNumId w:val="13"/>
  </w:num>
  <w:num w:numId="5">
    <w:abstractNumId w:val="5"/>
  </w:num>
  <w:num w:numId="6">
    <w:abstractNumId w:val="28"/>
  </w:num>
  <w:num w:numId="7">
    <w:abstractNumId w:val="20"/>
  </w:num>
  <w:num w:numId="8">
    <w:abstractNumId w:val="6"/>
  </w:num>
  <w:num w:numId="9">
    <w:abstractNumId w:val="4"/>
  </w:num>
  <w:num w:numId="10">
    <w:abstractNumId w:val="3"/>
  </w:num>
  <w:num w:numId="11">
    <w:abstractNumId w:val="2"/>
  </w:num>
  <w:num w:numId="12">
    <w:abstractNumId w:val="1"/>
  </w:num>
  <w:num w:numId="13">
    <w:abstractNumId w:val="0"/>
  </w:num>
  <w:num w:numId="14">
    <w:abstractNumId w:val="26"/>
  </w:num>
  <w:num w:numId="15">
    <w:abstractNumId w:val="7"/>
  </w:num>
  <w:num w:numId="16">
    <w:abstractNumId w:val="12"/>
  </w:num>
  <w:num w:numId="17">
    <w:abstractNumId w:val="25"/>
  </w:num>
  <w:num w:numId="18">
    <w:abstractNumId w:val="34"/>
  </w:num>
  <w:num w:numId="19">
    <w:abstractNumId w:val="15"/>
  </w:num>
  <w:num w:numId="20">
    <w:abstractNumId w:val="31"/>
  </w:num>
  <w:num w:numId="21">
    <w:abstractNumId w:val="36"/>
  </w:num>
  <w:num w:numId="22">
    <w:abstractNumId w:val="21"/>
  </w:num>
  <w:num w:numId="23">
    <w:abstractNumId w:val="9"/>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33"/>
  </w:num>
  <w:num w:numId="27">
    <w:abstractNumId w:val="18"/>
  </w:num>
  <w:num w:numId="28">
    <w:abstractNumId w:val="35"/>
  </w:num>
  <w:num w:numId="29">
    <w:abstractNumId w:val="32"/>
  </w:num>
  <w:num w:numId="30">
    <w:abstractNumId w:val="16"/>
  </w:num>
  <w:num w:numId="31">
    <w:abstractNumId w:val="30"/>
  </w:num>
  <w:num w:numId="32">
    <w:abstractNumId w:val="10"/>
  </w:num>
  <w:num w:numId="33">
    <w:abstractNumId w:val="22"/>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8"/>
  </w:num>
  <w:num w:numId="50">
    <w:abstractNumId w:val="24"/>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ick Williams">
    <w15:presenceInfo w15:providerId="None" w15:userId="Nick Willia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15F04"/>
    <w:rsid w:val="00020AA9"/>
    <w:rsid w:val="00021D24"/>
    <w:rsid w:val="00023EAE"/>
    <w:rsid w:val="00024671"/>
    <w:rsid w:val="000326BE"/>
    <w:rsid w:val="00035EDD"/>
    <w:rsid w:val="000407CD"/>
    <w:rsid w:val="00043FF7"/>
    <w:rsid w:val="0004608A"/>
    <w:rsid w:val="00050B79"/>
    <w:rsid w:val="0005385A"/>
    <w:rsid w:val="00053969"/>
    <w:rsid w:val="00057129"/>
    <w:rsid w:val="00061BFA"/>
    <w:rsid w:val="000654F7"/>
    <w:rsid w:val="000669AE"/>
    <w:rsid w:val="0007028E"/>
    <w:rsid w:val="00071FC1"/>
    <w:rsid w:val="0007331A"/>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195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6F94"/>
    <w:rsid w:val="00257D36"/>
    <w:rsid w:val="002606C0"/>
    <w:rsid w:val="00267E7F"/>
    <w:rsid w:val="002750B7"/>
    <w:rsid w:val="002817E8"/>
    <w:rsid w:val="00281958"/>
    <w:rsid w:val="00281A57"/>
    <w:rsid w:val="00282BAC"/>
    <w:rsid w:val="00283258"/>
    <w:rsid w:val="0028365E"/>
    <w:rsid w:val="002838DA"/>
    <w:rsid w:val="0028447A"/>
    <w:rsid w:val="00285594"/>
    <w:rsid w:val="00290BBA"/>
    <w:rsid w:val="002A3CE4"/>
    <w:rsid w:val="002A4CB4"/>
    <w:rsid w:val="002A5AC8"/>
    <w:rsid w:val="002C25DE"/>
    <w:rsid w:val="002D03A0"/>
    <w:rsid w:val="002D306F"/>
    <w:rsid w:val="002D33F9"/>
    <w:rsid w:val="002D7D9A"/>
    <w:rsid w:val="002E271C"/>
    <w:rsid w:val="002E3BF2"/>
    <w:rsid w:val="002F445C"/>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5F70"/>
    <w:rsid w:val="003470C2"/>
    <w:rsid w:val="003508EA"/>
    <w:rsid w:val="0035256A"/>
    <w:rsid w:val="00353A2B"/>
    <w:rsid w:val="003554C5"/>
    <w:rsid w:val="00355538"/>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2BA1"/>
    <w:rsid w:val="003A4451"/>
    <w:rsid w:val="003A6A2C"/>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E5CF7"/>
    <w:rsid w:val="003F1C0C"/>
    <w:rsid w:val="003F2871"/>
    <w:rsid w:val="003F4769"/>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4761A"/>
    <w:rsid w:val="004500CE"/>
    <w:rsid w:val="00457D7A"/>
    <w:rsid w:val="0046026D"/>
    <w:rsid w:val="00461EE9"/>
    <w:rsid w:val="004625CA"/>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97FC0"/>
    <w:rsid w:val="004B3FF7"/>
    <w:rsid w:val="004B4A09"/>
    <w:rsid w:val="004C0456"/>
    <w:rsid w:val="004C0EC9"/>
    <w:rsid w:val="004C481F"/>
    <w:rsid w:val="004C4872"/>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AD8"/>
    <w:rsid w:val="00582166"/>
    <w:rsid w:val="0058568F"/>
    <w:rsid w:val="00585E76"/>
    <w:rsid w:val="00585F0F"/>
    <w:rsid w:val="00587CC9"/>
    <w:rsid w:val="00591381"/>
    <w:rsid w:val="00593F22"/>
    <w:rsid w:val="00597C92"/>
    <w:rsid w:val="005A3C1B"/>
    <w:rsid w:val="005A4E07"/>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4B4E"/>
    <w:rsid w:val="005E5281"/>
    <w:rsid w:val="005E52AD"/>
    <w:rsid w:val="005E6BE9"/>
    <w:rsid w:val="005E7EDE"/>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60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9672E"/>
    <w:rsid w:val="006A1B65"/>
    <w:rsid w:val="006A3A26"/>
    <w:rsid w:val="006A3DF1"/>
    <w:rsid w:val="006A477F"/>
    <w:rsid w:val="006A5B23"/>
    <w:rsid w:val="006B0AB4"/>
    <w:rsid w:val="006B0C28"/>
    <w:rsid w:val="006B131A"/>
    <w:rsid w:val="006B224F"/>
    <w:rsid w:val="006B3EDC"/>
    <w:rsid w:val="006B5561"/>
    <w:rsid w:val="006C0850"/>
    <w:rsid w:val="006C11A5"/>
    <w:rsid w:val="006C362B"/>
    <w:rsid w:val="006C7108"/>
    <w:rsid w:val="006D2A7F"/>
    <w:rsid w:val="006D4A22"/>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258C9"/>
    <w:rsid w:val="007316F0"/>
    <w:rsid w:val="007317E0"/>
    <w:rsid w:val="00734329"/>
    <w:rsid w:val="0073497E"/>
    <w:rsid w:val="007360EF"/>
    <w:rsid w:val="00736E19"/>
    <w:rsid w:val="007410E2"/>
    <w:rsid w:val="00741EE7"/>
    <w:rsid w:val="00741FD6"/>
    <w:rsid w:val="00745E36"/>
    <w:rsid w:val="00755818"/>
    <w:rsid w:val="007562F7"/>
    <w:rsid w:val="00764633"/>
    <w:rsid w:val="007657FB"/>
    <w:rsid w:val="0076653A"/>
    <w:rsid w:val="00766A09"/>
    <w:rsid w:val="00767506"/>
    <w:rsid w:val="00773D55"/>
    <w:rsid w:val="00774F34"/>
    <w:rsid w:val="00781377"/>
    <w:rsid w:val="00782603"/>
    <w:rsid w:val="00782AB6"/>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7F60D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00CF"/>
    <w:rsid w:val="0085372A"/>
    <w:rsid w:val="00857A80"/>
    <w:rsid w:val="00857BD2"/>
    <w:rsid w:val="008622CD"/>
    <w:rsid w:val="0086551D"/>
    <w:rsid w:val="00865E09"/>
    <w:rsid w:val="008735AD"/>
    <w:rsid w:val="00875C01"/>
    <w:rsid w:val="008831B1"/>
    <w:rsid w:val="00884ACC"/>
    <w:rsid w:val="00885F7A"/>
    <w:rsid w:val="00892916"/>
    <w:rsid w:val="00894CDB"/>
    <w:rsid w:val="008A0328"/>
    <w:rsid w:val="008A1ACF"/>
    <w:rsid w:val="008A2540"/>
    <w:rsid w:val="008A2DC5"/>
    <w:rsid w:val="008A40EE"/>
    <w:rsid w:val="008A792D"/>
    <w:rsid w:val="008B029F"/>
    <w:rsid w:val="008B0862"/>
    <w:rsid w:val="008B25B8"/>
    <w:rsid w:val="008B3C37"/>
    <w:rsid w:val="008C0348"/>
    <w:rsid w:val="008C14C3"/>
    <w:rsid w:val="008C23FB"/>
    <w:rsid w:val="008C2954"/>
    <w:rsid w:val="008C4CF6"/>
    <w:rsid w:val="008C5349"/>
    <w:rsid w:val="008C67DA"/>
    <w:rsid w:val="008C689D"/>
    <w:rsid w:val="008E082F"/>
    <w:rsid w:val="008E4CCA"/>
    <w:rsid w:val="008E5D0C"/>
    <w:rsid w:val="008E649B"/>
    <w:rsid w:val="008E7D94"/>
    <w:rsid w:val="008F0B6B"/>
    <w:rsid w:val="008F5E0D"/>
    <w:rsid w:val="008F60E5"/>
    <w:rsid w:val="008F6A46"/>
    <w:rsid w:val="008F6D29"/>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56F6C"/>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088"/>
    <w:rsid w:val="009D213C"/>
    <w:rsid w:val="009D3297"/>
    <w:rsid w:val="009D7EB8"/>
    <w:rsid w:val="009E0C78"/>
    <w:rsid w:val="009E3053"/>
    <w:rsid w:val="009E39F1"/>
    <w:rsid w:val="009E5712"/>
    <w:rsid w:val="009F0019"/>
    <w:rsid w:val="009F03D4"/>
    <w:rsid w:val="009F0BA8"/>
    <w:rsid w:val="009F5549"/>
    <w:rsid w:val="009F7881"/>
    <w:rsid w:val="009F7A74"/>
    <w:rsid w:val="00A045DB"/>
    <w:rsid w:val="00A04A07"/>
    <w:rsid w:val="00A05521"/>
    <w:rsid w:val="00A072A8"/>
    <w:rsid w:val="00A07C44"/>
    <w:rsid w:val="00A1051C"/>
    <w:rsid w:val="00A11169"/>
    <w:rsid w:val="00A11B69"/>
    <w:rsid w:val="00A129CF"/>
    <w:rsid w:val="00A14D96"/>
    <w:rsid w:val="00A16DAA"/>
    <w:rsid w:val="00A26622"/>
    <w:rsid w:val="00A27FEB"/>
    <w:rsid w:val="00A33A72"/>
    <w:rsid w:val="00A34A70"/>
    <w:rsid w:val="00A34A94"/>
    <w:rsid w:val="00A378B8"/>
    <w:rsid w:val="00A4077C"/>
    <w:rsid w:val="00A4168D"/>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14ED"/>
    <w:rsid w:val="00A72942"/>
    <w:rsid w:val="00A778DC"/>
    <w:rsid w:val="00A81C20"/>
    <w:rsid w:val="00A82A8A"/>
    <w:rsid w:val="00A846B7"/>
    <w:rsid w:val="00A85F53"/>
    <w:rsid w:val="00A904F4"/>
    <w:rsid w:val="00A9052C"/>
    <w:rsid w:val="00A9396D"/>
    <w:rsid w:val="00A95554"/>
    <w:rsid w:val="00A96B85"/>
    <w:rsid w:val="00AA5D03"/>
    <w:rsid w:val="00AB51E9"/>
    <w:rsid w:val="00AB5C13"/>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527E"/>
    <w:rsid w:val="00BE73C1"/>
    <w:rsid w:val="00BE74B1"/>
    <w:rsid w:val="00BF197D"/>
    <w:rsid w:val="00BF3041"/>
    <w:rsid w:val="00BF5F64"/>
    <w:rsid w:val="00BF65FE"/>
    <w:rsid w:val="00C01B54"/>
    <w:rsid w:val="00C02B28"/>
    <w:rsid w:val="00C0338C"/>
    <w:rsid w:val="00C06316"/>
    <w:rsid w:val="00C06E03"/>
    <w:rsid w:val="00C10F77"/>
    <w:rsid w:val="00C1228D"/>
    <w:rsid w:val="00C140A9"/>
    <w:rsid w:val="00C158E8"/>
    <w:rsid w:val="00C1667B"/>
    <w:rsid w:val="00C209FF"/>
    <w:rsid w:val="00C22030"/>
    <w:rsid w:val="00C24351"/>
    <w:rsid w:val="00C2656E"/>
    <w:rsid w:val="00C271E2"/>
    <w:rsid w:val="00C3111A"/>
    <w:rsid w:val="00C3320D"/>
    <w:rsid w:val="00C43776"/>
    <w:rsid w:val="00C43FBF"/>
    <w:rsid w:val="00C44B5E"/>
    <w:rsid w:val="00C51533"/>
    <w:rsid w:val="00C53982"/>
    <w:rsid w:val="00C54786"/>
    <w:rsid w:val="00C5567D"/>
    <w:rsid w:val="00C61199"/>
    <w:rsid w:val="00C66F03"/>
    <w:rsid w:val="00C70018"/>
    <w:rsid w:val="00C70928"/>
    <w:rsid w:val="00C741B5"/>
    <w:rsid w:val="00C741CC"/>
    <w:rsid w:val="00C74DBB"/>
    <w:rsid w:val="00C809B4"/>
    <w:rsid w:val="00C80CF5"/>
    <w:rsid w:val="00C84E27"/>
    <w:rsid w:val="00C86D98"/>
    <w:rsid w:val="00C901FE"/>
    <w:rsid w:val="00C9147E"/>
    <w:rsid w:val="00C916CB"/>
    <w:rsid w:val="00C93116"/>
    <w:rsid w:val="00C943EE"/>
    <w:rsid w:val="00C9591C"/>
    <w:rsid w:val="00C97AB0"/>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68AD"/>
    <w:rsid w:val="00CD73A3"/>
    <w:rsid w:val="00CE382C"/>
    <w:rsid w:val="00CE695E"/>
    <w:rsid w:val="00CF141A"/>
    <w:rsid w:val="00CF16F5"/>
    <w:rsid w:val="00CF17A5"/>
    <w:rsid w:val="00CF2032"/>
    <w:rsid w:val="00CF486B"/>
    <w:rsid w:val="00CF5051"/>
    <w:rsid w:val="00CF624F"/>
    <w:rsid w:val="00CF7EC7"/>
    <w:rsid w:val="00D02ECD"/>
    <w:rsid w:val="00D0322C"/>
    <w:rsid w:val="00D03649"/>
    <w:rsid w:val="00D04218"/>
    <w:rsid w:val="00D116DA"/>
    <w:rsid w:val="00D17E9D"/>
    <w:rsid w:val="00D22FEA"/>
    <w:rsid w:val="00D2634C"/>
    <w:rsid w:val="00D314BF"/>
    <w:rsid w:val="00D35C2B"/>
    <w:rsid w:val="00D40F55"/>
    <w:rsid w:val="00D43DAE"/>
    <w:rsid w:val="00D53125"/>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1040"/>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14DF"/>
    <w:rsid w:val="00E13980"/>
    <w:rsid w:val="00E17C21"/>
    <w:rsid w:val="00E22CE8"/>
    <w:rsid w:val="00E27721"/>
    <w:rsid w:val="00E27A80"/>
    <w:rsid w:val="00E3495B"/>
    <w:rsid w:val="00E35350"/>
    <w:rsid w:val="00E4177A"/>
    <w:rsid w:val="00E42361"/>
    <w:rsid w:val="00E42515"/>
    <w:rsid w:val="00E464B9"/>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149D"/>
    <w:rsid w:val="00E83ECF"/>
    <w:rsid w:val="00E91523"/>
    <w:rsid w:val="00E93B40"/>
    <w:rsid w:val="00E96F8D"/>
    <w:rsid w:val="00E979A6"/>
    <w:rsid w:val="00EA26DD"/>
    <w:rsid w:val="00EA32FF"/>
    <w:rsid w:val="00EA77E4"/>
    <w:rsid w:val="00EB19CB"/>
    <w:rsid w:val="00EB4FB2"/>
    <w:rsid w:val="00EB629D"/>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426B"/>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4F7B"/>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2"/>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0"/>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Default">
    <w:name w:val="Default"/>
    <w:rsid w:val="00C809B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400170">
      <w:bodyDiv w:val="1"/>
      <w:marLeft w:val="0"/>
      <w:marRight w:val="0"/>
      <w:marTop w:val="0"/>
      <w:marBottom w:val="0"/>
      <w:divBdr>
        <w:top w:val="none" w:sz="0" w:space="0" w:color="auto"/>
        <w:left w:val="none" w:sz="0" w:space="0" w:color="auto"/>
        <w:bottom w:val="none" w:sz="0" w:space="0" w:color="auto"/>
        <w:right w:val="none" w:sz="0" w:space="0" w:color="auto"/>
      </w:divBdr>
    </w:div>
    <w:div w:id="306589226">
      <w:bodyDiv w:val="1"/>
      <w:marLeft w:val="0"/>
      <w:marRight w:val="0"/>
      <w:marTop w:val="0"/>
      <w:marBottom w:val="0"/>
      <w:divBdr>
        <w:top w:val="none" w:sz="0" w:space="0" w:color="auto"/>
        <w:left w:val="none" w:sz="0" w:space="0" w:color="auto"/>
        <w:bottom w:val="none" w:sz="0" w:space="0" w:color="auto"/>
        <w:right w:val="none" w:sz="0" w:space="0" w:color="auto"/>
      </w:divBdr>
    </w:div>
    <w:div w:id="346103159">
      <w:bodyDiv w:val="1"/>
      <w:marLeft w:val="0"/>
      <w:marRight w:val="0"/>
      <w:marTop w:val="0"/>
      <w:marBottom w:val="0"/>
      <w:divBdr>
        <w:top w:val="none" w:sz="0" w:space="0" w:color="auto"/>
        <w:left w:val="none" w:sz="0" w:space="0" w:color="auto"/>
        <w:bottom w:val="none" w:sz="0" w:space="0" w:color="auto"/>
        <w:right w:val="none" w:sz="0" w:space="0" w:color="auto"/>
      </w:divBdr>
    </w:div>
    <w:div w:id="364794109">
      <w:bodyDiv w:val="1"/>
      <w:marLeft w:val="0"/>
      <w:marRight w:val="0"/>
      <w:marTop w:val="0"/>
      <w:marBottom w:val="0"/>
      <w:divBdr>
        <w:top w:val="none" w:sz="0" w:space="0" w:color="auto"/>
        <w:left w:val="none" w:sz="0" w:space="0" w:color="auto"/>
        <w:bottom w:val="none" w:sz="0" w:space="0" w:color="auto"/>
        <w:right w:val="none" w:sz="0" w:space="0" w:color="auto"/>
      </w:divBdr>
    </w:div>
    <w:div w:id="515265626">
      <w:bodyDiv w:val="1"/>
      <w:marLeft w:val="0"/>
      <w:marRight w:val="0"/>
      <w:marTop w:val="0"/>
      <w:marBottom w:val="0"/>
      <w:divBdr>
        <w:top w:val="none" w:sz="0" w:space="0" w:color="auto"/>
        <w:left w:val="none" w:sz="0" w:space="0" w:color="auto"/>
        <w:bottom w:val="none" w:sz="0" w:space="0" w:color="auto"/>
        <w:right w:val="none" w:sz="0" w:space="0" w:color="auto"/>
      </w:divBdr>
    </w:div>
    <w:div w:id="608391290">
      <w:bodyDiv w:val="1"/>
      <w:marLeft w:val="0"/>
      <w:marRight w:val="0"/>
      <w:marTop w:val="0"/>
      <w:marBottom w:val="0"/>
      <w:divBdr>
        <w:top w:val="none" w:sz="0" w:space="0" w:color="auto"/>
        <w:left w:val="none" w:sz="0" w:space="0" w:color="auto"/>
        <w:bottom w:val="none" w:sz="0" w:space="0" w:color="auto"/>
        <w:right w:val="none" w:sz="0" w:space="0" w:color="auto"/>
      </w:divBdr>
    </w:div>
    <w:div w:id="714161695">
      <w:bodyDiv w:val="1"/>
      <w:marLeft w:val="0"/>
      <w:marRight w:val="0"/>
      <w:marTop w:val="0"/>
      <w:marBottom w:val="0"/>
      <w:divBdr>
        <w:top w:val="none" w:sz="0" w:space="0" w:color="auto"/>
        <w:left w:val="none" w:sz="0" w:space="0" w:color="auto"/>
        <w:bottom w:val="none" w:sz="0" w:space="0" w:color="auto"/>
        <w:right w:val="none" w:sz="0" w:space="0" w:color="auto"/>
      </w:divBdr>
    </w:div>
    <w:div w:id="1003699206">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179080938">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594899208">
      <w:bodyDiv w:val="1"/>
      <w:marLeft w:val="0"/>
      <w:marRight w:val="0"/>
      <w:marTop w:val="0"/>
      <w:marBottom w:val="0"/>
      <w:divBdr>
        <w:top w:val="none" w:sz="0" w:space="0" w:color="auto"/>
        <w:left w:val="none" w:sz="0" w:space="0" w:color="auto"/>
        <w:bottom w:val="none" w:sz="0" w:space="0" w:color="auto"/>
        <w:right w:val="none" w:sz="0" w:space="0" w:color="auto"/>
      </w:divBdr>
    </w:div>
    <w:div w:id="1615937734">
      <w:bodyDiv w:val="1"/>
      <w:marLeft w:val="0"/>
      <w:marRight w:val="0"/>
      <w:marTop w:val="0"/>
      <w:marBottom w:val="0"/>
      <w:divBdr>
        <w:top w:val="none" w:sz="0" w:space="0" w:color="auto"/>
        <w:left w:val="none" w:sz="0" w:space="0" w:color="auto"/>
        <w:bottom w:val="none" w:sz="0" w:space="0" w:color="auto"/>
        <w:right w:val="none" w:sz="0" w:space="0" w:color="auto"/>
      </w:divBdr>
    </w:div>
    <w:div w:id="1632785777">
      <w:bodyDiv w:val="1"/>
      <w:marLeft w:val="0"/>
      <w:marRight w:val="0"/>
      <w:marTop w:val="0"/>
      <w:marBottom w:val="0"/>
      <w:divBdr>
        <w:top w:val="none" w:sz="0" w:space="0" w:color="auto"/>
        <w:left w:val="none" w:sz="0" w:space="0" w:color="auto"/>
        <w:bottom w:val="none" w:sz="0" w:space="0" w:color="auto"/>
        <w:right w:val="none" w:sz="0" w:space="0" w:color="auto"/>
      </w:divBdr>
    </w:div>
    <w:div w:id="1758597964">
      <w:bodyDiv w:val="1"/>
      <w:marLeft w:val="0"/>
      <w:marRight w:val="0"/>
      <w:marTop w:val="0"/>
      <w:marBottom w:val="0"/>
      <w:divBdr>
        <w:top w:val="none" w:sz="0" w:space="0" w:color="auto"/>
        <w:left w:val="none" w:sz="0" w:space="0" w:color="auto"/>
        <w:bottom w:val="none" w:sz="0" w:space="0" w:color="auto"/>
        <w:right w:val="none" w:sz="0" w:space="0" w:color="auto"/>
      </w:divBdr>
    </w:div>
    <w:div w:id="1865241377">
      <w:bodyDiv w:val="1"/>
      <w:marLeft w:val="0"/>
      <w:marRight w:val="0"/>
      <w:marTop w:val="0"/>
      <w:marBottom w:val="0"/>
      <w:divBdr>
        <w:top w:val="none" w:sz="0" w:space="0" w:color="auto"/>
        <w:left w:val="none" w:sz="0" w:space="0" w:color="auto"/>
        <w:bottom w:val="none" w:sz="0" w:space="0" w:color="auto"/>
        <w:right w:val="none" w:sz="0" w:space="0" w:color="auto"/>
      </w:divBdr>
    </w:div>
    <w:div w:id="1879395285">
      <w:bodyDiv w:val="1"/>
      <w:marLeft w:val="0"/>
      <w:marRight w:val="0"/>
      <w:marTop w:val="0"/>
      <w:marBottom w:val="0"/>
      <w:divBdr>
        <w:top w:val="none" w:sz="0" w:space="0" w:color="auto"/>
        <w:left w:val="none" w:sz="0" w:space="0" w:color="auto"/>
        <w:bottom w:val="none" w:sz="0" w:space="0" w:color="auto"/>
        <w:right w:val="none" w:sz="0" w:space="0" w:color="auto"/>
      </w:divBdr>
    </w:div>
    <w:div w:id="2002585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hyperlink" Target="https://questions-statements.parliament.uk/written-statements/detail/2020-12-17/hcws678" TargetMode="External"/><Relationship Id="rId17" Type="http://schemas.openxmlformats.org/officeDocument/2006/relationships/header" Target="header3.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hearman.sharefile.com/share/view/s13a21097cc041508"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eader" Target="header6.xml"/><Relationship Id="rId36" Type="http://schemas.microsoft.com/office/2016/09/relationships/commentsIds" Target="commentsIds.xml"/><Relationship Id="rId10" Type="http://schemas.openxmlformats.org/officeDocument/2006/relationships/hyperlink" Target="https://www.fca.org.uk/publication/corporate/lcf-independent-investigation-response.pdf" TargetMode="External"/><Relationship Id="rId19" Type="http://schemas.openxmlformats.org/officeDocument/2006/relationships/hyperlink" Target="https://www.gov.uk/government/uploads/system/uploads/attachment_data/file/458554/Procurement_Policy_Note_13_15.pdf" TargetMode="External"/><Relationship Id="rId4" Type="http://schemas.openxmlformats.org/officeDocument/2006/relationships/styles" Target="styles.xml"/><Relationship Id="rId9" Type="http://schemas.openxmlformats.org/officeDocument/2006/relationships/hyperlink" Target="https://assets.publishing.service.gov.uk/government/uploads/system/uploads/attachment_data/file/945247/Gloster_Report_FINAL.pdf" TargetMode="Externa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F0D038F7-2C0B-4F14-B33A-E8A59CDF1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107</Pages>
  <Words>38535</Words>
  <Characters>219654</Characters>
  <Application>Microsoft Office Word</Application>
  <DocSecurity>0</DocSecurity>
  <Lines>1830</Lines>
  <Paragraphs>515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257674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Nick Williams</cp:lastModifiedBy>
  <cp:revision>6</cp:revision>
  <cp:lastPrinted>2016-09-15T13:40:00Z</cp:lastPrinted>
  <dcterms:created xsi:type="dcterms:W3CDTF">2021-04-19T09:56:00Z</dcterms:created>
  <dcterms:modified xsi:type="dcterms:W3CDTF">2021-04-20T09:06:00Z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