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F267" w14:textId="28343568" w:rsidR="00836BFF" w:rsidRDefault="00800F8E" w:rsidP="00800F8E">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679D241A" wp14:editId="127EDEC0">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836BFF">
        <w:rPr>
          <w:noProof/>
        </w:rPr>
        <w:drawing>
          <wp:anchor distT="0" distB="0" distL="114300" distR="114300" simplePos="0" relativeHeight="251659264" behindDoc="0" locked="0" layoutInCell="1" allowOverlap="1" wp14:anchorId="3CCCBD3E" wp14:editId="75F19F75">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D28374D" w14:textId="77777777" w:rsidR="00836BFF" w:rsidRDefault="00836BFF" w:rsidP="00836BFF">
      <w:pPr>
        <w:spacing w:before="240"/>
        <w:jc w:val="center"/>
        <w:rPr>
          <w:b/>
          <w:caps/>
          <w:sz w:val="24"/>
          <w:szCs w:val="24"/>
        </w:rPr>
      </w:pPr>
    </w:p>
    <w:bookmarkEnd w:id="1"/>
    <w:p w14:paraId="0ADE75AB" w14:textId="77777777" w:rsidR="00836BFF" w:rsidRDefault="00836BFF" w:rsidP="00836BFF">
      <w:pPr>
        <w:spacing w:before="240"/>
        <w:jc w:val="center"/>
        <w:rPr>
          <w:b/>
          <w:caps/>
          <w:sz w:val="24"/>
          <w:szCs w:val="24"/>
        </w:rPr>
      </w:pPr>
    </w:p>
    <w:p w14:paraId="1354DBCB" w14:textId="77777777" w:rsidR="00836BFF" w:rsidRPr="002D0ED3" w:rsidRDefault="00836BFF" w:rsidP="00836BFF">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3980B6D7" w14:textId="77777777" w:rsidR="00836BFF" w:rsidRPr="002D0ED3" w:rsidRDefault="00836BFF" w:rsidP="00836BF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19F32382" w14:textId="77777777" w:rsidR="00836BFF" w:rsidRPr="002D0ED3" w:rsidRDefault="00836BFF" w:rsidP="00836BF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1FA5FE0E" w14:textId="77777777" w:rsidR="00836BFF" w:rsidRPr="00A33E00" w:rsidRDefault="00836BFF" w:rsidP="00836BFF">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3E103208" w14:textId="77777777" w:rsidR="00836BFF" w:rsidRPr="002D0ED3" w:rsidRDefault="00836BFF" w:rsidP="00836BF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0E5C39AC" w14:textId="77777777" w:rsidR="00836BFF" w:rsidRPr="002D0ED3" w:rsidRDefault="00836BFF" w:rsidP="00836BF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17508203" w14:textId="77777777" w:rsidR="003776D1" w:rsidRDefault="003776D1">
      <w:pPr>
        <w:pBdr>
          <w:top w:val="nil"/>
          <w:left w:val="nil"/>
          <w:bottom w:val="nil"/>
          <w:right w:val="nil"/>
          <w:between w:val="nil"/>
        </w:pBdr>
        <w:tabs>
          <w:tab w:val="left" w:pos="142"/>
        </w:tabs>
        <w:spacing w:before="120"/>
        <w:ind w:left="360" w:hanging="360"/>
        <w:jc w:val="left"/>
        <w:rPr>
          <w:rFonts w:ascii="Arial" w:eastAsia="Arial" w:hAnsi="Arial"/>
          <w:b/>
          <w:sz w:val="36"/>
          <w:szCs w:val="36"/>
        </w:rPr>
      </w:pPr>
    </w:p>
    <w:p w14:paraId="21135173" w14:textId="77777777" w:rsidR="003776D1" w:rsidRDefault="003776D1">
      <w:pPr>
        <w:overflowPunct/>
        <w:autoSpaceDE/>
        <w:autoSpaceDN/>
        <w:adjustRightInd/>
        <w:textAlignment w:val="auto"/>
        <w:rPr>
          <w:rFonts w:ascii="Arial" w:eastAsia="Arial" w:hAnsi="Arial"/>
          <w:b/>
          <w:sz w:val="36"/>
          <w:szCs w:val="36"/>
        </w:rPr>
      </w:pPr>
      <w:r>
        <w:rPr>
          <w:rFonts w:ascii="Arial" w:eastAsia="Arial" w:hAnsi="Arial"/>
          <w:b/>
          <w:sz w:val="36"/>
          <w:szCs w:val="36"/>
        </w:rPr>
        <w:br w:type="page"/>
      </w:r>
    </w:p>
    <w:p w14:paraId="00000001" w14:textId="06987028" w:rsidR="00750481" w:rsidRDefault="00626814">
      <w:pPr>
        <w:pBdr>
          <w:top w:val="nil"/>
          <w:left w:val="nil"/>
          <w:bottom w:val="nil"/>
          <w:right w:val="nil"/>
          <w:between w:val="nil"/>
        </w:pBdr>
        <w:tabs>
          <w:tab w:val="left" w:pos="142"/>
        </w:tabs>
        <w:spacing w:before="120"/>
        <w:ind w:left="360" w:hanging="360"/>
        <w:jc w:val="left"/>
        <w:rPr>
          <w:rFonts w:ascii="Arial" w:eastAsia="Arial" w:hAnsi="Arial"/>
          <w:b/>
          <w:sz w:val="36"/>
          <w:szCs w:val="36"/>
        </w:rPr>
      </w:pPr>
      <w:r>
        <w:rPr>
          <w:rFonts w:ascii="Arial" w:eastAsia="Arial" w:hAnsi="Arial"/>
          <w:b/>
          <w:sz w:val="36"/>
          <w:szCs w:val="36"/>
        </w:rPr>
        <w:lastRenderedPageBreak/>
        <w:t>Call-Off Schedule 25 (Billable Works and Projects)</w:t>
      </w:r>
    </w:p>
    <w:p w14:paraId="00000002" w14:textId="77777777" w:rsidR="00750481" w:rsidRDefault="00626814">
      <w:pPr>
        <w:numPr>
          <w:ilvl w:val="0"/>
          <w:numId w:val="1"/>
        </w:numPr>
        <w:pBdr>
          <w:top w:val="nil"/>
          <w:left w:val="nil"/>
          <w:bottom w:val="nil"/>
          <w:right w:val="nil"/>
          <w:between w:val="nil"/>
        </w:pBdr>
        <w:spacing w:before="120" w:after="120"/>
        <w:rPr>
          <w:rFonts w:ascii="Arial" w:eastAsia="Arial" w:hAnsi="Arial"/>
          <w:b/>
          <w:sz w:val="24"/>
          <w:szCs w:val="24"/>
        </w:rPr>
      </w:pPr>
      <w:r>
        <w:rPr>
          <w:rFonts w:ascii="Arial" w:eastAsia="Arial" w:hAnsi="Arial"/>
          <w:b/>
          <w:sz w:val="24"/>
          <w:szCs w:val="24"/>
        </w:rPr>
        <w:t>Introduction</w:t>
      </w:r>
    </w:p>
    <w:p w14:paraId="00000003" w14:textId="77777777" w:rsidR="00750481" w:rsidRDefault="00626814">
      <w:pPr>
        <w:numPr>
          <w:ilvl w:val="1"/>
          <w:numId w:val="1"/>
        </w:numPr>
        <w:pBdr>
          <w:top w:val="nil"/>
          <w:left w:val="nil"/>
          <w:bottom w:val="nil"/>
          <w:right w:val="nil"/>
          <w:between w:val="nil"/>
        </w:pBdr>
        <w:spacing w:before="120" w:after="120"/>
        <w:rPr>
          <w:rFonts w:ascii="Arial" w:eastAsia="Arial" w:hAnsi="Arial"/>
          <w:sz w:val="24"/>
          <w:szCs w:val="24"/>
        </w:rPr>
      </w:pPr>
      <w:r>
        <w:rPr>
          <w:rFonts w:ascii="Arial" w:eastAsia="Arial" w:hAnsi="Arial"/>
          <w:color w:val="000000"/>
          <w:sz w:val="24"/>
          <w:szCs w:val="24"/>
        </w:rPr>
        <w:t xml:space="preserve">This schedule prescribes the procedure, calculations and rates to be used by the Buyer and Supplier when assessing the Charges for </w:t>
      </w:r>
      <w:r>
        <w:rPr>
          <w:rFonts w:ascii="Arial" w:eastAsia="Arial" w:hAnsi="Arial"/>
        </w:rPr>
        <w:t xml:space="preserve"> </w:t>
      </w:r>
      <w:r>
        <w:rPr>
          <w:rFonts w:ascii="Arial" w:eastAsia="Arial" w:hAnsi="Arial"/>
          <w:color w:val="000000"/>
          <w:sz w:val="24"/>
          <w:szCs w:val="24"/>
        </w:rPr>
        <w:t>Billable Works and Projects.</w:t>
      </w:r>
    </w:p>
    <w:p w14:paraId="00000004" w14:textId="77777777" w:rsidR="00750481" w:rsidRDefault="00626814">
      <w:pPr>
        <w:numPr>
          <w:ilvl w:val="1"/>
          <w:numId w:val="1"/>
        </w:numPr>
        <w:pBdr>
          <w:top w:val="nil"/>
          <w:left w:val="nil"/>
          <w:bottom w:val="nil"/>
          <w:right w:val="nil"/>
          <w:between w:val="nil"/>
        </w:pBdr>
        <w:spacing w:before="120" w:after="120"/>
        <w:rPr>
          <w:rFonts w:ascii="Arial" w:eastAsia="Arial" w:hAnsi="Arial"/>
          <w:sz w:val="24"/>
          <w:szCs w:val="24"/>
        </w:rPr>
      </w:pPr>
      <w:r>
        <w:rPr>
          <w:rFonts w:ascii="Arial" w:eastAsia="Arial" w:hAnsi="Arial"/>
          <w:color w:val="000000"/>
          <w:sz w:val="24"/>
          <w:szCs w:val="24"/>
        </w:rPr>
        <w:t>For the avoidance of doubt, nothing in this Schedule shall give the Supplier exclusive rights over Billable Works and Projects and the Buyer shall not be required to order Billable Works or Projects from the Supplier, and shall be entitled to order Billable Works and Projects from other Suppliers.</w:t>
      </w:r>
    </w:p>
    <w:p w14:paraId="00000005" w14:textId="77777777" w:rsidR="00750481" w:rsidRDefault="00626814">
      <w:pPr>
        <w:numPr>
          <w:ilvl w:val="1"/>
          <w:numId w:val="1"/>
        </w:numPr>
        <w:pBdr>
          <w:top w:val="nil"/>
          <w:left w:val="nil"/>
          <w:bottom w:val="nil"/>
          <w:right w:val="nil"/>
          <w:between w:val="nil"/>
        </w:pBdr>
        <w:spacing w:before="120" w:after="120"/>
        <w:rPr>
          <w:rFonts w:ascii="Arial" w:eastAsia="Arial" w:hAnsi="Arial"/>
          <w:sz w:val="24"/>
          <w:szCs w:val="24"/>
        </w:rPr>
      </w:pPr>
      <w:r>
        <w:rPr>
          <w:rFonts w:ascii="Arial" w:eastAsia="Arial" w:hAnsi="Arial"/>
          <w:color w:val="000000"/>
          <w:sz w:val="24"/>
          <w:szCs w:val="24"/>
        </w:rPr>
        <w:t>The Buyer reserves the right to vary or amend this Schedule a</w:t>
      </w:r>
      <w:r>
        <w:rPr>
          <w:rFonts w:ascii="Arial" w:eastAsia="Arial" w:hAnsi="Arial"/>
          <w:sz w:val="24"/>
          <w:szCs w:val="24"/>
        </w:rPr>
        <w:t>s part of a Call Off Award Procedure</w:t>
      </w:r>
    </w:p>
    <w:p w14:paraId="00000006" w14:textId="77777777" w:rsidR="00750481" w:rsidRDefault="00626814">
      <w:pPr>
        <w:numPr>
          <w:ilvl w:val="0"/>
          <w:numId w:val="1"/>
        </w:numPr>
        <w:pBdr>
          <w:top w:val="nil"/>
          <w:left w:val="nil"/>
          <w:bottom w:val="nil"/>
          <w:right w:val="nil"/>
          <w:between w:val="nil"/>
        </w:pBdr>
        <w:spacing w:before="120" w:after="120"/>
        <w:rPr>
          <w:rFonts w:ascii="Arial" w:eastAsia="Arial" w:hAnsi="Arial"/>
          <w:b/>
          <w:sz w:val="24"/>
          <w:szCs w:val="24"/>
        </w:rPr>
      </w:pPr>
      <w:r>
        <w:rPr>
          <w:rFonts w:ascii="Arial" w:eastAsia="Arial" w:hAnsi="Arial"/>
          <w:b/>
          <w:sz w:val="24"/>
          <w:szCs w:val="24"/>
        </w:rPr>
        <w:t>Billable Works</w:t>
      </w:r>
    </w:p>
    <w:p w14:paraId="00000007" w14:textId="77777777" w:rsidR="00750481" w:rsidRDefault="00626814">
      <w:pPr>
        <w:numPr>
          <w:ilvl w:val="1"/>
          <w:numId w:val="1"/>
        </w:numPr>
        <w:pBdr>
          <w:top w:val="nil"/>
          <w:left w:val="nil"/>
          <w:bottom w:val="nil"/>
          <w:right w:val="nil"/>
          <w:between w:val="nil"/>
        </w:pBdr>
        <w:spacing w:after="0"/>
        <w:jc w:val="left"/>
        <w:rPr>
          <w:rFonts w:ascii="Arial" w:eastAsia="Arial" w:hAnsi="Arial"/>
          <w:color w:val="000000"/>
          <w:sz w:val="24"/>
          <w:szCs w:val="24"/>
        </w:rPr>
      </w:pPr>
      <w:r>
        <w:rPr>
          <w:rFonts w:ascii="Arial" w:eastAsia="Arial" w:hAnsi="Arial"/>
          <w:color w:val="222222"/>
          <w:sz w:val="24"/>
          <w:szCs w:val="24"/>
          <w:highlight w:val="white"/>
        </w:rPr>
        <w:t>The Billable Works Management Uplift Percentage shall be applied against the cost of the Billable Works.</w:t>
      </w:r>
    </w:p>
    <w:p w14:paraId="00000008" w14:textId="77777777" w:rsidR="00750481" w:rsidRDefault="00750481">
      <w:pPr>
        <w:pBdr>
          <w:top w:val="nil"/>
          <w:left w:val="nil"/>
          <w:bottom w:val="nil"/>
          <w:right w:val="nil"/>
          <w:between w:val="nil"/>
        </w:pBdr>
        <w:spacing w:after="0"/>
        <w:ind w:left="1080"/>
        <w:jc w:val="left"/>
        <w:rPr>
          <w:rFonts w:ascii="Arial" w:eastAsia="Arial" w:hAnsi="Arial"/>
          <w:color w:val="222222"/>
          <w:sz w:val="24"/>
          <w:szCs w:val="24"/>
          <w:highlight w:val="white"/>
        </w:rPr>
      </w:pPr>
    </w:p>
    <w:p w14:paraId="00000009" w14:textId="77777777" w:rsidR="00750481" w:rsidRDefault="00626814">
      <w:pPr>
        <w:numPr>
          <w:ilvl w:val="1"/>
          <w:numId w:val="1"/>
        </w:numPr>
        <w:pBdr>
          <w:top w:val="nil"/>
          <w:left w:val="nil"/>
          <w:bottom w:val="nil"/>
          <w:right w:val="nil"/>
          <w:between w:val="nil"/>
        </w:pBdr>
        <w:spacing w:after="0"/>
        <w:jc w:val="left"/>
        <w:rPr>
          <w:rFonts w:ascii="Arial" w:eastAsia="Arial" w:hAnsi="Arial"/>
          <w:color w:val="000000"/>
          <w:sz w:val="24"/>
          <w:szCs w:val="24"/>
        </w:rPr>
      </w:pPr>
      <w:r>
        <w:rPr>
          <w:rFonts w:ascii="Arial" w:eastAsia="Arial" w:hAnsi="Arial"/>
          <w:color w:val="222222"/>
          <w:sz w:val="24"/>
          <w:szCs w:val="24"/>
          <w:highlight w:val="white"/>
        </w:rPr>
        <w:t>The Billable Works Management Uplift Percentage shall include the costs of:</w:t>
      </w:r>
    </w:p>
    <w:p w14:paraId="0000000A" w14:textId="77777777" w:rsidR="00750481" w:rsidRDefault="00750481">
      <w:pPr>
        <w:pBdr>
          <w:top w:val="nil"/>
          <w:left w:val="nil"/>
          <w:bottom w:val="nil"/>
          <w:right w:val="nil"/>
          <w:between w:val="nil"/>
        </w:pBdr>
        <w:spacing w:after="0"/>
        <w:ind w:left="720"/>
        <w:rPr>
          <w:rFonts w:ascii="Arial" w:eastAsia="Arial" w:hAnsi="Arial"/>
          <w:color w:val="222222"/>
          <w:sz w:val="24"/>
          <w:szCs w:val="24"/>
        </w:rPr>
      </w:pPr>
    </w:p>
    <w:p w14:paraId="0000000B" w14:textId="77777777" w:rsidR="00750481" w:rsidRDefault="00626814">
      <w:pPr>
        <w:numPr>
          <w:ilvl w:val="2"/>
          <w:numId w:val="1"/>
        </w:numPr>
        <w:pBdr>
          <w:top w:val="nil"/>
          <w:left w:val="nil"/>
          <w:bottom w:val="nil"/>
          <w:right w:val="nil"/>
          <w:between w:val="nil"/>
        </w:pBdr>
        <w:spacing w:after="200"/>
        <w:jc w:val="left"/>
        <w:rPr>
          <w:rFonts w:ascii="Arial" w:eastAsia="Arial" w:hAnsi="Arial"/>
          <w:sz w:val="24"/>
          <w:szCs w:val="24"/>
        </w:rPr>
      </w:pPr>
      <w:bookmarkStart w:id="3" w:name="_heading=h.2et92p0" w:colFirst="0" w:colLast="0"/>
      <w:bookmarkEnd w:id="3"/>
      <w:r>
        <w:rPr>
          <w:rFonts w:ascii="Arial" w:eastAsia="Arial" w:hAnsi="Arial"/>
          <w:color w:val="222222"/>
          <w:sz w:val="24"/>
          <w:szCs w:val="24"/>
          <w:highlight w:val="white"/>
        </w:rPr>
        <w:t>processing and managing the quotation/tenders within each tier as per the Buyers process;</w:t>
      </w:r>
    </w:p>
    <w:p w14:paraId="0000000C" w14:textId="77777777" w:rsidR="00750481" w:rsidRDefault="00626814">
      <w:pPr>
        <w:numPr>
          <w:ilvl w:val="2"/>
          <w:numId w:val="1"/>
        </w:numPr>
        <w:pBdr>
          <w:top w:val="nil"/>
          <w:left w:val="nil"/>
          <w:bottom w:val="nil"/>
          <w:right w:val="nil"/>
          <w:between w:val="nil"/>
        </w:pBdr>
        <w:spacing w:after="200"/>
        <w:jc w:val="left"/>
        <w:rPr>
          <w:rFonts w:ascii="Arial" w:eastAsia="Arial" w:hAnsi="Arial"/>
          <w:sz w:val="24"/>
          <w:szCs w:val="24"/>
        </w:rPr>
      </w:pPr>
      <w:r>
        <w:rPr>
          <w:rFonts w:ascii="Arial" w:eastAsia="Arial" w:hAnsi="Arial"/>
          <w:color w:val="222222"/>
          <w:sz w:val="24"/>
          <w:szCs w:val="24"/>
          <w:highlight w:val="white"/>
        </w:rPr>
        <w:t>management of works;</w:t>
      </w:r>
    </w:p>
    <w:p w14:paraId="0000000D" w14:textId="77777777" w:rsidR="00750481" w:rsidRDefault="00626814">
      <w:pPr>
        <w:numPr>
          <w:ilvl w:val="2"/>
          <w:numId w:val="1"/>
        </w:numPr>
        <w:pBdr>
          <w:top w:val="nil"/>
          <w:left w:val="nil"/>
          <w:bottom w:val="nil"/>
          <w:right w:val="nil"/>
          <w:between w:val="nil"/>
        </w:pBdr>
        <w:spacing w:after="200"/>
        <w:jc w:val="left"/>
        <w:rPr>
          <w:rFonts w:ascii="Arial" w:eastAsia="Arial" w:hAnsi="Arial"/>
          <w:sz w:val="24"/>
          <w:szCs w:val="24"/>
        </w:rPr>
      </w:pPr>
      <w:bookmarkStart w:id="4" w:name="_heading=h.gjdgxs" w:colFirst="0" w:colLast="0"/>
      <w:bookmarkEnd w:id="4"/>
      <w:r>
        <w:rPr>
          <w:rFonts w:ascii="Arial" w:eastAsia="Arial" w:hAnsi="Arial"/>
          <w:color w:val="222222"/>
          <w:sz w:val="24"/>
          <w:szCs w:val="24"/>
          <w:highlight w:val="white"/>
        </w:rPr>
        <w:t>management of subcontractors</w:t>
      </w:r>
      <w:r>
        <w:rPr>
          <w:rFonts w:ascii="Arial" w:eastAsia="Arial" w:hAnsi="Arial"/>
          <w:color w:val="222222"/>
          <w:sz w:val="24"/>
          <w:szCs w:val="24"/>
        </w:rPr>
        <w:t xml:space="preserve"> (where applicable); and</w:t>
      </w:r>
    </w:p>
    <w:p w14:paraId="0000000E" w14:textId="77777777" w:rsidR="00750481" w:rsidRDefault="00626814">
      <w:pPr>
        <w:numPr>
          <w:ilvl w:val="2"/>
          <w:numId w:val="1"/>
        </w:numPr>
        <w:pBdr>
          <w:top w:val="nil"/>
          <w:left w:val="nil"/>
          <w:bottom w:val="nil"/>
          <w:right w:val="nil"/>
          <w:between w:val="nil"/>
        </w:pBdr>
        <w:spacing w:after="200"/>
        <w:jc w:val="left"/>
        <w:rPr>
          <w:rFonts w:ascii="Arial" w:eastAsia="Arial" w:hAnsi="Arial"/>
          <w:sz w:val="24"/>
          <w:szCs w:val="24"/>
        </w:rPr>
      </w:pPr>
      <w:bookmarkStart w:id="5" w:name="_heading=h.3dy6vkm" w:colFirst="0" w:colLast="0"/>
      <w:bookmarkEnd w:id="5"/>
      <w:r>
        <w:rPr>
          <w:rFonts w:ascii="Arial" w:eastAsia="Arial" w:hAnsi="Arial"/>
          <w:color w:val="222222"/>
          <w:sz w:val="24"/>
          <w:szCs w:val="24"/>
        </w:rPr>
        <w:t xml:space="preserve">day to day administration. </w:t>
      </w:r>
    </w:p>
    <w:p w14:paraId="0000000F" w14:textId="77777777" w:rsidR="00750481" w:rsidRDefault="00750481">
      <w:pPr>
        <w:pBdr>
          <w:top w:val="nil"/>
          <w:left w:val="nil"/>
          <w:bottom w:val="nil"/>
          <w:right w:val="nil"/>
          <w:between w:val="nil"/>
        </w:pBdr>
        <w:spacing w:after="0"/>
        <w:ind w:left="1656"/>
        <w:jc w:val="left"/>
        <w:rPr>
          <w:rFonts w:ascii="Arial" w:eastAsia="Arial" w:hAnsi="Arial"/>
          <w:sz w:val="24"/>
          <w:szCs w:val="24"/>
        </w:rPr>
      </w:pPr>
    </w:p>
    <w:p w14:paraId="00000010" w14:textId="77777777" w:rsidR="00750481" w:rsidRDefault="00626814">
      <w:pPr>
        <w:numPr>
          <w:ilvl w:val="1"/>
          <w:numId w:val="1"/>
        </w:numPr>
        <w:pBdr>
          <w:top w:val="nil"/>
          <w:left w:val="nil"/>
          <w:bottom w:val="nil"/>
          <w:right w:val="nil"/>
          <w:between w:val="nil"/>
        </w:pBdr>
        <w:spacing w:after="0"/>
        <w:jc w:val="left"/>
        <w:rPr>
          <w:rFonts w:ascii="Arial" w:eastAsia="Arial" w:hAnsi="Arial"/>
          <w:sz w:val="24"/>
          <w:szCs w:val="24"/>
        </w:rPr>
      </w:pPr>
      <w:r>
        <w:rPr>
          <w:rFonts w:ascii="Arial" w:eastAsia="Arial" w:hAnsi="Arial"/>
          <w:color w:val="222222"/>
          <w:sz w:val="24"/>
          <w:szCs w:val="24"/>
        </w:rPr>
        <w:t>The Billable Works Management Uplift Percentage shall exclude any service delivery costs which are expected to be included in the pricing of the works.</w:t>
      </w:r>
    </w:p>
    <w:p w14:paraId="00000011" w14:textId="77777777" w:rsidR="00750481" w:rsidRDefault="00626814">
      <w:pPr>
        <w:numPr>
          <w:ilvl w:val="1"/>
          <w:numId w:val="1"/>
        </w:numPr>
        <w:pBdr>
          <w:top w:val="nil"/>
          <w:left w:val="nil"/>
          <w:bottom w:val="nil"/>
          <w:right w:val="nil"/>
          <w:between w:val="nil"/>
        </w:pBdr>
        <w:spacing w:before="120" w:after="120"/>
        <w:rPr>
          <w:rFonts w:ascii="Arial" w:eastAsia="Arial" w:hAnsi="Arial"/>
          <w:sz w:val="24"/>
          <w:szCs w:val="24"/>
        </w:rPr>
      </w:pPr>
      <w:r>
        <w:rPr>
          <w:rFonts w:ascii="Arial" w:eastAsia="Arial" w:hAnsi="Arial"/>
          <w:color w:val="000000"/>
          <w:sz w:val="24"/>
          <w:szCs w:val="24"/>
        </w:rPr>
        <w:t>All Billable Works shall be authorised in accordance with the Billable Works and Approvals Process.  The Buyer may at its discretion require Billable Works to be:</w:t>
      </w:r>
    </w:p>
    <w:p w14:paraId="00000012"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color w:val="000000"/>
          <w:sz w:val="24"/>
          <w:szCs w:val="24"/>
        </w:rPr>
        <w:t>managed and executed by the Supplier;</w:t>
      </w:r>
    </w:p>
    <w:p w14:paraId="00000013"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color w:val="000000"/>
          <w:sz w:val="24"/>
          <w:szCs w:val="24"/>
        </w:rPr>
        <w:t xml:space="preserve">managed by a third party nominated by the Buyer and executed by the Supplier; </w:t>
      </w:r>
    </w:p>
    <w:p w14:paraId="00000014"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color w:val="000000"/>
          <w:sz w:val="24"/>
          <w:szCs w:val="24"/>
        </w:rPr>
        <w:t>managed by the Supplier and executed by any third party nominated by the Buyer.</w:t>
      </w:r>
    </w:p>
    <w:p w14:paraId="00000015" w14:textId="77777777" w:rsidR="00750481" w:rsidRDefault="00626814">
      <w:pPr>
        <w:numPr>
          <w:ilvl w:val="1"/>
          <w:numId w:val="1"/>
        </w:numPr>
        <w:pBdr>
          <w:top w:val="nil"/>
          <w:left w:val="nil"/>
          <w:bottom w:val="nil"/>
          <w:right w:val="nil"/>
          <w:between w:val="nil"/>
        </w:pBdr>
        <w:spacing w:before="120" w:after="120"/>
        <w:rPr>
          <w:rFonts w:ascii="Arial" w:eastAsia="Arial" w:hAnsi="Arial"/>
          <w:sz w:val="24"/>
          <w:szCs w:val="24"/>
        </w:rPr>
      </w:pPr>
      <w:bookmarkStart w:id="6" w:name="_heading=h.1t3h5sf" w:colFirst="0" w:colLast="0"/>
      <w:bookmarkEnd w:id="6"/>
      <w:r>
        <w:rPr>
          <w:rFonts w:ascii="Arial" w:eastAsia="Arial" w:hAnsi="Arial"/>
          <w:color w:val="000000"/>
          <w:sz w:val="24"/>
          <w:szCs w:val="24"/>
        </w:rPr>
        <w:t>Any estimate/quotation for Billable Works shall breakdown the costs in the categories below:</w:t>
      </w:r>
    </w:p>
    <w:p w14:paraId="00000016"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color w:val="000000"/>
          <w:sz w:val="24"/>
          <w:szCs w:val="24"/>
        </w:rPr>
        <w:t>labour;</w:t>
      </w:r>
    </w:p>
    <w:p w14:paraId="00000017"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color w:val="000000"/>
          <w:sz w:val="24"/>
          <w:szCs w:val="24"/>
        </w:rPr>
        <w:t>parts;</w:t>
      </w:r>
    </w:p>
    <w:p w14:paraId="00000018"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color w:val="000000"/>
          <w:sz w:val="24"/>
          <w:szCs w:val="24"/>
        </w:rPr>
        <w:lastRenderedPageBreak/>
        <w:t xml:space="preserve">replacement Assets; </w:t>
      </w:r>
    </w:p>
    <w:p w14:paraId="00000019"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 xml:space="preserve">materials; </w:t>
      </w:r>
    </w:p>
    <w:p w14:paraId="0000001A"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 xml:space="preserve">such other applicable cost categories as the Buyer may notify to the Supplier from time to time. </w:t>
      </w:r>
    </w:p>
    <w:p w14:paraId="0000001B" w14:textId="77777777" w:rsidR="00750481" w:rsidRDefault="00626814">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relevant Billable Works Management Uplift Percentage (which includes Overhead); and</w:t>
      </w:r>
    </w:p>
    <w:p w14:paraId="0000001C"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color w:val="000000"/>
          <w:sz w:val="24"/>
          <w:szCs w:val="24"/>
        </w:rPr>
        <w:t xml:space="preserve">profit; </w:t>
      </w:r>
    </w:p>
    <w:p w14:paraId="0000001D" w14:textId="77777777" w:rsidR="00750481" w:rsidRDefault="00750481">
      <w:pPr>
        <w:pBdr>
          <w:top w:val="nil"/>
          <w:left w:val="nil"/>
          <w:bottom w:val="nil"/>
          <w:right w:val="nil"/>
          <w:between w:val="nil"/>
        </w:pBdr>
        <w:tabs>
          <w:tab w:val="left" w:pos="1985"/>
          <w:tab w:val="left" w:pos="2127"/>
        </w:tabs>
        <w:spacing w:before="120" w:after="120"/>
        <w:rPr>
          <w:rFonts w:ascii="Arial" w:eastAsia="Arial" w:hAnsi="Arial"/>
          <w:sz w:val="24"/>
          <w:szCs w:val="24"/>
        </w:rPr>
      </w:pPr>
    </w:p>
    <w:p w14:paraId="0000001E" w14:textId="77777777" w:rsidR="00750481" w:rsidRDefault="00626814">
      <w:pPr>
        <w:numPr>
          <w:ilvl w:val="1"/>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color w:val="000000"/>
          <w:sz w:val="24"/>
          <w:szCs w:val="24"/>
        </w:rPr>
        <w:t>Where Billable Works are delivered directly via the Supplier’s appointed Sub</w:t>
      </w:r>
      <w:r>
        <w:rPr>
          <w:rFonts w:ascii="Arial" w:eastAsia="Arial" w:hAnsi="Arial"/>
          <w:sz w:val="24"/>
          <w:szCs w:val="24"/>
        </w:rPr>
        <w:t>c</w:t>
      </w:r>
      <w:r>
        <w:rPr>
          <w:rFonts w:ascii="Arial" w:eastAsia="Arial" w:hAnsi="Arial"/>
          <w:color w:val="000000"/>
          <w:sz w:val="24"/>
          <w:szCs w:val="24"/>
        </w:rPr>
        <w:t>ontractor the estimate/quotation shall breakdown the cost categories as per 2.5.1 – 2.5.7 and shall also include:</w:t>
      </w:r>
    </w:p>
    <w:p w14:paraId="0000001F"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Subcontractor name</w:t>
      </w:r>
    </w:p>
    <w:p w14:paraId="00000020"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Subcontractor total cost (including Subcontractors profit and overhead)</w:t>
      </w:r>
    </w:p>
    <w:p w14:paraId="00000021" w14:textId="77777777" w:rsidR="00750481" w:rsidRDefault="00626814">
      <w:pPr>
        <w:numPr>
          <w:ilvl w:val="1"/>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sz w:val="24"/>
          <w:szCs w:val="24"/>
        </w:rPr>
        <w:t>The application of the Billable Works Management Uplift Percentage and Profit percentages shall be as follows:</w:t>
      </w:r>
    </w:p>
    <w:p w14:paraId="00000022"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sz w:val="24"/>
          <w:szCs w:val="24"/>
        </w:rPr>
        <w:t>Calculate sum total of costs defined in paragraph 2.5.1 – 2.5.5</w:t>
      </w:r>
    </w:p>
    <w:p w14:paraId="00000023"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sz w:val="24"/>
          <w:szCs w:val="24"/>
        </w:rPr>
        <w:t xml:space="preserve">Apply Billable Works Management Uplift Percentage as per 2.5.6 </w:t>
      </w:r>
    </w:p>
    <w:p w14:paraId="00000024"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4"/>
          <w:szCs w:val="24"/>
        </w:rPr>
      </w:pPr>
      <w:r>
        <w:rPr>
          <w:rFonts w:ascii="Arial" w:eastAsia="Arial" w:hAnsi="Arial"/>
          <w:sz w:val="24"/>
          <w:szCs w:val="24"/>
        </w:rPr>
        <w:t xml:space="preserve">Apply profit as per 2.5.7 </w:t>
      </w:r>
    </w:p>
    <w:p w14:paraId="00000025" w14:textId="77777777" w:rsidR="00750481" w:rsidRDefault="00750481">
      <w:pPr>
        <w:spacing w:before="120" w:after="120"/>
        <w:rPr>
          <w:rFonts w:ascii="Arial" w:eastAsia="Arial" w:hAnsi="Arial"/>
          <w:sz w:val="24"/>
          <w:szCs w:val="24"/>
        </w:rPr>
      </w:pPr>
    </w:p>
    <w:p w14:paraId="00000026" w14:textId="77777777" w:rsidR="00750481" w:rsidRDefault="00626814">
      <w:pPr>
        <w:numPr>
          <w:ilvl w:val="0"/>
          <w:numId w:val="1"/>
        </w:numPr>
        <w:spacing w:before="120" w:after="120"/>
        <w:rPr>
          <w:rFonts w:ascii="Arial" w:eastAsia="Arial" w:hAnsi="Arial"/>
          <w:color w:val="000000"/>
          <w:sz w:val="24"/>
          <w:szCs w:val="24"/>
        </w:rPr>
      </w:pPr>
      <w:bookmarkStart w:id="7" w:name="_heading=h.3znysh7" w:colFirst="0" w:colLast="0"/>
      <w:bookmarkEnd w:id="7"/>
      <w:r>
        <w:rPr>
          <w:rFonts w:ascii="Arial" w:eastAsia="Arial" w:hAnsi="Arial"/>
          <w:b/>
          <w:color w:val="000000"/>
          <w:sz w:val="24"/>
          <w:szCs w:val="24"/>
        </w:rPr>
        <w:t>Quotations and Tenders for Billable Works</w:t>
      </w:r>
    </w:p>
    <w:p w14:paraId="00000027" w14:textId="77777777" w:rsidR="00750481" w:rsidRDefault="00626814">
      <w:pPr>
        <w:numPr>
          <w:ilvl w:val="1"/>
          <w:numId w:val="1"/>
        </w:numPr>
        <w:pBdr>
          <w:top w:val="nil"/>
          <w:left w:val="nil"/>
          <w:bottom w:val="nil"/>
          <w:right w:val="nil"/>
          <w:between w:val="nil"/>
        </w:pBdr>
        <w:tabs>
          <w:tab w:val="left" w:pos="1985"/>
          <w:tab w:val="left" w:pos="2127"/>
        </w:tabs>
        <w:spacing w:before="120" w:after="120"/>
        <w:rPr>
          <w:rFonts w:ascii="Arial" w:eastAsia="Arial" w:hAnsi="Arial"/>
        </w:rPr>
      </w:pPr>
      <w:bookmarkStart w:id="8" w:name="_heading=h.30j0zll" w:colFirst="0" w:colLast="0"/>
      <w:bookmarkEnd w:id="8"/>
      <w:r>
        <w:rPr>
          <w:rFonts w:ascii="Arial" w:eastAsia="Arial" w:hAnsi="Arial"/>
          <w:color w:val="000000"/>
          <w:sz w:val="24"/>
          <w:szCs w:val="24"/>
        </w:rPr>
        <w:t xml:space="preserve">Where the Buyer gives instructions to the Supplier to manage and/or execute Billable Works according to </w:t>
      </w:r>
      <w:r>
        <w:rPr>
          <w:rFonts w:ascii="Arial" w:eastAsia="Arial" w:hAnsi="Arial"/>
          <w:sz w:val="24"/>
          <w:szCs w:val="24"/>
        </w:rPr>
        <w:t>the estimated value range</w:t>
      </w:r>
      <w:r>
        <w:rPr>
          <w:rFonts w:ascii="Arial" w:eastAsia="Arial" w:hAnsi="Arial"/>
          <w:color w:val="000000"/>
          <w:sz w:val="24"/>
          <w:szCs w:val="24"/>
        </w:rPr>
        <w:t xml:space="preserve">s, unless otherwise stated at Call Off </w:t>
      </w:r>
      <w:r>
        <w:rPr>
          <w:rFonts w:ascii="Arial" w:eastAsia="Arial" w:hAnsi="Arial"/>
          <w:sz w:val="24"/>
          <w:szCs w:val="24"/>
        </w:rPr>
        <w:t>within the Order Form.</w:t>
      </w:r>
    </w:p>
    <w:p w14:paraId="00000028"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sz w:val="24"/>
          <w:szCs w:val="24"/>
        </w:rPr>
        <w:t>Tier</w:t>
      </w:r>
      <w:r>
        <w:rPr>
          <w:rFonts w:ascii="Arial" w:eastAsia="Arial" w:hAnsi="Arial"/>
          <w:color w:val="000000"/>
          <w:sz w:val="24"/>
          <w:szCs w:val="24"/>
        </w:rPr>
        <w:t xml:space="preserve"> One Billable Works shall be managed and executed by the Supplier. Where the Billable Works are to be delivered directly by the Supplier, the Supplier shall provide an estimate of costs in accordance with the rates set out in Call Off Schedule 5 (Pricing Details) or other schedule of rates as requested by the Buyer at Call Off. Where Works are to be undertaken by other Supplier appointed third parties, the Supplier shall provide at least [one] written quotation. The Supplier shall not commence any Tier One Billable Works until approval has been granted by the Buyer to proceed to completion. </w:t>
      </w:r>
    </w:p>
    <w:p w14:paraId="00000029"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 xml:space="preserve">Tier Two Billable Works shall be managed and/or executed by the Supplier. Where instructed by the Buyer, the Supplier shall obtain at least [three] written quotations. The Supplier shall not commence any Tier Two Billable Works until approval has been granted by the Buyer to proceed to completion. </w:t>
      </w:r>
    </w:p>
    <w:p w14:paraId="0000002A"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 xml:space="preserve">Tier Three Billable Works shall be managed and/or executed by the Supplier.  Where instructed by the Buyer, the Supplier shall obtain at least [three] formal tenders under the defined procurement process as </w:t>
      </w:r>
      <w:r>
        <w:rPr>
          <w:rFonts w:ascii="Arial" w:eastAsia="Arial" w:hAnsi="Arial"/>
          <w:color w:val="000000"/>
          <w:sz w:val="24"/>
          <w:szCs w:val="24"/>
        </w:rPr>
        <w:lastRenderedPageBreak/>
        <w:t xml:space="preserve">agreed between the Supplier and the Buyer from time to time. The Supplier shall not commence any Tier Three Billable Works until approval has been granted by the Buyer to proceed to completion. </w:t>
      </w:r>
    </w:p>
    <w:p w14:paraId="0000002B"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 xml:space="preserve">Tier Four Billable Works shall be managed and/or executed by the Supplier. Where instructed by the Buyer, the Supplier shall obtain at least [five] formal tenders under the Supplier’s defined procurement process. The Supplier shall not commence any Tier Four Billable Works until approval has been granted by the Buyer to proceed to completion.   </w:t>
      </w:r>
    </w:p>
    <w:p w14:paraId="0000002C"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color w:val="000000"/>
        </w:rPr>
      </w:pPr>
      <w:r>
        <w:rPr>
          <w:rFonts w:ascii="Arial" w:eastAsia="Arial" w:hAnsi="Arial"/>
          <w:color w:val="000000"/>
          <w:sz w:val="24"/>
          <w:szCs w:val="24"/>
        </w:rPr>
        <w:t xml:space="preserve">Where the Buyer allows the Supplier to both manage the tender process and tender for the Billable Works, the Supplier shall ensure appropriate Ethical </w:t>
      </w:r>
      <w:r>
        <w:rPr>
          <w:rFonts w:ascii="Arial" w:eastAsia="Arial" w:hAnsi="Arial"/>
          <w:sz w:val="24"/>
          <w:szCs w:val="24"/>
        </w:rPr>
        <w:t>W</w:t>
      </w:r>
      <w:r>
        <w:rPr>
          <w:rFonts w:ascii="Arial" w:eastAsia="Arial" w:hAnsi="Arial"/>
          <w:color w:val="000000"/>
          <w:sz w:val="24"/>
          <w:szCs w:val="24"/>
        </w:rPr>
        <w:t>all arrangements are in place to prevent conflicts of interest and that the Public Contract Regulations (2015) are adhered to.</w:t>
      </w:r>
    </w:p>
    <w:p w14:paraId="0000002D"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sz w:val="28"/>
          <w:szCs w:val="28"/>
        </w:rPr>
      </w:pPr>
      <w:r>
        <w:rPr>
          <w:rFonts w:ascii="Arial" w:eastAsia="Arial" w:hAnsi="Arial"/>
          <w:color w:val="202124"/>
          <w:sz w:val="24"/>
          <w:szCs w:val="24"/>
          <w:highlight w:val="white"/>
        </w:rPr>
        <w:t>The terms and conditions for Billable Works will be as per those in the PSC unless otherwise specified by the Buyer under their defined procurement process.</w:t>
      </w:r>
    </w:p>
    <w:p w14:paraId="0000002E" w14:textId="77777777" w:rsidR="00750481" w:rsidRDefault="00626814">
      <w:pPr>
        <w:numPr>
          <w:ilvl w:val="1"/>
          <w:numId w:val="1"/>
        </w:numPr>
        <w:pBdr>
          <w:top w:val="nil"/>
          <w:left w:val="nil"/>
          <w:bottom w:val="nil"/>
          <w:right w:val="nil"/>
          <w:between w:val="nil"/>
        </w:pBdr>
        <w:spacing w:before="120" w:after="120"/>
        <w:rPr>
          <w:rFonts w:ascii="Arial" w:eastAsia="Arial" w:hAnsi="Arial"/>
        </w:rPr>
      </w:pPr>
      <w:r>
        <w:rPr>
          <w:rFonts w:ascii="Arial" w:eastAsia="Arial" w:hAnsi="Arial"/>
          <w:color w:val="000000"/>
          <w:sz w:val="24"/>
          <w:szCs w:val="24"/>
        </w:rPr>
        <w:t>The Supplier shall seek prior written approval from the Buyer prior to proceeding to provide any Billable Works with the exception of:</w:t>
      </w:r>
    </w:p>
    <w:p w14:paraId="0000002F"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Billable Works up to the value specified in the Order Form (Billable</w:t>
      </w:r>
      <w:r>
        <w:rPr>
          <w:rFonts w:ascii="Arial" w:eastAsia="Arial" w:hAnsi="Arial"/>
          <w:sz w:val="24"/>
          <w:szCs w:val="24"/>
        </w:rPr>
        <w:t xml:space="preserve"> Works not requiring approval)</w:t>
      </w:r>
      <w:r>
        <w:rPr>
          <w:rFonts w:ascii="Arial" w:eastAsia="Arial" w:hAnsi="Arial"/>
          <w:color w:val="000000"/>
          <w:sz w:val="24"/>
          <w:szCs w:val="24"/>
        </w:rPr>
        <w:t>; or</w:t>
      </w:r>
    </w:p>
    <w:p w14:paraId="00000030"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Billable Works required as a consequence of a Business Critical Event,</w:t>
      </w:r>
    </w:p>
    <w:p w14:paraId="00000031" w14:textId="77777777" w:rsidR="00750481" w:rsidRDefault="00626814">
      <w:pPr>
        <w:pBdr>
          <w:top w:val="nil"/>
          <w:left w:val="nil"/>
          <w:bottom w:val="nil"/>
          <w:right w:val="nil"/>
          <w:between w:val="nil"/>
        </w:pBdr>
        <w:spacing w:before="120" w:after="120"/>
        <w:ind w:left="1656"/>
        <w:rPr>
          <w:rFonts w:ascii="Arial" w:eastAsia="Arial" w:hAnsi="Arial"/>
          <w:color w:val="000000"/>
          <w:sz w:val="24"/>
          <w:szCs w:val="24"/>
        </w:rPr>
      </w:pPr>
      <w:r>
        <w:rPr>
          <w:rFonts w:ascii="Arial" w:eastAsia="Arial" w:hAnsi="Arial"/>
          <w:color w:val="000000"/>
          <w:sz w:val="24"/>
          <w:szCs w:val="24"/>
        </w:rPr>
        <w:t>and the Buyer shall not unreasonably withhold approval to the costs associated with such Billable Works; however the Supplier shall retrospectively commence the relevant approval process set out in paragraph 3.1 by the next Working Day and complete such process as soon as reasonably practicable.</w:t>
      </w:r>
    </w:p>
    <w:p w14:paraId="00000032" w14:textId="77777777" w:rsidR="00750481" w:rsidRDefault="00626814">
      <w:pPr>
        <w:numPr>
          <w:ilvl w:val="1"/>
          <w:numId w:val="1"/>
        </w:numPr>
        <w:pBdr>
          <w:top w:val="nil"/>
          <w:left w:val="nil"/>
          <w:bottom w:val="nil"/>
          <w:right w:val="nil"/>
          <w:between w:val="nil"/>
        </w:pBdr>
        <w:spacing w:before="120" w:after="120"/>
        <w:rPr>
          <w:rFonts w:ascii="Arial" w:eastAsia="Arial" w:hAnsi="Arial"/>
        </w:rPr>
      </w:pPr>
      <w:r>
        <w:rPr>
          <w:rFonts w:ascii="Arial" w:eastAsia="Arial" w:hAnsi="Arial"/>
          <w:color w:val="000000"/>
          <w:sz w:val="24"/>
          <w:szCs w:val="24"/>
        </w:rPr>
        <w:t>Where Billable Works arise as a result of any:</w:t>
      </w:r>
    </w:p>
    <w:p w14:paraId="00000033"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Reactive Maintenance Works where the costs exceed the Inclusive Repair Threshold;</w:t>
      </w:r>
    </w:p>
    <w:p w14:paraId="00000034"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 xml:space="preserve">Works that are Small Works; or </w:t>
      </w:r>
    </w:p>
    <w:p w14:paraId="00000035"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 xml:space="preserve">Works arising from Planned Maintenance </w:t>
      </w:r>
    </w:p>
    <w:p w14:paraId="00000036" w14:textId="77777777" w:rsidR="00750481" w:rsidRDefault="00626814">
      <w:pPr>
        <w:pBdr>
          <w:top w:val="nil"/>
          <w:left w:val="nil"/>
          <w:bottom w:val="nil"/>
          <w:right w:val="nil"/>
          <w:between w:val="nil"/>
        </w:pBdr>
        <w:spacing w:before="120" w:after="120"/>
        <w:ind w:left="1080"/>
        <w:rPr>
          <w:rFonts w:ascii="Arial" w:eastAsia="Arial" w:hAnsi="Arial"/>
          <w:color w:val="000000"/>
          <w:sz w:val="24"/>
          <w:szCs w:val="24"/>
        </w:rPr>
      </w:pPr>
      <w:r>
        <w:rPr>
          <w:rFonts w:ascii="Arial" w:eastAsia="Arial" w:hAnsi="Arial"/>
          <w:color w:val="000000"/>
          <w:sz w:val="24"/>
          <w:szCs w:val="24"/>
        </w:rPr>
        <w:t xml:space="preserve">the Billable Works shall not proceed until an instruction is received from the Buyer in writing or via the CAFM System. </w:t>
      </w:r>
    </w:p>
    <w:p w14:paraId="00000037" w14:textId="77777777" w:rsidR="00750481" w:rsidRDefault="00626814">
      <w:pPr>
        <w:numPr>
          <w:ilvl w:val="1"/>
          <w:numId w:val="1"/>
        </w:numPr>
        <w:pBdr>
          <w:top w:val="nil"/>
          <w:left w:val="nil"/>
          <w:bottom w:val="nil"/>
          <w:right w:val="nil"/>
          <w:between w:val="nil"/>
        </w:pBdr>
        <w:tabs>
          <w:tab w:val="left" w:pos="1985"/>
          <w:tab w:val="left" w:pos="2127"/>
        </w:tabs>
        <w:spacing w:before="120" w:after="120"/>
        <w:rPr>
          <w:rFonts w:ascii="Arial" w:eastAsia="Arial" w:hAnsi="Arial"/>
          <w:color w:val="000000"/>
        </w:rPr>
      </w:pPr>
      <w:r>
        <w:rPr>
          <w:rFonts w:ascii="Arial" w:eastAsia="Arial" w:hAnsi="Arial"/>
          <w:color w:val="000000"/>
          <w:sz w:val="24"/>
          <w:szCs w:val="24"/>
        </w:rPr>
        <w:t>Quotations for Billable Works may include the Billable Works Management Uplift Percentage (if applicable) as per the rates submitted in the Pricing Matrix.</w:t>
      </w:r>
    </w:p>
    <w:p w14:paraId="00000038" w14:textId="77777777" w:rsidR="00750481" w:rsidRDefault="00626814">
      <w:pPr>
        <w:numPr>
          <w:ilvl w:val="1"/>
          <w:numId w:val="1"/>
        </w:numPr>
        <w:spacing w:before="120" w:after="120"/>
        <w:rPr>
          <w:rFonts w:ascii="Arial" w:eastAsia="Arial" w:hAnsi="Arial"/>
        </w:rPr>
      </w:pPr>
      <w:r>
        <w:rPr>
          <w:rFonts w:ascii="Arial" w:eastAsia="Arial" w:hAnsi="Arial"/>
          <w:sz w:val="24"/>
          <w:szCs w:val="24"/>
        </w:rPr>
        <w:t xml:space="preserve">If Billable Works are aborted by the Buyer prior to completion, any claim for costs up to the point of it being aborted shall be limited to costs actually, reasonably and properly incurred and they shall be evidenced as part of any quote for the Buyer to consider. </w:t>
      </w:r>
    </w:p>
    <w:p w14:paraId="00000039" w14:textId="77777777" w:rsidR="00750481" w:rsidRDefault="00626814">
      <w:pPr>
        <w:numPr>
          <w:ilvl w:val="2"/>
          <w:numId w:val="1"/>
        </w:numPr>
        <w:tabs>
          <w:tab w:val="left" w:pos="1985"/>
        </w:tabs>
        <w:spacing w:before="120" w:after="120"/>
        <w:rPr>
          <w:rFonts w:ascii="Arial" w:eastAsia="Arial" w:hAnsi="Arial"/>
        </w:rPr>
      </w:pPr>
      <w:r>
        <w:rPr>
          <w:rFonts w:ascii="Arial" w:eastAsia="Arial" w:hAnsi="Arial"/>
          <w:sz w:val="24"/>
          <w:szCs w:val="24"/>
        </w:rPr>
        <w:lastRenderedPageBreak/>
        <w:t>On receipt of the Suppliers breakdown and evidence, the Buyer shall either:</w:t>
      </w:r>
    </w:p>
    <w:p w14:paraId="0000003A" w14:textId="77777777" w:rsidR="00750481" w:rsidRDefault="00626814">
      <w:pPr>
        <w:numPr>
          <w:ilvl w:val="3"/>
          <w:numId w:val="2"/>
        </w:numPr>
        <w:tabs>
          <w:tab w:val="left" w:pos="1985"/>
        </w:tabs>
        <w:spacing w:before="120" w:after="120"/>
        <w:rPr>
          <w:rFonts w:ascii="Arial" w:eastAsia="Arial" w:hAnsi="Arial"/>
          <w:sz w:val="24"/>
          <w:szCs w:val="24"/>
        </w:rPr>
      </w:pPr>
      <w:r>
        <w:rPr>
          <w:rFonts w:ascii="Arial" w:eastAsia="Arial" w:hAnsi="Arial"/>
          <w:sz w:val="24"/>
          <w:szCs w:val="24"/>
        </w:rPr>
        <w:t>Notify the Supplier in writing of acceptance of the costs;</w:t>
      </w:r>
    </w:p>
    <w:p w14:paraId="0000003B" w14:textId="77777777" w:rsidR="00750481" w:rsidRDefault="00626814">
      <w:pPr>
        <w:numPr>
          <w:ilvl w:val="3"/>
          <w:numId w:val="2"/>
        </w:numPr>
        <w:tabs>
          <w:tab w:val="left" w:pos="1985"/>
        </w:tabs>
        <w:spacing w:before="120" w:after="120"/>
        <w:rPr>
          <w:rFonts w:ascii="Arial" w:eastAsia="Arial" w:hAnsi="Arial"/>
          <w:sz w:val="24"/>
          <w:szCs w:val="24"/>
        </w:rPr>
      </w:pPr>
      <w:r>
        <w:rPr>
          <w:rFonts w:ascii="Arial" w:eastAsia="Arial" w:hAnsi="Arial"/>
          <w:sz w:val="24"/>
          <w:szCs w:val="24"/>
        </w:rPr>
        <w:t>Request further information/evidence; and/or</w:t>
      </w:r>
    </w:p>
    <w:p w14:paraId="0000003C" w14:textId="77777777" w:rsidR="00750481" w:rsidRDefault="00626814">
      <w:pPr>
        <w:numPr>
          <w:ilvl w:val="3"/>
          <w:numId w:val="2"/>
        </w:numPr>
        <w:tabs>
          <w:tab w:val="left" w:pos="1985"/>
        </w:tabs>
        <w:spacing w:before="120" w:after="120"/>
        <w:rPr>
          <w:rFonts w:ascii="Arial" w:eastAsia="Arial" w:hAnsi="Arial"/>
          <w:sz w:val="24"/>
          <w:szCs w:val="24"/>
        </w:rPr>
      </w:pPr>
      <w:r>
        <w:rPr>
          <w:rFonts w:ascii="Arial" w:eastAsia="Arial" w:hAnsi="Arial"/>
          <w:sz w:val="24"/>
          <w:szCs w:val="24"/>
        </w:rPr>
        <w:t>Request a meeting to discuss/clarify the evidence provided.</w:t>
      </w:r>
    </w:p>
    <w:p w14:paraId="0000003D" w14:textId="77777777" w:rsidR="00750481" w:rsidRDefault="00626814">
      <w:pPr>
        <w:numPr>
          <w:ilvl w:val="1"/>
          <w:numId w:val="1"/>
        </w:numPr>
        <w:tabs>
          <w:tab w:val="left" w:pos="1985"/>
        </w:tabs>
        <w:spacing w:before="120" w:after="120"/>
        <w:rPr>
          <w:rFonts w:ascii="Arial" w:eastAsia="Arial" w:hAnsi="Arial"/>
        </w:rPr>
      </w:pPr>
      <w:r>
        <w:rPr>
          <w:rFonts w:ascii="Arial" w:eastAsia="Arial" w:hAnsi="Arial"/>
          <w:sz w:val="24"/>
          <w:szCs w:val="24"/>
        </w:rPr>
        <w:t xml:space="preserve">Where the costs are agreed following the receipt of further information/evidence or following a meeting, the Buyer shall notify the Supplier in writing and confirm the costs are to apply. </w:t>
      </w:r>
    </w:p>
    <w:p w14:paraId="0000003E" w14:textId="77777777" w:rsidR="00750481" w:rsidRDefault="00626814">
      <w:pPr>
        <w:numPr>
          <w:ilvl w:val="1"/>
          <w:numId w:val="1"/>
        </w:numPr>
        <w:tabs>
          <w:tab w:val="left" w:pos="1985"/>
        </w:tabs>
        <w:spacing w:before="120" w:after="120"/>
        <w:rPr>
          <w:rFonts w:ascii="Arial" w:eastAsia="Arial" w:hAnsi="Arial"/>
        </w:rPr>
      </w:pPr>
      <w:r>
        <w:rPr>
          <w:rFonts w:ascii="Arial" w:eastAsia="Arial" w:hAnsi="Arial"/>
          <w:sz w:val="24"/>
          <w:szCs w:val="24"/>
        </w:rPr>
        <w:t>In the event that the Parties are unable to agree the costs the Parties shall follow the Dispute Resolution Procedure.</w:t>
      </w:r>
    </w:p>
    <w:p w14:paraId="0000003F" w14:textId="77777777" w:rsidR="00750481" w:rsidRDefault="00626814">
      <w:pPr>
        <w:numPr>
          <w:ilvl w:val="0"/>
          <w:numId w:val="1"/>
        </w:numPr>
        <w:pBdr>
          <w:top w:val="nil"/>
          <w:left w:val="nil"/>
          <w:bottom w:val="nil"/>
          <w:right w:val="nil"/>
          <w:between w:val="nil"/>
        </w:pBdr>
        <w:tabs>
          <w:tab w:val="left" w:pos="0"/>
        </w:tabs>
        <w:spacing w:before="240"/>
        <w:ind w:left="0"/>
        <w:rPr>
          <w:rFonts w:ascii="Arial" w:eastAsia="Arial" w:hAnsi="Arial"/>
        </w:rPr>
      </w:pPr>
      <w:r>
        <w:rPr>
          <w:rFonts w:ascii="Arial" w:eastAsia="Arial" w:hAnsi="Arial"/>
          <w:b/>
          <w:smallCaps/>
          <w:sz w:val="24"/>
          <w:szCs w:val="24"/>
        </w:rPr>
        <w:t xml:space="preserve">RIBA </w:t>
      </w:r>
      <w:r>
        <w:rPr>
          <w:rFonts w:ascii="Arial" w:eastAsia="Arial" w:hAnsi="Arial"/>
          <w:b/>
          <w:sz w:val="24"/>
          <w:szCs w:val="24"/>
        </w:rPr>
        <w:t>Projects</w:t>
      </w:r>
    </w:p>
    <w:p w14:paraId="00000040" w14:textId="77777777" w:rsidR="00750481" w:rsidRDefault="00626814">
      <w:pPr>
        <w:numPr>
          <w:ilvl w:val="1"/>
          <w:numId w:val="1"/>
        </w:numPr>
        <w:pBdr>
          <w:top w:val="nil"/>
          <w:left w:val="nil"/>
          <w:bottom w:val="nil"/>
          <w:right w:val="nil"/>
          <w:between w:val="nil"/>
        </w:pBdr>
        <w:spacing w:before="120" w:after="120"/>
        <w:rPr>
          <w:rFonts w:ascii="Arial" w:eastAsia="Arial" w:hAnsi="Arial"/>
        </w:rPr>
      </w:pPr>
      <w:r>
        <w:rPr>
          <w:rFonts w:ascii="Arial" w:eastAsia="Arial" w:hAnsi="Arial"/>
          <w:color w:val="000000"/>
          <w:sz w:val="24"/>
          <w:szCs w:val="24"/>
        </w:rPr>
        <w:t>If the Buyer decides at its sole discretion that the scope of any Billable Works are such that they require a defined management approach such that the RIBA “Plan of Work” management principles shall apply then the Billable Works will be deemed to be a Project</w:t>
      </w:r>
      <w:r>
        <w:rPr>
          <w:rFonts w:ascii="Arial" w:eastAsia="Arial" w:hAnsi="Arial"/>
          <w:sz w:val="24"/>
          <w:szCs w:val="24"/>
        </w:rPr>
        <w:t xml:space="preserve"> and not a Billable Work.</w:t>
      </w:r>
    </w:p>
    <w:p w14:paraId="00000041" w14:textId="77777777" w:rsidR="00750481" w:rsidRDefault="00626814">
      <w:pPr>
        <w:numPr>
          <w:ilvl w:val="1"/>
          <w:numId w:val="1"/>
        </w:numPr>
        <w:pBdr>
          <w:top w:val="nil"/>
          <w:left w:val="nil"/>
          <w:bottom w:val="nil"/>
          <w:right w:val="nil"/>
          <w:between w:val="nil"/>
        </w:pBdr>
        <w:spacing w:before="120" w:after="120"/>
        <w:rPr>
          <w:rFonts w:ascii="Arial" w:eastAsia="Arial" w:hAnsi="Arial"/>
        </w:rPr>
      </w:pPr>
      <w:r>
        <w:rPr>
          <w:rFonts w:ascii="Arial" w:eastAsia="Arial" w:hAnsi="Arial"/>
          <w:color w:val="000000"/>
          <w:sz w:val="24"/>
          <w:szCs w:val="24"/>
        </w:rPr>
        <w:t xml:space="preserve">If it is deemed as a RIBA Project, the Project Stage </w:t>
      </w:r>
      <w:r>
        <w:rPr>
          <w:rFonts w:ascii="Arial" w:eastAsia="Arial" w:hAnsi="Arial"/>
          <w:sz w:val="24"/>
          <w:szCs w:val="24"/>
        </w:rPr>
        <w:t xml:space="preserve">Uplift </w:t>
      </w:r>
      <w:r>
        <w:rPr>
          <w:rFonts w:ascii="Arial" w:eastAsia="Arial" w:hAnsi="Arial"/>
          <w:color w:val="000000"/>
          <w:sz w:val="24"/>
          <w:szCs w:val="24"/>
        </w:rPr>
        <w:t xml:space="preserve">will apply as stated in the Pricing Matrix. </w:t>
      </w:r>
    </w:p>
    <w:p w14:paraId="00000042" w14:textId="77777777" w:rsidR="00750481" w:rsidRDefault="00626814">
      <w:pPr>
        <w:numPr>
          <w:ilvl w:val="1"/>
          <w:numId w:val="1"/>
        </w:numPr>
        <w:pBdr>
          <w:top w:val="nil"/>
          <w:left w:val="nil"/>
          <w:bottom w:val="nil"/>
          <w:right w:val="nil"/>
          <w:between w:val="nil"/>
        </w:pBdr>
        <w:spacing w:before="120" w:after="120"/>
        <w:rPr>
          <w:rFonts w:ascii="Arial" w:eastAsia="Arial" w:hAnsi="Arial"/>
        </w:rPr>
      </w:pPr>
      <w:r>
        <w:rPr>
          <w:rFonts w:ascii="Arial" w:eastAsia="Arial" w:hAnsi="Arial"/>
          <w:color w:val="000000"/>
          <w:sz w:val="24"/>
          <w:szCs w:val="24"/>
        </w:rPr>
        <w:t xml:space="preserve">It is agreed that the Project Stage </w:t>
      </w:r>
      <w:r>
        <w:rPr>
          <w:rFonts w:ascii="Arial" w:eastAsia="Arial" w:hAnsi="Arial"/>
          <w:sz w:val="24"/>
          <w:szCs w:val="24"/>
        </w:rPr>
        <w:t>Uplift</w:t>
      </w:r>
      <w:r>
        <w:rPr>
          <w:rFonts w:ascii="Arial" w:eastAsia="Arial" w:hAnsi="Arial"/>
          <w:color w:val="000000"/>
          <w:sz w:val="24"/>
          <w:szCs w:val="24"/>
        </w:rPr>
        <w:t xml:space="preserve"> shall always be applied to the value of a Project prior to any profit.</w:t>
      </w:r>
    </w:p>
    <w:p w14:paraId="00000043" w14:textId="77777777" w:rsidR="00750481" w:rsidRDefault="00626814">
      <w:pPr>
        <w:numPr>
          <w:ilvl w:val="1"/>
          <w:numId w:val="1"/>
        </w:numPr>
        <w:pBdr>
          <w:top w:val="nil"/>
          <w:left w:val="nil"/>
          <w:bottom w:val="nil"/>
          <w:right w:val="nil"/>
          <w:between w:val="nil"/>
        </w:pBdr>
        <w:spacing w:before="120" w:after="120"/>
        <w:rPr>
          <w:rFonts w:ascii="Arial" w:eastAsia="Arial" w:hAnsi="Arial"/>
        </w:rPr>
      </w:pPr>
      <w:r>
        <w:rPr>
          <w:rFonts w:ascii="Arial" w:eastAsia="Arial" w:hAnsi="Arial"/>
          <w:color w:val="000000"/>
          <w:sz w:val="24"/>
          <w:szCs w:val="24"/>
        </w:rPr>
        <w:t>If a RIBA Project is aborted by the Buyer prior to completion, if applicable, the relevant Project Stage Uplift will be applied up to the point at which it is aborted based on the agreed estimated cost of the Project.</w:t>
      </w:r>
    </w:p>
    <w:p w14:paraId="00000044" w14:textId="77777777" w:rsidR="00750481" w:rsidRDefault="00626814">
      <w:pPr>
        <w:numPr>
          <w:ilvl w:val="1"/>
          <w:numId w:val="1"/>
        </w:numPr>
        <w:pBdr>
          <w:top w:val="nil"/>
          <w:left w:val="nil"/>
          <w:bottom w:val="nil"/>
          <w:right w:val="nil"/>
          <w:between w:val="nil"/>
        </w:pBdr>
        <w:spacing w:before="120" w:after="120"/>
        <w:rPr>
          <w:rFonts w:ascii="Arial" w:eastAsia="Arial" w:hAnsi="Arial"/>
        </w:rPr>
      </w:pPr>
      <w:r>
        <w:rPr>
          <w:rFonts w:ascii="Arial" w:eastAsia="Arial" w:hAnsi="Arial"/>
          <w:color w:val="000000"/>
          <w:sz w:val="24"/>
          <w:szCs w:val="24"/>
        </w:rPr>
        <w:t xml:space="preserve">The Supplier shall provide evidence of the resource allocation required to provide any Project at the time of quotation or tender and such associated costs must be agreed as acceptable by the Buyer prior to any Works which are part of a Project commencing.   </w:t>
      </w:r>
    </w:p>
    <w:p w14:paraId="00000045" w14:textId="77777777" w:rsidR="00750481" w:rsidRDefault="00626814">
      <w:pPr>
        <w:numPr>
          <w:ilvl w:val="0"/>
          <w:numId w:val="1"/>
        </w:numPr>
        <w:pBdr>
          <w:top w:val="nil"/>
          <w:left w:val="nil"/>
          <w:bottom w:val="nil"/>
          <w:right w:val="nil"/>
          <w:between w:val="nil"/>
        </w:pBdr>
        <w:spacing w:before="240"/>
        <w:ind w:left="0"/>
        <w:rPr>
          <w:rFonts w:ascii="Arial" w:eastAsia="Arial" w:hAnsi="Arial"/>
        </w:rPr>
      </w:pPr>
      <w:bookmarkStart w:id="9" w:name="_heading=h.tyjcwt" w:colFirst="0" w:colLast="0"/>
      <w:bookmarkEnd w:id="9"/>
      <w:r>
        <w:rPr>
          <w:rFonts w:ascii="Arial" w:eastAsia="Arial" w:hAnsi="Arial"/>
          <w:b/>
          <w:sz w:val="24"/>
          <w:szCs w:val="24"/>
        </w:rPr>
        <w:t>General Projects</w:t>
      </w:r>
    </w:p>
    <w:p w14:paraId="00000046" w14:textId="77777777" w:rsidR="00750481" w:rsidRDefault="00626814">
      <w:pPr>
        <w:numPr>
          <w:ilvl w:val="1"/>
          <w:numId w:val="1"/>
        </w:numPr>
        <w:pBdr>
          <w:top w:val="nil"/>
          <w:left w:val="nil"/>
          <w:bottom w:val="nil"/>
          <w:right w:val="nil"/>
          <w:between w:val="nil"/>
        </w:pBdr>
        <w:spacing w:before="240"/>
        <w:rPr>
          <w:rFonts w:ascii="Arial" w:eastAsia="Arial" w:hAnsi="Arial"/>
        </w:rPr>
      </w:pPr>
      <w:r>
        <w:rPr>
          <w:rFonts w:ascii="Arial" w:eastAsia="Arial" w:hAnsi="Arial"/>
          <w:sz w:val="24"/>
          <w:szCs w:val="24"/>
        </w:rPr>
        <w:t>If the Buyer decides at its sole discretion that the scope of any Billable Works are such that they require a defined management approach other than the RIBA plan of works, this will be deemed to be a General Project and not a Billable Work and the management approach will be defined by the Buyer at Further Competition</w:t>
      </w:r>
    </w:p>
    <w:p w14:paraId="00000047" w14:textId="77777777" w:rsidR="00750481" w:rsidRDefault="00626814">
      <w:pPr>
        <w:numPr>
          <w:ilvl w:val="1"/>
          <w:numId w:val="1"/>
        </w:numPr>
        <w:pBdr>
          <w:top w:val="nil"/>
          <w:left w:val="nil"/>
          <w:bottom w:val="nil"/>
          <w:right w:val="nil"/>
          <w:between w:val="nil"/>
        </w:pBdr>
        <w:spacing w:before="120" w:after="0"/>
        <w:rPr>
          <w:rFonts w:ascii="Arial" w:eastAsia="Arial" w:hAnsi="Arial"/>
          <w:color w:val="000000"/>
        </w:rPr>
      </w:pPr>
      <w:r>
        <w:rPr>
          <w:rFonts w:ascii="Arial" w:eastAsia="Arial" w:hAnsi="Arial"/>
          <w:color w:val="000000"/>
          <w:sz w:val="24"/>
          <w:szCs w:val="24"/>
        </w:rPr>
        <w:t xml:space="preserve">The Supplier shall provide evidence of the resource allocation required to provide any Project at the time of quotation or tender and such associated costs must be agreed as acceptable by the Buyer prior to any Works which are part of a Project commencing. </w:t>
      </w:r>
    </w:p>
    <w:p w14:paraId="00000048" w14:textId="77777777" w:rsidR="00750481" w:rsidRDefault="00750481">
      <w:pPr>
        <w:pBdr>
          <w:top w:val="nil"/>
          <w:left w:val="nil"/>
          <w:bottom w:val="nil"/>
          <w:right w:val="nil"/>
          <w:between w:val="nil"/>
        </w:pBdr>
        <w:spacing w:after="120"/>
        <w:ind w:left="1080"/>
        <w:rPr>
          <w:rFonts w:ascii="Arial" w:eastAsia="Arial" w:hAnsi="Arial"/>
          <w:color w:val="000000"/>
        </w:rPr>
      </w:pPr>
    </w:p>
    <w:p w14:paraId="00000049" w14:textId="77777777" w:rsidR="00750481" w:rsidRDefault="00626814">
      <w:pPr>
        <w:numPr>
          <w:ilvl w:val="1"/>
          <w:numId w:val="1"/>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sz w:val="24"/>
          <w:szCs w:val="24"/>
        </w:rPr>
        <w:t>If the Buyer aborts General Projects at any stage, the Supplier may provide a full breakdown and evidence of the resource allocation utilised and associated costs to date on notification of the Buyer.   Such associated costs must be agreed as acceptable by the Buyer prior to raising the invoice</w:t>
      </w:r>
    </w:p>
    <w:p w14:paraId="0000004A" w14:textId="77777777" w:rsidR="00750481" w:rsidRDefault="00626814">
      <w:pPr>
        <w:numPr>
          <w:ilvl w:val="2"/>
          <w:numId w:val="1"/>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sz w:val="24"/>
          <w:szCs w:val="24"/>
        </w:rPr>
        <w:lastRenderedPageBreak/>
        <w:t xml:space="preserve">On </w:t>
      </w:r>
      <w:r>
        <w:rPr>
          <w:rFonts w:ascii="Arial" w:eastAsia="Arial" w:hAnsi="Arial"/>
          <w:color w:val="000000"/>
          <w:sz w:val="24"/>
          <w:szCs w:val="24"/>
        </w:rPr>
        <w:t>receipt of the Suppliers breakdown and evidence, the Buyer shall either:</w:t>
      </w:r>
    </w:p>
    <w:p w14:paraId="0000004B" w14:textId="77777777" w:rsidR="00750481" w:rsidRDefault="00626814">
      <w:pPr>
        <w:numPr>
          <w:ilvl w:val="3"/>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Notify the Supplier in writing of acceptance of the costs;</w:t>
      </w:r>
    </w:p>
    <w:p w14:paraId="0000004C" w14:textId="77777777" w:rsidR="00750481" w:rsidRDefault="00626814">
      <w:pPr>
        <w:numPr>
          <w:ilvl w:val="3"/>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Request further information/evidence; and/or</w:t>
      </w:r>
    </w:p>
    <w:p w14:paraId="0000004D" w14:textId="77777777" w:rsidR="00750481" w:rsidRDefault="00626814">
      <w:pPr>
        <w:numPr>
          <w:ilvl w:val="3"/>
          <w:numId w:val="2"/>
        </w:numPr>
        <w:pBdr>
          <w:top w:val="nil"/>
          <w:left w:val="nil"/>
          <w:bottom w:val="nil"/>
          <w:right w:val="nil"/>
          <w:between w:val="nil"/>
        </w:pBdr>
        <w:tabs>
          <w:tab w:val="left" w:pos="1985"/>
        </w:tabs>
        <w:spacing w:before="120" w:after="120"/>
        <w:rPr>
          <w:rFonts w:ascii="Arial" w:eastAsia="Arial" w:hAnsi="Arial"/>
          <w:sz w:val="24"/>
          <w:szCs w:val="24"/>
        </w:rPr>
      </w:pPr>
      <w:r>
        <w:rPr>
          <w:rFonts w:ascii="Arial" w:eastAsia="Arial" w:hAnsi="Arial"/>
          <w:color w:val="000000"/>
          <w:sz w:val="24"/>
          <w:szCs w:val="24"/>
        </w:rPr>
        <w:t>Request a meeting to discuss/clarify the evidence provided.</w:t>
      </w:r>
    </w:p>
    <w:p w14:paraId="0000004E" w14:textId="77777777" w:rsidR="00750481" w:rsidRDefault="00626814">
      <w:pPr>
        <w:numPr>
          <w:ilvl w:val="2"/>
          <w:numId w:val="1"/>
        </w:numPr>
        <w:pBdr>
          <w:top w:val="nil"/>
          <w:left w:val="nil"/>
          <w:bottom w:val="nil"/>
          <w:right w:val="nil"/>
          <w:between w:val="nil"/>
        </w:pBdr>
        <w:tabs>
          <w:tab w:val="left" w:pos="1985"/>
        </w:tabs>
        <w:spacing w:before="120" w:after="120"/>
        <w:rPr>
          <w:rFonts w:ascii="Arial" w:eastAsia="Arial" w:hAnsi="Arial"/>
        </w:rPr>
      </w:pPr>
      <w:r>
        <w:rPr>
          <w:rFonts w:ascii="Arial" w:eastAsia="Arial" w:hAnsi="Arial"/>
          <w:color w:val="000000"/>
          <w:sz w:val="24"/>
          <w:szCs w:val="24"/>
        </w:rPr>
        <w:t xml:space="preserve">Where the costs are agreed following the receipt of further information/evidence or following a meeting, the Buyer shall notify the Supplier in writing and confirm the costs are to apply. </w:t>
      </w:r>
    </w:p>
    <w:p w14:paraId="0000004F" w14:textId="77777777" w:rsidR="00750481" w:rsidRDefault="00626814">
      <w:pPr>
        <w:numPr>
          <w:ilvl w:val="2"/>
          <w:numId w:val="1"/>
        </w:numPr>
        <w:pBdr>
          <w:top w:val="nil"/>
          <w:left w:val="nil"/>
          <w:bottom w:val="nil"/>
          <w:right w:val="nil"/>
          <w:between w:val="nil"/>
        </w:pBdr>
        <w:tabs>
          <w:tab w:val="left" w:pos="1985"/>
        </w:tabs>
        <w:spacing w:before="120" w:after="120"/>
        <w:rPr>
          <w:rFonts w:ascii="Arial" w:eastAsia="Arial" w:hAnsi="Arial"/>
        </w:rPr>
      </w:pPr>
      <w:r>
        <w:rPr>
          <w:rFonts w:ascii="Arial" w:eastAsia="Arial" w:hAnsi="Arial"/>
          <w:color w:val="000000"/>
          <w:sz w:val="24"/>
          <w:szCs w:val="24"/>
        </w:rPr>
        <w:t>In the event that the Parties are unable to agree the costs the Parties shall follow the Dispute Resolution Procedure.</w:t>
      </w:r>
    </w:p>
    <w:p w14:paraId="00000050" w14:textId="77777777" w:rsidR="00750481" w:rsidRDefault="00626814">
      <w:pPr>
        <w:numPr>
          <w:ilvl w:val="0"/>
          <w:numId w:val="1"/>
        </w:numPr>
        <w:pBdr>
          <w:top w:val="nil"/>
          <w:left w:val="nil"/>
          <w:bottom w:val="nil"/>
          <w:right w:val="nil"/>
          <w:between w:val="nil"/>
        </w:pBdr>
        <w:tabs>
          <w:tab w:val="left" w:pos="1985"/>
        </w:tabs>
        <w:spacing w:before="120" w:after="120"/>
        <w:rPr>
          <w:rFonts w:ascii="Arial" w:eastAsia="Arial" w:hAnsi="Arial"/>
        </w:rPr>
      </w:pPr>
      <w:r>
        <w:rPr>
          <w:rFonts w:ascii="Arial" w:eastAsia="Arial" w:hAnsi="Arial"/>
          <w:b/>
          <w:sz w:val="24"/>
          <w:szCs w:val="24"/>
        </w:rPr>
        <w:t>Inclusive Repair Threshold</w:t>
      </w:r>
    </w:p>
    <w:p w14:paraId="00000051" w14:textId="77777777" w:rsidR="00750481" w:rsidRDefault="00626814">
      <w:pPr>
        <w:numPr>
          <w:ilvl w:val="1"/>
          <w:numId w:val="1"/>
        </w:numPr>
        <w:pBdr>
          <w:top w:val="nil"/>
          <w:left w:val="nil"/>
          <w:bottom w:val="nil"/>
          <w:right w:val="nil"/>
          <w:between w:val="nil"/>
        </w:pBdr>
        <w:spacing w:before="240"/>
        <w:rPr>
          <w:rFonts w:ascii="Arial" w:eastAsia="Arial" w:hAnsi="Arial"/>
        </w:rPr>
      </w:pPr>
      <w:r>
        <w:rPr>
          <w:rFonts w:ascii="Arial" w:eastAsia="Arial" w:hAnsi="Arial"/>
          <w:color w:val="000000"/>
          <w:sz w:val="24"/>
          <w:szCs w:val="24"/>
        </w:rPr>
        <w:t xml:space="preserve">The Supplier shall note that with the exception of emergencies or Business Critical Events, no activity with a value in excess of the agreed Inclusive Repair Threshold shall be undertaken without a Work Order. </w:t>
      </w:r>
    </w:p>
    <w:p w14:paraId="00000052" w14:textId="77777777" w:rsidR="00750481" w:rsidRDefault="00626814">
      <w:pPr>
        <w:numPr>
          <w:ilvl w:val="1"/>
          <w:numId w:val="1"/>
        </w:numPr>
        <w:pBdr>
          <w:top w:val="nil"/>
          <w:left w:val="nil"/>
          <w:bottom w:val="nil"/>
          <w:right w:val="nil"/>
          <w:between w:val="nil"/>
        </w:pBdr>
        <w:tabs>
          <w:tab w:val="left" w:pos="1985"/>
        </w:tabs>
        <w:spacing w:before="120" w:after="120"/>
        <w:rPr>
          <w:rFonts w:ascii="Arial" w:eastAsia="Arial" w:hAnsi="Arial"/>
        </w:rPr>
      </w:pPr>
      <w:r>
        <w:rPr>
          <w:rFonts w:ascii="Arial" w:eastAsia="Arial" w:hAnsi="Arial"/>
          <w:color w:val="000000"/>
          <w:sz w:val="24"/>
          <w:szCs w:val="24"/>
        </w:rPr>
        <w:t>Where the costs of Reactive Maintenance Works exceed the Inclusive Repair Threshold, only the cost above this value shall be billed to the Buyer through the approval process as detailed in the Billable Works and Approvals Process.</w:t>
      </w:r>
    </w:p>
    <w:p w14:paraId="00000053" w14:textId="77777777" w:rsidR="00750481" w:rsidRDefault="00626814">
      <w:pPr>
        <w:numPr>
          <w:ilvl w:val="1"/>
          <w:numId w:val="1"/>
        </w:numPr>
        <w:pBdr>
          <w:top w:val="nil"/>
          <w:left w:val="nil"/>
          <w:bottom w:val="nil"/>
          <w:right w:val="nil"/>
          <w:between w:val="nil"/>
        </w:pBdr>
        <w:tabs>
          <w:tab w:val="left" w:pos="1985"/>
        </w:tabs>
        <w:spacing w:before="120" w:after="120"/>
        <w:rPr>
          <w:rFonts w:ascii="Arial" w:eastAsia="Arial" w:hAnsi="Arial"/>
        </w:rPr>
      </w:pPr>
      <w:r>
        <w:rPr>
          <w:rFonts w:ascii="Arial" w:eastAsia="Arial" w:hAnsi="Arial"/>
          <w:color w:val="000000"/>
          <w:sz w:val="24"/>
          <w:szCs w:val="24"/>
        </w:rPr>
        <w:t>The Supplier shall supply and install all parts associated with Reactive Maintenance Works at its own cost. The Supplier shall note that, for the avoidance of doubt, this requirement includes the replacement of entire Assets as well as component part of Assets where replacement is deemed appropriate.</w:t>
      </w:r>
    </w:p>
    <w:p w14:paraId="00000054" w14:textId="77777777" w:rsidR="00750481" w:rsidRDefault="00626814">
      <w:pPr>
        <w:numPr>
          <w:ilvl w:val="1"/>
          <w:numId w:val="1"/>
        </w:numPr>
        <w:pBdr>
          <w:top w:val="nil"/>
          <w:left w:val="nil"/>
          <w:bottom w:val="nil"/>
          <w:right w:val="nil"/>
          <w:between w:val="nil"/>
        </w:pBdr>
        <w:spacing w:before="240"/>
        <w:rPr>
          <w:rFonts w:ascii="Arial" w:eastAsia="Arial" w:hAnsi="Arial"/>
        </w:rPr>
      </w:pPr>
      <w:r>
        <w:rPr>
          <w:rFonts w:ascii="Arial" w:eastAsia="Arial" w:hAnsi="Arial"/>
          <w:color w:val="000000"/>
          <w:sz w:val="24"/>
          <w:szCs w:val="24"/>
        </w:rPr>
        <w:t>The Supplier shall maximise the benefits of its own buying power by being granted access to and exploring other CCS frameworks and benchmarking against these before looking to their own supply agreements to offer the most advantageous commercial position to the Buyer to ensure value for money. Any negotiated discounts applied against current trade price levels shall be passed to the Buyer in full. Where appropriate the Supplier shall utilise the Buyer’s parts agreements, where any such agreements exist.</w:t>
      </w:r>
    </w:p>
    <w:p w14:paraId="00000055" w14:textId="77777777" w:rsidR="00750481" w:rsidRDefault="00626814">
      <w:pPr>
        <w:numPr>
          <w:ilvl w:val="1"/>
          <w:numId w:val="1"/>
        </w:numPr>
        <w:pBdr>
          <w:top w:val="nil"/>
          <w:left w:val="nil"/>
          <w:bottom w:val="nil"/>
          <w:right w:val="nil"/>
          <w:between w:val="nil"/>
        </w:pBdr>
        <w:spacing w:before="240"/>
        <w:rPr>
          <w:rFonts w:ascii="Arial" w:eastAsia="Arial" w:hAnsi="Arial"/>
        </w:rPr>
      </w:pPr>
      <w:r>
        <w:rPr>
          <w:rFonts w:ascii="Arial" w:eastAsia="Arial" w:hAnsi="Arial"/>
          <w:color w:val="000000"/>
          <w:sz w:val="24"/>
          <w:szCs w:val="24"/>
        </w:rPr>
        <w:t>The Supplier shall source parts at the most cost effective terms having regard to quality and delivery time requirements. The Supplier and the Buyer shall agree in advance the use of refurbished parts where they are deemed to be cost beneficial without any loss of service or as required in order to achieve required return to full operational service.</w:t>
      </w:r>
    </w:p>
    <w:p w14:paraId="00000056" w14:textId="77777777" w:rsidR="00750481" w:rsidRDefault="00626814">
      <w:pPr>
        <w:numPr>
          <w:ilvl w:val="1"/>
          <w:numId w:val="1"/>
        </w:numPr>
        <w:pBdr>
          <w:top w:val="nil"/>
          <w:left w:val="nil"/>
          <w:bottom w:val="nil"/>
          <w:right w:val="nil"/>
          <w:between w:val="nil"/>
        </w:pBdr>
        <w:spacing w:before="240"/>
        <w:rPr>
          <w:rFonts w:ascii="Arial" w:eastAsia="Arial" w:hAnsi="Arial"/>
          <w:sz w:val="24"/>
          <w:szCs w:val="24"/>
        </w:rPr>
      </w:pPr>
      <w:r>
        <w:rPr>
          <w:rFonts w:ascii="Arial" w:eastAsia="Arial" w:hAnsi="Arial"/>
          <w:color w:val="000000"/>
          <w:sz w:val="24"/>
          <w:szCs w:val="24"/>
        </w:rPr>
        <w:t xml:space="preserve">In the event of emergencies or Business Critical Events, the Supplier may proceed with remedial action without prior approval from the Buyer. The Supplier shall seek formal approval from the Buyer by email and/or telephone as soon as is operationally possible, and shall keep the Buyer advised at all times on the technical and financial status of the task. The Buyer shall not unreasonably withhold approval of costs arising from emergencies and Business Critical Events; however the Supplier shall </w:t>
      </w:r>
      <w:r>
        <w:rPr>
          <w:rFonts w:ascii="Arial" w:eastAsia="Arial" w:hAnsi="Arial"/>
          <w:color w:val="000000"/>
          <w:sz w:val="24"/>
          <w:szCs w:val="24"/>
        </w:rPr>
        <w:lastRenderedPageBreak/>
        <w:t>retrospectively commence the relevant approval process set out in paragraph 6.1 by the next Working Day and complete such process as soon as reasonably practicable</w:t>
      </w:r>
    </w:p>
    <w:p w14:paraId="00000057" w14:textId="77777777" w:rsidR="00750481" w:rsidRDefault="00626814">
      <w:pPr>
        <w:numPr>
          <w:ilvl w:val="1"/>
          <w:numId w:val="1"/>
        </w:numPr>
        <w:pBdr>
          <w:top w:val="nil"/>
          <w:left w:val="nil"/>
          <w:bottom w:val="nil"/>
          <w:right w:val="nil"/>
          <w:between w:val="nil"/>
        </w:pBdr>
        <w:spacing w:before="240"/>
        <w:rPr>
          <w:rFonts w:ascii="Arial" w:eastAsia="Arial" w:hAnsi="Arial"/>
        </w:rPr>
      </w:pPr>
      <w:r>
        <w:rPr>
          <w:rFonts w:ascii="Arial" w:eastAsia="Arial" w:hAnsi="Arial"/>
          <w:color w:val="000000"/>
          <w:sz w:val="24"/>
          <w:szCs w:val="24"/>
        </w:rPr>
        <w:t>Where works fall into the following categories, they are exclusions to Inclusive Repair Threshold and charges will be subject to review and agreement between the Supplier and the Buyer during Monthly contract performance meetings. Where charges apply, they will be considered via the Billable Works and Approvals Process. This will include but not be limited to unless otherwise stated at Call Off:</w:t>
      </w:r>
    </w:p>
    <w:p w14:paraId="00000058"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sz w:val="24"/>
          <w:szCs w:val="24"/>
        </w:rPr>
        <w:t>e</w:t>
      </w:r>
      <w:r>
        <w:rPr>
          <w:rFonts w:ascii="Arial" w:eastAsia="Arial" w:hAnsi="Arial"/>
          <w:color w:val="000000"/>
          <w:sz w:val="24"/>
          <w:szCs w:val="24"/>
        </w:rPr>
        <w:t>quipment Beyond Economic Repair, where costs, excluding management overhead and profit, exceed the Inclusive Repair Threshold;</w:t>
      </w:r>
    </w:p>
    <w:p w14:paraId="00000059"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misuse of an Asset and/or abuse of an Asset where this can be proven by the Supplier;</w:t>
      </w:r>
    </w:p>
    <w:p w14:paraId="0000005A"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 xml:space="preserve">vandalism; </w:t>
      </w:r>
    </w:p>
    <w:p w14:paraId="0000005B"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damage or failure if due to continued use by the Buyer or building user after fault has been diagnosed and the Supplier has advised the Buyer not to use the Asset;</w:t>
      </w:r>
    </w:p>
    <w:p w14:paraId="0000005C"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the building user not following the Buyer or manufacturer’s operating procedural standards;</w:t>
      </w:r>
    </w:p>
    <w:p w14:paraId="0000005D"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other unapproved suppliers repairing Assets;</w:t>
      </w:r>
    </w:p>
    <w:p w14:paraId="0000005E"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 xml:space="preserve">water or cleaning fluid damage due to incorrect cleaning procedures by building users; </w:t>
      </w:r>
    </w:p>
    <w:p w14:paraId="0000005F"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damage or failure due to electrical supplies being interrupted or altered by others;</w:t>
      </w:r>
    </w:p>
    <w:p w14:paraId="00000060"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access denied to the Supplier where access had been agreed and prearranged;</w:t>
      </w:r>
    </w:p>
    <w:p w14:paraId="00000061"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buyer specifies a price variation;</w:t>
      </w:r>
    </w:p>
    <w:p w14:paraId="00000062"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fire, leaks, act of god, storm damage, floods or similar force majeure; unless caused by an act or failure of the Supplier;</w:t>
      </w:r>
    </w:p>
    <w:p w14:paraId="00000063"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Billable Works;</w:t>
      </w:r>
    </w:p>
    <w:p w14:paraId="00000064"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that part of the cost of the Reactive Maintenance Works for an event which exceeds the Inclusive Repair Threshold; and</w:t>
      </w:r>
    </w:p>
    <w:p w14:paraId="00000065" w14:textId="77777777" w:rsidR="00750481" w:rsidRDefault="00626814">
      <w:pPr>
        <w:numPr>
          <w:ilvl w:val="2"/>
          <w:numId w:val="1"/>
        </w:numPr>
        <w:pBdr>
          <w:top w:val="nil"/>
          <w:left w:val="nil"/>
          <w:bottom w:val="nil"/>
          <w:right w:val="nil"/>
          <w:between w:val="nil"/>
        </w:pBdr>
        <w:tabs>
          <w:tab w:val="left" w:pos="1985"/>
          <w:tab w:val="left" w:pos="2127"/>
        </w:tabs>
        <w:spacing w:before="120" w:after="120"/>
        <w:rPr>
          <w:rFonts w:ascii="Arial" w:eastAsia="Arial" w:hAnsi="Arial"/>
        </w:rPr>
      </w:pPr>
      <w:r>
        <w:rPr>
          <w:rFonts w:ascii="Arial" w:eastAsia="Arial" w:hAnsi="Arial"/>
          <w:color w:val="000000"/>
          <w:sz w:val="24"/>
          <w:szCs w:val="24"/>
        </w:rPr>
        <w:t xml:space="preserve">operator error by a building user, where this can be proven by the Supplier. </w:t>
      </w:r>
    </w:p>
    <w:p w14:paraId="00000066" w14:textId="77777777" w:rsidR="00750481" w:rsidRDefault="00626814">
      <w:pPr>
        <w:pBdr>
          <w:top w:val="nil"/>
          <w:left w:val="nil"/>
          <w:bottom w:val="nil"/>
          <w:right w:val="nil"/>
          <w:between w:val="nil"/>
        </w:pBdr>
        <w:spacing w:before="120" w:after="120"/>
        <w:ind w:left="1080"/>
        <w:rPr>
          <w:rFonts w:ascii="Arial" w:eastAsia="Arial" w:hAnsi="Arial"/>
          <w:sz w:val="24"/>
          <w:szCs w:val="24"/>
        </w:rPr>
      </w:pPr>
      <w:r>
        <w:rPr>
          <w:rFonts w:ascii="Arial" w:eastAsia="Arial" w:hAnsi="Arial"/>
          <w:color w:val="000000"/>
          <w:sz w:val="24"/>
          <w:szCs w:val="24"/>
        </w:rPr>
        <w:t>The above listed works include works arising from Planned Maintenance.</w:t>
      </w:r>
    </w:p>
    <w:p w14:paraId="00000067" w14:textId="77777777" w:rsidR="00750481" w:rsidRDefault="00626814">
      <w:pPr>
        <w:numPr>
          <w:ilvl w:val="1"/>
          <w:numId w:val="1"/>
        </w:numPr>
        <w:pBdr>
          <w:top w:val="nil"/>
          <w:left w:val="nil"/>
          <w:bottom w:val="nil"/>
          <w:right w:val="nil"/>
          <w:between w:val="nil"/>
        </w:pBdr>
        <w:spacing w:before="120" w:after="120"/>
        <w:rPr>
          <w:rFonts w:ascii="Arial" w:eastAsia="Arial" w:hAnsi="Arial"/>
        </w:rPr>
      </w:pPr>
      <w:r>
        <w:rPr>
          <w:rFonts w:ascii="Arial" w:eastAsia="Arial" w:hAnsi="Arial"/>
          <w:color w:val="000000"/>
          <w:sz w:val="24"/>
          <w:szCs w:val="24"/>
        </w:rPr>
        <w:t xml:space="preserve">A schedule of works arising from events listed in paragraph 6.6 above shall be provided to the Buyer on a monthly basis and payment will be made through the defined approval process as agreed between the Buyer and the Supplier. </w:t>
      </w:r>
    </w:p>
    <w:sectPr w:rsidR="0075048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2C72" w14:textId="77777777" w:rsidR="00B57399" w:rsidRDefault="00B57399">
      <w:pPr>
        <w:spacing w:after="0"/>
      </w:pPr>
      <w:r>
        <w:separator/>
      </w:r>
    </w:p>
  </w:endnote>
  <w:endnote w:type="continuationSeparator" w:id="0">
    <w:p w14:paraId="2A4ECC17" w14:textId="77777777" w:rsidR="00B57399" w:rsidRDefault="00B573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750481" w:rsidRDefault="00750481">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444742"/>
      <w:docPartObj>
        <w:docPartGallery w:val="Page Numbers (Bottom of Page)"/>
        <w:docPartUnique/>
      </w:docPartObj>
    </w:sdtPr>
    <w:sdtEndPr/>
    <w:sdtContent>
      <w:sdt>
        <w:sdtPr>
          <w:id w:val="-1769616900"/>
          <w:docPartObj>
            <w:docPartGallery w:val="Page Numbers (Top of Page)"/>
            <w:docPartUnique/>
          </w:docPartObj>
        </w:sdtPr>
        <w:sdtEndPr/>
        <w:sdtContent>
          <w:p w14:paraId="6CD8FA4E" w14:textId="4719DD0E" w:rsidR="003776D1" w:rsidRDefault="003776D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F39935" w14:textId="77777777" w:rsidR="003776D1" w:rsidRDefault="003776D1" w:rsidP="003776D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bookmarkStart w:id="10" w:name="_Hlk114839142"/>
    <w:bookmarkStart w:id="11" w:name="_Hlk114839143"/>
    <w:bookmarkStart w:id="12" w:name="_Hlk115854819"/>
    <w:bookmarkStart w:id="13" w:name="_Hlk115854820"/>
    <w:bookmarkStart w:id="14" w:name="_Hlk115854823"/>
    <w:bookmarkStart w:id="15" w:name="_Hlk115854824"/>
    <w:bookmarkStart w:id="16" w:name="_Hlk115854973"/>
    <w:bookmarkStart w:id="17" w:name="_Hlk115854974"/>
    <w:bookmarkStart w:id="18" w:name="_Hlk115854979"/>
    <w:bookmarkStart w:id="19" w:name="_Hlk115854980"/>
    <w:bookmarkStart w:id="20" w:name="_Hlk115855441"/>
    <w:bookmarkStart w:id="21" w:name="_Hlk115855442"/>
    <w:bookmarkStart w:id="22" w:name="_Hlk115855632"/>
    <w:bookmarkStart w:id="23" w:name="_Hlk115855633"/>
    <w:bookmarkStart w:id="24" w:name="_Hlk115856000"/>
    <w:bookmarkStart w:id="25" w:name="_Hlk115856001"/>
    <w:r>
      <w:rPr>
        <w:rFonts w:ascii="Arial" w:eastAsia="Arial" w:hAnsi="Arial"/>
        <w:b/>
        <w:color w:val="000000"/>
        <w:sz w:val="20"/>
        <w:szCs w:val="20"/>
      </w:rPr>
      <w:t>Call-Off Schedule</w:t>
    </w:r>
    <w:r>
      <w:rPr>
        <w:rFonts w:ascii="Arial" w:eastAsia="Arial" w:hAnsi="Arial"/>
        <w:b/>
        <w:color w:val="000000"/>
        <w:sz w:val="20"/>
        <w:szCs w:val="20"/>
        <w:highlight w:val="white"/>
      </w:rPr>
      <w:t xml:space="preserve"> </w:t>
    </w:r>
    <w:r>
      <w:rPr>
        <w:rFonts w:ascii="Arial" w:eastAsia="Arial" w:hAnsi="Arial"/>
        <w:b/>
        <w:sz w:val="20"/>
        <w:szCs w:val="20"/>
        <w:highlight w:val="white"/>
      </w:rPr>
      <w:t>25</w:t>
    </w:r>
    <w:r>
      <w:rPr>
        <w:rFonts w:ascii="Arial" w:eastAsia="Arial" w:hAnsi="Arial"/>
        <w:b/>
        <w:color w:val="000000"/>
        <w:sz w:val="20"/>
        <w:szCs w:val="20"/>
      </w:rPr>
      <w:t xml:space="preserve"> (Billable Works and Projects) </w:t>
    </w:r>
  </w:p>
  <w:p w14:paraId="72843B2A" w14:textId="77777777" w:rsidR="003776D1" w:rsidRDefault="003776D1" w:rsidP="003776D1">
    <w:pPr>
      <w:spacing w:after="0"/>
      <w:rPr>
        <w:rFonts w:ascii="Arial" w:eastAsia="Arial" w:hAnsi="Arial"/>
        <w:sz w:val="20"/>
        <w:szCs w:val="20"/>
      </w:rPr>
    </w:pPr>
    <w:r>
      <w:rPr>
        <w:rFonts w:ascii="Arial" w:eastAsia="Arial" w:hAnsi="Arial"/>
        <w:sz w:val="20"/>
        <w:szCs w:val="20"/>
      </w:rPr>
      <w:t>Ref: RM6232</w:t>
    </w:r>
    <w:r>
      <w:rPr>
        <w:rFonts w:ascii="Arial" w:eastAsia="Arial" w:hAnsi="Arial"/>
        <w:sz w:val="20"/>
        <w:szCs w:val="20"/>
      </w:rPr>
      <w:tab/>
      <w:t xml:space="preserve">                                           </w:t>
    </w:r>
  </w:p>
  <w:p w14:paraId="00000075" w14:textId="3D946B28" w:rsidR="00750481" w:rsidRPr="003776D1" w:rsidRDefault="003776D1">
    <w:pPr>
      <w:spacing w:after="0"/>
      <w:rPr>
        <w:rFonts w:ascii="Arial" w:eastAsia="Arial" w:hAnsi="Arial"/>
        <w:sz w:val="20"/>
        <w:szCs w:val="20"/>
      </w:rPr>
    </w:pPr>
    <w:r>
      <w:rPr>
        <w:rFonts w:ascii="Arial" w:eastAsia="Arial" w:hAnsi="Arial"/>
        <w:color w:val="000000"/>
        <w:sz w:val="20"/>
        <w:szCs w:val="20"/>
      </w:rPr>
      <w:t xml:space="preserve">Crown Copyright </w:t>
    </w:r>
    <w:r>
      <w:rPr>
        <w:rFonts w:ascii="Arial" w:eastAsia="Arial" w:hAnsi="Arial"/>
        <w:sz w:val="20"/>
        <w:szCs w:val="20"/>
      </w:rPr>
      <w:t>2022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77777777" w:rsidR="00750481" w:rsidRDefault="00750481">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0EB6" w14:textId="77777777" w:rsidR="00B57399" w:rsidRDefault="00B57399">
      <w:pPr>
        <w:spacing w:after="0"/>
      </w:pPr>
      <w:r>
        <w:separator/>
      </w:r>
    </w:p>
  </w:footnote>
  <w:footnote w:type="continuationSeparator" w:id="0">
    <w:p w14:paraId="79251E83" w14:textId="77777777" w:rsidR="00B57399" w:rsidRDefault="00B573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77777777" w:rsidR="00750481" w:rsidRDefault="00750481">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01309A49" w:rsidR="00750481" w:rsidRDefault="003776D1" w:rsidP="003776D1">
    <w:pPr>
      <w:tabs>
        <w:tab w:val="center" w:pos="4513"/>
        <w:tab w:val="right" w:pos="9026"/>
      </w:tabs>
      <w:spacing w:after="0"/>
      <w:jc w:val="center"/>
      <w:rPr>
        <w:rFonts w:ascii="Arial" w:eastAsia="Arial" w:hAnsi="Arial"/>
        <w:sz w:val="20"/>
        <w:szCs w:val="20"/>
      </w:rPr>
    </w:pPr>
    <w:r>
      <w:rPr>
        <w:rFonts w:ascii="Arial" w:eastAsia="Arial" w:hAnsi="Arial"/>
        <w:b/>
        <w:color w:val="000000"/>
        <w:sz w:val="20"/>
        <w:szCs w:val="20"/>
      </w:rPr>
      <w:t>OFFICIAL SENSITIVE</w:t>
    </w:r>
  </w:p>
  <w:p w14:paraId="0000006B" w14:textId="77777777" w:rsidR="00750481" w:rsidRDefault="00750481">
    <w:pPr>
      <w:pBdr>
        <w:top w:val="nil"/>
        <w:left w:val="nil"/>
        <w:bottom w:val="nil"/>
        <w:right w:val="nil"/>
        <w:between w:val="nil"/>
      </w:pBdr>
      <w:tabs>
        <w:tab w:val="center" w:pos="4513"/>
        <w:tab w:val="right" w:pos="9026"/>
      </w:tabs>
      <w:spacing w:after="0"/>
      <w:rPr>
        <w:color w:val="000000"/>
      </w:rPr>
    </w:pPr>
  </w:p>
  <w:p w14:paraId="0000006C" w14:textId="77777777" w:rsidR="00750481" w:rsidRDefault="00750481">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750481" w:rsidRDefault="0075048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54D"/>
    <w:multiLevelType w:val="multilevel"/>
    <w:tmpl w:val="223A647E"/>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
      <w:lvlText w:val="%1.%2"/>
      <w:lvlJc w:val="left"/>
      <w:pPr>
        <w:ind w:left="108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656" w:hanging="576"/>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520" w:hanging="864"/>
      </w:pPr>
      <w:rPr>
        <w:rFonts w:ascii="Arial" w:eastAsia="Arial" w:hAnsi="Arial" w:cs="Arial"/>
        <w:b w:val="0"/>
        <w:i w:val="0"/>
        <w:smallCaps w:val="0"/>
        <w:strike w:val="0"/>
        <w:color w:val="000000"/>
        <w:sz w:val="22"/>
        <w:szCs w:val="22"/>
        <w:u w:val="none"/>
        <w:vertAlign w:val="baseline"/>
      </w:rPr>
    </w:lvl>
    <w:lvl w:ilvl="4">
      <w:start w:val="1"/>
      <w:numFmt w:val="lowerRoman"/>
      <w:pStyle w:val="GPSL5numberedclause"/>
      <w:lvlText w:val="(%5)"/>
      <w:lvlJc w:val="left"/>
      <w:pPr>
        <w:ind w:left="324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375064A"/>
    <w:multiLevelType w:val="multilevel"/>
    <w:tmpl w:val="0ADAA47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08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656" w:hanging="576"/>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9" w:hanging="864"/>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24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75978723">
    <w:abstractNumId w:val="1"/>
  </w:num>
  <w:num w:numId="2" w16cid:durableId="174309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81"/>
    <w:rsid w:val="00142BC1"/>
    <w:rsid w:val="003776D1"/>
    <w:rsid w:val="00396589"/>
    <w:rsid w:val="0040470E"/>
    <w:rsid w:val="00626814"/>
    <w:rsid w:val="00750481"/>
    <w:rsid w:val="007A42AA"/>
    <w:rsid w:val="00800F8E"/>
    <w:rsid w:val="00836BFF"/>
    <w:rsid w:val="00B5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FFDB2"/>
  <w15:docId w15:val="{C94EEF72-A5DE-49CA-8DF2-FD4558A7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3m"/>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pPr>
      <w:tabs>
        <w:tab w:val="num" w:pos="4320"/>
      </w:tabs>
      <w:overflowPunct/>
      <w:autoSpaceDE/>
      <w:autoSpaceDN/>
      <w:adjustRightInd/>
      <w:ind w:left="4320" w:hanging="720"/>
      <w:textAlignment w:val="auto"/>
      <w:outlineLvl w:val="4"/>
    </w:pPr>
    <w:rPr>
      <w:rFonts w:ascii="Times New Roman" w:eastAsiaTheme="minorHAnsi" w:hAnsi="Times New Roman" w:cs="Times New Roman"/>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pPr>
      <w:tabs>
        <w:tab w:val="num" w:pos="4320"/>
      </w:tabs>
      <w:overflowPunct/>
      <w:autoSpaceDE/>
      <w:autoSpaceDN/>
      <w:adjustRightInd/>
      <w:spacing w:line="360" w:lineRule="auto"/>
      <w:ind w:left="4320" w:hanging="720"/>
      <w:textAlignment w:val="auto"/>
      <w:outlineLvl w:val="5"/>
    </w:pPr>
    <w:rPr>
      <w:rFonts w:ascii="Times New Roman" w:eastAsiaTheme="minorHAnsi" w:hAnsi="Times New Roman" w:cs="Times New Roman"/>
      <w:lang w:eastAsia="zh-CN"/>
    </w:rPr>
  </w:style>
  <w:style w:type="paragraph" w:styleId="Heading7">
    <w:name w:val="heading 7"/>
    <w:aliases w:val="Legal Level 1.1.,Lev 7,Heading 7(unused),L2 PIP,H7DO NOT USE,PA Appendix Major,Blank 3,Heading 7 (Do Not Use)"/>
    <w:basedOn w:val="Normal"/>
    <w:link w:val="Heading7Char"/>
    <w:unhideWhenUsed/>
    <w:qFormat/>
    <w:pPr>
      <w:tabs>
        <w:tab w:val="num" w:pos="5040"/>
      </w:tabs>
      <w:overflowPunct/>
      <w:autoSpaceDE/>
      <w:autoSpaceDN/>
      <w:adjustRightInd/>
      <w:spacing w:line="360" w:lineRule="auto"/>
      <w:ind w:left="5040" w:hanging="720"/>
      <w:textAlignment w:val="auto"/>
      <w:outlineLvl w:val="6"/>
    </w:pPr>
    <w:rPr>
      <w:rFonts w:ascii="Times New Roman" w:eastAsiaTheme="minorHAnsi" w:hAnsi="Times New Roman" w:cs="Times New Roman"/>
      <w:lang w:eastAsia="zh-CN"/>
    </w:rPr>
  </w:style>
  <w:style w:type="paragraph" w:styleId="Heading8">
    <w:name w:val="heading 8"/>
    <w:aliases w:val="Heading 8 (Do Not Use),Legal Level 1.1.1.,Lev 8,h8 DO NOT USE,PA Appendix Minor"/>
    <w:basedOn w:val="Normal"/>
    <w:link w:val="Heading8Char"/>
    <w:qFormat/>
    <w:pPr>
      <w:tabs>
        <w:tab w:val="num" w:pos="5040"/>
      </w:tabs>
      <w:overflowPunct/>
      <w:autoSpaceDE/>
      <w:autoSpaceDN/>
      <w:ind w:left="5040" w:hanging="720"/>
      <w:textAlignment w:val="auto"/>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pPr>
      <w:tabs>
        <w:tab w:val="num" w:pos="5040"/>
      </w:tabs>
      <w:overflowPunct/>
      <w:autoSpaceDE/>
      <w:autoSpaceDN/>
      <w:ind w:left="5040" w:hanging="720"/>
      <w:textAlignment w:val="auto"/>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Guidance">
    <w:name w:val="GPS L1 Guidance"/>
    <w:basedOn w:val="Normal"/>
    <w:link w:val="GPSL1GuidanceChar"/>
    <w:qFormat/>
    <w:pPr>
      <w:spacing w:before="240" w:after="120"/>
      <w:ind w:left="426"/>
    </w:pPr>
    <w:rPr>
      <w:b/>
      <w:i/>
    </w:rPr>
  </w:style>
  <w:style w:type="paragraph" w:customStyle="1" w:styleId="GPSmacrorestart">
    <w:name w:val="GPS macro restart"/>
    <w:basedOn w:val="Normal"/>
    <w:qFormat/>
    <w:pPr>
      <w:spacing w:after="0"/>
    </w:pPr>
    <w:rPr>
      <w:color w:val="FFFFFF"/>
      <w:sz w:val="16"/>
      <w:szCs w:val="16"/>
    </w:rPr>
  </w:style>
  <w:style w:type="paragraph" w:customStyle="1" w:styleId="TableNormal1">
    <w:name w:val="Table Normal1"/>
    <w:basedOn w:val="Normal"/>
    <w:qFormat/>
    <w:pPr>
      <w:spacing w:after="120"/>
      <w:ind w:left="34"/>
    </w:pPr>
  </w:style>
  <w:style w:type="paragraph" w:customStyle="1" w:styleId="TSOLScheduleNormalLeft">
    <w:name w:val="TSOL Schedule Normal Left"/>
    <w:basedOn w:val="Normal"/>
    <w:qFormat/>
    <w:pPr>
      <w:ind w:left="142"/>
    </w:pPr>
  </w:style>
  <w:style w:type="character" w:customStyle="1" w:styleId="GPSL1GuidanceChar">
    <w:name w:val="GPS L1 Guidance Char"/>
    <w:link w:val="GPSL1Guidance"/>
    <w:locked/>
    <w:rPr>
      <w:rFonts w:ascii="Calibri" w:eastAsia="Times New Roman" w:hAnsi="Calibri" w:cs="Arial"/>
      <w:b/>
      <w:i/>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widowControl w:val="0"/>
      <w:spacing w:after="80"/>
    </w:pPr>
    <w:rPr>
      <w:color w:val="000000"/>
    </w:rPr>
  </w:style>
  <w:style w:type="paragraph" w:customStyle="1" w:styleId="GPSL1CLAUSEHEADING">
    <w:name w:val="GPS L1 CLAUSE HEADING"/>
    <w:basedOn w:val="Normal"/>
    <w:next w:val="Normal"/>
    <w:link w:val="GPSL1CLAUSEHEADINGChar"/>
    <w:qFormat/>
    <w:pPr>
      <w:numPr>
        <w:numId w:val="2"/>
      </w:numPr>
      <w:tabs>
        <w:tab w:val="left" w:pos="0"/>
      </w:tabs>
      <w:overflowPunct/>
      <w:autoSpaceDE/>
      <w:autoSpaceDN/>
      <w:spacing w:before="240"/>
      <w:textAlignment w:val="auto"/>
      <w:outlineLvl w:val="1"/>
    </w:pPr>
    <w:rPr>
      <w:rFonts w:asciiTheme="minorHAnsi" w:eastAsia="STZhongsong" w:hAnsiTheme="minorHAnsi"/>
      <w:b/>
      <w:caps/>
      <w:lang w:eastAsia="zh-CN"/>
    </w:rPr>
  </w:style>
  <w:style w:type="character" w:customStyle="1" w:styleId="GPSL1CLAUSEHEADINGChar">
    <w:name w:val="GPS L1 CLAUSE HEADING Char"/>
    <w:link w:val="GPSL1CLAUSEHEADING"/>
    <w:rPr>
      <w:rFonts w:eastAsia="STZhongsong" w:cs="Arial"/>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pPr>
      <w:numPr>
        <w:ilvl w:val="2"/>
        <w:numId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6numbered">
    <w:name w:val="GPS L6 numbered"/>
    <w:basedOn w:val="GPSL5numberedclause"/>
    <w:qFormat/>
    <w:pPr>
      <w:numPr>
        <w:ilvl w:val="5"/>
      </w:numPr>
      <w:tabs>
        <w:tab w:val="left" w:pos="4253"/>
      </w:tabs>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1"/>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rPr>
      <w:rFonts w:ascii="Calibri" w:eastAsia="Times New Roman" w:hAnsi="Calibri" w:cs="Arial"/>
    </w:rPr>
  </w:style>
  <w:style w:type="paragraph" w:customStyle="1" w:styleId="GPSL1SCHEDULEHeading">
    <w:name w:val="GPS L1 SCHEDULE Heading"/>
    <w:basedOn w:val="GPSL1CLAUSEHEADING"/>
    <w:link w:val="GPSL1SCHEDULEHeadingChar"/>
    <w:qFormat/>
    <w:pPr>
      <w:numPr>
        <w:numId w:val="0"/>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2Numbered">
    <w:name w:val="GPS L2 Numbered"/>
    <w:basedOn w:val="Normal"/>
    <w:link w:val="GPSL2NumberedChar"/>
    <w:qFormat/>
    <w:pPr>
      <w:numPr>
        <w:ilvl w:val="1"/>
        <w:numId w:val="2"/>
      </w:numPr>
      <w:overflowPunct/>
      <w:autoSpaceDE/>
      <w:autoSpaceDN/>
      <w:spacing w:before="120" w:after="120"/>
      <w:textAlignment w:val="auto"/>
    </w:pPr>
    <w:rPr>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umberedBoldHeading">
    <w:name w:val="GPS L2 Numbered Bold Heading"/>
    <w:basedOn w:val="Normal"/>
  </w:style>
  <w:style w:type="paragraph" w:styleId="BodyTextIndent2">
    <w:name w:val="Body Text Indent 2"/>
    <w:basedOn w:val="Normal"/>
    <w:link w:val="BodyTextIndent2Char"/>
    <w:unhideWhenUsed/>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pPr>
      <w:spacing w:after="0"/>
    </w:pPr>
    <w:rPr>
      <w:rFonts w:eastAsia="Times New Roman" w:cs="Arial"/>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Pr>
      <w:rFonts w:asciiTheme="majorHAnsi" w:eastAsiaTheme="majorEastAsia" w:hAnsiTheme="majorHAnsi" w:cstheme="majorBidi"/>
      <w:b/>
      <w:bCs/>
      <w:color w:val="4F81BD" w:themeColor="accent1"/>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6"/>
    <w:rPr>
      <w:rFonts w:asciiTheme="majorHAnsi" w:eastAsiaTheme="majorEastAsia" w:hAnsiTheme="majorHAnsi" w:cstheme="majorBidi"/>
      <w:b/>
      <w:bCs/>
      <w:i/>
      <w:iCs/>
      <w:color w:val="4F81BD" w:themeColor="accent1"/>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Pr>
      <w:rFonts w:ascii="Times New Roman" w:hAnsi="Times New Roman" w:cs="Times New Roman"/>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Pr>
      <w:rFonts w:ascii="Times New Roman" w:hAnsi="Times New Roman" w:cs="Times New Roman"/>
      <w:lang w:eastAsia="zh-CN"/>
    </w:rPr>
  </w:style>
  <w:style w:type="character" w:customStyle="1" w:styleId="Heading7Char">
    <w:name w:val="Heading 7 Char"/>
    <w:aliases w:val="Legal Level 1.1. Char,Lev 7 Char,Heading 7(unused) Char,L2 PIP Char,H7DO NOT USE Char,PA Appendix Major Char,Blank 3 Char,Heading 7 (Do Not Use) Char"/>
    <w:basedOn w:val="DefaultParagraphFont"/>
    <w:link w:val="Heading7"/>
    <w:uiPriority w:val="9"/>
    <w:semiHidden/>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
    <w:basedOn w:val="DefaultParagraphFont"/>
    <w:link w:val="Heading8"/>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Pr>
      <w:rFonts w:ascii="Arial" w:eastAsia="STZhongsong" w:hAnsi="Arial" w:cs="Times New Roman"/>
      <w:szCs w:val="20"/>
      <w:lang w:eastAsia="zh-CN"/>
    </w:rPr>
  </w:style>
  <w:style w:type="paragraph" w:customStyle="1" w:styleId="DefinitionNumbering1">
    <w:name w:val="Definition Numbering 1"/>
    <w:basedOn w:val="Normal"/>
    <w:pPr>
      <w:tabs>
        <w:tab w:val="num" w:pos="360"/>
      </w:tabs>
      <w:overflowPunct/>
      <w:autoSpaceDE/>
      <w:autoSpaceDN/>
      <w:spacing w:after="120"/>
      <w:ind w:left="360" w:hanging="720"/>
      <w:textAlignment w:val="auto"/>
      <w:outlineLvl w:val="0"/>
    </w:pPr>
    <w:rPr>
      <w:rFonts w:eastAsia="STZhongsong" w:cs="Times New Roman"/>
      <w:szCs w:val="20"/>
      <w:lang w:eastAsia="zh-CN"/>
    </w:rPr>
  </w:style>
  <w:style w:type="paragraph" w:customStyle="1" w:styleId="DefinitionNumbering2">
    <w:name w:val="Definition Numbering 2"/>
    <w:basedOn w:val="Normal"/>
    <w:pPr>
      <w:tabs>
        <w:tab w:val="num" w:pos="2520"/>
      </w:tabs>
      <w:overflowPunct/>
      <w:autoSpaceDE/>
      <w:autoSpaceDN/>
      <w:ind w:left="2520" w:hanging="1080"/>
      <w:textAlignment w:val="auto"/>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pPr>
      <w:tabs>
        <w:tab w:val="num" w:pos="3240"/>
      </w:tabs>
      <w:overflowPunct/>
      <w:autoSpaceDE/>
      <w:autoSpaceDN/>
      <w:ind w:left="3240" w:hanging="720"/>
      <w:textAlignment w:val="auto"/>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pPr>
      <w:tabs>
        <w:tab w:val="num" w:pos="2520"/>
      </w:tabs>
      <w:overflowPunct/>
      <w:autoSpaceDE/>
      <w:autoSpaceDN/>
      <w:ind w:left="2520" w:hanging="1080"/>
      <w:textAlignment w:val="auto"/>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pPr>
      <w:tabs>
        <w:tab w:val="num" w:pos="2520"/>
      </w:tabs>
      <w:overflowPunct/>
      <w:autoSpaceDE/>
      <w:autoSpaceDN/>
      <w:ind w:left="2520" w:hanging="1080"/>
      <w:textAlignment w:val="auto"/>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pPr>
      <w:tabs>
        <w:tab w:val="num" w:pos="2520"/>
      </w:tabs>
      <w:overflowPunct/>
      <w:autoSpaceDE/>
      <w:autoSpaceDN/>
      <w:ind w:left="2520" w:hanging="1080"/>
      <w:textAlignment w:val="auto"/>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pPr>
      <w:tabs>
        <w:tab w:val="num" w:pos="2520"/>
      </w:tabs>
      <w:overflowPunct/>
      <w:autoSpaceDE/>
      <w:autoSpaceDN/>
      <w:ind w:left="2520" w:hanging="1080"/>
      <w:textAlignment w:val="auto"/>
      <w:outlineLvl w:val="6"/>
    </w:pPr>
    <w:rPr>
      <w:rFonts w:ascii="Times New Roman" w:eastAsia="STZhongsong" w:hAnsi="Times New Roman" w:cs="Times New Roman"/>
      <w:szCs w:val="20"/>
      <w:lang w:eastAsia="zh-CN"/>
    </w:rPr>
  </w:style>
  <w:style w:type="paragraph" w:customStyle="1" w:styleId="GPsDefinition">
    <w:name w:val="GPs Definition"/>
    <w:basedOn w:val="Normal"/>
    <w:uiPriority w:val="99"/>
    <w:qFormat/>
    <w:pPr>
      <w:tabs>
        <w:tab w:val="left" w:pos="-9"/>
        <w:tab w:val="num" w:pos="720"/>
      </w:tabs>
      <w:spacing w:after="120"/>
      <w:ind w:left="720" w:hanging="720"/>
    </w:pPr>
    <w:rPr>
      <w:rFonts w:ascii="Arial" w:hAnsi="Arial"/>
    </w:rPr>
  </w:style>
  <w:style w:type="paragraph" w:customStyle="1" w:styleId="GPSDefinitionL2">
    <w:name w:val="GPS Definition L2"/>
    <w:basedOn w:val="GPsDefinition"/>
    <w:uiPriority w:val="99"/>
    <w:qFormat/>
    <w:pPr>
      <w:numPr>
        <w:ilvl w:val="1"/>
      </w:numPr>
      <w:tabs>
        <w:tab w:val="clear" w:pos="-9"/>
        <w:tab w:val="left" w:pos="144"/>
        <w:tab w:val="num" w:pos="720"/>
      </w:tabs>
      <w:ind w:left="720" w:hanging="545"/>
    </w:pPr>
  </w:style>
  <w:style w:type="paragraph" w:customStyle="1" w:styleId="GPSDefinitionL3">
    <w:name w:val="GPS Definition L3"/>
    <w:basedOn w:val="GPSDefinitionL2"/>
    <w:uiPriority w:val="99"/>
    <w:qFormat/>
    <w:pPr>
      <w:numPr>
        <w:ilvl w:val="2"/>
      </w:numPr>
      <w:tabs>
        <w:tab w:val="num" w:pos="720"/>
      </w:tabs>
      <w:ind w:left="720" w:hanging="545"/>
    </w:pPr>
  </w:style>
  <w:style w:type="paragraph" w:customStyle="1" w:styleId="GPSDefinitionL4">
    <w:name w:val="GPS Definition L4"/>
    <w:basedOn w:val="GPSDefinitionL3"/>
    <w:uiPriority w:val="99"/>
    <w:qFormat/>
    <w:pPr>
      <w:numPr>
        <w:ilvl w:val="3"/>
      </w:numPr>
      <w:tabs>
        <w:tab w:val="num" w:pos="720"/>
      </w:tabs>
      <w:ind w:left="720" w:hanging="545"/>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36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3wOvmeY3l1VEtGTR3OecC4/DzXw==">AMUW2mXccSUjlzhLMJSPtRC+KUyjXjcDmsAKvG22BuBVmy+r5y3ognW+sl1W9L6vE4aCg1upljnLkVbyfoYPeoEEYE7PPG8YzaTvA1UtkoU22OgphiU1wVk9NaQ0fbUDjtbUBIbg5oUt4OAWOG1sgW1Gw5iHH501bafFptu3kmtFAXAg1ZmPdtu2l0BMalc2Jj81Vl7quPra2LYlnqOxzit9TSHHfS4fRhi7vxk+8NKyOXNuCyu9XJorgg4Wb2Yl9IN60Cma47HH</go:docsCustomData>
</go:gDocsCustomXmlDataStorage>
</file>

<file path=customXml/itemProps1.xml><?xml version="1.0" encoding="utf-8"?>
<ds:datastoreItem xmlns:ds="http://schemas.openxmlformats.org/officeDocument/2006/customXml" ds:itemID="{1F035229-CAEC-4023-AD7F-18ACBB671E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941C53-1497-494F-98FB-7E97EE2FE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EAC03-6A95-4C7F-BD50-23E2AC27366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11331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2024-05-09T08:50:00Z</dcterms:created>
  <dcterms:modified xsi:type="dcterms:W3CDTF">2024-05-09T08:50:00Z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D1V9</vt:lpwstr>
  </property>
  <property fmtid="{D5CDD505-2E9C-101B-9397-08002B2CF9AE}" pid="3" name="ContentTypeId">
    <vt:lpwstr>0x0101008324F918D5154B40ADCFADD50BD2479E</vt:lpwstr>
  </property>
</Properties>
</file>