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587B" w14:textId="77777777" w:rsidR="0093247A" w:rsidRPr="00A8526E" w:rsidRDefault="0093247A" w:rsidP="0093247A">
      <w:pPr>
        <w:jc w:val="right"/>
        <w:rPr>
          <w:rFonts w:cs="Arial"/>
        </w:rPr>
      </w:pPr>
    </w:p>
    <w:p w14:paraId="2D0E4C83" w14:textId="77777777" w:rsidR="00D3263C" w:rsidRPr="00A8526E" w:rsidRDefault="00D3263C" w:rsidP="0093247A">
      <w:pPr>
        <w:pStyle w:val="StyleJustifiedLeft127cm"/>
        <w:spacing w:before="0" w:after="120"/>
        <w:ind w:left="0"/>
        <w:jc w:val="center"/>
        <w:rPr>
          <w:rFonts w:cs="Arial"/>
          <w:b/>
          <w:sz w:val="28"/>
          <w:szCs w:val="28"/>
        </w:rPr>
      </w:pPr>
    </w:p>
    <w:p w14:paraId="189A11BD" w14:textId="77777777" w:rsidR="00D3263C" w:rsidRPr="00A8526E" w:rsidRDefault="00D3263C" w:rsidP="0093247A">
      <w:pPr>
        <w:pStyle w:val="StyleJustifiedLeft127cm"/>
        <w:spacing w:before="0" w:after="120"/>
        <w:ind w:left="0"/>
        <w:jc w:val="center"/>
        <w:rPr>
          <w:rFonts w:cs="Arial"/>
          <w:b/>
          <w:sz w:val="28"/>
          <w:szCs w:val="28"/>
        </w:rPr>
      </w:pPr>
    </w:p>
    <w:p w14:paraId="69A73276"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NHS South, Central &amp; West Commissioning Support Unit</w:t>
      </w:r>
    </w:p>
    <w:p w14:paraId="4E47B88D" w14:textId="39D1E49D" w:rsidR="0093247A" w:rsidRPr="00A8526E" w:rsidRDefault="00050071" w:rsidP="0093247A">
      <w:pPr>
        <w:pStyle w:val="StyleJustifiedLeft127cm"/>
        <w:spacing w:before="0" w:after="120"/>
        <w:ind w:left="0"/>
        <w:jc w:val="center"/>
        <w:rPr>
          <w:rFonts w:cs="Arial"/>
          <w:b/>
          <w:sz w:val="28"/>
          <w:szCs w:val="28"/>
        </w:rPr>
      </w:pPr>
      <w:r w:rsidRPr="00050071">
        <w:rPr>
          <w:rFonts w:cs="Arial"/>
          <w:b/>
          <w:sz w:val="28"/>
          <w:szCs w:val="28"/>
        </w:rPr>
        <w:t>NHS England and NHS Improvement South West Provision of Primary Care Dental Servic</w:t>
      </w:r>
      <w:r w:rsidR="00452381">
        <w:rPr>
          <w:rFonts w:cs="Arial"/>
          <w:b/>
          <w:sz w:val="28"/>
          <w:szCs w:val="28"/>
        </w:rPr>
        <w:t>es within Dental Education facilities</w:t>
      </w:r>
      <w:r>
        <w:rPr>
          <w:rFonts w:cs="Arial"/>
          <w:b/>
          <w:sz w:val="28"/>
          <w:szCs w:val="28"/>
        </w:rPr>
        <w:t xml:space="preserve"> in Truro, Exeter &amp; Plymouth</w:t>
      </w:r>
    </w:p>
    <w:p w14:paraId="5AD1F4AE" w14:textId="1C8554B1" w:rsidR="00C02865" w:rsidRDefault="00C02865" w:rsidP="00955E0A">
      <w:pPr>
        <w:spacing w:after="200" w:line="276" w:lineRule="auto"/>
        <w:rPr>
          <w:rFonts w:cs="Arial"/>
        </w:rPr>
      </w:pPr>
    </w:p>
    <w:p w14:paraId="0E0E7D8C" w14:textId="2129DDBA" w:rsidR="003C234C" w:rsidRPr="003C234C" w:rsidRDefault="003C234C" w:rsidP="003C234C">
      <w:pPr>
        <w:spacing w:after="200" w:line="276" w:lineRule="auto"/>
        <w:rPr>
          <w:rFonts w:cs="Arial"/>
        </w:rPr>
      </w:pPr>
      <w:r w:rsidRPr="003C234C">
        <w:rPr>
          <w:rFonts w:cs="Arial"/>
        </w:rPr>
        <w:t>Should NHSE/I proceed to a procurement process it is anticipated to consist of two stages:  (1) Stage 1 The aim of this shortlisting stage is predominantly to test the capability and capacity of potential Providers and to identify whether there is more than one capable provider; (2) Stage 2 will either be: (a) a competitive process (if more than one capable provider is identified at Stage 1), which may involve dialogue and will involve assessment of bids against published evaluation criteria and weightings; or (b) a collaborative “Assurance Process” with a single provider,  if only one capable provider is identified at Stage 1. Both approaches will involve evidence being considered by subject matter experts and assessed against critical success factors and expected minimum standards.</w:t>
      </w:r>
    </w:p>
    <w:p w14:paraId="5CF32C8A" w14:textId="77777777" w:rsidR="003C234C" w:rsidRPr="003C234C" w:rsidRDefault="003C234C" w:rsidP="003C234C">
      <w:pPr>
        <w:spacing w:after="200" w:line="276" w:lineRule="auto"/>
        <w:rPr>
          <w:rFonts w:cs="Arial"/>
        </w:rPr>
      </w:pPr>
      <w:r w:rsidRPr="003C234C">
        <w:rPr>
          <w:rFonts w:cs="Arial"/>
        </w:rPr>
        <w:t>The services are healthcare services falling within Schedule 3 to the Public Contracts Regulations 2015 ("the Regulations") which are not subject to the full regime of the Regulations, but are instead governed by the "Light Touch Regime" contained within Chapter 3, Section 7 of the Regulations (Regulations 74 to 77).</w:t>
      </w:r>
    </w:p>
    <w:p w14:paraId="47ED6C74" w14:textId="1830BF5C" w:rsidR="003C234C" w:rsidRPr="003C234C" w:rsidRDefault="003C234C" w:rsidP="003C234C">
      <w:pPr>
        <w:spacing w:after="200" w:line="276" w:lineRule="auto"/>
        <w:rPr>
          <w:rFonts w:cs="Arial"/>
        </w:rPr>
      </w:pPr>
      <w:r w:rsidRPr="003C234C">
        <w:rPr>
          <w:rFonts w:cs="Arial"/>
        </w:rPr>
        <w:t xml:space="preserve">The process will be conducted in accordance with the requirements and flexibilities provided by Articles 74 to 76 of the Directive, and Regulations 74 to 76 of the Regulations. The Authority will run a transparent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 </w:t>
      </w:r>
    </w:p>
    <w:p w14:paraId="7A6689A9" w14:textId="77777777" w:rsidR="003C234C" w:rsidRPr="003C234C" w:rsidRDefault="003C234C" w:rsidP="003C234C">
      <w:pPr>
        <w:spacing w:after="200" w:line="276" w:lineRule="auto"/>
        <w:rPr>
          <w:rFonts w:cs="Arial"/>
        </w:rPr>
      </w:pPr>
      <w:r w:rsidRPr="003C234C">
        <w:rPr>
          <w:rFonts w:cs="Arial"/>
        </w:rPr>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14:paraId="2B0BAE4C" w14:textId="429CE602" w:rsidR="003C234C" w:rsidRPr="003C234C" w:rsidRDefault="003C234C" w:rsidP="003C234C">
      <w:pPr>
        <w:spacing w:after="200" w:line="276" w:lineRule="auto"/>
        <w:rPr>
          <w:rFonts w:cs="Arial"/>
        </w:rPr>
      </w:pPr>
      <w:r w:rsidRPr="003C234C">
        <w:rPr>
          <w:rFonts w:cs="Arial"/>
        </w:rPr>
        <w:t xml:space="preserve">The Contracting Authority will observe a voluntary award decision notices provisions and may observe a 10-day standstill period described in Regulation 86 of the Regulations. Bidders who are unsuccessful will receive scores and reasons for the decision, including the reasons why the Bidder/application was unsuccessful (Stage </w:t>
      </w:r>
      <w:r w:rsidRPr="003C234C">
        <w:rPr>
          <w:rFonts w:cs="Arial"/>
        </w:rPr>
        <w:lastRenderedPageBreak/>
        <w:t>1) and the characteristics and relative advantages of the winning bid (if there is a competitive tender at Stage 2.</w:t>
      </w:r>
    </w:p>
    <w:p w14:paraId="45F59E7B" w14:textId="7770EF65" w:rsidR="003C234C" w:rsidRPr="003C234C" w:rsidRDefault="003C234C" w:rsidP="003C234C">
      <w:pPr>
        <w:spacing w:after="200" w:line="276" w:lineRule="auto"/>
        <w:rPr>
          <w:rFonts w:cs="Arial"/>
        </w:rPr>
      </w:pPr>
      <w:r w:rsidRPr="003C234C">
        <w:rPr>
          <w:rFonts w:cs="Arial"/>
        </w:rPr>
        <w:t>The services are healthcare services falling within Schedule 3 to the Public Contracts Regulations 2015 ("the Regulations")  which are not subject to the full regime of the Regulations, but is instead governed by the "Light Touch Regime" contained within Chapter 3, Section 7 of the Regulations (Regulations 74 to 77).</w:t>
      </w:r>
    </w:p>
    <w:p w14:paraId="3F1D62D1" w14:textId="7C3424B3" w:rsidR="003C234C" w:rsidRPr="003C234C" w:rsidRDefault="003C234C" w:rsidP="003C234C">
      <w:pPr>
        <w:spacing w:after="200" w:line="276" w:lineRule="auto"/>
        <w:rPr>
          <w:rFonts w:cs="Arial"/>
        </w:rPr>
      </w:pPr>
      <w:r w:rsidRPr="003C234C">
        <w:rPr>
          <w:rFonts w:cs="Arial"/>
        </w:rPr>
        <w:t xml:space="preserve">The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 </w:t>
      </w:r>
    </w:p>
    <w:p w14:paraId="6814AA14" w14:textId="467B2B04" w:rsidR="003C234C" w:rsidRPr="003C234C" w:rsidRDefault="003C234C" w:rsidP="003C234C">
      <w:pPr>
        <w:spacing w:after="200" w:line="276" w:lineRule="auto"/>
        <w:rPr>
          <w:rFonts w:cs="Arial"/>
        </w:rPr>
      </w:pPr>
      <w:r w:rsidRPr="003C234C">
        <w:rPr>
          <w:rFonts w:cs="Arial"/>
        </w:rPr>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14:paraId="420EC56B" w14:textId="7BCDA3A5" w:rsidR="003C234C" w:rsidRPr="00A8526E" w:rsidRDefault="003C234C" w:rsidP="003C234C">
      <w:pPr>
        <w:spacing w:after="200" w:line="276" w:lineRule="auto"/>
        <w:rPr>
          <w:rFonts w:cs="Arial"/>
        </w:rPr>
      </w:pPr>
      <w:r w:rsidRPr="003C234C">
        <w:rPr>
          <w:rFonts w:cs="Arial"/>
        </w:rPr>
        <w:t>The Contracting Authority intends to voluntarily observe the award decision notices provisions and 10 day standstill period described in Regulation 86 of the Regulations. Unsuccessful Bidders will receive scores and reasons for the decision, including the characteristics and relative advantages of the winning bid and the reasons why the Bidder/application was unsuccessful. Deadline for lodging of appeals should be in accordance with Regulation 87 and Regulation 91 of the Regulations.</w:t>
      </w:r>
    </w:p>
    <w:p w14:paraId="382B11BB" w14:textId="09380DEE" w:rsidR="005E4A49" w:rsidRPr="00696743" w:rsidRDefault="005E4A49" w:rsidP="00955E0A">
      <w:pPr>
        <w:spacing w:after="200" w:line="276" w:lineRule="auto"/>
        <w:rPr>
          <w:rFonts w:cs="Arial"/>
        </w:rPr>
      </w:pPr>
    </w:p>
    <w:sectPr w:rsidR="005E4A49" w:rsidRPr="00696743" w:rsidSect="00D3263C">
      <w:footerReference w:type="default" r:id="rId7"/>
      <w:headerReference w:type="first" r:id="rId8"/>
      <w:footerReference w:type="first" r:id="rId9"/>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C24C" w14:textId="77777777" w:rsidR="00050071" w:rsidRDefault="00050071" w:rsidP="0093247A">
      <w:r>
        <w:separator/>
      </w:r>
    </w:p>
  </w:endnote>
  <w:endnote w:type="continuationSeparator" w:id="0">
    <w:p w14:paraId="12A43ED3" w14:textId="77777777" w:rsidR="00050071" w:rsidRDefault="00050071"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385F55A4"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3C6537A4" w14:textId="77777777" w:rsidR="00C33734" w:rsidRDefault="00C3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A0E1" w14:textId="5F35706F"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798C" w14:textId="77777777" w:rsidR="00050071" w:rsidRDefault="00050071" w:rsidP="0093247A">
      <w:r>
        <w:separator/>
      </w:r>
    </w:p>
  </w:footnote>
  <w:footnote w:type="continuationSeparator" w:id="0">
    <w:p w14:paraId="6D41FBDD" w14:textId="77777777" w:rsidR="00050071" w:rsidRDefault="00050071"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5F20" w14:textId="77777777" w:rsidR="00C33734" w:rsidRDefault="00C33734">
    <w:pPr>
      <w:pStyle w:val="Header"/>
    </w:pPr>
    <w:r>
      <w:rPr>
        <w:noProof/>
        <w:lang w:eastAsia="en-GB"/>
      </w:rPr>
      <w:drawing>
        <wp:anchor distT="0" distB="0" distL="114300" distR="114300" simplePos="0" relativeHeight="251659264" behindDoc="1" locked="0" layoutInCell="1" allowOverlap="1" wp14:anchorId="4755488F" wp14:editId="2DCD7B2E">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041CF"/>
    <w:multiLevelType w:val="hybridMultilevel"/>
    <w:tmpl w:val="15861C7E"/>
    <w:lvl w:ilvl="0" w:tplc="08090001">
      <w:start w:val="1"/>
      <w:numFmt w:val="bullet"/>
      <w:lvlText w:val=""/>
      <w:lvlJc w:val="left"/>
      <w:pPr>
        <w:ind w:left="720" w:hanging="360"/>
      </w:pPr>
      <w:rPr>
        <w:rFonts w:ascii="Symbol" w:hAnsi="Symbol" w:hint="default"/>
      </w:rPr>
    </w:lvl>
    <w:lvl w:ilvl="1" w:tplc="57DCF21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1"/>
    <w:rsid w:val="000230E1"/>
    <w:rsid w:val="00050071"/>
    <w:rsid w:val="000C3B8D"/>
    <w:rsid w:val="000D4105"/>
    <w:rsid w:val="00131C35"/>
    <w:rsid w:val="001629B2"/>
    <w:rsid w:val="00196D62"/>
    <w:rsid w:val="001B2160"/>
    <w:rsid w:val="001B4E69"/>
    <w:rsid w:val="001D4A2B"/>
    <w:rsid w:val="00236D87"/>
    <w:rsid w:val="00281685"/>
    <w:rsid w:val="002A5F66"/>
    <w:rsid w:val="002E27FE"/>
    <w:rsid w:val="00314D64"/>
    <w:rsid w:val="0034565D"/>
    <w:rsid w:val="00353247"/>
    <w:rsid w:val="00366360"/>
    <w:rsid w:val="003A5E26"/>
    <w:rsid w:val="003C234C"/>
    <w:rsid w:val="003D047A"/>
    <w:rsid w:val="003E5236"/>
    <w:rsid w:val="003F32A0"/>
    <w:rsid w:val="00452381"/>
    <w:rsid w:val="0047153A"/>
    <w:rsid w:val="004824E1"/>
    <w:rsid w:val="004C2677"/>
    <w:rsid w:val="00505B2E"/>
    <w:rsid w:val="0051449A"/>
    <w:rsid w:val="0053687B"/>
    <w:rsid w:val="00586F17"/>
    <w:rsid w:val="005B4757"/>
    <w:rsid w:val="005B76F3"/>
    <w:rsid w:val="005C3255"/>
    <w:rsid w:val="005E4A49"/>
    <w:rsid w:val="005F4E85"/>
    <w:rsid w:val="0061213C"/>
    <w:rsid w:val="006512C2"/>
    <w:rsid w:val="006552BC"/>
    <w:rsid w:val="00686C7A"/>
    <w:rsid w:val="00687D8B"/>
    <w:rsid w:val="00696743"/>
    <w:rsid w:val="006D2A64"/>
    <w:rsid w:val="007216FA"/>
    <w:rsid w:val="007402A0"/>
    <w:rsid w:val="007C205E"/>
    <w:rsid w:val="007C400B"/>
    <w:rsid w:val="00863C0C"/>
    <w:rsid w:val="008A1487"/>
    <w:rsid w:val="00917E40"/>
    <w:rsid w:val="009204AA"/>
    <w:rsid w:val="0093247A"/>
    <w:rsid w:val="00934BE7"/>
    <w:rsid w:val="00937037"/>
    <w:rsid w:val="00955E0A"/>
    <w:rsid w:val="00960F7E"/>
    <w:rsid w:val="009A7D7B"/>
    <w:rsid w:val="00A3426A"/>
    <w:rsid w:val="00A41869"/>
    <w:rsid w:val="00A42635"/>
    <w:rsid w:val="00A56480"/>
    <w:rsid w:val="00A76B0A"/>
    <w:rsid w:val="00A8526E"/>
    <w:rsid w:val="00A95BA0"/>
    <w:rsid w:val="00AA5139"/>
    <w:rsid w:val="00B5772E"/>
    <w:rsid w:val="00B856AD"/>
    <w:rsid w:val="00B875E8"/>
    <w:rsid w:val="00BB5137"/>
    <w:rsid w:val="00BC2545"/>
    <w:rsid w:val="00BC64ED"/>
    <w:rsid w:val="00BD7EAA"/>
    <w:rsid w:val="00BF20F3"/>
    <w:rsid w:val="00C02865"/>
    <w:rsid w:val="00C33734"/>
    <w:rsid w:val="00C4200B"/>
    <w:rsid w:val="00C46A8D"/>
    <w:rsid w:val="00C74DD3"/>
    <w:rsid w:val="00CC4DF0"/>
    <w:rsid w:val="00CC571F"/>
    <w:rsid w:val="00CD1995"/>
    <w:rsid w:val="00D067E8"/>
    <w:rsid w:val="00D3263C"/>
    <w:rsid w:val="00DA21E1"/>
    <w:rsid w:val="00DA6AE2"/>
    <w:rsid w:val="00DD3CD0"/>
    <w:rsid w:val="00E30E4B"/>
    <w:rsid w:val="00ED33A0"/>
    <w:rsid w:val="00EE4698"/>
    <w:rsid w:val="00EE4CCB"/>
    <w:rsid w:val="00F11FEC"/>
    <w:rsid w:val="00F152B6"/>
    <w:rsid w:val="00F40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1B07"/>
  <w15:docId w15:val="{3AA87A8F-FD00-4D38-A41A-3800655E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UnresolvedMention">
    <w:name w:val="Unresolved Mention"/>
    <w:basedOn w:val="DefaultParagraphFont"/>
    <w:uiPriority w:val="99"/>
    <w:semiHidden/>
    <w:unhideWhenUsed/>
    <w:rsid w:val="00917E40"/>
    <w:rPr>
      <w:color w:val="605E5C"/>
      <w:shd w:val="clear" w:color="auto" w:fill="E1DFDD"/>
    </w:rPr>
  </w:style>
  <w:style w:type="character" w:styleId="CommentReference">
    <w:name w:val="annotation reference"/>
    <w:basedOn w:val="DefaultParagraphFont"/>
    <w:uiPriority w:val="99"/>
    <w:semiHidden/>
    <w:unhideWhenUsed/>
    <w:rsid w:val="00AA5139"/>
    <w:rPr>
      <w:sz w:val="16"/>
      <w:szCs w:val="16"/>
    </w:rPr>
  </w:style>
  <w:style w:type="paragraph" w:styleId="CommentText">
    <w:name w:val="annotation text"/>
    <w:basedOn w:val="Normal"/>
    <w:link w:val="CommentTextChar"/>
    <w:uiPriority w:val="99"/>
    <w:semiHidden/>
    <w:unhideWhenUsed/>
    <w:rsid w:val="00AA5139"/>
    <w:rPr>
      <w:sz w:val="20"/>
    </w:rPr>
  </w:style>
  <w:style w:type="character" w:customStyle="1" w:styleId="CommentTextChar">
    <w:name w:val="Comment Text Char"/>
    <w:basedOn w:val="DefaultParagraphFont"/>
    <w:link w:val="CommentText"/>
    <w:uiPriority w:val="99"/>
    <w:semiHidden/>
    <w:rsid w:val="00AA513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A5139"/>
    <w:rPr>
      <w:b/>
      <w:bCs/>
    </w:rPr>
  </w:style>
  <w:style w:type="character" w:customStyle="1" w:styleId="CommentSubjectChar">
    <w:name w:val="Comment Subject Char"/>
    <w:basedOn w:val="CommentTextChar"/>
    <w:link w:val="CommentSubject"/>
    <w:uiPriority w:val="99"/>
    <w:semiHidden/>
    <w:rsid w:val="00AA513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FPM\CF\Procurement\Document%20Library\3.%20PCR2015%20ONLY\Advert%20Templates\Contracts%20Finder\CF%20-%20Opportunity%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 - Opportunity v1.1.dotx</Template>
  <TotalTime>26</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Hayward Nicola (NHS SCWCSU)</dc:creator>
  <dc:description>Template approved JG 13102020</dc:description>
  <cp:lastModifiedBy>HAYWARD, Nicola (NHS SOUTH, CENTRAL AND WEST COMMISSIONING SUPPORT UNIT)</cp:lastModifiedBy>
  <cp:revision>3</cp:revision>
  <cp:lastPrinted>2019-07-15T11:24:00Z</cp:lastPrinted>
  <dcterms:created xsi:type="dcterms:W3CDTF">2021-05-11T15:00:00Z</dcterms:created>
  <dcterms:modified xsi:type="dcterms:W3CDTF">2021-05-11T15:02:00Z</dcterms:modified>
</cp:coreProperties>
</file>