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302" w:rsidRDefault="00B95302" w:rsidP="00B95302">
      <w:pPr>
        <w:rPr>
          <w:rFonts w:ascii="Verdana" w:hAnsi="Verdana"/>
          <w:b/>
        </w:rPr>
      </w:pPr>
      <w:r w:rsidRPr="005B1454">
        <w:rPr>
          <w:rFonts w:ascii="Verdana" w:hAnsi="Verdana"/>
          <w:b/>
        </w:rPr>
        <w:t xml:space="preserve">Clarification TEN 474 dated </w:t>
      </w:r>
      <w:r>
        <w:rPr>
          <w:rFonts w:ascii="Verdana" w:hAnsi="Verdana"/>
          <w:b/>
        </w:rPr>
        <w:t>13</w:t>
      </w:r>
      <w:r w:rsidRPr="005B1454">
        <w:rPr>
          <w:rFonts w:ascii="Verdana" w:hAnsi="Verdana"/>
          <w:b/>
        </w:rPr>
        <w:t xml:space="preserve"> March 2020</w:t>
      </w: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Question:</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The BIG Productivity Team works as part of the SME business support landscape, hence it works collaboratively with a range of other programmes. Will the tenderer will work with the BIG Productivity Team and reach out to the rest of the business support community.</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Answer:</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The BIG Productivity Team will work with the Tenderer to access current SME business support landscape as required.</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Question:</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Is the tenderer expected to bring a number of likely beneficiaries to the programme?</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Answer:</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The ITT does not require this</w:t>
      </w:r>
      <w:r w:rsidR="00A6068A">
        <w:rPr>
          <w:rFonts w:asciiTheme="minorHAnsi" w:eastAsia="Times New Roman" w:hAnsiTheme="minorHAnsi" w:cstheme="minorHAnsi"/>
        </w:rPr>
        <w:t xml:space="preserve"> but see also Section 5.1</w:t>
      </w:r>
      <w:r w:rsidRPr="00A6068A">
        <w:rPr>
          <w:rFonts w:asciiTheme="minorHAnsi" w:eastAsia="Times New Roman" w:hAnsiTheme="minorHAnsi" w:cstheme="minorHAnsi"/>
        </w:rPr>
        <w:t>.</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Question:</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Target enterprises are described as SMEs that have been trading for a minimum of three years, have accounts for these years, turnover of greater then £250,000, with growth less than 5% over the last two years – do we know how many businesses fall into this category, and are these measures fixed?</w:t>
      </w:r>
    </w:p>
    <w:p w:rsidR="00B95302" w:rsidRPr="00A6068A" w:rsidRDefault="00B95302" w:rsidP="00B95302">
      <w:pPr>
        <w:pStyle w:val="xmsolistparagraph"/>
        <w:ind w:left="0"/>
        <w:rPr>
          <w:rFonts w:asciiTheme="minorHAnsi" w:eastAsia="Times New Roman" w:hAnsiTheme="minorHAnsi" w:cstheme="minorHAnsi"/>
          <w:b/>
          <w:bCs/>
        </w:rPr>
      </w:pPr>
    </w:p>
    <w:p w:rsidR="00B95302" w:rsidRPr="00A6068A" w:rsidRDefault="00B95302" w:rsidP="00B95302">
      <w:pPr>
        <w:pStyle w:val="xmsolistparagraph"/>
        <w:ind w:left="0"/>
        <w:rPr>
          <w:rFonts w:asciiTheme="minorHAnsi" w:eastAsia="Times New Roman" w:hAnsiTheme="minorHAnsi" w:cstheme="minorHAnsi"/>
          <w:b/>
          <w:bCs/>
        </w:rPr>
      </w:pPr>
      <w:r w:rsidRPr="00A6068A">
        <w:rPr>
          <w:rFonts w:asciiTheme="minorHAnsi" w:eastAsia="Times New Roman" w:hAnsiTheme="minorHAnsi" w:cstheme="minorHAnsi"/>
          <w:b/>
          <w:bCs/>
        </w:rPr>
        <w:t>Answer:</w:t>
      </w:r>
    </w:p>
    <w:p w:rsidR="00B95302" w:rsidRPr="00A6068A" w:rsidRDefault="00B95302" w:rsidP="00B95302">
      <w:pPr>
        <w:pStyle w:val="xmsolistparagraph"/>
        <w:ind w:left="0"/>
        <w:rPr>
          <w:rFonts w:asciiTheme="minorHAnsi" w:eastAsia="Times New Roman" w:hAnsiTheme="minorHAnsi" w:cstheme="minorHAnsi"/>
          <w:b/>
          <w:bCs/>
        </w:rPr>
      </w:pPr>
    </w:p>
    <w:p w:rsidR="00B95302" w:rsidRPr="00A6068A" w:rsidRDefault="00B95302" w:rsidP="00B95302">
      <w:pPr>
        <w:pStyle w:val="xmsolistparagraph"/>
        <w:ind w:left="0"/>
        <w:rPr>
          <w:rFonts w:asciiTheme="minorHAnsi" w:eastAsia="Times New Roman" w:hAnsiTheme="minorHAnsi" w:cstheme="minorHAnsi"/>
          <w:bCs/>
        </w:rPr>
      </w:pPr>
      <w:r w:rsidRPr="00A6068A">
        <w:rPr>
          <w:rFonts w:asciiTheme="minorHAnsi" w:eastAsia="Times New Roman" w:hAnsiTheme="minorHAnsi" w:cstheme="minorHAnsi"/>
          <w:bCs/>
        </w:rPr>
        <w:t>Please refer to Section 5.1</w:t>
      </w:r>
    </w:p>
    <w:p w:rsidR="00B95302" w:rsidRPr="00A6068A" w:rsidRDefault="00B95302" w:rsidP="00B95302">
      <w:pPr>
        <w:pStyle w:val="xmsolistparagraph"/>
        <w:ind w:left="0"/>
        <w:rPr>
          <w:rFonts w:asciiTheme="minorHAnsi" w:eastAsia="Times New Roman" w:hAnsiTheme="minorHAnsi" w:cstheme="minorHAnsi"/>
          <w:b/>
          <w:bCs/>
        </w:rPr>
      </w:pPr>
    </w:p>
    <w:p w:rsidR="00B95302" w:rsidRPr="00A6068A" w:rsidRDefault="00B95302" w:rsidP="00B95302">
      <w:pPr>
        <w:pStyle w:val="xmsolistparagraph"/>
        <w:ind w:left="0"/>
        <w:rPr>
          <w:rFonts w:asciiTheme="minorHAnsi" w:eastAsia="Times New Roman" w:hAnsiTheme="minorHAnsi" w:cstheme="minorHAnsi"/>
          <w:b/>
          <w:bCs/>
          <w:i/>
        </w:rPr>
      </w:pPr>
      <w:r w:rsidRPr="00A6068A">
        <w:rPr>
          <w:rFonts w:asciiTheme="minorHAnsi" w:hAnsiTheme="minorHAnsi" w:cstheme="minorHAnsi"/>
          <w:i/>
        </w:rPr>
        <w:t>5.1</w:t>
      </w:r>
      <w:r w:rsidRPr="00A6068A">
        <w:rPr>
          <w:rFonts w:asciiTheme="minorHAnsi" w:hAnsiTheme="minorHAnsi" w:cstheme="minorHAnsi"/>
          <w:i/>
        </w:rPr>
        <w:tab/>
        <w:t xml:space="preserve">Initial process. BIG Productivity have devised </w:t>
      </w:r>
      <w:r w:rsidRPr="00A6068A">
        <w:rPr>
          <w:rFonts w:asciiTheme="minorHAnsi" w:hAnsiTheme="minorHAnsi" w:cstheme="minorHAnsi"/>
          <w:i/>
          <w:highlight w:val="yellow"/>
        </w:rPr>
        <w:t>an initial approach to the process but CDC welcomes input from the tenderer in preparing a final set of criteria.</w:t>
      </w:r>
    </w:p>
    <w:p w:rsidR="00B95302" w:rsidRPr="00A6068A" w:rsidRDefault="00B95302" w:rsidP="00B95302">
      <w:pPr>
        <w:pStyle w:val="xmsolistparagraph"/>
        <w:ind w:left="0"/>
        <w:rPr>
          <w:rFonts w:asciiTheme="minorHAnsi" w:eastAsia="Times New Roman" w:hAnsiTheme="minorHAnsi" w:cstheme="minorHAnsi"/>
          <w:b/>
          <w:bCs/>
          <w:i/>
        </w:rPr>
      </w:pPr>
    </w:p>
    <w:p w:rsidR="00B95302" w:rsidRPr="00A6068A" w:rsidRDefault="00B95302" w:rsidP="00B95302">
      <w:pPr>
        <w:pStyle w:val="xmsolistparagraph"/>
        <w:ind w:left="0"/>
        <w:rPr>
          <w:rFonts w:asciiTheme="minorHAnsi" w:eastAsia="Times New Roman" w:hAnsiTheme="minorHAnsi" w:cstheme="minorHAnsi"/>
          <w:b/>
          <w:bCs/>
        </w:rPr>
      </w:pPr>
      <w:r w:rsidRPr="00A6068A">
        <w:rPr>
          <w:rFonts w:asciiTheme="minorHAnsi" w:eastAsia="Times New Roman" w:hAnsiTheme="minorHAnsi" w:cstheme="minorHAnsi"/>
          <w:b/>
          <w:bCs/>
        </w:rPr>
        <w:t>Question:</w:t>
      </w:r>
    </w:p>
    <w:p w:rsidR="00B95302" w:rsidRPr="00A6068A" w:rsidRDefault="00B95302" w:rsidP="00B95302">
      <w:pPr>
        <w:pStyle w:val="xmsolistparagraph"/>
        <w:ind w:left="0"/>
        <w:rPr>
          <w:rFonts w:asciiTheme="minorHAnsi" w:eastAsia="Times New Roman" w:hAnsiTheme="minorHAnsi" w:cstheme="minorHAnsi"/>
          <w:b/>
          <w:bCs/>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b/>
          <w:bCs/>
        </w:rPr>
        <w:t>5.3</w:t>
      </w:r>
      <w:r w:rsidRPr="00A6068A">
        <w:rPr>
          <w:rFonts w:asciiTheme="minorHAnsi" w:eastAsia="Times New Roman" w:hAnsiTheme="minorHAnsi" w:cstheme="minorHAnsi"/>
        </w:rPr>
        <w:t xml:space="preserve"> – will it be the responsibility of the tenderer to locate and source best practice in terms of suppliers to beneficiary SMEs?</w:t>
      </w:r>
    </w:p>
    <w:p w:rsidR="00B95302" w:rsidRPr="00A6068A" w:rsidRDefault="00B95302" w:rsidP="00B95302">
      <w:pPr>
        <w:pStyle w:val="xmsolistparagraph"/>
        <w:ind w:left="0"/>
        <w:rPr>
          <w:rFonts w:asciiTheme="minorHAnsi" w:eastAsia="Times New Roman" w:hAnsiTheme="minorHAnsi" w:cstheme="minorHAnsi"/>
        </w:rPr>
      </w:pPr>
    </w:p>
    <w:p w:rsidR="00482946" w:rsidRPr="00A6068A" w:rsidRDefault="00482946"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Answer:</w:t>
      </w:r>
    </w:p>
    <w:p w:rsidR="00482946" w:rsidRPr="00A6068A" w:rsidRDefault="00482946" w:rsidP="00B95302">
      <w:pPr>
        <w:pStyle w:val="xmsolistparagraph"/>
        <w:ind w:left="0"/>
        <w:rPr>
          <w:rFonts w:asciiTheme="minorHAnsi" w:eastAsia="Times New Roman" w:hAnsiTheme="minorHAnsi" w:cstheme="minorHAnsi"/>
        </w:rPr>
      </w:pPr>
    </w:p>
    <w:p w:rsidR="00482946" w:rsidRDefault="00482946"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Please refer to Sections 5.1 and 5.2:</w:t>
      </w:r>
    </w:p>
    <w:p w:rsidR="00A6068A" w:rsidRPr="00A6068A" w:rsidRDefault="00A6068A" w:rsidP="00B95302">
      <w:pPr>
        <w:pStyle w:val="xmsolistparagraph"/>
        <w:ind w:left="0"/>
        <w:rPr>
          <w:rFonts w:asciiTheme="minorHAnsi" w:eastAsia="Times New Roman" w:hAnsiTheme="minorHAnsi" w:cstheme="minorHAnsi"/>
        </w:rPr>
      </w:pPr>
    </w:p>
    <w:p w:rsidR="00482946" w:rsidRPr="00A6068A" w:rsidRDefault="00482946" w:rsidP="00B95302">
      <w:pPr>
        <w:pStyle w:val="xmsolistparagraph"/>
        <w:ind w:left="0"/>
        <w:rPr>
          <w:rFonts w:asciiTheme="minorHAnsi" w:eastAsia="Times New Roman" w:hAnsiTheme="minorHAnsi" w:cstheme="minorHAnsi"/>
          <w:i/>
        </w:rPr>
      </w:pPr>
      <w:r w:rsidRPr="00A6068A">
        <w:rPr>
          <w:rFonts w:asciiTheme="minorHAnsi" w:eastAsia="Times New Roman" w:hAnsiTheme="minorHAnsi" w:cstheme="minorHAnsi"/>
        </w:rPr>
        <w:t xml:space="preserve"> 5.1…………</w:t>
      </w:r>
      <w:r w:rsidRPr="00A6068A">
        <w:rPr>
          <w:rFonts w:asciiTheme="minorHAnsi" w:hAnsiTheme="minorHAnsi" w:cstheme="minorHAnsi"/>
        </w:rPr>
        <w:t xml:space="preserve"> </w:t>
      </w:r>
      <w:r w:rsidRPr="00A6068A">
        <w:rPr>
          <w:rFonts w:asciiTheme="minorHAnsi" w:eastAsia="Times New Roman" w:hAnsiTheme="minorHAnsi" w:cstheme="minorHAnsi"/>
          <w:i/>
          <w:highlight w:val="yellow"/>
        </w:rPr>
        <w:t>The aim of the support would be to initiate a programme of activity that would result in a minimum of growth of 20% within 12-24 months</w:t>
      </w:r>
    </w:p>
    <w:p w:rsidR="00482946" w:rsidRPr="00A6068A" w:rsidRDefault="00482946" w:rsidP="00482946">
      <w:pPr>
        <w:keepNext/>
        <w:keepLines/>
        <w:widowControl w:val="0"/>
        <w:autoSpaceDE w:val="0"/>
        <w:autoSpaceDN w:val="0"/>
        <w:adjustRightInd w:val="0"/>
        <w:spacing w:after="0"/>
        <w:contextualSpacing/>
        <w:outlineLvl w:val="2"/>
        <w:rPr>
          <w:rFonts w:eastAsiaTheme="majorEastAsia" w:cstheme="minorHAnsi"/>
          <w:b/>
          <w:bCs/>
          <w:i/>
          <w:sz w:val="24"/>
          <w:szCs w:val="24"/>
          <w:lang w:eastAsia="en-GB"/>
        </w:rPr>
      </w:pPr>
    </w:p>
    <w:p w:rsidR="00482946" w:rsidRPr="00A6068A" w:rsidRDefault="00482946" w:rsidP="00482946">
      <w:pPr>
        <w:keepNext/>
        <w:keepLines/>
        <w:widowControl w:val="0"/>
        <w:autoSpaceDE w:val="0"/>
        <w:autoSpaceDN w:val="0"/>
        <w:adjustRightInd w:val="0"/>
        <w:spacing w:after="0"/>
        <w:contextualSpacing/>
        <w:outlineLvl w:val="2"/>
        <w:rPr>
          <w:rFonts w:eastAsiaTheme="majorEastAsia" w:cstheme="minorHAnsi"/>
          <w:bCs/>
          <w:sz w:val="24"/>
          <w:szCs w:val="24"/>
          <w:lang w:eastAsia="en-GB"/>
        </w:rPr>
      </w:pPr>
    </w:p>
    <w:p w:rsidR="00482946" w:rsidRPr="00A6068A" w:rsidRDefault="00482946" w:rsidP="00482946">
      <w:pPr>
        <w:keepNext/>
        <w:keepLines/>
        <w:widowControl w:val="0"/>
        <w:autoSpaceDE w:val="0"/>
        <w:autoSpaceDN w:val="0"/>
        <w:adjustRightInd w:val="0"/>
        <w:spacing w:after="0"/>
        <w:contextualSpacing/>
        <w:outlineLvl w:val="2"/>
        <w:rPr>
          <w:rFonts w:eastAsiaTheme="majorEastAsia" w:cstheme="minorHAnsi"/>
          <w:b/>
          <w:bCs/>
          <w:i/>
          <w:sz w:val="24"/>
          <w:szCs w:val="24"/>
          <w:lang w:eastAsia="en-GB"/>
        </w:rPr>
      </w:pPr>
      <w:r w:rsidRPr="00A6068A">
        <w:rPr>
          <w:rFonts w:eastAsiaTheme="majorEastAsia" w:cstheme="minorHAnsi"/>
          <w:bCs/>
          <w:sz w:val="24"/>
          <w:szCs w:val="24"/>
          <w:lang w:eastAsia="en-GB"/>
        </w:rPr>
        <w:t xml:space="preserve">5.2 </w:t>
      </w:r>
      <w:r w:rsidRPr="00A6068A">
        <w:rPr>
          <w:rFonts w:eastAsiaTheme="majorEastAsia" w:cstheme="minorHAnsi"/>
          <w:bCs/>
          <w:i/>
          <w:sz w:val="24"/>
          <w:szCs w:val="24"/>
          <w:lang w:eastAsia="en-GB"/>
        </w:rPr>
        <w:t xml:space="preserve">The tenderer </w:t>
      </w:r>
      <w:r w:rsidRPr="00A6068A">
        <w:rPr>
          <w:rFonts w:eastAsiaTheme="majorEastAsia" w:cstheme="minorHAnsi"/>
          <w:bCs/>
          <w:i/>
          <w:sz w:val="24"/>
          <w:szCs w:val="24"/>
          <w:highlight w:val="yellow"/>
          <w:lang w:eastAsia="en-GB"/>
        </w:rPr>
        <w:t>will be responsible for providing support across potentially a wide range of sectors</w:t>
      </w:r>
      <w:r w:rsidRPr="00A6068A">
        <w:rPr>
          <w:rFonts w:eastAsiaTheme="majorEastAsia" w:cstheme="minorHAnsi"/>
          <w:bCs/>
          <w:i/>
          <w:sz w:val="24"/>
          <w:szCs w:val="24"/>
          <w:lang w:eastAsia="en-GB"/>
        </w:rPr>
        <w:t xml:space="preserve">. It will be necessary, therefore, </w:t>
      </w:r>
      <w:r w:rsidRPr="00A6068A">
        <w:rPr>
          <w:rFonts w:eastAsiaTheme="majorEastAsia" w:cstheme="minorHAnsi"/>
          <w:bCs/>
          <w:i/>
          <w:sz w:val="24"/>
          <w:szCs w:val="24"/>
          <w:highlight w:val="yellow"/>
          <w:lang w:eastAsia="en-GB"/>
        </w:rPr>
        <w:t>where the Tenderer does not have the inhouse skills and experience, to identify and subcontract with other provider(s) and manage these subcontract relationships</w:t>
      </w:r>
      <w:r w:rsidRPr="00A6068A">
        <w:rPr>
          <w:rFonts w:eastAsiaTheme="majorEastAsia" w:cstheme="minorHAnsi"/>
          <w:bCs/>
          <w:i/>
          <w:sz w:val="24"/>
          <w:szCs w:val="24"/>
          <w:lang w:eastAsia="en-GB"/>
        </w:rPr>
        <w:t xml:space="preserve">. </w:t>
      </w:r>
    </w:p>
    <w:p w:rsidR="00482946" w:rsidRPr="00A6068A" w:rsidRDefault="00482946" w:rsidP="00B95302">
      <w:pPr>
        <w:pStyle w:val="xmsolistparagraph"/>
        <w:ind w:left="0"/>
        <w:rPr>
          <w:rFonts w:asciiTheme="minorHAnsi" w:eastAsia="Times New Roman" w:hAnsiTheme="minorHAnsi" w:cstheme="minorHAnsi"/>
          <w: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Question:</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 xml:space="preserve">The tender indicates that payments will be paid monthly, and not by results. </w:t>
      </w:r>
      <w:r w:rsidRPr="00A6068A">
        <w:rPr>
          <w:rFonts w:asciiTheme="minorHAnsi" w:eastAsia="Times New Roman" w:hAnsiTheme="minorHAnsi" w:cstheme="minorHAnsi"/>
          <w:b/>
          <w:bCs/>
        </w:rPr>
        <w:t>4.3</w:t>
      </w:r>
      <w:r w:rsidRPr="00A6068A">
        <w:rPr>
          <w:rFonts w:asciiTheme="minorHAnsi" w:eastAsia="Times New Roman" w:hAnsiTheme="minorHAnsi" w:cstheme="minorHAnsi"/>
        </w:rPr>
        <w:t xml:space="preserve"> provides the support profile - Is funding fixed or is it likely to be success based on the SME profile table?</w:t>
      </w:r>
    </w:p>
    <w:p w:rsidR="00B95302" w:rsidRPr="00A6068A" w:rsidRDefault="00B95302" w:rsidP="00B95302">
      <w:pPr>
        <w:pStyle w:val="xmsolistparagraph"/>
        <w:ind w:left="0"/>
        <w:rPr>
          <w:rFonts w:asciiTheme="minorHAnsi" w:eastAsia="Times New Roman" w:hAnsiTheme="minorHAnsi" w:cstheme="minorHAnsi"/>
        </w:rPr>
      </w:pPr>
    </w:p>
    <w:p w:rsidR="00482946" w:rsidRPr="00A6068A" w:rsidRDefault="00482946"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Answer:</w:t>
      </w:r>
    </w:p>
    <w:p w:rsidR="00482946" w:rsidRPr="00A6068A" w:rsidRDefault="00482946" w:rsidP="00B95302">
      <w:pPr>
        <w:pStyle w:val="xmsolistparagraph"/>
        <w:ind w:left="0"/>
        <w:rPr>
          <w:rFonts w:asciiTheme="minorHAnsi" w:eastAsia="Times New Roman" w:hAnsiTheme="minorHAnsi" w:cstheme="minorHAnsi"/>
          <w:b/>
        </w:rPr>
      </w:pPr>
    </w:p>
    <w:p w:rsidR="00482946" w:rsidRPr="00A6068A" w:rsidRDefault="00482946"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Please refer to</w:t>
      </w:r>
      <w:r w:rsidR="00A6068A">
        <w:rPr>
          <w:rFonts w:asciiTheme="minorHAnsi" w:eastAsia="Times New Roman" w:hAnsiTheme="minorHAnsi" w:cstheme="minorHAnsi"/>
        </w:rPr>
        <w:t xml:space="preserve"> Section 6.3</w:t>
      </w:r>
      <w:bookmarkStart w:id="0" w:name="_GoBack"/>
      <w:bookmarkEnd w:id="0"/>
      <w:r w:rsidRPr="00A6068A">
        <w:rPr>
          <w:rFonts w:asciiTheme="minorHAnsi" w:eastAsia="Times New Roman" w:hAnsiTheme="minorHAnsi" w:cstheme="minorHAnsi"/>
        </w:rPr>
        <w:t>:</w:t>
      </w:r>
    </w:p>
    <w:p w:rsidR="00482946" w:rsidRPr="00A6068A" w:rsidRDefault="00482946" w:rsidP="00B95302">
      <w:pPr>
        <w:pStyle w:val="xmsolistparagraph"/>
        <w:ind w:left="0"/>
        <w:rPr>
          <w:rFonts w:asciiTheme="minorHAnsi" w:eastAsia="Times New Roman" w:hAnsiTheme="minorHAnsi" w:cstheme="minorHAnsi"/>
        </w:rPr>
      </w:pPr>
    </w:p>
    <w:p w:rsidR="00482946" w:rsidRPr="00A6068A" w:rsidRDefault="00482946" w:rsidP="00B95302">
      <w:pPr>
        <w:pStyle w:val="xmsolistparagraph"/>
        <w:ind w:left="0"/>
        <w:rPr>
          <w:rFonts w:asciiTheme="minorHAnsi" w:eastAsia="Times New Roman" w:hAnsiTheme="minorHAnsi" w:cstheme="minorHAnsi"/>
          <w:i/>
        </w:rPr>
      </w:pPr>
      <w:r w:rsidRPr="00A6068A">
        <w:rPr>
          <w:rFonts w:asciiTheme="minorHAnsi" w:eastAsiaTheme="majorEastAsia" w:hAnsiTheme="minorHAnsi" w:cstheme="minorHAnsi"/>
          <w:b/>
          <w:bCs/>
          <w:i/>
        </w:rPr>
        <w:t>6.3</w:t>
      </w:r>
      <w:r w:rsidRPr="00A6068A">
        <w:rPr>
          <w:rFonts w:asciiTheme="minorHAnsi" w:eastAsia="Times" w:hAnsiTheme="minorHAnsi" w:cstheme="minorHAnsi"/>
          <w:i/>
          <w:lang w:eastAsia="en-US"/>
        </w:rPr>
        <w:tab/>
        <w:t xml:space="preserve">The successful tenderer will receive 7.5% of the contract price within 14 days of signing a contract with CDC the remainder of </w:t>
      </w:r>
      <w:r w:rsidRPr="00A6068A">
        <w:rPr>
          <w:rFonts w:asciiTheme="minorHAnsi" w:eastAsia="Times" w:hAnsiTheme="minorHAnsi" w:cstheme="minorHAnsi"/>
          <w:i/>
          <w:highlight w:val="yellow"/>
          <w:lang w:eastAsia="en-US"/>
        </w:rPr>
        <w:t>the contract will be divided by 30 and paid within 30 days of receiving an invoice and the evidence confirming the support has been completed</w:t>
      </w:r>
    </w:p>
    <w:p w:rsidR="00B95302" w:rsidRPr="00A6068A" w:rsidRDefault="00B95302" w:rsidP="00B95302">
      <w:pPr>
        <w:pStyle w:val="xmsolistparagraph"/>
        <w:ind w:left="0"/>
        <w:rPr>
          <w:rFonts w:asciiTheme="minorHAnsi" w:eastAsia="Times New Roman" w:hAnsiTheme="minorHAnsi" w:cstheme="minorHAnsi"/>
          <w:i/>
        </w:rPr>
      </w:pPr>
    </w:p>
    <w:p w:rsidR="00B95302" w:rsidRPr="00A6068A" w:rsidRDefault="00B95302" w:rsidP="00B95302">
      <w:pPr>
        <w:pStyle w:val="xmsolistparagraph"/>
        <w:ind w:left="0"/>
        <w:rPr>
          <w:rFonts w:asciiTheme="minorHAnsi" w:eastAsia="Times New Roman" w:hAnsiTheme="minorHAnsi" w:cstheme="minorHAnsi"/>
          <w:b/>
        </w:rPr>
      </w:pPr>
      <w:r w:rsidRPr="00A6068A">
        <w:rPr>
          <w:rFonts w:asciiTheme="minorHAnsi" w:eastAsia="Times New Roman" w:hAnsiTheme="minorHAnsi" w:cstheme="minorHAnsi"/>
          <w:b/>
        </w:rPr>
        <w:t>Question:</w:t>
      </w:r>
    </w:p>
    <w:p w:rsidR="00B95302" w:rsidRPr="00A6068A" w:rsidRDefault="00B95302" w:rsidP="00B95302">
      <w:pPr>
        <w:pStyle w:val="xmsolistparagraph"/>
        <w:ind w:left="0"/>
        <w:rPr>
          <w:rFonts w:asciiTheme="minorHAnsi" w:eastAsia="Times New Roman" w:hAnsiTheme="minorHAnsi" w:cstheme="minorHAnsi"/>
        </w:rPr>
      </w:pPr>
    </w:p>
    <w:p w:rsidR="00B95302" w:rsidRPr="00A6068A" w:rsidRDefault="00B95302" w:rsidP="00B95302">
      <w:pPr>
        <w:pStyle w:val="xmsolistparagraph"/>
        <w:ind w:left="0"/>
        <w:rPr>
          <w:rFonts w:asciiTheme="minorHAnsi" w:eastAsia="Times New Roman" w:hAnsiTheme="minorHAnsi" w:cstheme="minorHAnsi"/>
        </w:rPr>
      </w:pPr>
      <w:r w:rsidRPr="00A6068A">
        <w:rPr>
          <w:rFonts w:asciiTheme="minorHAnsi" w:eastAsia="Times New Roman" w:hAnsiTheme="minorHAnsi" w:cstheme="minorHAnsi"/>
        </w:rPr>
        <w:t>The tender highlights intended outcomes, i.e. high value investment in excess of £500,000. Is the tenderer expected to identify sources, make such introductions or secure funding?</w:t>
      </w:r>
    </w:p>
    <w:p w:rsidR="00E55B46" w:rsidRPr="00A6068A" w:rsidRDefault="00E55B46">
      <w:pPr>
        <w:rPr>
          <w:rFonts w:cstheme="minorHAnsi"/>
          <w:b/>
          <w:sz w:val="24"/>
          <w:szCs w:val="24"/>
        </w:rPr>
      </w:pPr>
    </w:p>
    <w:p w:rsidR="00482946" w:rsidRPr="00A6068A" w:rsidRDefault="00482946">
      <w:pPr>
        <w:rPr>
          <w:rFonts w:cstheme="minorHAnsi"/>
          <w:b/>
          <w:sz w:val="24"/>
          <w:szCs w:val="24"/>
        </w:rPr>
      </w:pPr>
      <w:r w:rsidRPr="00A6068A">
        <w:rPr>
          <w:rFonts w:cstheme="minorHAnsi"/>
          <w:b/>
          <w:sz w:val="24"/>
          <w:szCs w:val="24"/>
        </w:rPr>
        <w:t>Answer:</w:t>
      </w:r>
    </w:p>
    <w:p w:rsidR="00E55B46" w:rsidRPr="00A6068A" w:rsidRDefault="00E55B46">
      <w:pPr>
        <w:rPr>
          <w:rFonts w:cstheme="minorHAnsi"/>
          <w:sz w:val="24"/>
          <w:szCs w:val="24"/>
        </w:rPr>
      </w:pPr>
      <w:r w:rsidRPr="00A6068A">
        <w:rPr>
          <w:rFonts w:cstheme="minorHAnsi"/>
          <w:sz w:val="24"/>
          <w:szCs w:val="24"/>
        </w:rPr>
        <w:t>Please refer to</w:t>
      </w:r>
      <w:r w:rsidR="00A6068A">
        <w:rPr>
          <w:rFonts w:cstheme="minorHAnsi"/>
          <w:sz w:val="24"/>
          <w:szCs w:val="24"/>
        </w:rPr>
        <w:t xml:space="preserve"> Section 4.1</w:t>
      </w:r>
      <w:r w:rsidRPr="00A6068A">
        <w:rPr>
          <w:rFonts w:cstheme="minorHAnsi"/>
          <w:sz w:val="24"/>
          <w:szCs w:val="24"/>
        </w:rPr>
        <w:t>:</w:t>
      </w:r>
    </w:p>
    <w:p w:rsidR="00E55B46" w:rsidRPr="00A6068A" w:rsidRDefault="00E55B46" w:rsidP="00E55B46">
      <w:pPr>
        <w:spacing w:after="0"/>
        <w:contextualSpacing/>
        <w:rPr>
          <w:rFonts w:eastAsiaTheme="minorEastAsia" w:cstheme="minorHAnsi"/>
          <w:bCs/>
          <w:i/>
          <w:sz w:val="24"/>
          <w:szCs w:val="24"/>
          <w:lang w:eastAsia="en-GB"/>
        </w:rPr>
      </w:pPr>
      <w:r w:rsidRPr="00A6068A">
        <w:rPr>
          <w:rFonts w:eastAsiaTheme="majorEastAsia" w:cstheme="minorHAnsi"/>
          <w:b/>
          <w:bCs/>
          <w:i/>
          <w:sz w:val="24"/>
          <w:szCs w:val="24"/>
          <w:lang w:eastAsia="en-GB"/>
        </w:rPr>
        <w:t>4.1</w:t>
      </w:r>
      <w:r w:rsidRPr="00A6068A">
        <w:rPr>
          <w:rFonts w:eastAsiaTheme="minorEastAsia" w:cstheme="minorHAnsi"/>
          <w:bCs/>
          <w:i/>
          <w:sz w:val="24"/>
          <w:szCs w:val="24"/>
          <w:lang w:eastAsia="en-GB"/>
        </w:rPr>
        <w:tab/>
        <w:t>CDC is seeking to commission an experienced supplier to collaborate with the BIG Productivity team to provide a non-financial expert advisory support to 30 ERDF eligible SMEs to significantly (step change</w:t>
      </w:r>
      <w:r w:rsidRPr="00A6068A">
        <w:rPr>
          <w:rFonts w:eastAsiaTheme="minorEastAsia" w:cstheme="minorHAnsi"/>
          <w:bCs/>
          <w:i/>
          <w:sz w:val="24"/>
          <w:szCs w:val="24"/>
          <w:vertAlign w:val="superscript"/>
          <w:lang w:eastAsia="en-GB"/>
        </w:rPr>
        <w:footnoteReference w:id="1"/>
      </w:r>
      <w:r w:rsidRPr="00A6068A">
        <w:rPr>
          <w:rFonts w:eastAsiaTheme="minorEastAsia" w:cstheme="minorHAnsi"/>
          <w:bCs/>
          <w:i/>
          <w:sz w:val="24"/>
          <w:szCs w:val="24"/>
          <w:lang w:eastAsia="en-GB"/>
        </w:rPr>
        <w:t>) their productivity by gaining access to any of the following:</w:t>
      </w:r>
    </w:p>
    <w:p w:rsidR="00E55B46" w:rsidRPr="00A6068A" w:rsidRDefault="00E55B46" w:rsidP="00E55B46">
      <w:pPr>
        <w:spacing w:after="0"/>
        <w:contextualSpacing/>
        <w:rPr>
          <w:rFonts w:eastAsiaTheme="minorEastAsia" w:cstheme="minorHAnsi"/>
          <w:bCs/>
          <w:i/>
          <w:sz w:val="24"/>
          <w:szCs w:val="24"/>
          <w:lang w:eastAsia="en-GB"/>
        </w:rPr>
      </w:pPr>
    </w:p>
    <w:p w:rsidR="00E55B46" w:rsidRPr="00A6068A" w:rsidRDefault="00E55B46" w:rsidP="00E55B4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New Markets with existing product</w:t>
      </w:r>
    </w:p>
    <w:p w:rsidR="00E55B46" w:rsidRPr="00A6068A" w:rsidRDefault="00E55B46" w:rsidP="00E55B4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New Markets with new product</w:t>
      </w:r>
    </w:p>
    <w:p w:rsidR="00E55B46" w:rsidRPr="00A6068A" w:rsidRDefault="00E55B46" w:rsidP="00E55B4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R&amp;D development of a new product</w:t>
      </w:r>
    </w:p>
    <w:p w:rsidR="00E55B46" w:rsidRPr="00A6068A" w:rsidRDefault="00E55B46" w:rsidP="00E55B4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New supply chain</w:t>
      </w:r>
    </w:p>
    <w:p w:rsidR="00E55B46" w:rsidRPr="00A6068A" w:rsidRDefault="00E55B46" w:rsidP="00E55B4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New Process</w:t>
      </w:r>
    </w:p>
    <w:p w:rsidR="00E55B46" w:rsidRPr="00A6068A" w:rsidRDefault="00E55B46" w:rsidP="00E55B46">
      <w:pPr>
        <w:widowControl w:val="0"/>
        <w:numPr>
          <w:ilvl w:val="0"/>
          <w:numId w:val="2"/>
        </w:numPr>
        <w:autoSpaceDE w:val="0"/>
        <w:autoSpaceDN w:val="0"/>
        <w:adjustRightInd w:val="0"/>
        <w:spacing w:after="0" w:line="240" w:lineRule="auto"/>
        <w:contextualSpacing/>
        <w:jc w:val="both"/>
        <w:rPr>
          <w:rFonts w:eastAsiaTheme="minorEastAsia" w:cstheme="minorHAnsi"/>
          <w:bCs/>
          <w:i/>
          <w:sz w:val="24"/>
          <w:szCs w:val="24"/>
          <w:lang w:eastAsia="en-GB"/>
        </w:rPr>
      </w:pPr>
      <w:r w:rsidRPr="00A6068A">
        <w:rPr>
          <w:rFonts w:eastAsiaTheme="minorEastAsia" w:cstheme="minorHAnsi"/>
          <w:bCs/>
          <w:i/>
          <w:sz w:val="24"/>
          <w:szCs w:val="24"/>
          <w:lang w:eastAsia="en-GB"/>
        </w:rPr>
        <w:t>Sources of grant funding in excess of £250k</w:t>
      </w:r>
    </w:p>
    <w:p w:rsidR="00E55B46" w:rsidRPr="00A6068A" w:rsidRDefault="00E55B46" w:rsidP="00C521C6">
      <w:pPr>
        <w:widowControl w:val="0"/>
        <w:numPr>
          <w:ilvl w:val="0"/>
          <w:numId w:val="2"/>
        </w:numPr>
        <w:autoSpaceDE w:val="0"/>
        <w:autoSpaceDN w:val="0"/>
        <w:adjustRightInd w:val="0"/>
        <w:spacing w:after="0" w:line="240" w:lineRule="auto"/>
        <w:contextualSpacing/>
        <w:rPr>
          <w:rFonts w:eastAsiaTheme="minorEastAsia" w:cstheme="minorHAnsi"/>
          <w:bCs/>
          <w:i/>
          <w:sz w:val="24"/>
          <w:szCs w:val="24"/>
          <w:lang w:eastAsia="en-GB"/>
        </w:rPr>
      </w:pPr>
      <w:r w:rsidRPr="00A6068A">
        <w:rPr>
          <w:rFonts w:eastAsiaTheme="minorEastAsia" w:cstheme="minorHAnsi"/>
          <w:bCs/>
          <w:i/>
          <w:sz w:val="24"/>
          <w:szCs w:val="24"/>
          <w:lang w:eastAsia="en-GB"/>
        </w:rPr>
        <w:t>High value investment in excess of £500K</w:t>
      </w:r>
    </w:p>
    <w:p w:rsidR="00E55B46" w:rsidRPr="00A6068A" w:rsidRDefault="00E55B46" w:rsidP="00E55B46">
      <w:pPr>
        <w:widowControl w:val="0"/>
        <w:autoSpaceDE w:val="0"/>
        <w:autoSpaceDN w:val="0"/>
        <w:adjustRightInd w:val="0"/>
        <w:spacing w:after="0" w:line="240" w:lineRule="auto"/>
        <w:contextualSpacing/>
        <w:rPr>
          <w:rFonts w:eastAsiaTheme="minorEastAsia" w:cstheme="minorHAnsi"/>
          <w:bCs/>
          <w:i/>
          <w:sz w:val="24"/>
          <w:szCs w:val="24"/>
          <w:lang w:eastAsia="en-GB"/>
        </w:rPr>
      </w:pPr>
    </w:p>
    <w:p w:rsidR="00E55B46" w:rsidRPr="00A6068A" w:rsidRDefault="00E55B46" w:rsidP="00E55B46">
      <w:pPr>
        <w:contextualSpacing/>
        <w:rPr>
          <w:rFonts w:cstheme="minorHAnsi"/>
          <w:bCs/>
          <w:i/>
          <w:sz w:val="24"/>
          <w:szCs w:val="24"/>
        </w:rPr>
      </w:pPr>
      <w:r w:rsidRPr="00A6068A">
        <w:rPr>
          <w:rStyle w:val="FootnoteReference"/>
          <w:rFonts w:cstheme="minorHAnsi"/>
          <w:i/>
          <w:sz w:val="24"/>
          <w:szCs w:val="24"/>
        </w:rPr>
        <w:footnoteRef/>
      </w:r>
      <w:r w:rsidRPr="00A6068A">
        <w:rPr>
          <w:rFonts w:cstheme="minorHAnsi"/>
          <w:i/>
          <w:sz w:val="24"/>
          <w:szCs w:val="24"/>
        </w:rPr>
        <w:t xml:space="preserve"> </w:t>
      </w:r>
      <w:r w:rsidRPr="00A6068A">
        <w:rPr>
          <w:rFonts w:cstheme="minorHAnsi"/>
          <w:bCs/>
          <w:i/>
          <w:sz w:val="24"/>
          <w:szCs w:val="24"/>
        </w:rPr>
        <w:t xml:space="preserve">Step change. The tenderer </w:t>
      </w:r>
      <w:r w:rsidRPr="00A6068A">
        <w:rPr>
          <w:rFonts w:cstheme="minorHAnsi"/>
          <w:bCs/>
          <w:i/>
          <w:sz w:val="24"/>
          <w:szCs w:val="24"/>
          <w:highlight w:val="yellow"/>
        </w:rPr>
        <w:t>will identify and deliver</w:t>
      </w:r>
      <w:r w:rsidRPr="00A6068A">
        <w:rPr>
          <w:rFonts w:cstheme="minorHAnsi"/>
          <w:bCs/>
          <w:i/>
          <w:sz w:val="24"/>
          <w:szCs w:val="24"/>
        </w:rPr>
        <w:t xml:space="preserve"> the support the SME requires to achieve the significant increase in productivity. The tenderer is to ensure that the SME is given every opportunity to achieve the significant growth in productivity which will normally be a minimum of 20% within 12-24 months of the intervention.</w:t>
      </w:r>
    </w:p>
    <w:p w:rsidR="00E55B46" w:rsidRPr="00A6068A" w:rsidRDefault="00E55B46" w:rsidP="00E55B46">
      <w:pPr>
        <w:contextualSpacing/>
        <w:rPr>
          <w:rFonts w:cstheme="minorHAnsi"/>
          <w:bCs/>
          <w:i/>
          <w:sz w:val="24"/>
          <w:szCs w:val="24"/>
        </w:rPr>
      </w:pPr>
    </w:p>
    <w:p w:rsidR="00E55B46" w:rsidRPr="00A6068A" w:rsidRDefault="00E55B46" w:rsidP="00E55B46">
      <w:pPr>
        <w:contextualSpacing/>
        <w:rPr>
          <w:rFonts w:cstheme="minorHAnsi"/>
          <w:bCs/>
          <w:sz w:val="24"/>
          <w:szCs w:val="24"/>
        </w:rPr>
      </w:pPr>
      <w:r w:rsidRPr="00A6068A">
        <w:rPr>
          <w:rFonts w:cstheme="minorHAnsi"/>
          <w:bCs/>
          <w:sz w:val="24"/>
          <w:szCs w:val="24"/>
        </w:rPr>
        <w:t>Therefore, the tenderer is expected to identify sources and make such introductions but not necessarily secure the funding</w:t>
      </w:r>
    </w:p>
    <w:sectPr w:rsidR="00E55B46" w:rsidRPr="00A6068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46" w:rsidRDefault="00E55B46" w:rsidP="00E55B46">
      <w:pPr>
        <w:spacing w:after="0" w:line="240" w:lineRule="auto"/>
      </w:pPr>
      <w:r>
        <w:separator/>
      </w:r>
    </w:p>
  </w:endnote>
  <w:endnote w:type="continuationSeparator" w:id="0">
    <w:p w:rsidR="00E55B46" w:rsidRDefault="00E55B46" w:rsidP="00E5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8A" w:rsidRDefault="00A6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8A" w:rsidRDefault="00A60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8A" w:rsidRDefault="00A6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46" w:rsidRDefault="00E55B46" w:rsidP="00E55B46">
      <w:pPr>
        <w:spacing w:after="0" w:line="240" w:lineRule="auto"/>
      </w:pPr>
      <w:r>
        <w:separator/>
      </w:r>
    </w:p>
  </w:footnote>
  <w:footnote w:type="continuationSeparator" w:id="0">
    <w:p w:rsidR="00E55B46" w:rsidRDefault="00E55B46" w:rsidP="00E55B46">
      <w:pPr>
        <w:spacing w:after="0" w:line="240" w:lineRule="auto"/>
      </w:pPr>
      <w:r>
        <w:continuationSeparator/>
      </w:r>
    </w:p>
  </w:footnote>
  <w:footnote w:id="1">
    <w:p w:rsidR="00E55B46" w:rsidRPr="00E55B46" w:rsidRDefault="00E55B46" w:rsidP="00E55B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8A" w:rsidRDefault="00A6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B46" w:rsidRDefault="00E55B46">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5f8e4ff2920a99d8ce27e2d9"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B46" w:rsidRPr="00E55B46" w:rsidRDefault="00E55B46" w:rsidP="00E55B46">
                          <w:pPr>
                            <w:spacing w:after="0"/>
                            <w:jc w:val="right"/>
                            <w:rPr>
                              <w:rFonts w:ascii="Calibri" w:hAnsi="Calibri" w:cs="Calibri"/>
                              <w:color w:val="FF8C00"/>
                              <w:sz w:val="20"/>
                            </w:rPr>
                          </w:pPr>
                          <w:r w:rsidRPr="00E55B46">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f8e4ff2920a99d8ce27e2d9"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ACleP4HQMAADgGAAAOAAAAAAAAAAAA&#10;AAAAAC4CAABkcnMvZTJvRG9jLnhtbFBLAQItABQABgAIAAAAIQA3pHo63AAAAAcBAAAPAAAAAAAA&#10;AAAAAAAAAHcFAABkcnMvZG93bnJldi54bWxQSwUGAAAAAAQABADzAAAAgAYAAAAA&#10;" o:allowincell="f" filled="f" stroked="f" strokeweight=".5pt">
              <v:textbox inset=",0,20pt,0">
                <w:txbxContent>
                  <w:p w:rsidR="00E55B46" w:rsidRPr="00E55B46" w:rsidRDefault="00E55B46" w:rsidP="00E55B46">
                    <w:pPr>
                      <w:spacing w:after="0"/>
                      <w:jc w:val="right"/>
                      <w:rPr>
                        <w:rFonts w:ascii="Calibri" w:hAnsi="Calibri" w:cs="Calibri"/>
                        <w:color w:val="FF8C00"/>
                        <w:sz w:val="20"/>
                      </w:rPr>
                    </w:pPr>
                    <w:r w:rsidRPr="00E55B46">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8A" w:rsidRDefault="00A6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471DB"/>
    <w:multiLevelType w:val="hybridMultilevel"/>
    <w:tmpl w:val="90AE0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F3A6D"/>
    <w:multiLevelType w:val="multilevel"/>
    <w:tmpl w:val="67882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02"/>
    <w:rsid w:val="00482946"/>
    <w:rsid w:val="004F45F3"/>
    <w:rsid w:val="0063197B"/>
    <w:rsid w:val="008D72CE"/>
    <w:rsid w:val="00A6068A"/>
    <w:rsid w:val="00B95302"/>
    <w:rsid w:val="00C37ADD"/>
    <w:rsid w:val="00E5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B525E"/>
  <w15:chartTrackingRefBased/>
  <w15:docId w15:val="{51E1128E-2479-49AA-AA47-5C59F36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95302"/>
    <w:pPr>
      <w:spacing w:after="0" w:line="240" w:lineRule="auto"/>
    </w:pPr>
    <w:rPr>
      <w:rFonts w:ascii="Calibri" w:hAnsi="Calibri" w:cs="Calibri"/>
      <w:sz w:val="24"/>
      <w:szCs w:val="24"/>
      <w:lang w:eastAsia="en-GB"/>
    </w:rPr>
  </w:style>
  <w:style w:type="paragraph" w:customStyle="1" w:styleId="xmsolistparagraph">
    <w:name w:val="x_msolistparagraph"/>
    <w:basedOn w:val="Normal"/>
    <w:rsid w:val="00B95302"/>
    <w:pPr>
      <w:spacing w:after="0" w:line="240" w:lineRule="auto"/>
      <w:ind w:left="720"/>
    </w:pPr>
    <w:rPr>
      <w:rFonts w:ascii="Calibri" w:hAnsi="Calibri" w:cs="Calibri"/>
      <w:sz w:val="24"/>
      <w:szCs w:val="24"/>
      <w:lang w:eastAsia="en-GB"/>
    </w:rPr>
  </w:style>
  <w:style w:type="paragraph" w:styleId="FootnoteText">
    <w:name w:val="footnote text"/>
    <w:basedOn w:val="Normal"/>
    <w:link w:val="FootnoteTextChar"/>
    <w:uiPriority w:val="99"/>
    <w:semiHidden/>
    <w:unhideWhenUsed/>
    <w:rsid w:val="00E55B46"/>
    <w:pPr>
      <w:widowControl w:val="0"/>
      <w:autoSpaceDE w:val="0"/>
      <w:autoSpaceDN w:val="0"/>
      <w:adjustRightInd w:val="0"/>
      <w:spacing w:after="0" w:line="240" w:lineRule="auto"/>
    </w:pPr>
    <w:rPr>
      <w:rFonts w:ascii="Times New Roman" w:eastAsiaTheme="minorEastAsia"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55B46"/>
    <w:rPr>
      <w:rFonts w:ascii="Times New Roman" w:eastAsiaTheme="minorEastAsia" w:hAnsi="Times New Roman" w:cs="Times New Roman"/>
      <w:sz w:val="20"/>
      <w:szCs w:val="20"/>
      <w:lang w:eastAsia="en-GB"/>
    </w:rPr>
  </w:style>
  <w:style w:type="character" w:styleId="FootnoteReference">
    <w:name w:val="footnote reference"/>
    <w:basedOn w:val="DefaultParagraphFont"/>
    <w:uiPriority w:val="99"/>
    <w:semiHidden/>
    <w:unhideWhenUsed/>
    <w:rsid w:val="00E55B46"/>
    <w:rPr>
      <w:vertAlign w:val="superscript"/>
    </w:rPr>
  </w:style>
  <w:style w:type="paragraph" w:styleId="Header">
    <w:name w:val="header"/>
    <w:basedOn w:val="Normal"/>
    <w:link w:val="HeaderChar"/>
    <w:uiPriority w:val="99"/>
    <w:unhideWhenUsed/>
    <w:rsid w:val="00E55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B46"/>
  </w:style>
  <w:style w:type="paragraph" w:styleId="Footer">
    <w:name w:val="footer"/>
    <w:basedOn w:val="Normal"/>
    <w:link w:val="FooterChar"/>
    <w:uiPriority w:val="99"/>
    <w:unhideWhenUsed/>
    <w:rsid w:val="00E55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1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Woodworth Graham</cp:lastModifiedBy>
  <cp:revision>2</cp:revision>
  <dcterms:created xsi:type="dcterms:W3CDTF">2020-03-13T12:13:00Z</dcterms:created>
  <dcterms:modified xsi:type="dcterms:W3CDTF">2020-03-13T13:23:00Z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2020-03-13T12:42:23.8361631Z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