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E97A14" w:rsidP="001042C6">
      <w:pPr>
        <w:pStyle w:val="DHTitle"/>
        <w:rPr>
          <w:rFonts w:cs="Arial"/>
          <w:sz w:val="32"/>
          <w:szCs w:val="32"/>
        </w:rPr>
      </w:pPr>
      <w:r>
        <w:rPr>
          <w:rFonts w:cs="Arial"/>
          <w:sz w:val="32"/>
          <w:szCs w:val="32"/>
        </w:rPr>
        <w:t>NHS Supply Chain – Financial Model Support Services</w:t>
      </w:r>
    </w:p>
    <w:p w:rsidR="001042C6" w:rsidRPr="00DC356C" w:rsidRDefault="001042C6" w:rsidP="001042C6">
      <w:pPr>
        <w:pStyle w:val="DHTitle"/>
        <w:rPr>
          <w:rFonts w:cs="Arial"/>
          <w:sz w:val="32"/>
          <w:szCs w:val="32"/>
        </w:rPr>
      </w:pPr>
    </w:p>
    <w:p w:rsidR="001042C6" w:rsidRDefault="001042C6" w:rsidP="006552FA">
      <w:pPr>
        <w:ind w:left="720"/>
        <w:jc w:val="center"/>
        <w:rPr>
          <w:sz w:val="32"/>
          <w:szCs w:val="32"/>
        </w:rPr>
      </w:pPr>
      <w:r w:rsidRPr="008A4796">
        <w:rPr>
          <w:sz w:val="32"/>
          <w:szCs w:val="32"/>
        </w:rPr>
        <w:t xml:space="preserve">Deadline: </w:t>
      </w:r>
      <w:r w:rsidR="002A6936">
        <w:rPr>
          <w:sz w:val="32"/>
          <w:szCs w:val="32"/>
        </w:rPr>
        <w:t>17:00, 18</w:t>
      </w:r>
      <w:r w:rsidR="002A6936" w:rsidRPr="002A6936">
        <w:rPr>
          <w:sz w:val="32"/>
          <w:szCs w:val="32"/>
          <w:vertAlign w:val="superscript"/>
        </w:rPr>
        <w:t>th</w:t>
      </w:r>
      <w:r w:rsidR="002A6936">
        <w:rPr>
          <w:sz w:val="32"/>
          <w:szCs w:val="32"/>
        </w:rPr>
        <w:t xml:space="preserve"> September 2015</w:t>
      </w:r>
    </w:p>
    <w:p w:rsidR="001042C6" w:rsidRDefault="001042C6" w:rsidP="006552FA">
      <w:pPr>
        <w:ind w:left="720"/>
        <w:jc w:val="center"/>
        <w:rPr>
          <w:sz w:val="32"/>
          <w:szCs w:val="32"/>
        </w:rPr>
      </w:pPr>
      <w:r>
        <w:rPr>
          <w:sz w:val="32"/>
          <w:szCs w:val="32"/>
        </w:rPr>
        <w:t xml:space="preserve">ITT Reference: </w:t>
      </w:r>
      <w:r w:rsidR="006552FA">
        <w:rPr>
          <w:sz w:val="32"/>
          <w:szCs w:val="32"/>
        </w:rPr>
        <w:t>ITT 60004</w:t>
      </w:r>
    </w:p>
    <w:p w:rsidR="009175BA" w:rsidRPr="001042C6" w:rsidRDefault="009175BA" w:rsidP="006552FA">
      <w:pPr>
        <w:ind w:left="720"/>
        <w:jc w:val="center"/>
        <w:rPr>
          <w:sz w:val="32"/>
          <w:szCs w:val="32"/>
        </w:rPr>
      </w:pPr>
    </w:p>
    <w:p w:rsidR="001042C6" w:rsidRDefault="009175BA" w:rsidP="006552FA">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6552FA" w:rsidP="006552FA">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6552FA">
      <w:pPr>
        <w:pStyle w:val="Indented"/>
        <w:jc w:val="center"/>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2A6936" w:rsidRDefault="002A6936" w:rsidP="002A6936">
      <w:pPr>
        <w:rPr>
          <w:b/>
        </w:rPr>
      </w:pPr>
      <w:r w:rsidRPr="002A6936">
        <w:rPr>
          <w:b/>
          <w:sz w:val="22"/>
          <w:szCs w:val="22"/>
        </w:rPr>
        <w:t>1.</w:t>
      </w:r>
      <w:r>
        <w:rPr>
          <w:b/>
        </w:rPr>
        <w:tab/>
      </w:r>
      <w:r w:rsidRPr="002A6936">
        <w:rPr>
          <w:b/>
        </w:rPr>
        <w:t>Background and context</w:t>
      </w:r>
    </w:p>
    <w:p w:rsidR="002A6936" w:rsidRDefault="002A6936" w:rsidP="002A6936">
      <w:pPr>
        <w:rPr>
          <w:b/>
        </w:rPr>
      </w:pPr>
    </w:p>
    <w:p w:rsidR="002A6936" w:rsidRPr="002A6936" w:rsidRDefault="002A6936" w:rsidP="002A6936">
      <w:pPr>
        <w:ind w:left="720"/>
        <w:rPr>
          <w:sz w:val="22"/>
          <w:szCs w:val="22"/>
        </w:rPr>
      </w:pPr>
      <w:r w:rsidRPr="002A6936">
        <w:rPr>
          <w:sz w:val="22"/>
          <w:szCs w:val="22"/>
        </w:rPr>
        <w:t>The NHS spends around £5.7 billion per annum on goods within Acute Trusts.  This spends is broken down across four high level categories:</w:t>
      </w:r>
    </w:p>
    <w:p w:rsidR="002A6936" w:rsidRPr="002A6936" w:rsidRDefault="002A6936" w:rsidP="002A6936">
      <w:pPr>
        <w:pStyle w:val="ListParagraph"/>
        <w:numPr>
          <w:ilvl w:val="0"/>
          <w:numId w:val="52"/>
        </w:numPr>
        <w:ind w:left="1560" w:hanging="426"/>
        <w:rPr>
          <w:rFonts w:ascii="Arial" w:hAnsi="Arial" w:cs="Arial"/>
        </w:rPr>
      </w:pPr>
      <w:r w:rsidRPr="002A6936">
        <w:rPr>
          <w:rFonts w:ascii="Arial" w:hAnsi="Arial" w:cs="Arial"/>
          <w:b/>
        </w:rPr>
        <w:t xml:space="preserve">Common Goods </w:t>
      </w:r>
      <w:r w:rsidRPr="002A6936">
        <w:rPr>
          <w:rFonts w:ascii="Arial" w:hAnsi="Arial" w:cs="Arial"/>
        </w:rPr>
        <w:t>- items that would typically be used in the majority of government departments and businesses (e.g. stationary);</w:t>
      </w:r>
    </w:p>
    <w:p w:rsidR="002A6936" w:rsidRPr="002A6936" w:rsidRDefault="002A6936" w:rsidP="002A6936">
      <w:pPr>
        <w:pStyle w:val="ListParagraph"/>
        <w:numPr>
          <w:ilvl w:val="0"/>
          <w:numId w:val="52"/>
        </w:numPr>
        <w:ind w:left="1560" w:hanging="426"/>
        <w:rPr>
          <w:rFonts w:ascii="Arial" w:hAnsi="Arial" w:cs="Arial"/>
        </w:rPr>
      </w:pPr>
      <w:r w:rsidRPr="002A6936">
        <w:rPr>
          <w:rFonts w:ascii="Arial" w:hAnsi="Arial" w:cs="Arial"/>
          <w:b/>
        </w:rPr>
        <w:t>Everyday Healthcare Consumables</w:t>
      </w:r>
      <w:r w:rsidRPr="002A6936">
        <w:rPr>
          <w:rFonts w:ascii="Arial" w:hAnsi="Arial" w:cs="Arial"/>
        </w:rPr>
        <w:t xml:space="preserve"> - items that are typically regularly used by Nursing staff (e.g. wipes, infection control products);</w:t>
      </w:r>
    </w:p>
    <w:p w:rsidR="002A6936" w:rsidRPr="002A6936" w:rsidRDefault="002A6936" w:rsidP="002A6936">
      <w:pPr>
        <w:pStyle w:val="ListParagraph"/>
        <w:numPr>
          <w:ilvl w:val="0"/>
          <w:numId w:val="52"/>
        </w:numPr>
        <w:ind w:left="1560" w:hanging="426"/>
        <w:rPr>
          <w:rFonts w:ascii="Arial" w:hAnsi="Arial" w:cs="Arial"/>
          <w:b/>
        </w:rPr>
      </w:pPr>
      <w:r w:rsidRPr="002A6936">
        <w:rPr>
          <w:rFonts w:ascii="Arial" w:hAnsi="Arial" w:cs="Arial"/>
          <w:b/>
        </w:rPr>
        <w:t xml:space="preserve">High Value Healthcare Consumables - </w:t>
      </w:r>
      <w:r w:rsidRPr="002A6936">
        <w:rPr>
          <w:rFonts w:ascii="Arial" w:hAnsi="Arial" w:cs="Arial"/>
        </w:rPr>
        <w:t>items that are typically used by Doctors, often in a surgical environment;</w:t>
      </w:r>
    </w:p>
    <w:p w:rsidR="002A6936" w:rsidRPr="002A6936" w:rsidRDefault="002A6936" w:rsidP="002A6936">
      <w:pPr>
        <w:pStyle w:val="ListParagraph"/>
        <w:numPr>
          <w:ilvl w:val="0"/>
          <w:numId w:val="52"/>
        </w:numPr>
        <w:ind w:left="1560" w:hanging="426"/>
        <w:rPr>
          <w:rFonts w:ascii="Arial" w:hAnsi="Arial" w:cs="Arial"/>
          <w:b/>
        </w:rPr>
      </w:pPr>
      <w:r w:rsidRPr="002A6936">
        <w:rPr>
          <w:rFonts w:ascii="Arial" w:hAnsi="Arial" w:cs="Arial"/>
          <w:b/>
        </w:rPr>
        <w:t xml:space="preserve">Capital Items </w:t>
      </w:r>
      <w:r w:rsidRPr="002A6936">
        <w:rPr>
          <w:rFonts w:ascii="Arial" w:hAnsi="Arial" w:cs="Arial"/>
        </w:rPr>
        <w:t>- ranging from smaller items (</w:t>
      </w:r>
      <w:proofErr w:type="spellStart"/>
      <w:r w:rsidRPr="002A6936">
        <w:rPr>
          <w:rFonts w:ascii="Arial" w:hAnsi="Arial" w:cs="Arial"/>
        </w:rPr>
        <w:t>e.g</w:t>
      </w:r>
      <w:proofErr w:type="spellEnd"/>
      <w:r w:rsidRPr="002A6936">
        <w:rPr>
          <w:rFonts w:ascii="Arial" w:hAnsi="Arial" w:cs="Arial"/>
        </w:rPr>
        <w:t xml:space="preserve"> portable blood pressure monitors) to large items (e.g. MRI scanners).</w:t>
      </w:r>
    </w:p>
    <w:p w:rsidR="002A6936" w:rsidRDefault="002A6936" w:rsidP="002A6936">
      <w:pPr>
        <w:ind w:left="720"/>
        <w:rPr>
          <w:sz w:val="22"/>
          <w:szCs w:val="22"/>
        </w:rPr>
      </w:pPr>
      <w:r w:rsidRPr="002A6936">
        <w:rPr>
          <w:sz w:val="22"/>
          <w:szCs w:val="22"/>
        </w:rPr>
        <w:t>NHS Supply Chain is a</w:t>
      </w:r>
      <w:r>
        <w:rPr>
          <w:sz w:val="22"/>
          <w:szCs w:val="22"/>
        </w:rPr>
        <w:t>n</w:t>
      </w:r>
      <w:r w:rsidRPr="002A6936">
        <w:rPr>
          <w:sz w:val="22"/>
          <w:szCs w:val="22"/>
        </w:rPr>
        <w:t xml:space="preserve"> optional national procurement and logistics service for Trusts which provides a wide range of products, packaged ready for ward usage, delivered to Trusts on a regular basis.   The NHS Supply Chain service currently includes: </w:t>
      </w:r>
    </w:p>
    <w:p w:rsidR="002A6936" w:rsidRDefault="002A6936" w:rsidP="002A6936">
      <w:pPr>
        <w:ind w:left="720"/>
        <w:rPr>
          <w:sz w:val="22"/>
          <w:szCs w:val="22"/>
        </w:rPr>
      </w:pPr>
    </w:p>
    <w:p w:rsidR="002A6936" w:rsidRPr="002A6936" w:rsidRDefault="002A6936" w:rsidP="002A6936">
      <w:pPr>
        <w:pStyle w:val="ListParagraph"/>
        <w:numPr>
          <w:ilvl w:val="0"/>
          <w:numId w:val="56"/>
        </w:numPr>
        <w:rPr>
          <w:rFonts w:ascii="Arial" w:hAnsi="Arial" w:cs="Arial"/>
        </w:rPr>
      </w:pPr>
      <w:r w:rsidRPr="002A6936">
        <w:rPr>
          <w:rFonts w:ascii="Arial" w:hAnsi="Arial" w:cs="Arial"/>
        </w:rPr>
        <w:t xml:space="preserve">procurement of goods,  </w:t>
      </w:r>
    </w:p>
    <w:p w:rsidR="002A6936" w:rsidRPr="002A6936" w:rsidRDefault="002A6936" w:rsidP="002A6936">
      <w:pPr>
        <w:pStyle w:val="ListParagraph"/>
        <w:numPr>
          <w:ilvl w:val="0"/>
          <w:numId w:val="56"/>
        </w:numPr>
        <w:rPr>
          <w:rFonts w:ascii="Arial" w:hAnsi="Arial" w:cs="Arial"/>
        </w:rPr>
      </w:pPr>
      <w:r w:rsidRPr="002A6936">
        <w:rPr>
          <w:rFonts w:ascii="Arial" w:hAnsi="Arial" w:cs="Arial"/>
        </w:rPr>
        <w:t xml:space="preserve">warehouse operations, </w:t>
      </w:r>
    </w:p>
    <w:p w:rsidR="002A6936" w:rsidRPr="002A6936" w:rsidRDefault="002A6936" w:rsidP="002A6936">
      <w:pPr>
        <w:pStyle w:val="ListParagraph"/>
        <w:numPr>
          <w:ilvl w:val="0"/>
          <w:numId w:val="56"/>
        </w:numPr>
        <w:rPr>
          <w:rFonts w:ascii="Arial" w:hAnsi="Arial" w:cs="Arial"/>
        </w:rPr>
      </w:pPr>
      <w:r w:rsidRPr="002A6936">
        <w:rPr>
          <w:rFonts w:ascii="Arial" w:hAnsi="Arial" w:cs="Arial"/>
        </w:rPr>
        <w:t xml:space="preserve">fleet and delivery management, </w:t>
      </w:r>
    </w:p>
    <w:p w:rsidR="002A6936" w:rsidRPr="002A6936" w:rsidRDefault="002A6936" w:rsidP="002A6936">
      <w:pPr>
        <w:pStyle w:val="ListParagraph"/>
        <w:numPr>
          <w:ilvl w:val="0"/>
          <w:numId w:val="56"/>
        </w:numPr>
        <w:rPr>
          <w:rFonts w:ascii="Arial" w:hAnsi="Arial" w:cs="Arial"/>
        </w:rPr>
      </w:pPr>
      <w:r w:rsidRPr="002A6936">
        <w:rPr>
          <w:rFonts w:ascii="Arial" w:hAnsi="Arial" w:cs="Arial"/>
        </w:rPr>
        <w:t xml:space="preserve">financial management (recharging of costs) and </w:t>
      </w:r>
    </w:p>
    <w:p w:rsidR="002A6936" w:rsidRPr="002A6936" w:rsidRDefault="002A6936" w:rsidP="002A6936">
      <w:pPr>
        <w:pStyle w:val="ListParagraph"/>
        <w:numPr>
          <w:ilvl w:val="0"/>
          <w:numId w:val="56"/>
        </w:numPr>
      </w:pPr>
      <w:proofErr w:type="gramStart"/>
      <w:r w:rsidRPr="002A6936">
        <w:rPr>
          <w:rFonts w:ascii="Arial" w:hAnsi="Arial" w:cs="Arial"/>
        </w:rPr>
        <w:t>customer</w:t>
      </w:r>
      <w:proofErr w:type="gramEnd"/>
      <w:r w:rsidRPr="002A6936">
        <w:rPr>
          <w:rFonts w:ascii="Arial" w:hAnsi="Arial" w:cs="Arial"/>
        </w:rPr>
        <w:t xml:space="preserve"> service functions</w:t>
      </w:r>
      <w:r w:rsidRPr="002A6936">
        <w:t>.</w:t>
      </w:r>
    </w:p>
    <w:p w:rsidR="002A6936" w:rsidRDefault="002A6936" w:rsidP="002A6936">
      <w:pPr>
        <w:ind w:left="720"/>
        <w:rPr>
          <w:sz w:val="22"/>
          <w:szCs w:val="22"/>
        </w:rPr>
      </w:pPr>
      <w:r w:rsidRPr="002A6936">
        <w:rPr>
          <w:sz w:val="22"/>
          <w:szCs w:val="22"/>
        </w:rPr>
        <w:t xml:space="preserve">NHS Supply Chain currently operates on an outsourced basis and the contract is due to expire in October 2018.  In preparation for the expiry of this contract, the </w:t>
      </w:r>
      <w:r>
        <w:rPr>
          <w:sz w:val="22"/>
          <w:szCs w:val="22"/>
        </w:rPr>
        <w:t>Authority</w:t>
      </w:r>
      <w:r w:rsidRPr="002A6936">
        <w:rPr>
          <w:sz w:val="22"/>
          <w:szCs w:val="22"/>
        </w:rPr>
        <w:t xml:space="preserve"> is working with Trusts and other relevant stakeholders to produce a Future Operating Model (FOM) for procurement and logistics within the NHS.</w:t>
      </w:r>
    </w:p>
    <w:p w:rsidR="002A6936" w:rsidRPr="002A6936" w:rsidRDefault="002A6936" w:rsidP="002A6936">
      <w:pPr>
        <w:ind w:left="720"/>
        <w:rPr>
          <w:sz w:val="22"/>
          <w:szCs w:val="22"/>
        </w:rPr>
      </w:pPr>
    </w:p>
    <w:p w:rsidR="002A6936" w:rsidRDefault="002A6936" w:rsidP="002A6936">
      <w:pPr>
        <w:ind w:left="720"/>
        <w:rPr>
          <w:sz w:val="22"/>
          <w:szCs w:val="22"/>
        </w:rPr>
      </w:pPr>
      <w:r w:rsidRPr="002A6936">
        <w:rPr>
          <w:sz w:val="22"/>
          <w:szCs w:val="22"/>
        </w:rPr>
        <w:t>The intention is to prepare an Outline Business Case (OBC) by the end of this calendar year.</w:t>
      </w:r>
    </w:p>
    <w:p w:rsidR="002A6936" w:rsidRPr="002A6936" w:rsidRDefault="002A6936" w:rsidP="002A6936">
      <w:pPr>
        <w:ind w:left="720"/>
        <w:rPr>
          <w:sz w:val="22"/>
          <w:szCs w:val="22"/>
        </w:rPr>
      </w:pPr>
    </w:p>
    <w:p w:rsidR="002A6936" w:rsidRPr="002A6936" w:rsidRDefault="002A6936" w:rsidP="002A6936">
      <w:pPr>
        <w:ind w:left="720"/>
        <w:rPr>
          <w:sz w:val="22"/>
          <w:szCs w:val="22"/>
        </w:rPr>
      </w:pPr>
      <w:r w:rsidRPr="002A6936">
        <w:rPr>
          <w:sz w:val="22"/>
          <w:szCs w:val="22"/>
        </w:rPr>
        <w:t xml:space="preserve">To date a formal shortlisting exercise has been undertaken in which 5 options have been identified, and good progress has been made on the drafting of the relevant text.   However commensurate progress has not been made on the development of a financial model to underpin the OBC.  Work had commenced on this but was not progressing satisfactorily and has now been suspended.  </w:t>
      </w:r>
      <w:bookmarkStart w:id="5" w:name="_GoBack"/>
      <w:r w:rsidRPr="002A6936">
        <w:rPr>
          <w:sz w:val="22"/>
          <w:szCs w:val="22"/>
        </w:rPr>
        <w:t>This tender sets out a requirement for a short (approximately 8 weeks) injection of expert business case financial modelling resource to create the underlying financial model for the business case.</w:t>
      </w:r>
    </w:p>
    <w:bookmarkEnd w:id="5"/>
    <w:p w:rsidR="002A6936" w:rsidRPr="002A6936" w:rsidRDefault="002A6936" w:rsidP="002A6936">
      <w:pPr>
        <w:rPr>
          <w:sz w:val="22"/>
          <w:szCs w:val="22"/>
        </w:rPr>
      </w:pPr>
    </w:p>
    <w:p w:rsidR="002A6936" w:rsidRPr="002A6936" w:rsidRDefault="002A6936" w:rsidP="002A6936">
      <w:pPr>
        <w:rPr>
          <w:b/>
          <w:sz w:val="22"/>
          <w:szCs w:val="22"/>
        </w:rPr>
      </w:pPr>
      <w:r>
        <w:rPr>
          <w:b/>
          <w:sz w:val="22"/>
          <w:szCs w:val="22"/>
        </w:rPr>
        <w:t>2.</w:t>
      </w:r>
      <w:r>
        <w:rPr>
          <w:b/>
          <w:sz w:val="22"/>
          <w:szCs w:val="22"/>
        </w:rPr>
        <w:tab/>
      </w:r>
      <w:r w:rsidRPr="002A6936">
        <w:rPr>
          <w:b/>
          <w:sz w:val="22"/>
          <w:szCs w:val="22"/>
        </w:rPr>
        <w:t>Outputs and deliverables required</w:t>
      </w:r>
    </w:p>
    <w:p w:rsidR="002A6936" w:rsidRDefault="002A6936" w:rsidP="002A6936">
      <w:pPr>
        <w:rPr>
          <w:sz w:val="22"/>
          <w:szCs w:val="22"/>
        </w:rPr>
      </w:pPr>
    </w:p>
    <w:p w:rsidR="002A6936" w:rsidRDefault="002A6936" w:rsidP="002A6936">
      <w:pPr>
        <w:ind w:firstLine="720"/>
        <w:rPr>
          <w:sz w:val="22"/>
          <w:szCs w:val="22"/>
        </w:rPr>
      </w:pPr>
      <w:r w:rsidRPr="002A6936">
        <w:rPr>
          <w:sz w:val="22"/>
          <w:szCs w:val="22"/>
        </w:rPr>
        <w:t>The following outputs are required:</w:t>
      </w:r>
    </w:p>
    <w:p w:rsidR="002A6936" w:rsidRPr="002A6936" w:rsidRDefault="002A6936" w:rsidP="002A6936">
      <w:pPr>
        <w:ind w:firstLine="720"/>
        <w:rPr>
          <w:sz w:val="22"/>
          <w:szCs w:val="22"/>
        </w:rPr>
      </w:pPr>
    </w:p>
    <w:p w:rsidR="002A6936" w:rsidRPr="002A6936" w:rsidRDefault="002A6936" w:rsidP="002A6936">
      <w:pPr>
        <w:pStyle w:val="ListParagraph"/>
        <w:numPr>
          <w:ilvl w:val="0"/>
          <w:numId w:val="53"/>
        </w:numPr>
        <w:rPr>
          <w:rFonts w:ascii="Arial" w:hAnsi="Arial" w:cs="Arial"/>
        </w:rPr>
      </w:pPr>
      <w:proofErr w:type="gramStart"/>
      <w:r w:rsidRPr="002A6936">
        <w:rPr>
          <w:rFonts w:ascii="Arial" w:hAnsi="Arial" w:cs="Arial"/>
          <w:b/>
        </w:rPr>
        <w:t>An excel</w:t>
      </w:r>
      <w:proofErr w:type="gramEnd"/>
      <w:r w:rsidRPr="002A6936">
        <w:rPr>
          <w:rFonts w:ascii="Arial" w:hAnsi="Arial" w:cs="Arial"/>
          <w:b/>
        </w:rPr>
        <w:t xml:space="preserve"> based financial model</w:t>
      </w:r>
      <w:r w:rsidRPr="002A6936">
        <w:rPr>
          <w:rFonts w:ascii="Arial" w:hAnsi="Arial" w:cs="Arial"/>
        </w:rPr>
        <w:t xml:space="preserve"> that contains the expected costs and benefits associated with each of the options identified.     Within this:</w:t>
      </w:r>
    </w:p>
    <w:p w:rsidR="002A6936" w:rsidRPr="002A6936" w:rsidRDefault="002A6936" w:rsidP="002A6936">
      <w:pPr>
        <w:pStyle w:val="ListParagraph"/>
        <w:numPr>
          <w:ilvl w:val="1"/>
          <w:numId w:val="53"/>
        </w:numPr>
        <w:rPr>
          <w:rFonts w:ascii="Arial" w:hAnsi="Arial" w:cs="Arial"/>
        </w:rPr>
      </w:pPr>
      <w:r w:rsidRPr="002A6936">
        <w:rPr>
          <w:rFonts w:ascii="Arial" w:hAnsi="Arial" w:cs="Arial"/>
        </w:rPr>
        <w:t>the base (as-is) case is expected to be primarily based on a projection from the current open-book accounts; and</w:t>
      </w:r>
    </w:p>
    <w:p w:rsidR="002A6936" w:rsidRDefault="002A6936" w:rsidP="002A6936">
      <w:pPr>
        <w:pStyle w:val="ListParagraph"/>
        <w:numPr>
          <w:ilvl w:val="1"/>
          <w:numId w:val="53"/>
        </w:numPr>
        <w:rPr>
          <w:rFonts w:ascii="Arial" w:hAnsi="Arial" w:cs="Arial"/>
        </w:rPr>
      </w:pPr>
      <w:proofErr w:type="gramStart"/>
      <w:r w:rsidRPr="002A6936">
        <w:rPr>
          <w:rFonts w:ascii="Arial" w:hAnsi="Arial" w:cs="Arial"/>
        </w:rPr>
        <w:lastRenderedPageBreak/>
        <w:t>each</w:t>
      </w:r>
      <w:proofErr w:type="gramEnd"/>
      <w:r w:rsidRPr="002A6936">
        <w:rPr>
          <w:rFonts w:ascii="Arial" w:hAnsi="Arial" w:cs="Arial"/>
        </w:rPr>
        <w:t xml:space="preserve"> of the options is expected to be a combination of replicating the relevant parts of the base case and using a series of assumptions provided to create models for any elements that are varying.</w:t>
      </w:r>
    </w:p>
    <w:p w:rsidR="002A6936" w:rsidRPr="002A6936" w:rsidRDefault="002A6936" w:rsidP="002A6936">
      <w:pPr>
        <w:pStyle w:val="ListParagraph"/>
        <w:ind w:left="1440"/>
        <w:rPr>
          <w:rFonts w:ascii="Arial" w:hAnsi="Arial" w:cs="Arial"/>
        </w:rPr>
      </w:pPr>
    </w:p>
    <w:p w:rsidR="002A6936" w:rsidRPr="002A6936" w:rsidRDefault="002A6936" w:rsidP="002A6936">
      <w:pPr>
        <w:pStyle w:val="ListParagraph"/>
        <w:rPr>
          <w:rFonts w:ascii="Arial" w:hAnsi="Arial" w:cs="Arial"/>
        </w:rPr>
      </w:pPr>
      <w:r w:rsidRPr="002A6936">
        <w:rPr>
          <w:rFonts w:ascii="Arial" w:hAnsi="Arial" w:cs="Arial"/>
        </w:rPr>
        <w:t>The model is required to be structured so that it provides 'data repository' which can be structured / cut in a number of ways.</w:t>
      </w:r>
    </w:p>
    <w:p w:rsidR="002A6936" w:rsidRPr="002A6936" w:rsidRDefault="002A6936" w:rsidP="002A6936">
      <w:pPr>
        <w:pStyle w:val="ListParagraph"/>
        <w:rPr>
          <w:rFonts w:ascii="Arial" w:hAnsi="Arial" w:cs="Arial"/>
        </w:rPr>
      </w:pPr>
    </w:p>
    <w:p w:rsidR="002A6936" w:rsidRPr="002A6936" w:rsidRDefault="002A6936" w:rsidP="002A6936">
      <w:pPr>
        <w:pStyle w:val="ListParagraph"/>
        <w:numPr>
          <w:ilvl w:val="0"/>
          <w:numId w:val="53"/>
        </w:numPr>
        <w:rPr>
          <w:rFonts w:ascii="Arial" w:hAnsi="Arial" w:cs="Arial"/>
        </w:rPr>
      </w:pPr>
      <w:r w:rsidRPr="002A6936">
        <w:rPr>
          <w:rFonts w:ascii="Arial" w:hAnsi="Arial" w:cs="Arial"/>
          <w:b/>
        </w:rPr>
        <w:t>A set of presentational tables for the OBC</w:t>
      </w:r>
      <w:r w:rsidRPr="002A6936">
        <w:rPr>
          <w:rFonts w:ascii="Arial" w:hAnsi="Arial" w:cs="Arial"/>
        </w:rPr>
        <w:t xml:space="preserve"> that utilises the above data repository to provide different cuts of information for different aspects of the OBC.  There are around 50-60 tables that are expected to be required for the OBC each of which will 'cut' the data in a different way (e.g. by phase, by organisation, by cost type </w:t>
      </w:r>
      <w:proofErr w:type="spellStart"/>
      <w:r w:rsidRPr="002A6936">
        <w:rPr>
          <w:rFonts w:ascii="Arial" w:hAnsi="Arial" w:cs="Arial"/>
        </w:rPr>
        <w:t>etc</w:t>
      </w:r>
      <w:proofErr w:type="spellEnd"/>
      <w:r w:rsidRPr="002A6936">
        <w:rPr>
          <w:rFonts w:ascii="Arial" w:hAnsi="Arial" w:cs="Arial"/>
        </w:rPr>
        <w:t>).  DH will provide, and refine on an ongoing basis a specification for these tables and the requirement is to create these tables linked back to the data repository.</w:t>
      </w:r>
    </w:p>
    <w:p w:rsidR="002A6936" w:rsidRPr="002A6936" w:rsidRDefault="002A6936" w:rsidP="002A6936">
      <w:pPr>
        <w:pStyle w:val="ListParagraph"/>
        <w:rPr>
          <w:rFonts w:ascii="Arial" w:hAnsi="Arial" w:cs="Arial"/>
        </w:rPr>
      </w:pPr>
    </w:p>
    <w:p w:rsidR="002A6936" w:rsidRPr="002A6936" w:rsidRDefault="002A6936" w:rsidP="002A6936">
      <w:pPr>
        <w:pStyle w:val="ListParagraph"/>
        <w:numPr>
          <w:ilvl w:val="0"/>
          <w:numId w:val="53"/>
        </w:numPr>
        <w:rPr>
          <w:rFonts w:ascii="Arial" w:hAnsi="Arial" w:cs="Arial"/>
          <w:b/>
        </w:rPr>
      </w:pPr>
      <w:r w:rsidRPr="002A6936">
        <w:rPr>
          <w:rFonts w:ascii="Arial" w:hAnsi="Arial" w:cs="Arial"/>
          <w:b/>
        </w:rPr>
        <w:t xml:space="preserve">Sensitivity analysis </w:t>
      </w:r>
      <w:r w:rsidRPr="002A6936">
        <w:rPr>
          <w:rFonts w:ascii="Arial" w:hAnsi="Arial" w:cs="Arial"/>
        </w:rPr>
        <w:t xml:space="preserve">to evaluate the degree to which the model is sensitive to certain key assumptions.  DH will provide a short list (3-5 expected) of potential 'what if' scenarios (e.g. how much would uptake need to reduce by so that Option X no longer provided the highest </w:t>
      </w:r>
      <w:proofErr w:type="spellStart"/>
      <w:r w:rsidRPr="002A6936">
        <w:rPr>
          <w:rFonts w:ascii="Arial" w:hAnsi="Arial" w:cs="Arial"/>
        </w:rPr>
        <w:t>vfm</w:t>
      </w:r>
      <w:proofErr w:type="spellEnd"/>
      <w:r w:rsidRPr="002A6936">
        <w:rPr>
          <w:rFonts w:ascii="Arial" w:hAnsi="Arial" w:cs="Arial"/>
        </w:rPr>
        <w:t>).  The requirement is to make a series of what are expected to be simple adjustments to the model and illustrate the potential outcomes.</w:t>
      </w:r>
    </w:p>
    <w:p w:rsidR="002A6936" w:rsidRPr="002A6936" w:rsidRDefault="002A6936" w:rsidP="002A6936">
      <w:pPr>
        <w:rPr>
          <w:sz w:val="22"/>
          <w:szCs w:val="22"/>
        </w:rPr>
      </w:pPr>
      <w:r w:rsidRPr="002A6936">
        <w:rPr>
          <w:sz w:val="22"/>
          <w:szCs w:val="22"/>
        </w:rPr>
        <w:t>The outputs listed about are expected to be subject to normal / reasonable quality control by the supplier.  The contents of the outputs, including the assumptions are expected to be owned and maintained by DH.  It is not the intention of the DH to seek to transfer any risk in the output of the models to suppliers.</w:t>
      </w:r>
    </w:p>
    <w:p w:rsidR="002A6936" w:rsidRPr="002A6936" w:rsidRDefault="002A6936" w:rsidP="002A6936">
      <w:pPr>
        <w:rPr>
          <w:sz w:val="22"/>
          <w:szCs w:val="22"/>
        </w:rPr>
      </w:pPr>
    </w:p>
    <w:p w:rsidR="002A6936" w:rsidRPr="002A6936" w:rsidRDefault="002A6936" w:rsidP="002A6936">
      <w:pPr>
        <w:rPr>
          <w:b/>
          <w:sz w:val="22"/>
          <w:szCs w:val="22"/>
        </w:rPr>
      </w:pPr>
      <w:r>
        <w:rPr>
          <w:b/>
          <w:sz w:val="22"/>
          <w:szCs w:val="22"/>
        </w:rPr>
        <w:t>3.</w:t>
      </w:r>
      <w:r>
        <w:rPr>
          <w:b/>
          <w:sz w:val="22"/>
          <w:szCs w:val="22"/>
        </w:rPr>
        <w:tab/>
      </w:r>
      <w:r w:rsidRPr="002A6936">
        <w:rPr>
          <w:b/>
          <w:sz w:val="22"/>
          <w:szCs w:val="22"/>
        </w:rPr>
        <w:t>Resources expected</w:t>
      </w:r>
    </w:p>
    <w:p w:rsidR="002A6936" w:rsidRDefault="002A6936" w:rsidP="002A6936">
      <w:pPr>
        <w:rPr>
          <w:sz w:val="22"/>
          <w:szCs w:val="22"/>
        </w:rPr>
      </w:pPr>
    </w:p>
    <w:p w:rsidR="002A6936" w:rsidRDefault="002A6936" w:rsidP="002A6936">
      <w:pPr>
        <w:ind w:left="720"/>
        <w:rPr>
          <w:sz w:val="22"/>
          <w:szCs w:val="22"/>
        </w:rPr>
      </w:pPr>
      <w:r w:rsidRPr="002A6936">
        <w:rPr>
          <w:sz w:val="22"/>
          <w:szCs w:val="22"/>
        </w:rPr>
        <w:t>The DH expectation is that the following levels of resources will be required to deliver this work:</w:t>
      </w:r>
    </w:p>
    <w:p w:rsidR="002A6936" w:rsidRPr="002A6936" w:rsidRDefault="002A6936" w:rsidP="002A6936">
      <w:pPr>
        <w:ind w:left="720"/>
        <w:rPr>
          <w:sz w:val="22"/>
          <w:szCs w:val="22"/>
        </w:rPr>
      </w:pPr>
    </w:p>
    <w:p w:rsidR="002A6936" w:rsidRPr="002A6936" w:rsidRDefault="002A6936" w:rsidP="002A6936">
      <w:pPr>
        <w:pStyle w:val="ListParagraph"/>
        <w:numPr>
          <w:ilvl w:val="0"/>
          <w:numId w:val="54"/>
        </w:numPr>
        <w:rPr>
          <w:rFonts w:ascii="Arial" w:hAnsi="Arial" w:cs="Arial"/>
        </w:rPr>
      </w:pPr>
      <w:r w:rsidRPr="002A6936">
        <w:rPr>
          <w:rFonts w:ascii="Arial" w:hAnsi="Arial" w:cs="Arial"/>
          <w:b/>
        </w:rPr>
        <w:t>Business case modeller</w:t>
      </w:r>
      <w:r w:rsidRPr="002A6936">
        <w:rPr>
          <w:rFonts w:ascii="Arial" w:hAnsi="Arial" w:cs="Arial"/>
        </w:rPr>
        <w:t xml:space="preserve"> - who is expected to be a practical and hands on individual with excellent excel skills and direct relevant experience of preparing public sector business cases.  This individual is expected to work full time, or as near to this as practical, on this assignment.  They are expected to be the day to day point of contact between the DH and the supplier.   For peak periods or labour intensive tasks (e.g. Deliverable B table production) the modeller may need to be augmented by a second more junior resource.</w:t>
      </w:r>
    </w:p>
    <w:p w:rsidR="002A6936" w:rsidRPr="002A6936" w:rsidRDefault="002A6936" w:rsidP="002A6936">
      <w:pPr>
        <w:pStyle w:val="ListParagraph"/>
        <w:rPr>
          <w:rFonts w:ascii="Arial" w:hAnsi="Arial" w:cs="Arial"/>
        </w:rPr>
      </w:pPr>
    </w:p>
    <w:p w:rsidR="002A6936" w:rsidRPr="002A6936" w:rsidRDefault="002A6936" w:rsidP="002A6936">
      <w:pPr>
        <w:pStyle w:val="ListParagraph"/>
        <w:numPr>
          <w:ilvl w:val="0"/>
          <w:numId w:val="54"/>
        </w:numPr>
        <w:rPr>
          <w:rFonts w:ascii="Arial" w:hAnsi="Arial" w:cs="Arial"/>
          <w:b/>
        </w:rPr>
      </w:pPr>
      <w:r w:rsidRPr="002A6936">
        <w:rPr>
          <w:rFonts w:ascii="Arial" w:hAnsi="Arial" w:cs="Arial"/>
          <w:b/>
        </w:rPr>
        <w:t xml:space="preserve">Business case advisor / architect - </w:t>
      </w:r>
      <w:r w:rsidRPr="002A6936">
        <w:rPr>
          <w:rFonts w:ascii="Arial" w:hAnsi="Arial" w:cs="Arial"/>
        </w:rPr>
        <w:t>who is expected to be a more senior individual who provides support and guidance to the business case modeller ensuring that the project takes appropriate approaches to tackling critical issues.  This individual is expected to work, on average, one day per week on this project.</w:t>
      </w:r>
    </w:p>
    <w:p w:rsidR="002A6936" w:rsidRPr="002A6936" w:rsidRDefault="002A6936" w:rsidP="002A6936">
      <w:pPr>
        <w:pStyle w:val="ListParagraph"/>
        <w:rPr>
          <w:rFonts w:ascii="Arial" w:hAnsi="Arial" w:cs="Arial"/>
          <w:b/>
        </w:rPr>
      </w:pPr>
    </w:p>
    <w:p w:rsidR="002A6936" w:rsidRPr="002A6936" w:rsidRDefault="002A6936" w:rsidP="002A6936">
      <w:pPr>
        <w:pStyle w:val="ListParagraph"/>
        <w:numPr>
          <w:ilvl w:val="0"/>
          <w:numId w:val="54"/>
        </w:numPr>
        <w:rPr>
          <w:rFonts w:ascii="Arial" w:hAnsi="Arial" w:cs="Arial"/>
          <w:b/>
        </w:rPr>
      </w:pPr>
      <w:r w:rsidRPr="002A6936">
        <w:rPr>
          <w:rFonts w:ascii="Arial" w:hAnsi="Arial" w:cs="Arial"/>
          <w:b/>
        </w:rPr>
        <w:t xml:space="preserve">A quality control function - </w:t>
      </w:r>
      <w:r w:rsidRPr="002A6936">
        <w:rPr>
          <w:rFonts w:ascii="Arial" w:hAnsi="Arial" w:cs="Arial"/>
        </w:rPr>
        <w:t>which is expected to provide an assurance and oversight function ensuring that the outputs produced achieve the appropriate professional and quality standards.  Over the duration of the project this input is expected to be no more than five days of effort.</w:t>
      </w:r>
    </w:p>
    <w:p w:rsidR="002A6936" w:rsidRPr="002A6936" w:rsidRDefault="002A6936" w:rsidP="002A6936">
      <w:pPr>
        <w:pStyle w:val="ListParagraph"/>
        <w:rPr>
          <w:rFonts w:ascii="Arial" w:hAnsi="Arial" w:cs="Arial"/>
          <w:b/>
        </w:rPr>
      </w:pPr>
    </w:p>
    <w:p w:rsidR="0091386C" w:rsidRPr="00DA4321" w:rsidRDefault="002A6936" w:rsidP="0091386C">
      <w:pPr>
        <w:autoSpaceDE w:val="0"/>
        <w:autoSpaceDN w:val="0"/>
        <w:rPr>
          <w:rFonts w:ascii="Calibri" w:hAnsi="Calibri" w:cs="Calibri"/>
          <w:sz w:val="22"/>
          <w:szCs w:val="22"/>
          <w:lang w:eastAsia="en-GB"/>
        </w:rPr>
      </w:pPr>
      <w:r w:rsidRPr="00DA4321">
        <w:rPr>
          <w:sz w:val="22"/>
          <w:szCs w:val="22"/>
        </w:rPr>
        <w:t xml:space="preserve">The DH team delivering this project work are based in London however the financial resources who manage the contract on a day to day basis (and from whom much of the base </w:t>
      </w:r>
      <w:r w:rsidRPr="00DA4321">
        <w:rPr>
          <w:sz w:val="22"/>
          <w:szCs w:val="22"/>
        </w:rPr>
        <w:lastRenderedPageBreak/>
        <w:t xml:space="preserve">data will come) are based in Mansfield.  </w:t>
      </w:r>
      <w:r w:rsidR="0091386C" w:rsidRPr="00DA4321">
        <w:rPr>
          <w:sz w:val="22"/>
          <w:szCs w:val="22"/>
          <w:lang w:eastAsia="en-GB"/>
        </w:rPr>
        <w:t>Some travel to Mansfield appears essential and the Authority expects to may any travel costs to Mansfield and substance costs in Mansfield.  No other expenses will be accepted.</w:t>
      </w:r>
    </w:p>
    <w:p w:rsidR="002A6936" w:rsidRPr="002A6936" w:rsidRDefault="002A6936" w:rsidP="002A6936">
      <w:pPr>
        <w:pStyle w:val="ListParagraph"/>
        <w:rPr>
          <w:rFonts w:ascii="Arial" w:hAnsi="Arial" w:cs="Arial"/>
        </w:rPr>
      </w:pPr>
    </w:p>
    <w:p w:rsidR="00BC6F90" w:rsidRPr="00E302DF" w:rsidRDefault="00BC6F90" w:rsidP="00430424">
      <w:pPr>
        <w:pStyle w:val="InA"/>
      </w:pPr>
    </w:p>
    <w:p w:rsidR="00BC6F90" w:rsidRPr="00E302DF" w:rsidRDefault="00BC6F90" w:rsidP="00430424">
      <w:pPr>
        <w:pStyle w:val="InA"/>
      </w:pPr>
    </w:p>
    <w:p w:rsidR="00BC6F90" w:rsidRPr="00DC356C" w:rsidRDefault="00993DCE" w:rsidP="008D7121">
      <w:pPr>
        <w:pStyle w:val="ONEH1"/>
      </w:pPr>
      <w:bookmarkStart w:id="6" w:name="_Toc519998891"/>
      <w:r>
        <w:t>Authority Responsibilities</w:t>
      </w:r>
      <w:bookmarkEnd w:id="6"/>
      <w:r w:rsidR="00D753DB">
        <w:t xml:space="preserve"> </w:t>
      </w:r>
    </w:p>
    <w:p w:rsidR="00BC6F90" w:rsidRDefault="00BC6F90" w:rsidP="00430424">
      <w:pPr>
        <w:pStyle w:val="InA"/>
      </w:pPr>
    </w:p>
    <w:p w:rsidR="00D37220" w:rsidRDefault="00D37220" w:rsidP="00430424">
      <w:pPr>
        <w:pStyle w:val="InA"/>
        <w:rPr>
          <w:i w:val="0"/>
        </w:rPr>
      </w:pPr>
      <w:r w:rsidRPr="00D37220">
        <w:rPr>
          <w:i w:val="0"/>
        </w:rPr>
        <w:t xml:space="preserve">The Authority will </w:t>
      </w:r>
      <w:r>
        <w:rPr>
          <w:i w:val="0"/>
        </w:rPr>
        <w:t>provide the following to the successful Contractor:</w:t>
      </w:r>
    </w:p>
    <w:p w:rsidR="00D37220" w:rsidRDefault="00D37220" w:rsidP="00D37220">
      <w:pPr>
        <w:pStyle w:val="InA"/>
        <w:numPr>
          <w:ilvl w:val="0"/>
          <w:numId w:val="59"/>
        </w:numPr>
        <w:rPr>
          <w:i w:val="0"/>
        </w:rPr>
      </w:pPr>
      <w:r>
        <w:rPr>
          <w:i w:val="0"/>
        </w:rPr>
        <w:t>All necessary baseline financial information</w:t>
      </w:r>
    </w:p>
    <w:p w:rsidR="00D37220" w:rsidRDefault="00D37220" w:rsidP="00D37220">
      <w:pPr>
        <w:pStyle w:val="InA"/>
        <w:numPr>
          <w:ilvl w:val="0"/>
          <w:numId w:val="59"/>
        </w:numPr>
        <w:rPr>
          <w:i w:val="0"/>
        </w:rPr>
      </w:pPr>
      <w:r>
        <w:rPr>
          <w:i w:val="0"/>
        </w:rPr>
        <w:t>Descriptions of the options that require modelling</w:t>
      </w:r>
    </w:p>
    <w:p w:rsidR="00D37220" w:rsidRDefault="00D37220" w:rsidP="00D37220">
      <w:pPr>
        <w:pStyle w:val="InA"/>
        <w:numPr>
          <w:ilvl w:val="0"/>
          <w:numId w:val="59"/>
        </w:numPr>
        <w:rPr>
          <w:i w:val="0"/>
        </w:rPr>
      </w:pPr>
      <w:r>
        <w:rPr>
          <w:i w:val="0"/>
        </w:rPr>
        <w:t>Key assumptions needed to enable options to be modelled effectively</w:t>
      </w:r>
    </w:p>
    <w:p w:rsidR="00D37220" w:rsidRDefault="00D37220" w:rsidP="00D37220">
      <w:pPr>
        <w:pStyle w:val="InA"/>
        <w:numPr>
          <w:ilvl w:val="0"/>
          <w:numId w:val="59"/>
        </w:numPr>
        <w:rPr>
          <w:i w:val="0"/>
        </w:rPr>
      </w:pPr>
      <w:r>
        <w:rPr>
          <w:i w:val="0"/>
        </w:rPr>
        <w:t>Descriptions of the business case tables required</w:t>
      </w:r>
    </w:p>
    <w:p w:rsidR="00D37220" w:rsidRPr="00D37220" w:rsidRDefault="00D37220" w:rsidP="00D37220">
      <w:pPr>
        <w:pStyle w:val="InA"/>
        <w:numPr>
          <w:ilvl w:val="0"/>
          <w:numId w:val="59"/>
        </w:numPr>
        <w:rPr>
          <w:i w:val="0"/>
        </w:rPr>
      </w:pPr>
      <w:r>
        <w:rPr>
          <w:i w:val="0"/>
        </w:rPr>
        <w:t>Access to key personnel for review and feedback purposes</w:t>
      </w:r>
    </w:p>
    <w:p w:rsidR="00D37220" w:rsidRPr="00E302DF" w:rsidRDefault="00D37220" w:rsidP="00430424">
      <w:pPr>
        <w:pStyle w:val="InA"/>
      </w:pPr>
    </w:p>
    <w:p w:rsidR="00BC6F90" w:rsidRPr="00DC356C" w:rsidRDefault="00BC6F90" w:rsidP="008D7121">
      <w:pPr>
        <w:pStyle w:val="ONEH1"/>
      </w:pPr>
      <w:r w:rsidRPr="00DC356C">
        <w:t>C</w:t>
      </w:r>
      <w:r w:rsidR="00993DCE">
        <w:t>ontractor Responsibilities</w:t>
      </w:r>
    </w:p>
    <w:p w:rsidR="00BC6F90" w:rsidRPr="00D37220" w:rsidRDefault="00D37220" w:rsidP="00D37220">
      <w:pPr>
        <w:ind w:left="720"/>
        <w:rPr>
          <w:sz w:val="22"/>
        </w:rPr>
      </w:pPr>
      <w:r w:rsidRPr="00D37220">
        <w:rPr>
          <w:sz w:val="22"/>
        </w:rPr>
        <w:t>The contractor is responsible for the timely delivery of the requirements described above.</w:t>
      </w:r>
    </w:p>
    <w:p w:rsidR="00D37220" w:rsidRDefault="00D37220" w:rsidP="00D37220">
      <w:pPr>
        <w:ind w:left="720"/>
      </w:pPr>
    </w:p>
    <w:p w:rsidR="00D37220" w:rsidRPr="00D37220" w:rsidRDefault="00D37220" w:rsidP="00D37220"/>
    <w:p w:rsidR="00BC6F90" w:rsidRPr="00DC356C" w:rsidRDefault="00BC6F90" w:rsidP="008D7121">
      <w:pPr>
        <w:pStyle w:val="ONEH1"/>
      </w:pPr>
      <w:r w:rsidRPr="00DC356C">
        <w:t>C</w:t>
      </w:r>
      <w:r w:rsidR="00993DCE">
        <w:t>ontract Management and Monitoring</w:t>
      </w:r>
      <w:r w:rsidRPr="00DC356C">
        <w:t xml:space="preserve"> </w:t>
      </w:r>
    </w:p>
    <w:p w:rsidR="00E302DF" w:rsidRPr="00D37220" w:rsidRDefault="00D37220" w:rsidP="00D37220">
      <w:pPr>
        <w:pStyle w:val="InA"/>
        <w:ind w:left="720"/>
        <w:rPr>
          <w:i w:val="0"/>
        </w:rPr>
      </w:pPr>
      <w:r w:rsidRPr="00D37220">
        <w:rPr>
          <w:i w:val="0"/>
        </w:rPr>
        <w:t>The Authority propose to organise a weekly status reporting call which the Contractor will be required to attend and prepare a short (1 page  suggested) summary of status of in advance.</w:t>
      </w:r>
    </w:p>
    <w:p w:rsidR="00D37220" w:rsidRPr="00E302DF" w:rsidRDefault="00D37220" w:rsidP="00D37220">
      <w:pPr>
        <w:pStyle w:val="InA"/>
        <w:ind w:left="720"/>
      </w:pPr>
    </w:p>
    <w:p w:rsidR="00BC6F90" w:rsidRPr="00DC356C" w:rsidRDefault="00BC6F90" w:rsidP="008D7121">
      <w:pPr>
        <w:pStyle w:val="ONEH1"/>
      </w:pPr>
      <w:bookmarkStart w:id="7" w:name="_Toc519998893"/>
      <w:r w:rsidRPr="00DC356C">
        <w:t>T</w:t>
      </w:r>
      <w:r w:rsidR="00847396">
        <w:t>imetable</w:t>
      </w:r>
      <w:bookmarkEnd w:id="7"/>
    </w:p>
    <w:p w:rsidR="002A6936" w:rsidRDefault="002A6936" w:rsidP="002A6936">
      <w:pPr>
        <w:pStyle w:val="InA"/>
      </w:pPr>
      <w:r>
        <w:t>Prompt delivery of a quality output is the primary rationale for seeking external support.  The following timescale is proposed:</w:t>
      </w:r>
    </w:p>
    <w:p w:rsidR="002A6936" w:rsidRPr="0031165B" w:rsidRDefault="002A6936" w:rsidP="0031165B">
      <w:pPr>
        <w:pStyle w:val="InA"/>
        <w:numPr>
          <w:ilvl w:val="0"/>
          <w:numId w:val="57"/>
        </w:numPr>
        <w:rPr>
          <w:i w:val="0"/>
        </w:rPr>
      </w:pPr>
      <w:r w:rsidRPr="0031165B">
        <w:rPr>
          <w:i w:val="0"/>
        </w:rPr>
        <w:t>11th September - Tender notice issued</w:t>
      </w:r>
    </w:p>
    <w:p w:rsidR="002A6936" w:rsidRPr="0031165B" w:rsidRDefault="002A6936" w:rsidP="0031165B">
      <w:pPr>
        <w:pStyle w:val="InA"/>
        <w:numPr>
          <w:ilvl w:val="0"/>
          <w:numId w:val="57"/>
        </w:numPr>
        <w:rPr>
          <w:i w:val="0"/>
        </w:rPr>
      </w:pPr>
      <w:r w:rsidRPr="0031165B">
        <w:rPr>
          <w:i w:val="0"/>
        </w:rPr>
        <w:t>16th September - Requests for clarification close (midday) and clarifications responded to where possible (close of business)</w:t>
      </w:r>
    </w:p>
    <w:p w:rsidR="002A6936" w:rsidRPr="0031165B" w:rsidRDefault="002A6936" w:rsidP="0031165B">
      <w:pPr>
        <w:pStyle w:val="InA"/>
        <w:numPr>
          <w:ilvl w:val="0"/>
          <w:numId w:val="57"/>
        </w:numPr>
        <w:rPr>
          <w:i w:val="0"/>
        </w:rPr>
      </w:pPr>
      <w:r w:rsidRPr="0031165B">
        <w:rPr>
          <w:i w:val="0"/>
        </w:rPr>
        <w:t>18th September (17:00) - deadline for tender receipt</w:t>
      </w:r>
    </w:p>
    <w:p w:rsidR="002A6936" w:rsidRPr="0031165B" w:rsidRDefault="002A6936" w:rsidP="0031165B">
      <w:pPr>
        <w:pStyle w:val="InA"/>
        <w:numPr>
          <w:ilvl w:val="0"/>
          <w:numId w:val="57"/>
        </w:numPr>
        <w:rPr>
          <w:i w:val="0"/>
        </w:rPr>
      </w:pPr>
      <w:r w:rsidRPr="0031165B">
        <w:rPr>
          <w:i w:val="0"/>
        </w:rPr>
        <w:t>22nd September - tender evaluation complete</w:t>
      </w:r>
    </w:p>
    <w:p w:rsidR="002A6936" w:rsidRPr="0031165B" w:rsidRDefault="0091386C" w:rsidP="0031165B">
      <w:pPr>
        <w:pStyle w:val="InA"/>
        <w:numPr>
          <w:ilvl w:val="0"/>
          <w:numId w:val="57"/>
        </w:numPr>
        <w:rPr>
          <w:i w:val="0"/>
        </w:rPr>
      </w:pPr>
      <w:r>
        <w:rPr>
          <w:i w:val="0"/>
        </w:rPr>
        <w:t>23rd September - clarification</w:t>
      </w:r>
      <w:r w:rsidR="002A6936" w:rsidRPr="0031165B">
        <w:rPr>
          <w:i w:val="0"/>
        </w:rPr>
        <w:t xml:space="preserve"> interview with highest scoring supplier</w:t>
      </w:r>
    </w:p>
    <w:p w:rsidR="002A6936" w:rsidRPr="0031165B" w:rsidRDefault="002A6936" w:rsidP="0031165B">
      <w:pPr>
        <w:pStyle w:val="InA"/>
        <w:numPr>
          <w:ilvl w:val="0"/>
          <w:numId w:val="57"/>
        </w:numPr>
        <w:rPr>
          <w:i w:val="0"/>
        </w:rPr>
      </w:pPr>
      <w:r w:rsidRPr="0031165B">
        <w:rPr>
          <w:i w:val="0"/>
        </w:rPr>
        <w:t>24th September - work commences</w:t>
      </w:r>
    </w:p>
    <w:p w:rsidR="002A6936" w:rsidRPr="0031165B" w:rsidRDefault="002A6936" w:rsidP="0031165B">
      <w:pPr>
        <w:pStyle w:val="InA"/>
        <w:numPr>
          <w:ilvl w:val="0"/>
          <w:numId w:val="57"/>
        </w:numPr>
        <w:rPr>
          <w:i w:val="0"/>
        </w:rPr>
      </w:pPr>
      <w:r w:rsidRPr="0031165B">
        <w:rPr>
          <w:i w:val="0"/>
        </w:rPr>
        <w:t xml:space="preserve">30th October - substantive completion of deliverable </w:t>
      </w:r>
      <w:proofErr w:type="spellStart"/>
      <w:r w:rsidRPr="0031165B">
        <w:rPr>
          <w:i w:val="0"/>
        </w:rPr>
        <w:t>A</w:t>
      </w:r>
      <w:proofErr w:type="spellEnd"/>
      <w:r w:rsidRPr="0031165B">
        <w:rPr>
          <w:i w:val="0"/>
        </w:rPr>
        <w:t xml:space="preserve"> expected</w:t>
      </w:r>
    </w:p>
    <w:p w:rsidR="002A6936" w:rsidRPr="0031165B" w:rsidRDefault="002A6936" w:rsidP="0031165B">
      <w:pPr>
        <w:pStyle w:val="InA"/>
        <w:numPr>
          <w:ilvl w:val="0"/>
          <w:numId w:val="57"/>
        </w:numPr>
        <w:rPr>
          <w:i w:val="0"/>
        </w:rPr>
      </w:pPr>
      <w:r w:rsidRPr="0031165B">
        <w:rPr>
          <w:i w:val="0"/>
        </w:rPr>
        <w:t>13th November - Deliverable A finalised and substantive completion of deliverables B and C</w:t>
      </w:r>
    </w:p>
    <w:p w:rsidR="002A6936" w:rsidRDefault="002A6936" w:rsidP="0031165B">
      <w:pPr>
        <w:pStyle w:val="InA"/>
        <w:numPr>
          <w:ilvl w:val="0"/>
          <w:numId w:val="57"/>
        </w:numPr>
        <w:rPr>
          <w:i w:val="0"/>
        </w:rPr>
      </w:pPr>
      <w:r w:rsidRPr="0031165B">
        <w:rPr>
          <w:i w:val="0"/>
        </w:rPr>
        <w:t>27th November - Deliverables B and C finalised</w:t>
      </w:r>
    </w:p>
    <w:p w:rsidR="0031165B" w:rsidRDefault="0031165B" w:rsidP="0031165B">
      <w:pPr>
        <w:pStyle w:val="InA"/>
        <w:rPr>
          <w:i w:val="0"/>
        </w:rPr>
      </w:pPr>
    </w:p>
    <w:p w:rsidR="00D37220" w:rsidRDefault="0031165B" w:rsidP="0031165B">
      <w:pPr>
        <w:pStyle w:val="InA"/>
        <w:rPr>
          <w:i w:val="0"/>
        </w:rPr>
      </w:pPr>
      <w:r>
        <w:rPr>
          <w:i w:val="0"/>
        </w:rPr>
        <w:t xml:space="preserve">Payment would be made </w:t>
      </w:r>
      <w:r w:rsidR="00D37220">
        <w:rPr>
          <w:i w:val="0"/>
        </w:rPr>
        <w:t>monthly in arrears on receipt of appropriate invoices.</w:t>
      </w:r>
    </w:p>
    <w:p w:rsidR="0031165B" w:rsidRPr="0031165B" w:rsidRDefault="0031165B" w:rsidP="0031165B">
      <w:pPr>
        <w:pStyle w:val="InA"/>
        <w:rPr>
          <w:i w:val="0"/>
        </w:rPr>
      </w:pPr>
    </w:p>
    <w:p w:rsidR="004913B5" w:rsidRPr="00993DCE" w:rsidRDefault="004913B5" w:rsidP="00430424">
      <w:pPr>
        <w:pStyle w:val="InA"/>
      </w:pPr>
    </w:p>
    <w:p w:rsidR="009175BA" w:rsidRPr="00A672C4" w:rsidRDefault="00FF6C7F" w:rsidP="008E5A87">
      <w:pPr>
        <w:pStyle w:val="Xb"/>
      </w:pPr>
      <w:bookmarkStart w:id="8" w:name="_Ref306116874"/>
      <w:r>
        <w:lastRenderedPageBreak/>
        <w:t>T</w:t>
      </w:r>
      <w:r w:rsidR="00AE3C14">
        <w:t>enderer Response</w:t>
      </w:r>
      <w:bookmarkEnd w:id="8"/>
    </w:p>
    <w:p w:rsidR="009175BA" w:rsidRDefault="009175BA" w:rsidP="008E5A87">
      <w:pPr>
        <w:pStyle w:val="Indented"/>
        <w:keepNext/>
        <w:ind w:left="0"/>
        <w:jc w:val="both"/>
      </w:pPr>
    </w:p>
    <w:p w:rsidR="008E5A87" w:rsidRDefault="008E5A87" w:rsidP="00D2293D">
      <w:pPr>
        <w:pStyle w:val="Section"/>
        <w:numPr>
          <w:ilvl w:val="0"/>
          <w:numId w:val="14"/>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9" w:name="_Ref253393262"/>
      <w:r w:rsidRPr="00C7570F">
        <w:t>Tenderer name</w:t>
      </w:r>
      <w:bookmarkEnd w:id="9"/>
    </w:p>
    <w:p w:rsidR="008E5A87" w:rsidRPr="00AC4FC0" w:rsidRDefault="008E5A87" w:rsidP="008E5A87">
      <w:pPr>
        <w:pStyle w:val="Textindent"/>
      </w:pPr>
      <w:r w:rsidRPr="00AC4FC0">
        <w:t xml:space="preserve">Please </w:t>
      </w:r>
      <w:r>
        <w:t xml:space="preserve">confirm </w:t>
      </w:r>
      <w:r w:rsidRPr="00AC4FC0">
        <w:t xml:space="preserve">the name of the </w:t>
      </w:r>
      <w:bookmarkStart w:id="10" w:name="_Toc161730016"/>
      <w:bookmarkStart w:id="11" w:name="_Toc161731620"/>
      <w:bookmarkEnd w:id="10"/>
      <w:bookmarkEnd w:id="11"/>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2" w:name="Text1"/>
            <w:r>
              <w:instrText xml:space="preserve"> FORMTEXT </w:instrText>
            </w:r>
            <w:r>
              <w:fldChar w:fldCharType="separate"/>
            </w:r>
            <w:r>
              <w:t> </w:t>
            </w:r>
            <w:r>
              <w:t> </w:t>
            </w:r>
            <w:r>
              <w:t> </w:t>
            </w:r>
            <w:r>
              <w:t> </w:t>
            </w:r>
            <w:r>
              <w:t> </w:t>
            </w:r>
            <w:r>
              <w:fldChar w:fldCharType="end"/>
            </w:r>
            <w:bookmarkEnd w:id="12"/>
          </w:p>
        </w:tc>
      </w:tr>
    </w:tbl>
    <w:p w:rsidR="008E5A87" w:rsidRPr="00E44289" w:rsidRDefault="008E5A87" w:rsidP="00D2293D">
      <w:pPr>
        <w:pStyle w:val="ListBullet"/>
        <w:numPr>
          <w:ilvl w:val="0"/>
          <w:numId w:val="3"/>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2293D">
      <w:pPr>
        <w:pStyle w:val="ListBullet"/>
        <w:numPr>
          <w:ilvl w:val="0"/>
          <w:numId w:val="3"/>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1"/>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6552FA" w:rsidP="00A705FF">
            <w:pPr>
              <w:pStyle w:val="ResponseTable"/>
              <w:jc w:val="center"/>
            </w:pPr>
            <w:fldSimple w:instr=" FORMDROPDOWN "/>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2293D">
      <w:pPr>
        <w:pStyle w:val="Section"/>
        <w:numPr>
          <w:ilvl w:val="0"/>
          <w:numId w:val="14"/>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3"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4" w:name="Text32"/>
            <w:r w:rsidRPr="00C74C1E">
              <w:instrText xml:space="preserve"> FORMTEXT </w:instrText>
            </w:r>
            <w:r w:rsidRPr="00C74C1E">
              <w:fldChar w:fldCharType="separate"/>
            </w:r>
            <w:r>
              <w:t> </w:t>
            </w:r>
            <w:r>
              <w:t> </w:t>
            </w:r>
            <w:r>
              <w:t> </w:t>
            </w:r>
            <w:r>
              <w:t> </w:t>
            </w:r>
            <w:r>
              <w:t> </w:t>
            </w:r>
            <w:r w:rsidRPr="00C74C1E">
              <w:fldChar w:fldCharType="end"/>
            </w:r>
            <w:bookmarkEnd w:id="14"/>
          </w:p>
        </w:tc>
      </w:tr>
      <w:bookmarkEnd w:id="13"/>
    </w:tbl>
    <w:p w:rsidR="008E5A87" w:rsidRPr="004D5866" w:rsidRDefault="008E5A87" w:rsidP="008E5A87">
      <w:pPr>
        <w:pStyle w:val="Textindent"/>
      </w:pPr>
    </w:p>
    <w:p w:rsidR="008E5A87" w:rsidRPr="004D5866" w:rsidRDefault="0031165B" w:rsidP="008E5A87">
      <w:pPr>
        <w:pStyle w:val="LevelB1"/>
        <w:ind w:hanging="720"/>
      </w:pPr>
      <w:r>
        <w:t>Outline Approach</w:t>
      </w:r>
    </w:p>
    <w:p w:rsidR="008E5A87" w:rsidRDefault="00900543" w:rsidP="008E5A87">
      <w:pPr>
        <w:pStyle w:val="Textindent"/>
      </w:pPr>
      <w:r w:rsidRPr="004D5866">
        <w:t>Describe (with specific reference to the elements of the requirements and the outcomes expected) how it is intended to deliver the requirements of the specification</w:t>
      </w:r>
      <w:r w:rsidR="008E5A87" w:rsidRPr="004D5866">
        <w:t>.</w:t>
      </w:r>
    </w:p>
    <w:p w:rsidR="00900543" w:rsidRPr="004D5866" w:rsidRDefault="00900543" w:rsidP="008E5A87">
      <w:pPr>
        <w:pStyle w:val="Textindent"/>
      </w:pPr>
      <w:r>
        <w:t>Response must not exceed 2 sides of A4.</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5" w:name="Text33"/>
            <w:r w:rsidRPr="00C74C1E">
              <w:instrText xml:space="preserve"> FORMTEXT </w:instrText>
            </w:r>
            <w:r w:rsidRPr="00C74C1E">
              <w:fldChar w:fldCharType="separate"/>
            </w:r>
            <w:r>
              <w:t> </w:t>
            </w:r>
            <w:r>
              <w:t> </w:t>
            </w:r>
            <w:r>
              <w:t> </w:t>
            </w:r>
            <w:r>
              <w:t> </w:t>
            </w:r>
            <w:r>
              <w:t> </w:t>
            </w:r>
            <w:r w:rsidRPr="00C74C1E">
              <w:fldChar w:fldCharType="end"/>
            </w:r>
            <w:bookmarkEnd w:id="15"/>
          </w:p>
        </w:tc>
      </w:tr>
    </w:tbl>
    <w:p w:rsidR="008E5A87" w:rsidRPr="004D5866" w:rsidRDefault="008E5A87" w:rsidP="008E5A87">
      <w:pPr>
        <w:pStyle w:val="Textindent"/>
      </w:pPr>
    </w:p>
    <w:p w:rsidR="008E5A87" w:rsidRPr="004D5866" w:rsidRDefault="0031165B" w:rsidP="008E5A87">
      <w:pPr>
        <w:pStyle w:val="LevelB1"/>
        <w:ind w:hanging="720"/>
      </w:pPr>
      <w:r>
        <w:t>Team Structure</w:t>
      </w:r>
    </w:p>
    <w:p w:rsidR="008E5A87" w:rsidRDefault="00900543" w:rsidP="008E5A87">
      <w:pPr>
        <w:pStyle w:val="Textindent"/>
      </w:pPr>
      <w:r>
        <w:t>Provide details of your team structure</w:t>
      </w:r>
      <w:r w:rsidR="008E5A87" w:rsidRPr="004D5866">
        <w:t>.</w:t>
      </w:r>
    </w:p>
    <w:p w:rsidR="00900543" w:rsidRPr="004D5866" w:rsidRDefault="00900543" w:rsidP="008E5A87">
      <w:pPr>
        <w:pStyle w:val="Textindent"/>
      </w:pPr>
      <w:r>
        <w:t>Response must not exceed 1 side of A4.</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6" w:name="Text34"/>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31165B" w:rsidP="008E5A87">
      <w:pPr>
        <w:pStyle w:val="LevelB1"/>
        <w:ind w:hanging="720"/>
      </w:pPr>
      <w:r>
        <w:t>CVs of Individuals</w:t>
      </w:r>
    </w:p>
    <w:p w:rsidR="00900543" w:rsidRDefault="00900543" w:rsidP="008E5A87">
      <w:pPr>
        <w:pStyle w:val="Textindent"/>
      </w:pPr>
      <w:r>
        <w:t>Provide details of the qualifications and experience of the individuals whose responsibility will be to ensure that the requirement is delivered.</w:t>
      </w:r>
    </w:p>
    <w:p w:rsidR="008E5A87" w:rsidRPr="004D5866" w:rsidRDefault="00900543" w:rsidP="008E5A87">
      <w:pPr>
        <w:pStyle w:val="Textindent"/>
      </w:pPr>
      <w:r>
        <w:t>CVs may be supplied as separate attachments</w:t>
      </w:r>
      <w:r w:rsidR="008E5A87" w:rsidRPr="004D5866">
        <w: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7" w:name="Text35"/>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8E5A87" w:rsidRPr="004D5866" w:rsidRDefault="007815A4" w:rsidP="008E5A87">
      <w:pPr>
        <w:pStyle w:val="LevelB1"/>
        <w:ind w:hanging="720"/>
      </w:pPr>
      <w:r>
        <w:t>Case Study</w:t>
      </w:r>
    </w:p>
    <w:p w:rsidR="008E5A87" w:rsidRPr="004D5866" w:rsidRDefault="00900543" w:rsidP="008E5A87">
      <w:pPr>
        <w:pStyle w:val="Textindent"/>
      </w:pPr>
      <w:r w:rsidRPr="00246C1B">
        <w:rPr>
          <w:bCs/>
        </w:rPr>
        <w:t>P</w:t>
      </w:r>
      <w:r>
        <w:rPr>
          <w:bCs/>
        </w:rPr>
        <w:t>rovide an example of a recent and directly relevant case study delivered by the proposed personnel</w:t>
      </w:r>
      <w:proofErr w:type="gramStart"/>
      <w:r>
        <w:rPr>
          <w:bCs/>
        </w:rPr>
        <w:t>.</w:t>
      </w:r>
      <w:r w:rsidR="008E5A87" w:rsidRPr="004D5866">
        <w:t>.</w:t>
      </w:r>
      <w:proofErr w:type="gramEnd"/>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8" w:name="Text36"/>
            <w:r w:rsidRPr="00C74C1E">
              <w:instrText xml:space="preserve"> FORMTEXT </w:instrText>
            </w:r>
            <w:r w:rsidRPr="00C74C1E">
              <w:fldChar w:fldCharType="separate"/>
            </w:r>
            <w:r>
              <w:t> </w:t>
            </w:r>
            <w:r>
              <w:t> </w:t>
            </w:r>
            <w:r>
              <w:t> </w:t>
            </w:r>
            <w:r>
              <w:t> </w:t>
            </w:r>
            <w:r>
              <w:t> </w:t>
            </w:r>
            <w:r w:rsidRPr="00C74C1E">
              <w:fldChar w:fldCharType="end"/>
            </w:r>
            <w:bookmarkEnd w:id="18"/>
          </w:p>
        </w:tc>
      </w:tr>
    </w:tbl>
    <w:p w:rsidR="0001209D" w:rsidRDefault="0001209D" w:rsidP="009175BA">
      <w:pPr>
        <w:jc w:val="both"/>
        <w:rPr>
          <w:bCs/>
        </w:rPr>
      </w:pPr>
    </w:p>
    <w:p w:rsidR="008E5A87" w:rsidRPr="00F740A7" w:rsidRDefault="008E5A87" w:rsidP="009175BA">
      <w:pPr>
        <w:jc w:val="both"/>
        <w:rPr>
          <w:bCs/>
        </w:rPr>
      </w:pPr>
    </w:p>
    <w:p w:rsidR="007815A4" w:rsidRPr="004D5866" w:rsidRDefault="007815A4" w:rsidP="007815A4">
      <w:pPr>
        <w:pStyle w:val="LevelB1"/>
        <w:ind w:hanging="616"/>
      </w:pPr>
      <w:r>
        <w:t>Appropriateness of resource profile</w:t>
      </w:r>
    </w:p>
    <w:p w:rsidR="007815A4" w:rsidRPr="004D5866" w:rsidRDefault="00900543" w:rsidP="007815A4">
      <w:pPr>
        <w:pStyle w:val="Textindent"/>
      </w:pPr>
      <w:r w:rsidRPr="00246C1B">
        <w:rPr>
          <w:bCs/>
        </w:rPr>
        <w:t>Provide a table setting out on a week by week basis your in</w:t>
      </w:r>
      <w:r>
        <w:rPr>
          <w:bCs/>
        </w:rPr>
        <w:t>i</w:t>
      </w:r>
      <w:r w:rsidRPr="00246C1B">
        <w:rPr>
          <w:bCs/>
        </w:rPr>
        <w:t xml:space="preserve">tial view of which resources work </w:t>
      </w:r>
      <w:proofErr w:type="gramStart"/>
      <w:r w:rsidRPr="00246C1B">
        <w:rPr>
          <w:bCs/>
        </w:rPr>
        <w:t>be</w:t>
      </w:r>
      <w:proofErr w:type="gramEnd"/>
      <w:r w:rsidRPr="00246C1B">
        <w:rPr>
          <w:bCs/>
        </w:rPr>
        <w:t xml:space="preserve"> required at which points of this assignment.</w:t>
      </w:r>
    </w:p>
    <w:tbl>
      <w:tblPr>
        <w:tblStyle w:val="TableGrid"/>
        <w:tblW w:w="8280" w:type="dxa"/>
        <w:tblInd w:w="1008" w:type="dxa"/>
        <w:tblLook w:val="01E0" w:firstRow="1" w:lastRow="1" w:firstColumn="1" w:lastColumn="1" w:noHBand="0" w:noVBand="0"/>
      </w:tblPr>
      <w:tblGrid>
        <w:gridCol w:w="8280"/>
      </w:tblGrid>
      <w:tr w:rsidR="007815A4" w:rsidRPr="004D5866" w:rsidTr="00D753DB">
        <w:trPr>
          <w:tblHeader/>
        </w:trPr>
        <w:tc>
          <w:tcPr>
            <w:tcW w:w="8280" w:type="dxa"/>
            <w:shd w:val="clear" w:color="auto" w:fill="E0E0E0"/>
          </w:tcPr>
          <w:p w:rsidR="007815A4" w:rsidRPr="004D5866" w:rsidRDefault="007815A4" w:rsidP="00D753DB">
            <w:pPr>
              <w:pStyle w:val="Qtable"/>
            </w:pPr>
            <w:r w:rsidRPr="004D5866">
              <w:t>Response</w:t>
            </w:r>
          </w:p>
        </w:tc>
      </w:tr>
      <w:tr w:rsidR="007815A4" w:rsidRPr="004D5866" w:rsidDel="002424E9" w:rsidTr="00D753DB">
        <w:tc>
          <w:tcPr>
            <w:tcW w:w="8280" w:type="dxa"/>
          </w:tcPr>
          <w:p w:rsidR="007815A4" w:rsidRPr="004D5866" w:rsidDel="002424E9" w:rsidRDefault="007815A4" w:rsidP="00D753DB">
            <w:pPr>
              <w:pStyle w:val="ResponseTable"/>
            </w:pPr>
            <w:r w:rsidRPr="00C74C1E">
              <w:fldChar w:fldCharType="begin">
                <w:ffData>
                  <w:name w:val="Text36"/>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7815A4" w:rsidRDefault="007815A4" w:rsidP="007815A4">
      <w:pPr>
        <w:jc w:val="both"/>
        <w:rPr>
          <w:bCs/>
        </w:rPr>
      </w:pPr>
    </w:p>
    <w:p w:rsidR="000635A4" w:rsidRDefault="000635A4" w:rsidP="00F740A7">
      <w:pPr>
        <w:jc w:val="both"/>
        <w:sectPr w:rsidR="000635A4" w:rsidSect="000635A4">
          <w:footerReference w:type="default" r:id="rId13"/>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19" w:name="_Ref306116898"/>
      <w:bookmarkStart w:id="20" w:name="_Ref257301443"/>
    </w:p>
    <w:p w:rsidR="00B649CC" w:rsidRDefault="00AE3C14" w:rsidP="00746ED8">
      <w:pPr>
        <w:pStyle w:val="Xa"/>
      </w:pPr>
      <w:bookmarkStart w:id="21" w:name="_Ref328647196"/>
      <w:r>
        <w:lastRenderedPageBreak/>
        <w:t>Pric</w:t>
      </w:r>
      <w:r w:rsidR="00CE5436">
        <w:t>ing Schedule</w:t>
      </w:r>
      <w:bookmarkEnd w:id="19"/>
      <w:bookmarkEnd w:id="21"/>
    </w:p>
    <w:p w:rsidR="00CE5436" w:rsidRPr="00CE5436" w:rsidRDefault="00CE5436" w:rsidP="00CE5436">
      <w:pPr>
        <w:pStyle w:val="Indented"/>
      </w:pPr>
    </w:p>
    <w:bookmarkEnd w:id="20"/>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Pr="00BC0A69" w:rsidRDefault="00B649CC" w:rsidP="005D241D">
      <w:pPr>
        <w:pStyle w:val="NINEH2"/>
      </w:pPr>
      <w:r w:rsidRPr="00BC0A69">
        <w:t>The rates exclude VAT.</w:t>
      </w:r>
    </w:p>
    <w:p w:rsidR="00E64043" w:rsidRPr="00BC0A69" w:rsidRDefault="00B649CC" w:rsidP="005D241D">
      <w:pPr>
        <w:pStyle w:val="NINEH2"/>
      </w:pPr>
      <w:r w:rsidRPr="00BC0A69">
        <w:t xml:space="preserve">The rates entered in the </w:t>
      </w:r>
      <w:r w:rsidR="0003291E" w:rsidRPr="00BC0A69">
        <w:t>Pricing Schedule</w:t>
      </w:r>
      <w:r w:rsidR="00900543">
        <w:t xml:space="preserve"> shall ex</w:t>
      </w:r>
      <w:r w:rsidRPr="00BC0A69">
        <w:t xml:space="preserve">clude all travel and subsistence costs. </w:t>
      </w:r>
      <w:r w:rsidR="00E64043" w:rsidRPr="00BC0A69">
        <w:t xml:space="preserve"> Expenses will only be approved if supported by original receipts.</w:t>
      </w:r>
      <w:r w:rsidRPr="00BC0A69">
        <w:t xml:space="preserve"> </w:t>
      </w:r>
      <w:r w:rsidR="00E64043" w:rsidRPr="00BC0A69">
        <w:t xml:space="preserve">The Authority will only pay for expenses claimed that are in line with the Department’s guidelines for expenses.  Original receipts will need to be provided.  </w:t>
      </w:r>
    </w:p>
    <w:p w:rsidR="00B649CC" w:rsidRPr="00BC0A69" w:rsidRDefault="00B649CC" w:rsidP="005D241D">
      <w:pPr>
        <w:pStyle w:val="NINEH2"/>
      </w:pPr>
      <w:r w:rsidRPr="00BC0A69">
        <w:t xml:space="preserve">The Authority will only make payment for overnight stays </w:t>
      </w:r>
      <w:r w:rsidR="00E174F1" w:rsidRPr="00BC0A69">
        <w:t xml:space="preserve">that have been </w:t>
      </w:r>
      <w:r w:rsidRPr="00BC0A69">
        <w:t xml:space="preserve">authorised beforehand </w:t>
      </w:r>
      <w:r w:rsidR="00E174F1" w:rsidRPr="00BC0A69">
        <w:t xml:space="preserve">in writing </w:t>
      </w:r>
      <w:r w:rsidRPr="00BC0A69">
        <w:t xml:space="preserve">by the Authority's Representative. </w:t>
      </w:r>
    </w:p>
    <w:p w:rsidR="00B649CC" w:rsidRPr="00BC0A69" w:rsidRDefault="00B649CC" w:rsidP="005D241D">
      <w:pPr>
        <w:pStyle w:val="NINEH2"/>
      </w:pPr>
      <w:r w:rsidRPr="00BC0A69">
        <w:t xml:space="preserve">Any extra expenses other than travel and subsistence must be priced separately in the </w:t>
      </w:r>
      <w:r w:rsidR="0003291E" w:rsidRPr="00BC0A69">
        <w:t>P</w:t>
      </w:r>
      <w:r w:rsidRPr="00BC0A69">
        <w:t xml:space="preserve">ricing </w:t>
      </w:r>
      <w:r w:rsidR="0003291E" w:rsidRPr="00BC0A69">
        <w:t>S</w:t>
      </w:r>
      <w:r w:rsidRPr="00BC0A69">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01209D" w:rsidRDefault="00B649CC" w:rsidP="0001209D">
      <w:pPr>
        <w:pStyle w:val="Textindent"/>
      </w:pPr>
      <w:r w:rsidRPr="00DC356C">
        <w:br w:type="page"/>
      </w: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276"/>
        <w:gridCol w:w="1119"/>
        <w:gridCol w:w="298"/>
        <w:gridCol w:w="1392"/>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01209D" w:rsidP="00422CA2">
            <w:pPr>
              <w:rPr>
                <w:b/>
                <w:bCs/>
              </w:rPr>
            </w:pPr>
            <w:r w:rsidRPr="0001209D">
              <w:rPr>
                <w:b/>
                <w:bCs/>
              </w:rPr>
              <w:lastRenderedPageBreak/>
              <w:t>DESCRIPTION OF SERVICE</w:t>
            </w:r>
          </w:p>
        </w:tc>
        <w:tc>
          <w:tcPr>
            <w:tcW w:w="1690" w:type="dxa"/>
            <w:gridSpan w:val="2"/>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900543" w:rsidP="00422CA2">
            <w:pPr>
              <w:rPr>
                <w:b/>
                <w:bCs/>
              </w:rPr>
            </w:pPr>
            <w:r>
              <w:rPr>
                <w:b/>
                <w:bCs/>
              </w:rPr>
              <w:t>TIME AND MATERIALS</w:t>
            </w:r>
          </w:p>
        </w:tc>
      </w:tr>
      <w:tr w:rsidR="0001209D" w:rsidRPr="0001209D">
        <w:trPr>
          <w:trHeight w:val="630"/>
        </w:trPr>
        <w:tc>
          <w:tcPr>
            <w:tcW w:w="8005" w:type="dxa"/>
            <w:gridSpan w:val="5"/>
            <w:tcBorders>
              <w:top w:val="double" w:sz="4" w:space="0" w:color="auto"/>
              <w:left w:val="double" w:sz="7" w:space="0" w:color="auto"/>
              <w:bottom w:val="single" w:sz="4" w:space="0" w:color="auto"/>
              <w:right w:val="double" w:sz="7" w:space="0" w:color="auto"/>
            </w:tcBorders>
            <w:vAlign w:val="center"/>
          </w:tcPr>
          <w:p w:rsidR="0001209D" w:rsidRPr="0001209D" w:rsidRDefault="0001209D" w:rsidP="00422CA2">
            <w:r w:rsidRPr="0001209D">
              <w:t>Management &amp; staff and respective man-days:</w:t>
            </w:r>
          </w:p>
        </w:tc>
      </w:tr>
      <w:tr w:rsidR="0001209D" w:rsidRPr="0001209D" w:rsidTr="00BC0A69">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276" w:type="dxa"/>
            <w:tcBorders>
              <w:top w:val="single" w:sz="4" w:space="0" w:color="auto"/>
              <w:left w:val="single" w:sz="4" w:space="0" w:color="auto"/>
              <w:bottom w:val="single" w:sz="4" w:space="0" w:color="auto"/>
            </w:tcBorders>
            <w:vAlign w:val="center"/>
          </w:tcPr>
          <w:p w:rsidR="0001209D" w:rsidRPr="0001209D" w:rsidRDefault="0001209D" w:rsidP="00C86CA7">
            <w:pPr>
              <w:jc w:val="center"/>
            </w:pPr>
            <w:r w:rsidRPr="0001209D">
              <w:t>Cost per day</w:t>
            </w:r>
          </w:p>
        </w:tc>
        <w:tc>
          <w:tcPr>
            <w:tcW w:w="1417" w:type="dxa"/>
            <w:gridSpan w:val="2"/>
            <w:tcBorders>
              <w:top w:val="single" w:sz="4" w:space="0" w:color="auto"/>
              <w:left w:val="single" w:sz="4" w:space="0" w:color="auto"/>
              <w:bottom w:val="single" w:sz="4" w:space="0" w:color="auto"/>
              <w:right w:val="double" w:sz="4" w:space="0" w:color="auto"/>
            </w:tcBorders>
            <w:vAlign w:val="center"/>
          </w:tcPr>
          <w:p w:rsidR="00900543" w:rsidRPr="0001209D" w:rsidRDefault="0001209D" w:rsidP="00900543">
            <w:pPr>
              <w:jc w:val="center"/>
            </w:pPr>
            <w:r w:rsidRPr="0001209D">
              <w:t>No of days</w:t>
            </w:r>
          </w:p>
          <w:p w:rsidR="00900543" w:rsidRPr="0001209D" w:rsidRDefault="00900543" w:rsidP="00C86CA7">
            <w:pPr>
              <w:jc w:val="center"/>
            </w:pPr>
          </w:p>
        </w:tc>
        <w:tc>
          <w:tcPr>
            <w:tcW w:w="1392"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rsidTr="00BC0A69">
        <w:trPr>
          <w:trHeight w:val="270"/>
        </w:trPr>
        <w:tc>
          <w:tcPr>
            <w:tcW w:w="3920" w:type="dxa"/>
            <w:tcBorders>
              <w:top w:val="single" w:sz="4" w:space="0" w:color="auto"/>
              <w:left w:val="double" w:sz="4" w:space="0" w:color="auto"/>
              <w:right w:val="single" w:sz="4" w:space="0" w:color="auto"/>
            </w:tcBorders>
            <w:vAlign w:val="center"/>
          </w:tcPr>
          <w:p w:rsidR="00BC0A69" w:rsidRDefault="00BC0A69" w:rsidP="00BC0A69">
            <w:pPr>
              <w:pStyle w:val="ResponseTable"/>
            </w:pPr>
            <w:r>
              <w:t>- State individuals and rates</w:t>
            </w:r>
            <w:r w:rsidRPr="00BC0A69">
              <w:t xml:space="preserve"> </w:t>
            </w:r>
            <w:r>
              <w:t>under each main heading:</w:t>
            </w:r>
          </w:p>
          <w:p w:rsidR="00BC0A69" w:rsidRDefault="00BC0A69" w:rsidP="00BC0A69">
            <w:pPr>
              <w:pStyle w:val="ResponseTable"/>
            </w:pPr>
          </w:p>
          <w:p w:rsidR="0001209D" w:rsidRDefault="00BC0A69" w:rsidP="00BC0A69">
            <w:pPr>
              <w:pStyle w:val="ResponseTable"/>
            </w:pPr>
            <w:r w:rsidRPr="00BC0A69">
              <w:t>(a</w:t>
            </w:r>
            <w:r>
              <w:t>) Business Case Modeller</w:t>
            </w:r>
          </w:p>
          <w:p w:rsidR="00BC0A69" w:rsidRPr="00C86CA7" w:rsidRDefault="00BC0A69" w:rsidP="00BC0A69">
            <w:pPr>
              <w:pStyle w:val="ResponseTable"/>
            </w:pPr>
          </w:p>
        </w:tc>
        <w:tc>
          <w:tcPr>
            <w:tcW w:w="1276" w:type="dxa"/>
            <w:tcBorders>
              <w:top w:val="single" w:sz="4" w:space="0" w:color="auto"/>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3"/>
                  <w:enabled/>
                  <w:calcOnExit w:val="0"/>
                  <w:textInput/>
                </w:ffData>
              </w:fldChar>
            </w:r>
            <w:bookmarkStart w:id="22" w:name="Text6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2"/>
          </w:p>
        </w:tc>
        <w:tc>
          <w:tcPr>
            <w:tcW w:w="1417" w:type="dxa"/>
            <w:gridSpan w:val="2"/>
            <w:tcBorders>
              <w:top w:val="single" w:sz="4" w:space="0" w:color="auto"/>
              <w:left w:val="single" w:sz="4" w:space="0" w:color="auto"/>
              <w:right w:val="double" w:sz="4" w:space="0" w:color="auto"/>
            </w:tcBorders>
            <w:vAlign w:val="center"/>
          </w:tcPr>
          <w:p w:rsidR="0001209D" w:rsidRPr="00C86CA7" w:rsidRDefault="00900543" w:rsidP="00C86CA7">
            <w:pPr>
              <w:jc w:val="center"/>
              <w:rPr>
                <w:color w:val="0000FF"/>
              </w:rPr>
            </w:pPr>
            <w:r>
              <w:rPr>
                <w:color w:val="0000FF"/>
              </w:rPr>
              <w:t>[</w:t>
            </w:r>
            <w:r w:rsidR="0091386C">
              <w:rPr>
                <w:color w:val="0000FF"/>
              </w:rPr>
              <w:t>x</w:t>
            </w:r>
            <w:r>
              <w:rPr>
                <w:color w:val="0000FF"/>
              </w:rPr>
              <w:t>]</w:t>
            </w:r>
          </w:p>
        </w:tc>
        <w:tc>
          <w:tcPr>
            <w:tcW w:w="1392" w:type="dxa"/>
            <w:tcBorders>
              <w:top w:val="single" w:sz="4" w:space="0" w:color="auto"/>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3"/>
                  <w:enabled/>
                  <w:calcOnExit w:val="0"/>
                  <w:textInput/>
                </w:ffData>
              </w:fldChar>
            </w:r>
            <w:bookmarkStart w:id="23" w:name="Text7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3"/>
          </w:p>
        </w:tc>
      </w:tr>
      <w:tr w:rsidR="0001209D" w:rsidRPr="0001209D" w:rsidTr="00BC0A69">
        <w:trPr>
          <w:trHeight w:val="345"/>
        </w:trPr>
        <w:tc>
          <w:tcPr>
            <w:tcW w:w="3920" w:type="dxa"/>
            <w:tcBorders>
              <w:left w:val="double" w:sz="4" w:space="0" w:color="auto"/>
              <w:right w:val="single" w:sz="4" w:space="0" w:color="auto"/>
            </w:tcBorders>
            <w:vAlign w:val="center"/>
          </w:tcPr>
          <w:p w:rsidR="0001209D" w:rsidRPr="00C86CA7" w:rsidRDefault="0001209D" w:rsidP="00BC0A69">
            <w:pPr>
              <w:pStyle w:val="ResponseTable"/>
            </w:pPr>
            <w:r w:rsidRPr="00C86CA7">
              <w:t xml:space="preserve">(b) </w:t>
            </w:r>
            <w:r w:rsidR="00BC0A69">
              <w:t>Business Case Architect</w:t>
            </w:r>
          </w:p>
        </w:tc>
        <w:tc>
          <w:tcPr>
            <w:tcW w:w="1276"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4"/>
                  <w:enabled/>
                  <w:calcOnExit w:val="0"/>
                  <w:textInput/>
                </w:ffData>
              </w:fldChar>
            </w:r>
            <w:bookmarkStart w:id="24" w:name="Text6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4"/>
          </w:p>
        </w:tc>
        <w:tc>
          <w:tcPr>
            <w:tcW w:w="1417" w:type="dxa"/>
            <w:gridSpan w:val="2"/>
            <w:tcBorders>
              <w:left w:val="single" w:sz="4" w:space="0" w:color="auto"/>
              <w:right w:val="double" w:sz="4" w:space="0" w:color="auto"/>
            </w:tcBorders>
            <w:vAlign w:val="center"/>
          </w:tcPr>
          <w:p w:rsidR="0001209D" w:rsidRPr="00C86CA7" w:rsidRDefault="00900543" w:rsidP="00C86CA7">
            <w:pPr>
              <w:jc w:val="center"/>
              <w:rPr>
                <w:color w:val="0000FF"/>
              </w:rPr>
            </w:pPr>
            <w:r>
              <w:rPr>
                <w:color w:val="0000FF"/>
              </w:rPr>
              <w:t>[</w:t>
            </w:r>
            <w:r w:rsidR="0091386C">
              <w:rPr>
                <w:color w:val="0000FF"/>
              </w:rPr>
              <w:t>x</w:t>
            </w:r>
            <w:r>
              <w:rPr>
                <w:color w:val="0000FF"/>
              </w:rPr>
              <w:t>]</w:t>
            </w:r>
          </w:p>
        </w:tc>
        <w:tc>
          <w:tcPr>
            <w:tcW w:w="1392"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4"/>
                  <w:enabled/>
                  <w:calcOnExit w:val="0"/>
                  <w:textInput/>
                </w:ffData>
              </w:fldChar>
            </w:r>
            <w:bookmarkStart w:id="25" w:name="Text7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5"/>
          </w:p>
        </w:tc>
      </w:tr>
      <w:tr w:rsidR="0001209D" w:rsidRPr="0001209D" w:rsidTr="00BC0A69">
        <w:trPr>
          <w:trHeight w:val="360"/>
        </w:trPr>
        <w:tc>
          <w:tcPr>
            <w:tcW w:w="3920" w:type="dxa"/>
            <w:tcBorders>
              <w:left w:val="double" w:sz="4" w:space="0" w:color="auto"/>
              <w:right w:val="single" w:sz="4" w:space="0" w:color="auto"/>
            </w:tcBorders>
            <w:vAlign w:val="center"/>
          </w:tcPr>
          <w:p w:rsidR="0001209D" w:rsidRPr="00C86CA7" w:rsidRDefault="0001209D" w:rsidP="00BC0A69">
            <w:pPr>
              <w:pStyle w:val="ResponseTable"/>
            </w:pPr>
            <w:r w:rsidRPr="00C86CA7">
              <w:t xml:space="preserve">(c) </w:t>
            </w:r>
            <w:r w:rsidR="00BC0A69">
              <w:t>Senior Oversight and QA</w:t>
            </w:r>
          </w:p>
        </w:tc>
        <w:tc>
          <w:tcPr>
            <w:tcW w:w="1276"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5"/>
                  <w:enabled/>
                  <w:calcOnExit w:val="0"/>
                  <w:textInput/>
                </w:ffData>
              </w:fldChar>
            </w:r>
            <w:bookmarkStart w:id="26" w:name="Text6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6"/>
          </w:p>
        </w:tc>
        <w:tc>
          <w:tcPr>
            <w:tcW w:w="1417" w:type="dxa"/>
            <w:gridSpan w:val="2"/>
            <w:tcBorders>
              <w:left w:val="single" w:sz="4" w:space="0" w:color="auto"/>
              <w:right w:val="double" w:sz="4" w:space="0" w:color="auto"/>
            </w:tcBorders>
            <w:vAlign w:val="center"/>
          </w:tcPr>
          <w:p w:rsidR="0001209D" w:rsidRPr="00C86CA7" w:rsidRDefault="00900543" w:rsidP="00C86CA7">
            <w:pPr>
              <w:jc w:val="center"/>
              <w:rPr>
                <w:color w:val="0000FF"/>
              </w:rPr>
            </w:pPr>
            <w:r>
              <w:rPr>
                <w:color w:val="0000FF"/>
              </w:rPr>
              <w:t>[</w:t>
            </w:r>
            <w:r w:rsidR="0091386C">
              <w:rPr>
                <w:color w:val="0000FF"/>
              </w:rPr>
              <w:t>x</w:t>
            </w:r>
            <w:r>
              <w:rPr>
                <w:color w:val="0000FF"/>
              </w:rPr>
              <w:t>]</w:t>
            </w:r>
          </w:p>
        </w:tc>
        <w:tc>
          <w:tcPr>
            <w:tcW w:w="1392"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5"/>
                  <w:enabled/>
                  <w:calcOnExit w:val="0"/>
                  <w:textInput/>
                </w:ffData>
              </w:fldChar>
            </w:r>
            <w:bookmarkStart w:id="27" w:name="Text7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7"/>
          </w:p>
        </w:tc>
      </w:tr>
      <w:tr w:rsidR="0001209D" w:rsidRPr="0001209D" w:rsidTr="00BC0A69">
        <w:trPr>
          <w:trHeight w:val="33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(d)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276"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6"/>
                  <w:enabled/>
                  <w:calcOnExit w:val="0"/>
                  <w:textInput/>
                </w:ffData>
              </w:fldChar>
            </w:r>
            <w:bookmarkStart w:id="28" w:name="Text6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8"/>
          </w:p>
        </w:tc>
        <w:tc>
          <w:tcPr>
            <w:tcW w:w="1417" w:type="dxa"/>
            <w:gridSpan w:val="2"/>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71"/>
                  <w:enabled/>
                  <w:calcOnExit w:val="0"/>
                  <w:textInput/>
                </w:ffData>
              </w:fldChar>
            </w:r>
            <w:bookmarkStart w:id="29"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9"/>
          </w:p>
        </w:tc>
        <w:tc>
          <w:tcPr>
            <w:tcW w:w="1392"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6"/>
                  <w:enabled/>
                  <w:calcOnExit w:val="0"/>
                  <w:textInput/>
                </w:ffData>
              </w:fldChar>
            </w:r>
            <w:bookmarkStart w:id="30" w:name="Text7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0"/>
          </w:p>
        </w:tc>
      </w:tr>
      <w:tr w:rsidR="0001209D" w:rsidRPr="0001209D" w:rsidTr="00BC0A69">
        <w:trPr>
          <w:trHeight w:val="25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(e)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276"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7"/>
                  <w:enabled/>
                  <w:calcOnExit w:val="0"/>
                  <w:textInput/>
                </w:ffData>
              </w:fldChar>
            </w:r>
            <w:bookmarkStart w:id="31" w:name="Text6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1"/>
          </w:p>
        </w:tc>
        <w:tc>
          <w:tcPr>
            <w:tcW w:w="1417" w:type="dxa"/>
            <w:gridSpan w:val="2"/>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72"/>
                  <w:enabled/>
                  <w:calcOnExit w:val="0"/>
                  <w:textInput/>
                </w:ffData>
              </w:fldChar>
            </w:r>
            <w:bookmarkStart w:id="32"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2"/>
          </w:p>
        </w:tc>
        <w:tc>
          <w:tcPr>
            <w:tcW w:w="1392"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7"/>
                  <w:enabled/>
                  <w:calcOnExit w:val="0"/>
                  <w:textInput/>
                </w:ffData>
              </w:fldChar>
            </w:r>
            <w:bookmarkStart w:id="33" w:name="Text7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3"/>
          </w:p>
        </w:tc>
      </w:tr>
      <w:tr w:rsidR="0001209D" w:rsidRPr="0001209D" w:rsidTr="00BC0A69">
        <w:tc>
          <w:tcPr>
            <w:tcW w:w="6613"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01209D" w:rsidP="00422CA2">
            <w:pPr>
              <w:rPr>
                <w:b/>
                <w:bCs/>
              </w:rPr>
            </w:pPr>
            <w:r w:rsidRPr="00C86CA7">
              <w:rPr>
                <w:b/>
                <w:bCs/>
              </w:rPr>
              <w:t>Total Contract Price</w:t>
            </w:r>
            <w:r w:rsidR="00900543">
              <w:rPr>
                <w:b/>
                <w:bCs/>
              </w:rPr>
              <w:t xml:space="preserve"> Excluding expenses</w:t>
            </w:r>
            <w:r w:rsidR="00BC0A69">
              <w:rPr>
                <w:b/>
                <w:bCs/>
              </w:rPr>
              <w:t>*</w:t>
            </w:r>
            <w:r w:rsidRPr="00C86CA7">
              <w:rPr>
                <w:b/>
                <w:bCs/>
              </w:rPr>
              <w:t xml:space="preserve"> (Evaluation Price)</w:t>
            </w:r>
          </w:p>
        </w:tc>
        <w:tc>
          <w:tcPr>
            <w:tcW w:w="1392"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C86CA7" w:rsidP="00C86CA7">
            <w:pPr>
              <w:jc w:val="right"/>
              <w:rPr>
                <w:b/>
                <w:bCs/>
              </w:rPr>
            </w:pPr>
            <w:r w:rsidRPr="00C86CA7">
              <w:rPr>
                <w:szCs w:val="24"/>
              </w:rPr>
              <w:t>£</w:t>
            </w:r>
            <w:r w:rsidR="0001209D" w:rsidRPr="00C86CA7">
              <w:t xml:space="preserve"> </w:t>
            </w:r>
            <w:r w:rsidRPr="00C86CA7">
              <w:rPr>
                <w:b/>
                <w:bCs/>
                <w:szCs w:val="24"/>
              </w:rPr>
              <w:fldChar w:fldCharType="begin">
                <w:ffData>
                  <w:name w:val="Text62"/>
                  <w:enabled/>
                  <w:calcOnExit w:val="0"/>
                  <w:textInput/>
                </w:ffData>
              </w:fldChar>
            </w:r>
            <w:bookmarkStart w:id="34"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34"/>
          </w:p>
        </w:tc>
      </w:tr>
    </w:tbl>
    <w:p w:rsidR="00B649CC" w:rsidRDefault="00B649CC" w:rsidP="0001209D">
      <w:pPr>
        <w:pStyle w:val="Textindent"/>
      </w:pPr>
    </w:p>
    <w:p w:rsidR="00BC0A69" w:rsidRDefault="00BC0A69" w:rsidP="0001209D">
      <w:pPr>
        <w:pStyle w:val="Textindent"/>
      </w:pPr>
      <w:r>
        <w:t>*Please note the Authority does not expect a fixed price for this contract as the resources may need to be flexible, however, there is a maximum budgetary limit of £85,000 to complete this work</w:t>
      </w:r>
      <w:r w:rsidR="00900543">
        <w:t xml:space="preserve"> exclusive of VAT and expenses</w:t>
      </w:r>
      <w:r>
        <w:t xml:space="preserve">. </w:t>
      </w:r>
      <w:r w:rsidR="0091386C">
        <w:t>Bidders are asked to note that the timescales and resource levels</w:t>
      </w:r>
      <w:r w:rsidR="00C967EA">
        <w:t xml:space="preserve"> suggested in the specification are for illustrative purposes only. Based on the information provided Bidders are to calculate for </w:t>
      </w:r>
      <w:r>
        <w:t xml:space="preserve">each type of </w:t>
      </w:r>
      <w:r w:rsidR="00C967EA">
        <w:t xml:space="preserve">resource the number of days needed to achieve the requirements. </w:t>
      </w:r>
      <w:r>
        <w:t xml:space="preserve"> </w:t>
      </w:r>
    </w:p>
    <w:p w:rsidR="00746ED8" w:rsidRDefault="00746ED8" w:rsidP="00746ED8">
      <w:pPr>
        <w:pStyle w:val="Xa"/>
      </w:pPr>
      <w:bookmarkStart w:id="35" w:name="_Ref328647206"/>
      <w:r w:rsidRPr="00746ED8">
        <w:lastRenderedPageBreak/>
        <w:t>Contract Monitoring</w:t>
      </w:r>
      <w:bookmarkEnd w:id="35"/>
    </w:p>
    <w:p w:rsidR="00900543" w:rsidRDefault="00900543" w:rsidP="00900543">
      <w:pPr>
        <w:pStyle w:val="THREEH1"/>
        <w:numPr>
          <w:ilvl w:val="0"/>
          <w:numId w:val="0"/>
        </w:numPr>
        <w:ind w:left="709"/>
      </w:pPr>
    </w:p>
    <w:p w:rsidR="00900543" w:rsidRPr="00900543" w:rsidRDefault="00900543" w:rsidP="00900543">
      <w:pPr>
        <w:pStyle w:val="StyleHeading2"/>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900543" w:rsidRDefault="0001209D" w:rsidP="00A705FF">
      <w:pPr>
        <w:pStyle w:val="THREEH2"/>
      </w:pPr>
      <w:r w:rsidRPr="00BA7F35">
        <w:t>Name of Authority's Representative</w:t>
      </w:r>
      <w:r>
        <w:t xml:space="preserve">(s): </w:t>
      </w:r>
      <w:r w:rsidR="00900543">
        <w:t>Chris Stirling</w:t>
      </w:r>
    </w:p>
    <w:p w:rsidR="0001209D" w:rsidRPr="00BA7F35" w:rsidRDefault="0001209D" w:rsidP="00A705FF">
      <w:pPr>
        <w:pStyle w:val="THREEH2"/>
      </w:pPr>
      <w:r w:rsidRPr="00BA7F35">
        <w:t>Name of Contractor's Representative</w:t>
      </w:r>
      <w:r>
        <w:t xml:space="preserve">(s): </w:t>
      </w:r>
      <w:r w:rsidRPr="00900543">
        <w:rPr>
          <w:highlight w:val="yellow"/>
        </w:rPr>
        <w:t>[Tenderer to complete]</w:t>
      </w:r>
    </w:p>
    <w:p w:rsidR="0001209D" w:rsidRDefault="0001209D" w:rsidP="00EE0747">
      <w:pPr>
        <w:pStyle w:val="LeftSide"/>
      </w:pPr>
    </w:p>
    <w:p w:rsidR="0001209D" w:rsidRDefault="0001209D" w:rsidP="005D241D">
      <w:pPr>
        <w:pStyle w:val="THREEH1"/>
      </w:pPr>
      <w:r>
        <w:t>Deliverables</w:t>
      </w:r>
    </w:p>
    <w:p w:rsidR="00E5594D" w:rsidRDefault="00E5594D" w:rsidP="00A705FF">
      <w:pPr>
        <w:pStyle w:val="THREEH2"/>
      </w:pPr>
      <w:r w:rsidRPr="00B0135E">
        <w:t xml:space="preserve">List of deliverables, outputs and reports Contractor is to supply: </w:t>
      </w:r>
      <w:r w:rsidR="00900543">
        <w:t>As specified in section 2 above</w:t>
      </w:r>
    </w:p>
    <w:p w:rsidR="00900543" w:rsidRPr="00B0135E" w:rsidRDefault="00900543" w:rsidP="00900543">
      <w:pPr>
        <w:pStyle w:val="THREEH2"/>
        <w:numPr>
          <w:ilvl w:val="0"/>
          <w:numId w:val="0"/>
        </w:numPr>
        <w:ind w:left="851"/>
      </w:pPr>
    </w:p>
    <w:p w:rsidR="00E5594D" w:rsidRPr="00B0135E" w:rsidRDefault="00E5594D" w:rsidP="00A705FF">
      <w:pPr>
        <w:pStyle w:val="THREEH2"/>
      </w:pPr>
      <w:r w:rsidRPr="00B0135E">
        <w:t xml:space="preserve">Period(s) over which each deliverable, output and report is to be supplied: </w:t>
      </w:r>
      <w:r w:rsidR="00900543">
        <w:t xml:space="preserve">as specified in section 4 </w:t>
      </w:r>
      <w:proofErr w:type="gramStart"/>
      <w:r w:rsidR="00900543">
        <w:t>timetable</w:t>
      </w:r>
      <w:proofErr w:type="gramEnd"/>
      <w:r w:rsidR="00900543">
        <w:t xml:space="preserve"> above.</w:t>
      </w:r>
    </w:p>
    <w:p w:rsidR="00900543" w:rsidRDefault="00900543" w:rsidP="00900543">
      <w:pPr>
        <w:pStyle w:val="THREEH2"/>
        <w:numPr>
          <w:ilvl w:val="0"/>
          <w:numId w:val="0"/>
        </w:numPr>
        <w:ind w:left="851"/>
      </w:pPr>
    </w:p>
    <w:p w:rsidR="00E5594D" w:rsidRPr="00B0135E" w:rsidRDefault="00E5594D" w:rsidP="00A705FF">
      <w:pPr>
        <w:pStyle w:val="THREEH2"/>
      </w:pPr>
      <w:r w:rsidRPr="00B0135E">
        <w:t>Information requirements:</w:t>
      </w:r>
      <w:r w:rsidR="00900543">
        <w:t xml:space="preserve"> none</w:t>
      </w:r>
    </w:p>
    <w:p w:rsidR="00900543" w:rsidRDefault="00900543" w:rsidP="00900543">
      <w:pPr>
        <w:pStyle w:val="THREEH2"/>
        <w:numPr>
          <w:ilvl w:val="0"/>
          <w:numId w:val="0"/>
        </w:numPr>
        <w:ind w:left="851"/>
      </w:pPr>
    </w:p>
    <w:p w:rsidR="00E5594D" w:rsidRPr="00B0135E" w:rsidRDefault="00E5594D" w:rsidP="00A705FF">
      <w:pPr>
        <w:pStyle w:val="THREEH2"/>
      </w:pPr>
      <w:r w:rsidRPr="00B0135E">
        <w:t xml:space="preserve">Milestones: </w:t>
      </w:r>
      <w:r w:rsidR="00900543">
        <w:t>to be determined by tenderer plan</w:t>
      </w:r>
    </w:p>
    <w:p w:rsidR="0001209D" w:rsidRDefault="0001209D" w:rsidP="00EE0747">
      <w:pPr>
        <w:pStyle w:val="LeftSide"/>
      </w:pPr>
    </w:p>
    <w:p w:rsidR="0001209D" w:rsidRDefault="0001209D" w:rsidP="005D241D">
      <w:pPr>
        <w:pStyle w:val="THREEH1"/>
      </w:pPr>
      <w:r>
        <w:t>Meetings</w:t>
      </w:r>
    </w:p>
    <w:p w:rsidR="00E5594D" w:rsidRPr="00B0135E" w:rsidRDefault="00E5594D" w:rsidP="00A705FF">
      <w:pPr>
        <w:pStyle w:val="THREEH2"/>
      </w:pPr>
      <w:r w:rsidRPr="00B0135E">
        <w:t xml:space="preserve">Frequency of contract management meetings: </w:t>
      </w:r>
      <w:r w:rsidR="00900543">
        <w:t>Weekly</w:t>
      </w:r>
    </w:p>
    <w:p w:rsidR="00E5594D" w:rsidRPr="00B0135E" w:rsidRDefault="00E5594D" w:rsidP="00A705FF">
      <w:pPr>
        <w:pStyle w:val="THREEH2"/>
      </w:pPr>
      <w:r w:rsidRPr="00B0135E">
        <w:t>Location of contract management meetings:</w:t>
      </w:r>
      <w:r w:rsidR="00900543">
        <w:t xml:space="preserve"> Teleconference</w:t>
      </w:r>
    </w:p>
    <w:p w:rsidR="00E5594D" w:rsidRDefault="00E5594D" w:rsidP="00A705FF">
      <w:pPr>
        <w:pStyle w:val="THREEH2"/>
      </w:pPr>
      <w:r w:rsidRPr="00BA7F35">
        <w:t>Checking performance against anticipated plan</w:t>
      </w:r>
      <w:r>
        <w:t xml:space="preserve">: </w:t>
      </w:r>
      <w:r w:rsidR="00900543">
        <w:t>Weekly</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900543">
        <w:t>Termination of services</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36" w:name="_Ref306116919"/>
      <w:r>
        <w:lastRenderedPageBreak/>
        <w:t>C</w:t>
      </w:r>
      <w:r w:rsidR="00D05693">
        <w:t>onfidential &amp; Com</w:t>
      </w:r>
      <w:r w:rsidR="009A2456">
        <w:t>mercially Sensitive Information</w:t>
      </w:r>
      <w:bookmarkEnd w:id="36"/>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E97A14">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E97A14">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37" w:name="_Ref306090009"/>
      <w:r w:rsidRPr="00DC356C">
        <w:t>Type 1: Confidential information:</w:t>
      </w:r>
      <w:bookmarkEnd w:id="37"/>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38" w:name="_Ref306090036"/>
      <w:r w:rsidRPr="00DC356C">
        <w:t>Type 2: Commercially sensitive information:</w:t>
      </w:r>
      <w:bookmarkEnd w:id="38"/>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4"/>
          <w:headerReference w:type="first" r:id="rId15"/>
          <w:footerReference w:type="first" r:id="rId16"/>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39" w:name="_Ref306116934"/>
      <w:r>
        <w:lastRenderedPageBreak/>
        <w:t>A</w:t>
      </w:r>
      <w:r w:rsidR="00967FB4">
        <w:t>dministrative Instructions</w:t>
      </w:r>
      <w:bookmarkEnd w:id="39"/>
    </w:p>
    <w:p w:rsidR="00F613A3" w:rsidRDefault="00F613A3" w:rsidP="00F613A3">
      <w:pPr>
        <w:pStyle w:val="LeftSide"/>
      </w:pPr>
    </w:p>
    <w:p w:rsidR="00601E6F" w:rsidRPr="00F613A3" w:rsidRDefault="00601E6F" w:rsidP="00F613A3">
      <w:pPr>
        <w:pStyle w:val="FIVEH1"/>
        <w:numPr>
          <w:ilvl w:val="0"/>
          <w:numId w:val="51"/>
        </w:numPr>
        <w:ind w:left="709" w:hanging="709"/>
      </w:pPr>
      <w:r w:rsidRPr="00F613A3">
        <w:t>A</w:t>
      </w:r>
      <w:r w:rsidR="00EE0747" w:rsidRPr="00F613A3">
        <w:t>uthorisation</w:t>
      </w:r>
    </w:p>
    <w:p w:rsidR="00601E6F" w:rsidRPr="00D2293D" w:rsidRDefault="00601E6F" w:rsidP="00D2293D">
      <w:pPr>
        <w:pStyle w:val="FIVEH2"/>
      </w:pPr>
      <w:bookmarkStart w:id="40"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0"/>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E97A14">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E97A14">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6552FA" w:rsidP="00092105">
      <w:pPr>
        <w:pStyle w:val="LeftSide"/>
        <w:spacing w:before="0" w:after="0"/>
        <w:ind w:left="1440"/>
        <w:rPr>
          <w:szCs w:val="22"/>
        </w:rPr>
      </w:pPr>
      <w:hyperlink r:id="rId17"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601E6F" w:rsidRDefault="00601E6F" w:rsidP="000A0524">
      <w:pPr>
        <w:pStyle w:val="LeftSide"/>
        <w:spacing w:before="0" w:after="0"/>
        <w:ind w:left="1440"/>
        <w:rPr>
          <w:szCs w:val="22"/>
        </w:rPr>
      </w:pPr>
    </w:p>
    <w:p w:rsidR="00601E6F" w:rsidRDefault="00601E6F" w:rsidP="000A0524">
      <w:pPr>
        <w:pStyle w:val="LeftSide"/>
        <w:spacing w:before="0" w:after="0"/>
        <w:ind w:left="1440"/>
        <w:rPr>
          <w:szCs w:val="22"/>
        </w:rPr>
      </w:pPr>
    </w:p>
    <w:p w:rsidR="00601E6F" w:rsidRDefault="00601E6F" w:rsidP="004E769C">
      <w:pPr>
        <w:pStyle w:val="LeftSide"/>
        <w:spacing w:before="0" w:after="0"/>
        <w:rPr>
          <w:szCs w:val="22"/>
        </w:rPr>
      </w:pPr>
    </w:p>
    <w:p w:rsidR="00601E6F" w:rsidRDefault="00601E6F" w:rsidP="000A0524">
      <w:pPr>
        <w:pStyle w:val="LeftSide"/>
        <w:spacing w:before="0" w:after="0"/>
        <w:ind w:left="1440"/>
        <w:rPr>
          <w:szCs w:val="22"/>
        </w:rPr>
      </w:pPr>
    </w:p>
    <w:p w:rsidR="00601E6F" w:rsidRPr="00426DDD" w:rsidRDefault="00601E6F" w:rsidP="000A0524">
      <w:pPr>
        <w:pStyle w:val="LeftSide"/>
        <w:spacing w:before="0" w:after="0"/>
        <w:ind w:left="1440"/>
        <w:rPr>
          <w:szCs w:val="22"/>
        </w:rPr>
      </w:pP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41" w:name="_Ref306028911"/>
      <w:r>
        <w:t>All correspondence to the Contractor shall be sent to the following address:</w:t>
      </w:r>
      <w:bookmarkEnd w:id="41"/>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42" w:name="_Ref257301456"/>
      <w:bookmarkEnd w:id="4"/>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w:t>
            </w:r>
            <w:smartTag w:uri="urn:schemas-microsoft-com:office:smarttags" w:element="stockticker">
              <w:r>
                <w:t>Ref</w:t>
              </w:r>
            </w:smartTag>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[DN:INSERT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(DN:INSERT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smartTag w:uri="urn:schemas-microsoft-com:office:smarttags" w:element="stockticker">
              <w:r>
                <w:t>Full</w:t>
              </w:r>
            </w:smartTag>
            <w:r>
              <w:t xml:space="preserve">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t>
      </w:r>
      <w:smartTag w:uri="urn:schemas-microsoft-com:office:smarttags" w:element="City">
        <w:smartTag w:uri="urn:schemas-microsoft-com:office:smarttags" w:element="place">
          <w:r w:rsidRPr="00AF67EA">
            <w:t>Whitehall</w:t>
          </w:r>
        </w:smartTag>
      </w:smartTag>
      <w:r w:rsidRPr="00AF67EA">
        <w:t xml:space="preserve">, </w:t>
      </w:r>
      <w:smartTag w:uri="urn:schemas-microsoft-com:office:smarttags" w:element="place">
        <w:smartTag w:uri="urn:schemas-microsoft-com:office:smarttags" w:element="City">
          <w:r w:rsidRPr="00AF67EA">
            <w:t>London</w:t>
          </w:r>
        </w:smartTag>
        <w:r w:rsidRPr="00AF67EA">
          <w:t xml:space="preserve">, </w:t>
        </w:r>
        <w:smartTag w:uri="urn:schemas-microsoft-com:office:smarttags" w:element="PostalCode">
          <w:r w:rsidRPr="00AF67EA">
            <w:t>SW1A 2NS</w:t>
          </w:r>
        </w:smartTag>
      </w:smartTag>
      <w:r w:rsidRPr="00AF67EA">
        <w:t xml:space="preserve">,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w:t>
      </w:r>
      <w:smartTag w:uri="urn:schemas-microsoft-com:office:smarttags" w:element="stockticker">
        <w:r w:rsidRPr="00AF67EA">
          <w:t>NEW</w:t>
        </w:r>
      </w:smartTag>
      <w:r w:rsidRPr="00AF67EA">
        <w:t xml:space="preserve">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 xml:space="preserve">This Agreement shall be governed by and interpreted in accordance with English law and shall be subject to the jurisdiction of the courts of </w:t>
      </w:r>
      <w:smartTag w:uri="urn:schemas-microsoft-com:office:smarttags" w:element="country-region">
        <w:smartTag w:uri="urn:schemas-microsoft-com:office:smarttags" w:element="place">
          <w:r>
            <w:t>England</w:t>
          </w:r>
        </w:smartTag>
      </w:smartTag>
      <w:r>
        <w:t>.</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8"/>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2"/>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19"/>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43" w:name="_Ref306117006"/>
      <w:bookmarkEnd w:id="42"/>
      <w:r>
        <w:lastRenderedPageBreak/>
        <w:t>Form of Tender</w:t>
      </w:r>
      <w:bookmarkEnd w:id="43"/>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r>
        <w:rPr>
          <w:b/>
          <w:sz w:val="24"/>
          <w:szCs w:val="24"/>
        </w:rPr>
        <w:t xml:space="preserve">PROPOSAL </w:t>
      </w:r>
      <w:r w:rsidR="004555AC" w:rsidRPr="001336AF">
        <w:rPr>
          <w:b/>
          <w:sz w:val="24"/>
          <w:szCs w:val="24"/>
        </w:rPr>
        <w:t xml:space="preserve">FOR THE PROVISION OF </w:t>
      </w:r>
      <w:r w:rsidR="004555AC" w:rsidRPr="001336AF">
        <w:rPr>
          <w:b/>
          <w:sz w:val="24"/>
          <w:szCs w:val="24"/>
          <w:highlight w:val="yellow"/>
        </w:rPr>
        <w:t>[INSERT NAME OF TENDER]</w:t>
      </w: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2293D">
      <w:pPr>
        <w:pStyle w:val="H3"/>
        <w:numPr>
          <w:ilvl w:val="0"/>
          <w:numId w:val="4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2293D">
      <w:pPr>
        <w:pStyle w:val="H3"/>
        <w:numPr>
          <w:ilvl w:val="0"/>
          <w:numId w:val="4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2293D">
      <w:pPr>
        <w:pStyle w:val="H3"/>
        <w:numPr>
          <w:ilvl w:val="0"/>
          <w:numId w:val="4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2293D">
      <w:pPr>
        <w:pStyle w:val="H3"/>
        <w:numPr>
          <w:ilvl w:val="0"/>
          <w:numId w:val="47"/>
        </w:numPr>
      </w:pPr>
      <w:r w:rsidRPr="00234394">
        <w:t>Collude with any third party to fix the price of any number of tenders for this Contract;</w:t>
      </w:r>
    </w:p>
    <w:p w:rsidR="004555AC" w:rsidRPr="00234394" w:rsidRDefault="004555AC" w:rsidP="00D2293D">
      <w:pPr>
        <w:pStyle w:val="H3"/>
        <w:numPr>
          <w:ilvl w:val="0"/>
          <w:numId w:val="47"/>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in the capacity of: ................................................................</w:t>
      </w:r>
    </w:p>
    <w:p w:rsidR="004555AC" w:rsidRPr="001336AF" w:rsidRDefault="004555AC" w:rsidP="004555AC">
      <w:pPr>
        <w:pStyle w:val="LeftSide"/>
        <w:rPr>
          <w:sz w:val="24"/>
          <w:szCs w:val="24"/>
        </w:rPr>
      </w:pPr>
      <w:r w:rsidRPr="001336AF">
        <w:rPr>
          <w:sz w:val="24"/>
          <w:szCs w:val="24"/>
        </w:rPr>
        <w:t>duly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0"/>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2FA" w:rsidRDefault="006552FA">
      <w:r>
        <w:separator/>
      </w:r>
    </w:p>
    <w:p w:rsidR="006552FA" w:rsidRDefault="006552FA"/>
  </w:endnote>
  <w:endnote w:type="continuationSeparator" w:id="0">
    <w:p w:rsidR="006552FA" w:rsidRDefault="006552FA">
      <w:r>
        <w:continuationSeparator/>
      </w:r>
    </w:p>
    <w:p w:rsidR="006552FA" w:rsidRDefault="0065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Default="006552FA">
    <w:pPr>
      <w:framePr w:wrap="around" w:vAnchor="text" w:hAnchor="margin" w:xAlign="right" w:y="1"/>
    </w:pPr>
    <w:r>
      <w:fldChar w:fldCharType="begin"/>
    </w:r>
    <w:r>
      <w:instrText xml:space="preserve">PAGE  </w:instrText>
    </w:r>
    <w:r>
      <w:fldChar w:fldCharType="separate"/>
    </w:r>
    <w:r>
      <w:rPr>
        <w:noProof/>
      </w:rPr>
      <w:t>24</w:t>
    </w:r>
    <w:r>
      <w:fldChar w:fldCharType="end"/>
    </w:r>
  </w:p>
  <w:p w:rsidR="006552FA" w:rsidRDefault="006552F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B43C82" w:rsidRDefault="006552FA"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Document2</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3</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C2593A" w:rsidRDefault="006552FA" w:rsidP="00C2593A">
    <w:pPr>
      <w:pStyle w:val="Footer"/>
      <w:tabs>
        <w:tab w:val="clear" w:pos="8306"/>
        <w:tab w:val="right" w:pos="907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Document2</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2</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C2593A" w:rsidRDefault="006552FA" w:rsidP="00C2593A">
    <w:pPr>
      <w:pStyle w:val="Footer"/>
      <w:tabs>
        <w:tab w:val="clear" w:pos="8306"/>
        <w:tab w:val="right" w:pos="1389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Document2</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10</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C2593A" w:rsidRDefault="006552FA"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Document2</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11</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C2593A" w:rsidRDefault="006552FA"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Document2</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C2593A" w:rsidRDefault="006552FA"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Document2</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0E0E5D">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2FA" w:rsidRDefault="006552FA">
      <w:r>
        <w:separator/>
      </w:r>
    </w:p>
    <w:p w:rsidR="006552FA" w:rsidRDefault="006552FA"/>
  </w:footnote>
  <w:footnote w:type="continuationSeparator" w:id="0">
    <w:p w:rsidR="006552FA" w:rsidRDefault="006552FA">
      <w:r>
        <w:continuationSeparator/>
      </w:r>
    </w:p>
    <w:p w:rsidR="006552FA" w:rsidRDefault="006552FA"/>
  </w:footnote>
  <w:footnote w:id="1">
    <w:p w:rsidR="006552FA" w:rsidRPr="004375EF" w:rsidRDefault="006552FA"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smartTag w:uri="urn:schemas-microsoft-com:office:smarttags" w:element="stockticker">
        <w:r w:rsidRPr="0067361F">
          <w:rPr>
            <w:b/>
            <w:bCs/>
          </w:rPr>
          <w:t>AND</w:t>
        </w:r>
      </w:smartTag>
      <w:r>
        <w:t xml:space="preserve"> a turnover less than €50 million </w:t>
      </w:r>
      <w:r w:rsidRPr="0067361F">
        <w:rPr>
          <w:b/>
          <w:bCs/>
        </w:rPr>
        <w:t>OR</w:t>
      </w:r>
      <w:r>
        <w:t xml:space="preserve"> annual balance sheet of €48 million.</w:t>
      </w:r>
    </w:p>
  </w:footnote>
  <w:footnote w:id="2">
    <w:p w:rsidR="006552FA" w:rsidRPr="00064163" w:rsidRDefault="006552FA"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5A766D" w:rsidRDefault="006552FA" w:rsidP="00E5594D">
    <w:pPr>
      <w:pStyle w:val="Header"/>
      <w:jc w:val="right"/>
      <w:rPr>
        <w:color w:val="C0C0C0"/>
      </w:rPr>
    </w:pPr>
    <w:r w:rsidRPr="005A766D">
      <w:rPr>
        <w:color w:val="C0C0C0"/>
      </w:rPr>
      <w:t xml:space="preserve">DH </w:t>
    </w:r>
    <w:r>
      <w:rPr>
        <w:color w:val="C0C0C0"/>
      </w:rPr>
      <w:t>Formal</w:t>
    </w:r>
  </w:p>
  <w:p w:rsidR="006552FA" w:rsidRDefault="00655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Default="006552FA">
    <w:r>
      <w:rPr>
        <w:noProof/>
        <w:lang w:eastAsia="en-GB"/>
      </w:rPr>
      <w:drawing>
        <wp:inline distT="0" distB="0" distL="0" distR="0" wp14:anchorId="588659F5" wp14:editId="3535DEF3">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5A766D" w:rsidRDefault="006552FA"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FA" w:rsidRPr="005A766D" w:rsidRDefault="006552FA" w:rsidP="00E5594D">
    <w:pPr>
      <w:pStyle w:val="Header"/>
      <w:jc w:val="right"/>
      <w:rPr>
        <w:color w:val="C0C0C0"/>
      </w:rPr>
    </w:pPr>
    <w:r w:rsidRPr="005A766D">
      <w:rPr>
        <w:color w:val="C0C0C0"/>
      </w:rPr>
      <w:t xml:space="preserve">DH </w:t>
    </w:r>
    <w:r>
      <w:rPr>
        <w:color w:val="C0C0C0"/>
      </w:rPr>
      <w:t>Formal</w:t>
    </w:r>
  </w:p>
  <w:p w:rsidR="006552FA" w:rsidRDefault="006552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3560FF"/>
    <w:multiLevelType w:val="hybridMultilevel"/>
    <w:tmpl w:val="DB90A0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0C247222"/>
    <w:multiLevelType w:val="hybridMultilevel"/>
    <w:tmpl w:val="DC368606"/>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9">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4132C6E"/>
    <w:multiLevelType w:val="multilevel"/>
    <w:tmpl w:val="B2ACE63C"/>
    <w:lvl w:ilvl="0">
      <w:start w:val="1"/>
      <w:numFmt w:val="none"/>
      <w:lvlText w:val="10."/>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3">
    <w:nsid w:val="26542CD5"/>
    <w:multiLevelType w:val="hybridMultilevel"/>
    <w:tmpl w:val="83DE3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E0A6FA6"/>
    <w:multiLevelType w:val="hybridMultilevel"/>
    <w:tmpl w:val="265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1DC0229"/>
    <w:multiLevelType w:val="hybridMultilevel"/>
    <w:tmpl w:val="DF927E84"/>
    <w:lvl w:ilvl="0" w:tplc="13F628B0">
      <w:start w:val="1"/>
      <w:numFmt w:val="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3777213F"/>
    <w:multiLevelType w:val="multilevel"/>
    <w:tmpl w:val="8EF02CB6"/>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3C8335DE"/>
    <w:multiLevelType w:val="hybridMultilevel"/>
    <w:tmpl w:val="A4EA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584C24"/>
    <w:multiLevelType w:val="hybridMultilevel"/>
    <w:tmpl w:val="C3426EFE"/>
    <w:lvl w:ilvl="0" w:tplc="FA24FC6E">
      <w:start w:val="1"/>
      <w:numFmt w:val="upperLetter"/>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1B03EB"/>
    <w:multiLevelType w:val="hybridMultilevel"/>
    <w:tmpl w:val="128ABB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874643"/>
    <w:multiLevelType w:val="hybridMultilevel"/>
    <w:tmpl w:val="5A9A4066"/>
    <w:lvl w:ilvl="0" w:tplc="FED02E48">
      <w:start w:val="1"/>
      <w:numFmt w:val="bullet"/>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5">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7">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9">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D254500"/>
    <w:multiLevelType w:val="hybridMultilevel"/>
    <w:tmpl w:val="A88E0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11"/>
  </w:num>
  <w:num w:numId="3">
    <w:abstractNumId w:val="0"/>
  </w:num>
  <w:num w:numId="4">
    <w:abstractNumId w:val="26"/>
  </w:num>
  <w:num w:numId="5">
    <w:abstractNumId w:val="18"/>
  </w:num>
  <w:num w:numId="6">
    <w:abstractNumId w:val="34"/>
  </w:num>
  <w:num w:numId="7">
    <w:abstractNumId w:val="42"/>
  </w:num>
  <w:num w:numId="8">
    <w:abstractNumId w:val="27"/>
  </w:num>
  <w:num w:numId="9">
    <w:abstractNumId w:val="2"/>
  </w:num>
  <w:num w:numId="10">
    <w:abstractNumId w:val="51"/>
  </w:num>
  <w:num w:numId="11">
    <w:abstractNumId w:val="46"/>
  </w:num>
  <w:num w:numId="12">
    <w:abstractNumId w:val="6"/>
  </w:num>
  <w:num w:numId="13">
    <w:abstractNumId w:val="36"/>
  </w:num>
  <w:num w:numId="14">
    <w:abstractNumId w:val="15"/>
  </w:num>
  <w:num w:numId="15">
    <w:abstractNumId w:val="28"/>
  </w:num>
  <w:num w:numId="16">
    <w:abstractNumId w:val="43"/>
  </w:num>
  <w:num w:numId="17">
    <w:abstractNumId w:val="41"/>
  </w:num>
  <w:num w:numId="18">
    <w:abstractNumId w:val="21"/>
  </w:num>
  <w:num w:numId="19">
    <w:abstractNumId w:val="39"/>
  </w:num>
  <w:num w:numId="20">
    <w:abstractNumId w:val="19"/>
  </w:num>
  <w:num w:numId="21">
    <w:abstractNumId w:val="35"/>
  </w:num>
  <w:num w:numId="22">
    <w:abstractNumId w:val="1"/>
  </w:num>
  <w:num w:numId="23">
    <w:abstractNumId w:val="44"/>
  </w:num>
  <w:num w:numId="24">
    <w:abstractNumId w:val="38"/>
  </w:num>
  <w:num w:numId="25">
    <w:abstractNumId w:val="7"/>
  </w:num>
  <w:num w:numId="26">
    <w:abstractNumId w:val="30"/>
  </w:num>
  <w:num w:numId="27">
    <w:abstractNumId w:val="33"/>
  </w:num>
  <w:num w:numId="28">
    <w:abstractNumId w:val="15"/>
  </w:num>
  <w:num w:numId="29">
    <w:abstractNumId w:val="52"/>
  </w:num>
  <w:num w:numId="30">
    <w:abstractNumId w:val="25"/>
  </w:num>
  <w:num w:numId="31">
    <w:abstractNumId w:val="49"/>
  </w:num>
  <w:num w:numId="32">
    <w:abstractNumId w:val="14"/>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1"/>
  </w:num>
  <w:num w:numId="36">
    <w:abstractNumId w:val="23"/>
  </w:num>
  <w:num w:numId="37">
    <w:abstractNumId w:val="12"/>
  </w:num>
  <w:num w:numId="38">
    <w:abstractNumId w:val="29"/>
  </w:num>
  <w:num w:numId="39">
    <w:abstractNumId w:val="9"/>
  </w:num>
  <w:num w:numId="40">
    <w:abstractNumId w:val="45"/>
  </w:num>
  <w:num w:numId="41">
    <w:abstractNumId w:val="32"/>
  </w:num>
  <w:num w:numId="42">
    <w:abstractNumId w:val="10"/>
  </w:num>
  <w:num w:numId="43">
    <w:abstractNumId w:val="37"/>
  </w:num>
  <w:num w:numId="44">
    <w:abstractNumId w:val="8"/>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0"/>
  </w:num>
  <w:num w:numId="48">
    <w:abstractNumId w:val="53"/>
  </w:num>
  <w:num w:numId="49">
    <w:abstractNumId w:val="47"/>
  </w:num>
  <w:num w:numId="50">
    <w:abstractNumId w:val="48"/>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4"/>
  </w:num>
  <w:num w:numId="54">
    <w:abstractNumId w:val="16"/>
  </w:num>
  <w:num w:numId="55">
    <w:abstractNumId w:val="13"/>
  </w:num>
  <w:num w:numId="56">
    <w:abstractNumId w:val="50"/>
  </w:num>
  <w:num w:numId="57">
    <w:abstractNumId w:val="3"/>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14"/>
    <w:rsid w:val="00000A06"/>
    <w:rsid w:val="00002181"/>
    <w:rsid w:val="0001209D"/>
    <w:rsid w:val="0001328F"/>
    <w:rsid w:val="000151C8"/>
    <w:rsid w:val="00022157"/>
    <w:rsid w:val="00026C87"/>
    <w:rsid w:val="000273EF"/>
    <w:rsid w:val="0003231B"/>
    <w:rsid w:val="0003291E"/>
    <w:rsid w:val="00050E96"/>
    <w:rsid w:val="00053088"/>
    <w:rsid w:val="000552F3"/>
    <w:rsid w:val="0006133C"/>
    <w:rsid w:val="000635A4"/>
    <w:rsid w:val="00064163"/>
    <w:rsid w:val="000759C3"/>
    <w:rsid w:val="00092105"/>
    <w:rsid w:val="000A0524"/>
    <w:rsid w:val="000A175A"/>
    <w:rsid w:val="000A2CD3"/>
    <w:rsid w:val="000B75F2"/>
    <w:rsid w:val="000C1549"/>
    <w:rsid w:val="000C1605"/>
    <w:rsid w:val="000C188B"/>
    <w:rsid w:val="000C4927"/>
    <w:rsid w:val="000C55B3"/>
    <w:rsid w:val="000C6276"/>
    <w:rsid w:val="000C6DE8"/>
    <w:rsid w:val="000D0781"/>
    <w:rsid w:val="000D1683"/>
    <w:rsid w:val="000D4C5A"/>
    <w:rsid w:val="000D635A"/>
    <w:rsid w:val="000D7145"/>
    <w:rsid w:val="000D7F28"/>
    <w:rsid w:val="000E0E5D"/>
    <w:rsid w:val="000E17DA"/>
    <w:rsid w:val="000E78E0"/>
    <w:rsid w:val="000E7C4F"/>
    <w:rsid w:val="000F0641"/>
    <w:rsid w:val="000F6021"/>
    <w:rsid w:val="001042C6"/>
    <w:rsid w:val="00110B0F"/>
    <w:rsid w:val="00113C69"/>
    <w:rsid w:val="00116926"/>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0C6B"/>
    <w:rsid w:val="0019230B"/>
    <w:rsid w:val="001B15D8"/>
    <w:rsid w:val="001B3B43"/>
    <w:rsid w:val="001B4BE2"/>
    <w:rsid w:val="001B6406"/>
    <w:rsid w:val="001B6789"/>
    <w:rsid w:val="001C0ECB"/>
    <w:rsid w:val="001C1A35"/>
    <w:rsid w:val="001C6FE0"/>
    <w:rsid w:val="001D1F72"/>
    <w:rsid w:val="001D5212"/>
    <w:rsid w:val="001D5F92"/>
    <w:rsid w:val="001D6491"/>
    <w:rsid w:val="001D7058"/>
    <w:rsid w:val="001F282E"/>
    <w:rsid w:val="001F52A4"/>
    <w:rsid w:val="001F7873"/>
    <w:rsid w:val="001F7FA3"/>
    <w:rsid w:val="00203B45"/>
    <w:rsid w:val="00212B7E"/>
    <w:rsid w:val="00215250"/>
    <w:rsid w:val="002159A6"/>
    <w:rsid w:val="0022292E"/>
    <w:rsid w:val="00230763"/>
    <w:rsid w:val="00232BA1"/>
    <w:rsid w:val="00233EE0"/>
    <w:rsid w:val="00234394"/>
    <w:rsid w:val="002465E9"/>
    <w:rsid w:val="00250DA6"/>
    <w:rsid w:val="00253303"/>
    <w:rsid w:val="00264FBC"/>
    <w:rsid w:val="00267F8A"/>
    <w:rsid w:val="00273E58"/>
    <w:rsid w:val="00287164"/>
    <w:rsid w:val="00291F1C"/>
    <w:rsid w:val="00296137"/>
    <w:rsid w:val="002A27E9"/>
    <w:rsid w:val="002A2D18"/>
    <w:rsid w:val="002A6936"/>
    <w:rsid w:val="002B00A6"/>
    <w:rsid w:val="002B0FBF"/>
    <w:rsid w:val="002C09E0"/>
    <w:rsid w:val="002C13C0"/>
    <w:rsid w:val="002D3A7B"/>
    <w:rsid w:val="002D3E04"/>
    <w:rsid w:val="002D7F0F"/>
    <w:rsid w:val="002E3600"/>
    <w:rsid w:val="002F23B0"/>
    <w:rsid w:val="002F3D5C"/>
    <w:rsid w:val="002F5AC9"/>
    <w:rsid w:val="003034F3"/>
    <w:rsid w:val="00305B67"/>
    <w:rsid w:val="00306A82"/>
    <w:rsid w:val="0031165B"/>
    <w:rsid w:val="00315986"/>
    <w:rsid w:val="00317A93"/>
    <w:rsid w:val="003358EB"/>
    <w:rsid w:val="00336432"/>
    <w:rsid w:val="00337442"/>
    <w:rsid w:val="00337DF4"/>
    <w:rsid w:val="003434E2"/>
    <w:rsid w:val="003457E3"/>
    <w:rsid w:val="00352AAB"/>
    <w:rsid w:val="00355414"/>
    <w:rsid w:val="003621AC"/>
    <w:rsid w:val="00363A47"/>
    <w:rsid w:val="00372817"/>
    <w:rsid w:val="00387F0E"/>
    <w:rsid w:val="00393DB4"/>
    <w:rsid w:val="003A02AB"/>
    <w:rsid w:val="003B147C"/>
    <w:rsid w:val="003B79E6"/>
    <w:rsid w:val="003C350D"/>
    <w:rsid w:val="003C422E"/>
    <w:rsid w:val="003C76D6"/>
    <w:rsid w:val="003C7A11"/>
    <w:rsid w:val="003D1A67"/>
    <w:rsid w:val="003D7D51"/>
    <w:rsid w:val="003E2814"/>
    <w:rsid w:val="003E545F"/>
    <w:rsid w:val="003F6ACD"/>
    <w:rsid w:val="00403681"/>
    <w:rsid w:val="00404ED3"/>
    <w:rsid w:val="00407101"/>
    <w:rsid w:val="0041080E"/>
    <w:rsid w:val="0041404D"/>
    <w:rsid w:val="004145DE"/>
    <w:rsid w:val="00422A7E"/>
    <w:rsid w:val="00422CA2"/>
    <w:rsid w:val="00426DDD"/>
    <w:rsid w:val="00430424"/>
    <w:rsid w:val="00430B38"/>
    <w:rsid w:val="00435194"/>
    <w:rsid w:val="004354B2"/>
    <w:rsid w:val="00441043"/>
    <w:rsid w:val="00442455"/>
    <w:rsid w:val="004438E8"/>
    <w:rsid w:val="00453976"/>
    <w:rsid w:val="0045551E"/>
    <w:rsid w:val="004555AC"/>
    <w:rsid w:val="004632F9"/>
    <w:rsid w:val="00465C4F"/>
    <w:rsid w:val="00472A20"/>
    <w:rsid w:val="004750A3"/>
    <w:rsid w:val="00476380"/>
    <w:rsid w:val="00477E94"/>
    <w:rsid w:val="004819EC"/>
    <w:rsid w:val="00482349"/>
    <w:rsid w:val="00485435"/>
    <w:rsid w:val="004913B5"/>
    <w:rsid w:val="00494562"/>
    <w:rsid w:val="00494669"/>
    <w:rsid w:val="004A435B"/>
    <w:rsid w:val="004A796F"/>
    <w:rsid w:val="004C2950"/>
    <w:rsid w:val="004C317D"/>
    <w:rsid w:val="004C3B1F"/>
    <w:rsid w:val="004D318D"/>
    <w:rsid w:val="004D3C02"/>
    <w:rsid w:val="004D401C"/>
    <w:rsid w:val="004D40C6"/>
    <w:rsid w:val="004D506C"/>
    <w:rsid w:val="004E38E3"/>
    <w:rsid w:val="004E769C"/>
    <w:rsid w:val="004F1474"/>
    <w:rsid w:val="004F4249"/>
    <w:rsid w:val="004F4F96"/>
    <w:rsid w:val="00500825"/>
    <w:rsid w:val="005024CA"/>
    <w:rsid w:val="005056D9"/>
    <w:rsid w:val="00516D9F"/>
    <w:rsid w:val="00516F72"/>
    <w:rsid w:val="00524B46"/>
    <w:rsid w:val="005302E7"/>
    <w:rsid w:val="00532162"/>
    <w:rsid w:val="00536B66"/>
    <w:rsid w:val="00541D90"/>
    <w:rsid w:val="00550EC7"/>
    <w:rsid w:val="00560EC7"/>
    <w:rsid w:val="00563A91"/>
    <w:rsid w:val="0057285D"/>
    <w:rsid w:val="00583608"/>
    <w:rsid w:val="0058534B"/>
    <w:rsid w:val="00585F39"/>
    <w:rsid w:val="005A4D2A"/>
    <w:rsid w:val="005A56DC"/>
    <w:rsid w:val="005A6E32"/>
    <w:rsid w:val="005A766D"/>
    <w:rsid w:val="005C1DAA"/>
    <w:rsid w:val="005D0250"/>
    <w:rsid w:val="005D241D"/>
    <w:rsid w:val="005D3CD7"/>
    <w:rsid w:val="005E5771"/>
    <w:rsid w:val="005E5973"/>
    <w:rsid w:val="005E7B40"/>
    <w:rsid w:val="005F1FA1"/>
    <w:rsid w:val="005F2706"/>
    <w:rsid w:val="005F2CC2"/>
    <w:rsid w:val="005F40D0"/>
    <w:rsid w:val="005F5C1E"/>
    <w:rsid w:val="005F5D0A"/>
    <w:rsid w:val="005F691F"/>
    <w:rsid w:val="005F758C"/>
    <w:rsid w:val="0060091B"/>
    <w:rsid w:val="00601E6F"/>
    <w:rsid w:val="00602561"/>
    <w:rsid w:val="00602E50"/>
    <w:rsid w:val="006146A1"/>
    <w:rsid w:val="0062087E"/>
    <w:rsid w:val="00623056"/>
    <w:rsid w:val="00624DB4"/>
    <w:rsid w:val="00625151"/>
    <w:rsid w:val="00635AEB"/>
    <w:rsid w:val="006427FA"/>
    <w:rsid w:val="006450D5"/>
    <w:rsid w:val="0064672F"/>
    <w:rsid w:val="006552FA"/>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A78C3"/>
    <w:rsid w:val="006B1655"/>
    <w:rsid w:val="006B16F9"/>
    <w:rsid w:val="006B3850"/>
    <w:rsid w:val="006B568B"/>
    <w:rsid w:val="006B6A9F"/>
    <w:rsid w:val="006C5BA9"/>
    <w:rsid w:val="006D7283"/>
    <w:rsid w:val="006E1129"/>
    <w:rsid w:val="006E5B1B"/>
    <w:rsid w:val="006E775E"/>
    <w:rsid w:val="006F3508"/>
    <w:rsid w:val="006F6FD3"/>
    <w:rsid w:val="00701628"/>
    <w:rsid w:val="00710413"/>
    <w:rsid w:val="00711A5F"/>
    <w:rsid w:val="00717739"/>
    <w:rsid w:val="0072269A"/>
    <w:rsid w:val="00725878"/>
    <w:rsid w:val="0072776B"/>
    <w:rsid w:val="00736F21"/>
    <w:rsid w:val="00744591"/>
    <w:rsid w:val="00746ED8"/>
    <w:rsid w:val="007633E3"/>
    <w:rsid w:val="007815A4"/>
    <w:rsid w:val="00782E98"/>
    <w:rsid w:val="007840CE"/>
    <w:rsid w:val="00785F4A"/>
    <w:rsid w:val="00790A04"/>
    <w:rsid w:val="00792C03"/>
    <w:rsid w:val="00795342"/>
    <w:rsid w:val="007A046E"/>
    <w:rsid w:val="007A0BC0"/>
    <w:rsid w:val="007A2AB8"/>
    <w:rsid w:val="007A6080"/>
    <w:rsid w:val="007A6508"/>
    <w:rsid w:val="007B7D76"/>
    <w:rsid w:val="007C3999"/>
    <w:rsid w:val="007C4308"/>
    <w:rsid w:val="007D0257"/>
    <w:rsid w:val="007D0F23"/>
    <w:rsid w:val="007D3975"/>
    <w:rsid w:val="007D4A50"/>
    <w:rsid w:val="007D7810"/>
    <w:rsid w:val="007E65CC"/>
    <w:rsid w:val="007F051C"/>
    <w:rsid w:val="007F0828"/>
    <w:rsid w:val="007F3504"/>
    <w:rsid w:val="00801937"/>
    <w:rsid w:val="00804136"/>
    <w:rsid w:val="00811BEF"/>
    <w:rsid w:val="00814D7E"/>
    <w:rsid w:val="0082160E"/>
    <w:rsid w:val="00822CF7"/>
    <w:rsid w:val="0083626F"/>
    <w:rsid w:val="00836986"/>
    <w:rsid w:val="00836E0A"/>
    <w:rsid w:val="00847396"/>
    <w:rsid w:val="00847FEF"/>
    <w:rsid w:val="00850A67"/>
    <w:rsid w:val="00874AB8"/>
    <w:rsid w:val="00883101"/>
    <w:rsid w:val="008865D2"/>
    <w:rsid w:val="00887231"/>
    <w:rsid w:val="00892A4D"/>
    <w:rsid w:val="008A24EE"/>
    <w:rsid w:val="008A2531"/>
    <w:rsid w:val="008A497D"/>
    <w:rsid w:val="008A5771"/>
    <w:rsid w:val="008A7562"/>
    <w:rsid w:val="008B12AD"/>
    <w:rsid w:val="008B2A81"/>
    <w:rsid w:val="008B360F"/>
    <w:rsid w:val="008C005E"/>
    <w:rsid w:val="008C0C81"/>
    <w:rsid w:val="008C36BF"/>
    <w:rsid w:val="008C4052"/>
    <w:rsid w:val="008C50B2"/>
    <w:rsid w:val="008D1657"/>
    <w:rsid w:val="008D1C6C"/>
    <w:rsid w:val="008D7121"/>
    <w:rsid w:val="008E00DE"/>
    <w:rsid w:val="008E4419"/>
    <w:rsid w:val="008E5A87"/>
    <w:rsid w:val="008F230A"/>
    <w:rsid w:val="008F308E"/>
    <w:rsid w:val="008F3E90"/>
    <w:rsid w:val="008F68B8"/>
    <w:rsid w:val="00900543"/>
    <w:rsid w:val="009032DB"/>
    <w:rsid w:val="00905394"/>
    <w:rsid w:val="00905E73"/>
    <w:rsid w:val="009122EF"/>
    <w:rsid w:val="0091386C"/>
    <w:rsid w:val="009175BA"/>
    <w:rsid w:val="00923131"/>
    <w:rsid w:val="0092521C"/>
    <w:rsid w:val="0092582F"/>
    <w:rsid w:val="00926CEC"/>
    <w:rsid w:val="00935FE9"/>
    <w:rsid w:val="009456E4"/>
    <w:rsid w:val="00950EEC"/>
    <w:rsid w:val="00950F8E"/>
    <w:rsid w:val="009607CD"/>
    <w:rsid w:val="0096099E"/>
    <w:rsid w:val="00961A54"/>
    <w:rsid w:val="00967FB4"/>
    <w:rsid w:val="00974920"/>
    <w:rsid w:val="009777C8"/>
    <w:rsid w:val="00984149"/>
    <w:rsid w:val="0098527A"/>
    <w:rsid w:val="00986D31"/>
    <w:rsid w:val="009921DA"/>
    <w:rsid w:val="00993D27"/>
    <w:rsid w:val="00993DCE"/>
    <w:rsid w:val="00997782"/>
    <w:rsid w:val="009A067A"/>
    <w:rsid w:val="009A1FC6"/>
    <w:rsid w:val="009A2423"/>
    <w:rsid w:val="009A2456"/>
    <w:rsid w:val="009A345C"/>
    <w:rsid w:val="009B06A9"/>
    <w:rsid w:val="009B4245"/>
    <w:rsid w:val="009B61E0"/>
    <w:rsid w:val="009C07E3"/>
    <w:rsid w:val="009C1B6A"/>
    <w:rsid w:val="009C2EA4"/>
    <w:rsid w:val="009C36F6"/>
    <w:rsid w:val="009C428A"/>
    <w:rsid w:val="009D0324"/>
    <w:rsid w:val="009D5FD9"/>
    <w:rsid w:val="009D682C"/>
    <w:rsid w:val="009E352E"/>
    <w:rsid w:val="009F14F6"/>
    <w:rsid w:val="009F1FB9"/>
    <w:rsid w:val="009F20B9"/>
    <w:rsid w:val="009F4EFA"/>
    <w:rsid w:val="009F5A60"/>
    <w:rsid w:val="009F5AFE"/>
    <w:rsid w:val="009F66AB"/>
    <w:rsid w:val="009F6FD4"/>
    <w:rsid w:val="00A0120A"/>
    <w:rsid w:val="00A10A08"/>
    <w:rsid w:val="00A2172E"/>
    <w:rsid w:val="00A23A07"/>
    <w:rsid w:val="00A25A33"/>
    <w:rsid w:val="00A32E4E"/>
    <w:rsid w:val="00A36EF9"/>
    <w:rsid w:val="00A37B57"/>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94E6A"/>
    <w:rsid w:val="00A95F76"/>
    <w:rsid w:val="00AB20A2"/>
    <w:rsid w:val="00AB2125"/>
    <w:rsid w:val="00AB3EBA"/>
    <w:rsid w:val="00AC37CE"/>
    <w:rsid w:val="00AC4DE1"/>
    <w:rsid w:val="00AD4602"/>
    <w:rsid w:val="00AD6022"/>
    <w:rsid w:val="00AE020D"/>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96248"/>
    <w:rsid w:val="00B96BFB"/>
    <w:rsid w:val="00BA5FCC"/>
    <w:rsid w:val="00BA6AFD"/>
    <w:rsid w:val="00BA7F35"/>
    <w:rsid w:val="00BB075D"/>
    <w:rsid w:val="00BB3710"/>
    <w:rsid w:val="00BB4D3C"/>
    <w:rsid w:val="00BB5791"/>
    <w:rsid w:val="00BC0A69"/>
    <w:rsid w:val="00BC513D"/>
    <w:rsid w:val="00BC5D78"/>
    <w:rsid w:val="00BC6F90"/>
    <w:rsid w:val="00BE1DBA"/>
    <w:rsid w:val="00BE50F3"/>
    <w:rsid w:val="00BE5BB7"/>
    <w:rsid w:val="00BF3C9A"/>
    <w:rsid w:val="00BF6FDA"/>
    <w:rsid w:val="00C0147D"/>
    <w:rsid w:val="00C206CA"/>
    <w:rsid w:val="00C2593A"/>
    <w:rsid w:val="00C2597B"/>
    <w:rsid w:val="00C31052"/>
    <w:rsid w:val="00C35277"/>
    <w:rsid w:val="00C37519"/>
    <w:rsid w:val="00C5073D"/>
    <w:rsid w:val="00C507CF"/>
    <w:rsid w:val="00C5485A"/>
    <w:rsid w:val="00C54AB6"/>
    <w:rsid w:val="00C6039A"/>
    <w:rsid w:val="00C62E66"/>
    <w:rsid w:val="00C64606"/>
    <w:rsid w:val="00C64C0D"/>
    <w:rsid w:val="00C6781A"/>
    <w:rsid w:val="00C74599"/>
    <w:rsid w:val="00C77FCF"/>
    <w:rsid w:val="00C820A2"/>
    <w:rsid w:val="00C858E5"/>
    <w:rsid w:val="00C86CA7"/>
    <w:rsid w:val="00C92B47"/>
    <w:rsid w:val="00C956DE"/>
    <w:rsid w:val="00C96493"/>
    <w:rsid w:val="00C967EA"/>
    <w:rsid w:val="00CA526B"/>
    <w:rsid w:val="00CA747E"/>
    <w:rsid w:val="00CA7B5B"/>
    <w:rsid w:val="00CB10FF"/>
    <w:rsid w:val="00CB3078"/>
    <w:rsid w:val="00CB3FBF"/>
    <w:rsid w:val="00CC1BE2"/>
    <w:rsid w:val="00CC1F46"/>
    <w:rsid w:val="00CC6078"/>
    <w:rsid w:val="00CC7D1E"/>
    <w:rsid w:val="00CE2133"/>
    <w:rsid w:val="00CE5436"/>
    <w:rsid w:val="00D02445"/>
    <w:rsid w:val="00D02D9A"/>
    <w:rsid w:val="00D047D3"/>
    <w:rsid w:val="00D05693"/>
    <w:rsid w:val="00D073F2"/>
    <w:rsid w:val="00D13DA1"/>
    <w:rsid w:val="00D20C10"/>
    <w:rsid w:val="00D2293D"/>
    <w:rsid w:val="00D271C1"/>
    <w:rsid w:val="00D345BD"/>
    <w:rsid w:val="00D37220"/>
    <w:rsid w:val="00D417D3"/>
    <w:rsid w:val="00D42E72"/>
    <w:rsid w:val="00D4522D"/>
    <w:rsid w:val="00D518F9"/>
    <w:rsid w:val="00D55B96"/>
    <w:rsid w:val="00D57157"/>
    <w:rsid w:val="00D5750A"/>
    <w:rsid w:val="00D6005A"/>
    <w:rsid w:val="00D60AAD"/>
    <w:rsid w:val="00D703B6"/>
    <w:rsid w:val="00D70F8E"/>
    <w:rsid w:val="00D753DB"/>
    <w:rsid w:val="00D76EF6"/>
    <w:rsid w:val="00D775B7"/>
    <w:rsid w:val="00D80EA3"/>
    <w:rsid w:val="00D879CB"/>
    <w:rsid w:val="00D91488"/>
    <w:rsid w:val="00DA4321"/>
    <w:rsid w:val="00DC356C"/>
    <w:rsid w:val="00DC4192"/>
    <w:rsid w:val="00DC66FE"/>
    <w:rsid w:val="00DD0E2C"/>
    <w:rsid w:val="00DD4911"/>
    <w:rsid w:val="00DD5DC8"/>
    <w:rsid w:val="00DE115A"/>
    <w:rsid w:val="00DE5764"/>
    <w:rsid w:val="00DE618B"/>
    <w:rsid w:val="00DF2AE5"/>
    <w:rsid w:val="00E01802"/>
    <w:rsid w:val="00E078DA"/>
    <w:rsid w:val="00E10649"/>
    <w:rsid w:val="00E174F1"/>
    <w:rsid w:val="00E201F0"/>
    <w:rsid w:val="00E302DF"/>
    <w:rsid w:val="00E30B02"/>
    <w:rsid w:val="00E4425D"/>
    <w:rsid w:val="00E45340"/>
    <w:rsid w:val="00E45449"/>
    <w:rsid w:val="00E53ACA"/>
    <w:rsid w:val="00E54381"/>
    <w:rsid w:val="00E5594D"/>
    <w:rsid w:val="00E60B47"/>
    <w:rsid w:val="00E615A9"/>
    <w:rsid w:val="00E64043"/>
    <w:rsid w:val="00E6660F"/>
    <w:rsid w:val="00E7070A"/>
    <w:rsid w:val="00E71DD4"/>
    <w:rsid w:val="00E73008"/>
    <w:rsid w:val="00E737E7"/>
    <w:rsid w:val="00E75CA2"/>
    <w:rsid w:val="00E819D6"/>
    <w:rsid w:val="00E84DFE"/>
    <w:rsid w:val="00E851A5"/>
    <w:rsid w:val="00E859CC"/>
    <w:rsid w:val="00E93314"/>
    <w:rsid w:val="00E97A14"/>
    <w:rsid w:val="00EA599B"/>
    <w:rsid w:val="00EB0684"/>
    <w:rsid w:val="00EB4876"/>
    <w:rsid w:val="00EB71F4"/>
    <w:rsid w:val="00EB7E1B"/>
    <w:rsid w:val="00EC0717"/>
    <w:rsid w:val="00ED06ED"/>
    <w:rsid w:val="00ED57F0"/>
    <w:rsid w:val="00ED7041"/>
    <w:rsid w:val="00ED7D65"/>
    <w:rsid w:val="00EE0747"/>
    <w:rsid w:val="00EE1105"/>
    <w:rsid w:val="00EE2590"/>
    <w:rsid w:val="00EE46A2"/>
    <w:rsid w:val="00EE59AD"/>
    <w:rsid w:val="00EF0817"/>
    <w:rsid w:val="00F03979"/>
    <w:rsid w:val="00F03DF2"/>
    <w:rsid w:val="00F06BA7"/>
    <w:rsid w:val="00F232CF"/>
    <w:rsid w:val="00F2443E"/>
    <w:rsid w:val="00F4090B"/>
    <w:rsid w:val="00F42657"/>
    <w:rsid w:val="00F60162"/>
    <w:rsid w:val="00F613A3"/>
    <w:rsid w:val="00F64BF9"/>
    <w:rsid w:val="00F66C9B"/>
    <w:rsid w:val="00F71470"/>
    <w:rsid w:val="00F733F4"/>
    <w:rsid w:val="00F740A7"/>
    <w:rsid w:val="00F7683A"/>
    <w:rsid w:val="00F77C3D"/>
    <w:rsid w:val="00F8166A"/>
    <w:rsid w:val="00F9118E"/>
    <w:rsid w:val="00F92E72"/>
    <w:rsid w:val="00F94566"/>
    <w:rsid w:val="00F952E7"/>
    <w:rsid w:val="00FA55E3"/>
    <w:rsid w:val="00FB275D"/>
    <w:rsid w:val="00FB3684"/>
    <w:rsid w:val="00FB5E57"/>
    <w:rsid w:val="00FB5FD5"/>
    <w:rsid w:val="00FC099A"/>
    <w:rsid w:val="00FC193B"/>
    <w:rsid w:val="00FC522F"/>
    <w:rsid w:val="00FD2717"/>
    <w:rsid w:val="00FD3786"/>
    <w:rsid w:val="00FD52EC"/>
    <w:rsid w:val="00FE0B38"/>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paragraph" w:styleId="ListParagraph">
    <w:name w:val="List Paragraph"/>
    <w:basedOn w:val="Normal"/>
    <w:uiPriority w:val="34"/>
    <w:qFormat/>
    <w:rsid w:val="002A693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paragraph" w:styleId="ListParagraph">
    <w:name w:val="List Paragraph"/>
    <w:basedOn w:val="Normal"/>
    <w:uiPriority w:val="34"/>
    <w:qFormat/>
    <w:rsid w:val="002A693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59304154">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B-PaymentQueries@dh.gsi.gov.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4F4C-0E53-48E5-8917-5FE45EFD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3076</Words>
  <Characters>17536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Thomas, Suzanne</dc:creator>
  <cp:lastModifiedBy>Stafford, Simon</cp:lastModifiedBy>
  <cp:revision>2</cp:revision>
  <cp:lastPrinted>2012-11-06T14:40:00Z</cp:lastPrinted>
  <dcterms:created xsi:type="dcterms:W3CDTF">2015-09-11T15:52:00Z</dcterms:created>
  <dcterms:modified xsi:type="dcterms:W3CDTF">2015-09-11T15:52:00Z</dcterms:modified>
</cp:coreProperties>
</file>