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1C400" w14:textId="09F2EB8F" w:rsidR="006E6367" w:rsidRDefault="006E6367" w:rsidP="006E6367">
      <w:pPr>
        <w:rPr>
          <w:rFonts w:cs="Arial"/>
          <w:b/>
          <w:color w:val="2C2C2C"/>
          <w:sz w:val="40"/>
          <w:szCs w:val="40"/>
          <w:lang w:val="en"/>
        </w:rPr>
      </w:pPr>
      <w:r>
        <w:rPr>
          <w:noProof/>
          <w:lang w:eastAsia="en-GB"/>
        </w:rPr>
        <w:drawing>
          <wp:anchor distT="0" distB="0" distL="114300" distR="114300" simplePos="0" relativeHeight="251660288" behindDoc="1" locked="0" layoutInCell="1" allowOverlap="1" wp14:anchorId="30EB5BE0" wp14:editId="313C7F69">
            <wp:simplePos x="0" y="0"/>
            <wp:positionH relativeFrom="column">
              <wp:posOffset>3722825</wp:posOffset>
            </wp:positionH>
            <wp:positionV relativeFrom="paragraph">
              <wp:posOffset>180</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717274" w14:textId="77777777" w:rsidR="006E6367" w:rsidRDefault="006E6367" w:rsidP="006E6367">
      <w:pPr>
        <w:rPr>
          <w:rFonts w:cs="Arial"/>
          <w:b/>
          <w:color w:val="2C2C2C"/>
          <w:sz w:val="40"/>
          <w:szCs w:val="40"/>
          <w:lang w:val="en"/>
        </w:rPr>
      </w:pPr>
    </w:p>
    <w:p w14:paraId="7FA9565F" w14:textId="77777777" w:rsidR="006E6367" w:rsidRDefault="006E6367" w:rsidP="006E6367">
      <w:pPr>
        <w:rPr>
          <w:rFonts w:cs="Arial"/>
          <w:b/>
          <w:color w:val="2C2C2C"/>
          <w:sz w:val="40"/>
          <w:szCs w:val="40"/>
          <w:lang w:val="en"/>
        </w:rPr>
      </w:pPr>
    </w:p>
    <w:p w14:paraId="0D96BA89" w14:textId="1E63752C" w:rsidR="00F52BE8" w:rsidRPr="006E6367" w:rsidRDefault="00F52BE8" w:rsidP="006E6367">
      <w:pPr>
        <w:jc w:val="center"/>
        <w:rPr>
          <w:rFonts w:ascii="Verdana" w:hAnsi="Verdana"/>
          <w:color w:val="2C2C2C"/>
          <w:sz w:val="17"/>
          <w:szCs w:val="17"/>
          <w:lang w:val="en"/>
        </w:rPr>
      </w:pPr>
      <w:r w:rsidRPr="00601683">
        <w:rPr>
          <w:rFonts w:cs="Arial"/>
          <w:b/>
          <w:color w:val="2C2C2C"/>
          <w:sz w:val="40"/>
          <w:szCs w:val="40"/>
          <w:lang w:val="en"/>
        </w:rPr>
        <w:t>INVITATION TO TENDER</w:t>
      </w:r>
    </w:p>
    <w:p w14:paraId="6A7EC0CE"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1BB79107" w14:textId="77777777" w:rsidR="00F52BE8" w:rsidRDefault="00F52BE8" w:rsidP="00F52BE8">
      <w:pPr>
        <w:jc w:val="center"/>
        <w:rPr>
          <w:rFonts w:cs="Arial"/>
          <w:b/>
          <w:u w:val="single"/>
        </w:rPr>
      </w:pPr>
      <w:r>
        <w:rPr>
          <w:rFonts w:cs="Arial"/>
          <w:b/>
          <w:color w:val="2C2C2C"/>
          <w:sz w:val="40"/>
          <w:szCs w:val="40"/>
          <w:lang w:val="en"/>
        </w:rPr>
        <w:t>STATEMENT OF REQUIREMENT</w:t>
      </w:r>
    </w:p>
    <w:p w14:paraId="6C438C7C" w14:textId="77777777" w:rsidR="00F52BE8" w:rsidRDefault="00F52BE8" w:rsidP="00F52BE8">
      <w:pPr>
        <w:jc w:val="center"/>
        <w:rPr>
          <w:rFonts w:cs="Arial"/>
          <w:b/>
          <w:u w:val="single"/>
        </w:rPr>
      </w:pPr>
    </w:p>
    <w:p w14:paraId="7671742B" w14:textId="77777777" w:rsidR="00F52BE8" w:rsidRDefault="00F52BE8" w:rsidP="00F52BE8">
      <w:pPr>
        <w:jc w:val="center"/>
        <w:rPr>
          <w:rFonts w:cs="Arial"/>
          <w:b/>
          <w:u w:val="single"/>
        </w:rPr>
      </w:pPr>
    </w:p>
    <w:p w14:paraId="79829106" w14:textId="77777777" w:rsidR="00F52BE8" w:rsidRDefault="00F52BE8" w:rsidP="00F52BE8">
      <w:pPr>
        <w:jc w:val="center"/>
        <w:rPr>
          <w:rFonts w:cs="Arial"/>
          <w:b/>
          <w:u w:val="single"/>
        </w:rPr>
      </w:pPr>
    </w:p>
    <w:p w14:paraId="210299AE" w14:textId="088463C2" w:rsidR="00235E4D" w:rsidRPr="00235E4D" w:rsidRDefault="00AF7891" w:rsidP="00F52BE8">
      <w:pPr>
        <w:jc w:val="center"/>
        <w:rPr>
          <w:rFonts w:cs="Arial"/>
          <w:b/>
          <w:color w:val="000000" w:themeColor="text1"/>
          <w:u w:val="single"/>
        </w:rPr>
      </w:pPr>
      <w:r>
        <w:rPr>
          <w:rFonts w:cs="Arial"/>
          <w:b/>
          <w:color w:val="000000" w:themeColor="text1"/>
          <w:u w:val="single"/>
        </w:rPr>
        <w:t>Study into m</w:t>
      </w:r>
      <w:r w:rsidR="00C04C45" w:rsidRPr="00235E4D">
        <w:rPr>
          <w:rFonts w:cs="Arial"/>
          <w:b/>
          <w:color w:val="000000" w:themeColor="text1"/>
          <w:u w:val="single"/>
        </w:rPr>
        <w:t xml:space="preserve">easurement </w:t>
      </w:r>
      <w:r w:rsidR="00235E4D">
        <w:rPr>
          <w:rFonts w:cs="Arial"/>
          <w:b/>
          <w:color w:val="000000" w:themeColor="text1"/>
          <w:u w:val="single"/>
        </w:rPr>
        <w:t xml:space="preserve">methodologies </w:t>
      </w:r>
      <w:r w:rsidR="00C04C45" w:rsidRPr="00235E4D">
        <w:rPr>
          <w:rFonts w:cs="Arial"/>
          <w:b/>
          <w:color w:val="000000" w:themeColor="text1"/>
          <w:u w:val="single"/>
        </w:rPr>
        <w:t xml:space="preserve">of </w:t>
      </w:r>
      <w:r w:rsidR="00235E4D" w:rsidRPr="00235E4D">
        <w:rPr>
          <w:rFonts w:cs="Arial"/>
          <w:b/>
          <w:color w:val="000000" w:themeColor="text1"/>
          <w:u w:val="single"/>
        </w:rPr>
        <w:t xml:space="preserve">infrastructure </w:t>
      </w:r>
      <w:r w:rsidR="00C04C45" w:rsidRPr="00235E4D">
        <w:rPr>
          <w:rFonts w:cs="Arial"/>
          <w:b/>
          <w:color w:val="000000" w:themeColor="text1"/>
          <w:u w:val="single"/>
        </w:rPr>
        <w:t xml:space="preserve">asset </w:t>
      </w:r>
      <w:r w:rsidR="00235E4D" w:rsidRPr="00235E4D">
        <w:rPr>
          <w:rFonts w:cs="Arial"/>
          <w:b/>
          <w:color w:val="000000" w:themeColor="text1"/>
          <w:u w:val="single"/>
        </w:rPr>
        <w:t>health</w:t>
      </w:r>
      <w:r w:rsidR="00C04C45" w:rsidRPr="00235E4D">
        <w:rPr>
          <w:rFonts w:cs="Arial"/>
          <w:b/>
          <w:color w:val="000000" w:themeColor="text1"/>
          <w:u w:val="single"/>
        </w:rPr>
        <w:t xml:space="preserve"> </w:t>
      </w:r>
    </w:p>
    <w:p w14:paraId="7BCE5D7B" w14:textId="37019719" w:rsidR="00F52BE8" w:rsidRPr="00235E4D" w:rsidRDefault="002F7846" w:rsidP="00F52BE8">
      <w:pPr>
        <w:jc w:val="center"/>
        <w:rPr>
          <w:rFonts w:cs="Arial"/>
          <w:b/>
          <w:color w:val="000000" w:themeColor="text1"/>
          <w:u w:val="single"/>
        </w:rPr>
      </w:pPr>
      <w:r>
        <w:rPr>
          <w:rFonts w:cs="Arial"/>
          <w:b/>
          <w:color w:val="000000" w:themeColor="text1"/>
          <w:u w:val="single"/>
        </w:rPr>
        <w:t>(Alternative economic asset sustainability index)</w:t>
      </w:r>
    </w:p>
    <w:p w14:paraId="36E53D82" w14:textId="77777777" w:rsidR="00F52BE8" w:rsidRPr="00034159" w:rsidRDefault="00F52BE8" w:rsidP="00F52BE8">
      <w:pPr>
        <w:jc w:val="center"/>
        <w:rPr>
          <w:rFonts w:cs="Arial"/>
          <w:b/>
          <w:u w:val="single"/>
        </w:rPr>
      </w:pPr>
    </w:p>
    <w:p w14:paraId="13756797" w14:textId="77777777" w:rsidR="00F52BE8" w:rsidRPr="00034159" w:rsidRDefault="00F52BE8" w:rsidP="00F52BE8">
      <w:pPr>
        <w:jc w:val="center"/>
        <w:rPr>
          <w:rFonts w:cs="Arial"/>
          <w:b/>
          <w:u w:val="single"/>
        </w:rPr>
      </w:pPr>
    </w:p>
    <w:p w14:paraId="1A13CAA6" w14:textId="7DB40613" w:rsidR="00F52BE8" w:rsidRPr="00B02610" w:rsidRDefault="00F52BE8" w:rsidP="00F52BE8">
      <w:pPr>
        <w:spacing w:after="0" w:line="360" w:lineRule="auto"/>
        <w:rPr>
          <w:rFonts w:cs="Arial"/>
          <w:b/>
          <w:u w:val="single"/>
        </w:rPr>
      </w:pPr>
      <w:r w:rsidRPr="00034159">
        <w:rPr>
          <w:rFonts w:cs="Arial"/>
          <w:b/>
          <w:u w:val="single"/>
        </w:rPr>
        <w:t>CPV Code:</w:t>
      </w:r>
      <w:r w:rsidR="00B02610">
        <w:rPr>
          <w:rFonts w:cs="Arial"/>
          <w:b/>
          <w:u w:val="single"/>
        </w:rPr>
        <w:t xml:space="preserve"> </w:t>
      </w:r>
      <w:r w:rsidR="00B02610" w:rsidRPr="00B02610">
        <w:rPr>
          <w:rFonts w:cs="Arial"/>
          <w:b/>
          <w:u w:val="single"/>
        </w:rPr>
        <w:t>73200000</w:t>
      </w:r>
      <w:r w:rsidRPr="00034159">
        <w:rPr>
          <w:rFonts w:cs="Arial"/>
          <w:b/>
          <w:u w:val="single"/>
        </w:rPr>
        <w:t xml:space="preserve"> </w:t>
      </w:r>
      <w:bookmarkStart w:id="0" w:name="_GoBack"/>
      <w:bookmarkEnd w:id="0"/>
    </w:p>
    <w:p w14:paraId="671CAEE0" w14:textId="4DC2496E" w:rsidR="00F52BE8" w:rsidRPr="007E1B66" w:rsidRDefault="00F52BE8" w:rsidP="007E1B66">
      <w:pPr>
        <w:spacing w:after="0" w:line="360" w:lineRule="auto"/>
        <w:rPr>
          <w:rFonts w:cs="Arial"/>
          <w:b/>
          <w:u w:val="single"/>
        </w:rPr>
      </w:pPr>
      <w:r>
        <w:rPr>
          <w:rFonts w:cs="Arial"/>
          <w:b/>
          <w:u w:val="single"/>
        </w:rPr>
        <w:t xml:space="preserve">Tender Reference: </w:t>
      </w:r>
      <w:r w:rsidR="007E1B66" w:rsidRPr="007E1B66">
        <w:rPr>
          <w:rFonts w:cs="Arial"/>
          <w:b/>
          <w:u w:val="single"/>
        </w:rPr>
        <w:t>ORR</w:t>
      </w:r>
      <w:r w:rsidR="007E1B66">
        <w:rPr>
          <w:rFonts w:cs="Arial"/>
          <w:b/>
          <w:u w:val="single"/>
        </w:rPr>
        <w:t>/</w:t>
      </w:r>
      <w:r w:rsidR="007E1B66" w:rsidRPr="007E1B66">
        <w:rPr>
          <w:rFonts w:cs="Arial"/>
          <w:b/>
          <w:u w:val="single"/>
        </w:rPr>
        <w:t>CT</w:t>
      </w:r>
      <w:r w:rsidR="007E1B66">
        <w:rPr>
          <w:rFonts w:cs="Arial"/>
          <w:b/>
          <w:u w:val="single"/>
        </w:rPr>
        <w:t>/</w:t>
      </w:r>
      <w:r w:rsidR="007E1B66" w:rsidRPr="007E1B66">
        <w:rPr>
          <w:rFonts w:cs="Arial"/>
          <w:b/>
          <w:u w:val="single"/>
        </w:rPr>
        <w:t>20-16</w:t>
      </w:r>
    </w:p>
    <w:p w14:paraId="526DBECF" w14:textId="77777777" w:rsidR="00F52BE8" w:rsidRDefault="00F52BE8" w:rsidP="00F52BE8">
      <w:pPr>
        <w:rPr>
          <w:b/>
          <w:sz w:val="20"/>
        </w:rPr>
      </w:pPr>
    </w:p>
    <w:p w14:paraId="573DF991" w14:textId="77777777" w:rsidR="00F52BE8" w:rsidRDefault="00F52BE8" w:rsidP="00F52BE8">
      <w:pPr>
        <w:rPr>
          <w:b/>
          <w:sz w:val="20"/>
        </w:rPr>
      </w:pPr>
    </w:p>
    <w:p w14:paraId="7F9C1EDE" w14:textId="77777777" w:rsidR="00F52BE8" w:rsidRDefault="00F52BE8" w:rsidP="00F52BE8">
      <w:pPr>
        <w:rPr>
          <w:b/>
          <w:sz w:val="20"/>
        </w:rPr>
      </w:pPr>
    </w:p>
    <w:p w14:paraId="235919C5"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2C3E5C6E" w14:textId="439E7A95"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2F1450">
        <w:rPr>
          <w:rFonts w:cs="Arial"/>
          <w:color w:val="000000"/>
        </w:rPr>
        <w:t>identifying m</w:t>
      </w:r>
      <w:r w:rsidR="00235E4D" w:rsidRPr="00235E4D">
        <w:rPr>
          <w:rFonts w:cs="Arial"/>
          <w:color w:val="000000"/>
        </w:rPr>
        <w:t>easurement</w:t>
      </w:r>
      <w:r w:rsidR="00235E4D">
        <w:rPr>
          <w:rFonts w:cs="Arial"/>
          <w:color w:val="000000"/>
        </w:rPr>
        <w:t xml:space="preserve"> methodologies</w:t>
      </w:r>
      <w:r w:rsidR="00235E4D" w:rsidRPr="00235E4D">
        <w:rPr>
          <w:rFonts w:cs="Arial"/>
          <w:color w:val="000000"/>
        </w:rPr>
        <w:t xml:space="preserve"> of infrastructure asset health </w:t>
      </w:r>
      <w:r w:rsidRPr="00034159">
        <w:rPr>
          <w:rFonts w:cs="Arial"/>
          <w:color w:val="000000"/>
        </w:rPr>
        <w:t>for</w:t>
      </w:r>
      <w:r>
        <w:rPr>
          <w:rFonts w:cs="Arial"/>
          <w:color w:val="000000"/>
        </w:rPr>
        <w:t xml:space="preserve"> the Office of Rail and Road (ORR)</w:t>
      </w:r>
      <w:r w:rsidR="002F1450">
        <w:rPr>
          <w:rFonts w:cs="Arial"/>
          <w:color w:val="000000"/>
        </w:rPr>
        <w:t xml:space="preserve"> at </w:t>
      </w:r>
      <w:r w:rsidR="002F1450" w:rsidRPr="002F1450">
        <w:rPr>
          <w:rFonts w:cs="Arial"/>
          <w:color w:val="000000"/>
        </w:rPr>
        <w:t>a composi</w:t>
      </w:r>
      <w:r w:rsidR="002F1450">
        <w:rPr>
          <w:rFonts w:cs="Arial"/>
          <w:color w:val="000000"/>
        </w:rPr>
        <w:t>te network wide portfolio level.</w:t>
      </w:r>
    </w:p>
    <w:p w14:paraId="6F6CB4D6" w14:textId="77777777" w:rsidR="00F52BE8" w:rsidRDefault="00F52BE8" w:rsidP="00F52BE8">
      <w:pPr>
        <w:pStyle w:val="ListNumber"/>
        <w:numPr>
          <w:ilvl w:val="0"/>
          <w:numId w:val="0"/>
        </w:numPr>
        <w:rPr>
          <w:b/>
          <w:sz w:val="28"/>
          <w:szCs w:val="28"/>
          <w:u w:val="single"/>
        </w:rPr>
      </w:pPr>
      <w:r>
        <w:t>This document contains the following sections:</w:t>
      </w:r>
    </w:p>
    <w:p w14:paraId="38625D85"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30AA80D3"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181CD966"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25CCE11E"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3FE5052E"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500481EA"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57F8BD6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7C88137A"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0B602C74" w14:textId="77777777" w:rsidR="00F52BE8" w:rsidRDefault="00F52BE8" w:rsidP="00F52BE8">
      <w:pPr>
        <w:pStyle w:val="ListNumber"/>
        <w:numPr>
          <w:ilvl w:val="0"/>
          <w:numId w:val="0"/>
        </w:numPr>
        <w:spacing w:before="0" w:after="0"/>
        <w:rPr>
          <w:rFonts w:cs="Arial"/>
          <w:szCs w:val="24"/>
        </w:rPr>
      </w:pPr>
    </w:p>
    <w:p w14:paraId="03961ECF"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3128954F" w14:textId="77777777" w:rsidR="00F52BE8" w:rsidRDefault="00F52BE8" w:rsidP="00F52BE8">
      <w:pPr>
        <w:pStyle w:val="ListNumber"/>
        <w:numPr>
          <w:ilvl w:val="0"/>
          <w:numId w:val="0"/>
        </w:numPr>
        <w:spacing w:before="0" w:after="0"/>
        <w:rPr>
          <w:rFonts w:cs="Arial"/>
          <w:sz w:val="28"/>
          <w:szCs w:val="28"/>
          <w:u w:val="single"/>
        </w:rPr>
      </w:pPr>
    </w:p>
    <w:p w14:paraId="7CF4D4AF"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790275F" w14:textId="77777777" w:rsidR="00F52BE8" w:rsidRPr="007E2FBB" w:rsidRDefault="00F52BE8" w:rsidP="00F52BE8">
      <w:pPr>
        <w:tabs>
          <w:tab w:val="left" w:pos="720"/>
        </w:tabs>
        <w:spacing w:after="0"/>
        <w:rPr>
          <w:rFonts w:cs="Arial"/>
          <w:szCs w:val="24"/>
          <w:u w:val="single"/>
        </w:rPr>
      </w:pPr>
    </w:p>
    <w:p w14:paraId="504353A2"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proofErr w:type="gramStart"/>
      <w:r w:rsidRPr="007E2FBB">
        <w:rPr>
          <w:rFonts w:cs="Arial"/>
          <w:b/>
          <w:bCs/>
          <w:szCs w:val="24"/>
        </w:rPr>
        <w:t>:</w:t>
      </w:r>
      <w:proofErr w:type="gramEnd"/>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41EC4BD0" w14:textId="77777777" w:rsidR="00F52BE8" w:rsidRPr="007E2FBB" w:rsidRDefault="00F52BE8" w:rsidP="00F52BE8">
      <w:pPr>
        <w:tabs>
          <w:tab w:val="left" w:pos="720"/>
        </w:tabs>
        <w:spacing w:after="0"/>
        <w:rPr>
          <w:rFonts w:cs="Arial"/>
          <w:szCs w:val="24"/>
        </w:rPr>
      </w:pPr>
    </w:p>
    <w:p w14:paraId="21253BDD"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proofErr w:type="gramStart"/>
      <w:r w:rsidRPr="007E2FBB">
        <w:rPr>
          <w:rFonts w:cs="Arial"/>
          <w:b/>
          <w:bCs/>
          <w:szCs w:val="24"/>
        </w:rPr>
        <w:t>:</w:t>
      </w:r>
      <w:proofErr w:type="gramEnd"/>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2C7643D6" w14:textId="77777777" w:rsidR="00F52BE8" w:rsidRPr="007E2FBB" w:rsidRDefault="00F52BE8" w:rsidP="00F52BE8">
      <w:pPr>
        <w:tabs>
          <w:tab w:val="left" w:pos="720"/>
        </w:tabs>
        <w:spacing w:after="0"/>
        <w:rPr>
          <w:rFonts w:cs="Arial"/>
          <w:szCs w:val="24"/>
        </w:rPr>
      </w:pPr>
    </w:p>
    <w:p w14:paraId="50152535"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proofErr w:type="gramStart"/>
      <w:r w:rsidRPr="007E2FBB">
        <w:rPr>
          <w:rFonts w:cs="Arial"/>
          <w:b/>
          <w:bCs/>
          <w:szCs w:val="24"/>
        </w:rPr>
        <w:t>:</w:t>
      </w:r>
      <w:proofErr w:type="gramEnd"/>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5641527F" w14:textId="77777777" w:rsidR="00F52BE8" w:rsidRPr="007E2FBB" w:rsidRDefault="00F52BE8" w:rsidP="00F52BE8">
      <w:pPr>
        <w:tabs>
          <w:tab w:val="left" w:pos="720"/>
        </w:tabs>
        <w:spacing w:after="0"/>
        <w:rPr>
          <w:rFonts w:cs="Arial"/>
          <w:szCs w:val="24"/>
        </w:rPr>
      </w:pPr>
    </w:p>
    <w:p w14:paraId="2306AFB9"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proofErr w:type="gramStart"/>
      <w:r w:rsidRPr="007E2FBB">
        <w:rPr>
          <w:rFonts w:cs="Arial"/>
          <w:b/>
          <w:bCs/>
          <w:szCs w:val="24"/>
        </w:rPr>
        <w:t>:</w:t>
      </w:r>
      <w:proofErr w:type="gramEnd"/>
      <w:r w:rsidRPr="007E2FBB">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52902106" w14:textId="77777777" w:rsidR="00F52BE8" w:rsidRDefault="00F52BE8" w:rsidP="00F52BE8">
      <w:pPr>
        <w:pStyle w:val="ListNumber"/>
        <w:numPr>
          <w:ilvl w:val="0"/>
          <w:numId w:val="0"/>
        </w:numPr>
        <w:spacing w:before="0" w:after="0"/>
        <w:rPr>
          <w:sz w:val="29"/>
          <w:szCs w:val="29"/>
          <w:lang w:val="en"/>
        </w:rPr>
      </w:pPr>
    </w:p>
    <w:p w14:paraId="7E4FD4B1"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579F919F"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1FA25C67"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32BF948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7AB14F29"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7F36D579"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delivered; </w:t>
      </w:r>
    </w:p>
    <w:p w14:paraId="75A86D47"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59753367" w14:textId="77777777" w:rsidR="00F52BE8" w:rsidRPr="00DF0367" w:rsidRDefault="00F52BE8" w:rsidP="00F52BE8">
      <w:pPr>
        <w:pStyle w:val="ListNumber"/>
        <w:numPr>
          <w:ilvl w:val="0"/>
          <w:numId w:val="3"/>
        </w:numPr>
        <w:rPr>
          <w:lang w:val="en" w:eastAsia="en-GB"/>
        </w:rPr>
      </w:pPr>
      <w:proofErr w:type="gramStart"/>
      <w:r w:rsidRPr="00DF0367">
        <w:rPr>
          <w:lang w:val="en" w:eastAsia="en-GB"/>
        </w:rPr>
        <w:t>to</w:t>
      </w:r>
      <w:proofErr w:type="gramEnd"/>
      <w:r w:rsidRPr="00DF0367">
        <w:rPr>
          <w:lang w:val="en" w:eastAsia="en-GB"/>
        </w:rPr>
        <w:t xml:space="preserve"> ensure that procurement is undertaken with regard to Law and best practice.</w:t>
      </w:r>
    </w:p>
    <w:p w14:paraId="0041E4F1"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7AF8A1F4"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2F69F485" w14:textId="77777777" w:rsidR="00F52BE8" w:rsidRPr="006F78AD" w:rsidRDefault="00F52BE8" w:rsidP="00F52BE8">
      <w:pPr>
        <w:pStyle w:val="ListNumber"/>
        <w:numPr>
          <w:ilvl w:val="0"/>
          <w:numId w:val="0"/>
        </w:numPr>
        <w:spacing w:before="0" w:after="0"/>
        <w:rPr>
          <w:rFonts w:cs="Arial"/>
        </w:rPr>
      </w:pPr>
    </w:p>
    <w:p w14:paraId="0ED66351"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51ACDB76"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2646502B" w14:textId="77777777" w:rsidTr="00A86302">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6F6C312E" w14:textId="77777777" w:rsidR="00F52BE8" w:rsidRPr="00362F5D" w:rsidRDefault="00F52BE8" w:rsidP="00A86302">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24A7A075" w14:textId="77777777" w:rsidR="00F52BE8" w:rsidRPr="00362F5D" w:rsidRDefault="00F52BE8" w:rsidP="00A86302">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4DC36DF6" w14:textId="77777777" w:rsidR="00F52BE8" w:rsidRPr="00362F5D" w:rsidRDefault="00F52BE8" w:rsidP="00A86302">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D5E5ED1" w14:textId="77777777" w:rsidR="00F52BE8" w:rsidRPr="00362F5D" w:rsidRDefault="00F52BE8" w:rsidP="00A86302">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086859B6" w14:textId="77777777" w:rsidR="00F52BE8" w:rsidRPr="00362F5D" w:rsidRDefault="00F52BE8" w:rsidP="00A86302">
            <w:pPr>
              <w:jc w:val="center"/>
              <w:rPr>
                <w:rFonts w:cs="Arial"/>
                <w:b/>
                <w:bCs/>
              </w:rPr>
            </w:pPr>
            <w:r w:rsidRPr="00362F5D">
              <w:rPr>
                <w:rFonts w:cs="Arial"/>
                <w:b/>
                <w:bCs/>
              </w:rPr>
              <w:t>Balance Sheet Total</w:t>
            </w:r>
          </w:p>
        </w:tc>
      </w:tr>
      <w:tr w:rsidR="00F52BE8" w:rsidRPr="00362F5D" w14:paraId="3E6D8869" w14:textId="77777777" w:rsidTr="00A8630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27E4C2C" w14:textId="77777777" w:rsidR="00F52BE8" w:rsidRPr="00362F5D" w:rsidRDefault="00F52BE8" w:rsidP="00A86302">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723D29EB" w14:textId="77777777" w:rsidR="00F52BE8" w:rsidRPr="00362F5D" w:rsidRDefault="00F52BE8" w:rsidP="00A86302">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F7E18FA" w14:textId="77777777" w:rsidR="00F52BE8" w:rsidRPr="00362F5D" w:rsidRDefault="00F52BE8" w:rsidP="00A86302">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3910B5C" w14:textId="77777777" w:rsidR="00F52BE8" w:rsidRPr="00362F5D" w:rsidRDefault="00F52BE8" w:rsidP="00A86302">
            <w:pPr>
              <w:jc w:val="center"/>
              <w:rPr>
                <w:rFonts w:cs="Arial"/>
                <w:b/>
                <w:bCs/>
              </w:rPr>
            </w:pPr>
            <w:r w:rsidRPr="00362F5D">
              <w:rPr>
                <w:rFonts w:cs="Arial"/>
                <w:b/>
                <w:bCs/>
              </w:rPr>
              <w:t>≤ € 2 million</w:t>
            </w:r>
          </w:p>
        </w:tc>
      </w:tr>
      <w:tr w:rsidR="00F52BE8" w:rsidRPr="00362F5D" w14:paraId="66BE364F" w14:textId="77777777" w:rsidTr="00A86302">
        <w:trPr>
          <w:trHeight w:val="516"/>
        </w:trPr>
        <w:tc>
          <w:tcPr>
            <w:tcW w:w="1730" w:type="dxa"/>
            <w:vMerge/>
            <w:tcBorders>
              <w:top w:val="nil"/>
              <w:left w:val="single" w:sz="4" w:space="0" w:color="auto"/>
              <w:bottom w:val="single" w:sz="4" w:space="0" w:color="000000"/>
              <w:right w:val="single" w:sz="4" w:space="0" w:color="auto"/>
            </w:tcBorders>
            <w:vAlign w:val="center"/>
          </w:tcPr>
          <w:p w14:paraId="0B1702A2" w14:textId="77777777" w:rsidR="00F52BE8" w:rsidRPr="00362F5D" w:rsidRDefault="00F52BE8" w:rsidP="00A8630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0CCCB634" w14:textId="77777777" w:rsidR="00F52BE8" w:rsidRPr="00362F5D" w:rsidRDefault="00F52BE8" w:rsidP="00A8630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2476A8F5" w14:textId="77777777" w:rsidR="00F52BE8" w:rsidRPr="00362F5D" w:rsidRDefault="00F52BE8" w:rsidP="00A8630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73C7E17" w14:textId="77777777" w:rsidR="00F52BE8" w:rsidRPr="00362F5D" w:rsidRDefault="00F52BE8" w:rsidP="00A86302">
            <w:pPr>
              <w:rPr>
                <w:rFonts w:cs="Arial"/>
                <w:b/>
                <w:bCs/>
              </w:rPr>
            </w:pPr>
          </w:p>
        </w:tc>
      </w:tr>
      <w:tr w:rsidR="00F52BE8" w:rsidRPr="00362F5D" w14:paraId="77D66C91" w14:textId="77777777" w:rsidTr="00A8630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365B94" w14:textId="77777777" w:rsidR="00F52BE8" w:rsidRPr="00362F5D" w:rsidRDefault="00F52BE8" w:rsidP="00A86302">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0263FF4E" w14:textId="77777777" w:rsidR="00F52BE8" w:rsidRPr="00362F5D" w:rsidRDefault="00F52BE8" w:rsidP="00A86302">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1461233" w14:textId="77777777" w:rsidR="00F52BE8" w:rsidRPr="00362F5D" w:rsidRDefault="00F52BE8" w:rsidP="00A86302">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8351795" w14:textId="77777777" w:rsidR="00F52BE8" w:rsidRPr="00362F5D" w:rsidRDefault="00F52BE8" w:rsidP="00A86302">
            <w:pPr>
              <w:jc w:val="center"/>
              <w:rPr>
                <w:rFonts w:cs="Arial"/>
                <w:b/>
                <w:bCs/>
              </w:rPr>
            </w:pPr>
            <w:r w:rsidRPr="00362F5D">
              <w:rPr>
                <w:rFonts w:cs="Arial"/>
                <w:b/>
                <w:bCs/>
              </w:rPr>
              <w:t>≤ € 10 million</w:t>
            </w:r>
          </w:p>
        </w:tc>
      </w:tr>
      <w:tr w:rsidR="00F52BE8" w:rsidRPr="00362F5D" w14:paraId="2E4C8F4D" w14:textId="77777777" w:rsidTr="00A86302">
        <w:trPr>
          <w:trHeight w:val="516"/>
        </w:trPr>
        <w:tc>
          <w:tcPr>
            <w:tcW w:w="1730" w:type="dxa"/>
            <w:vMerge/>
            <w:tcBorders>
              <w:top w:val="nil"/>
              <w:left w:val="single" w:sz="4" w:space="0" w:color="auto"/>
              <w:bottom w:val="single" w:sz="4" w:space="0" w:color="000000"/>
              <w:right w:val="single" w:sz="4" w:space="0" w:color="auto"/>
            </w:tcBorders>
            <w:vAlign w:val="center"/>
          </w:tcPr>
          <w:p w14:paraId="780FF4C7" w14:textId="77777777" w:rsidR="00F52BE8" w:rsidRPr="00362F5D" w:rsidRDefault="00F52BE8" w:rsidP="00A8630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172E6B1C" w14:textId="77777777" w:rsidR="00F52BE8" w:rsidRPr="00362F5D" w:rsidRDefault="00F52BE8" w:rsidP="00A8630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6ACFCB8A" w14:textId="77777777" w:rsidR="00F52BE8" w:rsidRPr="00362F5D" w:rsidRDefault="00F52BE8" w:rsidP="00A8630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40C05A14" w14:textId="77777777" w:rsidR="00F52BE8" w:rsidRPr="00362F5D" w:rsidRDefault="00F52BE8" w:rsidP="00A86302">
            <w:pPr>
              <w:rPr>
                <w:rFonts w:cs="Arial"/>
                <w:b/>
                <w:bCs/>
              </w:rPr>
            </w:pPr>
          </w:p>
        </w:tc>
      </w:tr>
      <w:tr w:rsidR="00F52BE8" w:rsidRPr="00362F5D" w14:paraId="2E1933C3" w14:textId="77777777" w:rsidTr="00A8630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4A22553D" w14:textId="77777777" w:rsidR="00F52BE8" w:rsidRPr="00362F5D" w:rsidRDefault="00F52BE8" w:rsidP="00A86302">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22CDDF4" w14:textId="77777777" w:rsidR="00F52BE8" w:rsidRPr="00362F5D" w:rsidRDefault="00F52BE8" w:rsidP="00A86302">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E4B967C" w14:textId="77777777" w:rsidR="00F52BE8" w:rsidRPr="00362F5D" w:rsidRDefault="00F52BE8" w:rsidP="00A86302">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4D8D968" w14:textId="77777777" w:rsidR="00F52BE8" w:rsidRPr="00362F5D" w:rsidRDefault="00F52BE8" w:rsidP="00A86302">
            <w:pPr>
              <w:jc w:val="center"/>
              <w:rPr>
                <w:rFonts w:cs="Arial"/>
                <w:b/>
                <w:bCs/>
              </w:rPr>
            </w:pPr>
            <w:r w:rsidRPr="00362F5D">
              <w:rPr>
                <w:rFonts w:cs="Arial"/>
                <w:b/>
                <w:bCs/>
              </w:rPr>
              <w:t>≤ € 43 million</w:t>
            </w:r>
          </w:p>
        </w:tc>
      </w:tr>
      <w:tr w:rsidR="00F52BE8" w:rsidRPr="00362F5D" w14:paraId="7A567240" w14:textId="77777777" w:rsidTr="00A86302">
        <w:trPr>
          <w:trHeight w:val="516"/>
        </w:trPr>
        <w:tc>
          <w:tcPr>
            <w:tcW w:w="1730" w:type="dxa"/>
            <w:vMerge/>
            <w:tcBorders>
              <w:top w:val="nil"/>
              <w:left w:val="single" w:sz="4" w:space="0" w:color="auto"/>
              <w:bottom w:val="single" w:sz="4" w:space="0" w:color="000000"/>
              <w:right w:val="single" w:sz="4" w:space="0" w:color="auto"/>
            </w:tcBorders>
            <w:vAlign w:val="center"/>
          </w:tcPr>
          <w:p w14:paraId="17E39689" w14:textId="77777777" w:rsidR="00F52BE8" w:rsidRPr="00362F5D" w:rsidRDefault="00F52BE8" w:rsidP="00A8630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1112BF51" w14:textId="77777777" w:rsidR="00F52BE8" w:rsidRPr="00362F5D" w:rsidRDefault="00F52BE8" w:rsidP="00A8630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7424D16" w14:textId="77777777" w:rsidR="00F52BE8" w:rsidRPr="00362F5D" w:rsidRDefault="00F52BE8" w:rsidP="00A8630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6594037B" w14:textId="77777777" w:rsidR="00F52BE8" w:rsidRPr="00362F5D" w:rsidRDefault="00F52BE8" w:rsidP="00A86302">
            <w:pPr>
              <w:rPr>
                <w:rFonts w:cs="Arial"/>
                <w:b/>
                <w:bCs/>
              </w:rPr>
            </w:pPr>
          </w:p>
        </w:tc>
      </w:tr>
      <w:tr w:rsidR="00F52BE8" w:rsidRPr="00362F5D" w14:paraId="346A22BF" w14:textId="77777777" w:rsidTr="00A86302">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616A0905" w14:textId="77777777" w:rsidR="00F52BE8" w:rsidRPr="00362F5D" w:rsidRDefault="00F52BE8" w:rsidP="00A86302">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3BE8E3C0" w14:textId="77777777" w:rsidR="00F52BE8" w:rsidRPr="00362F5D" w:rsidRDefault="00F52BE8" w:rsidP="00A86302">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0761BE8" w14:textId="77777777" w:rsidR="00F52BE8" w:rsidRPr="00362F5D" w:rsidRDefault="00F52BE8" w:rsidP="00A86302">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7E198757" w14:textId="77777777" w:rsidR="00F52BE8" w:rsidRPr="00362F5D" w:rsidRDefault="00F52BE8" w:rsidP="00A86302">
            <w:pPr>
              <w:jc w:val="center"/>
              <w:rPr>
                <w:rFonts w:cs="Arial"/>
                <w:b/>
                <w:bCs/>
              </w:rPr>
            </w:pPr>
            <w:r w:rsidRPr="00362F5D">
              <w:rPr>
                <w:rFonts w:cs="Arial"/>
                <w:b/>
                <w:bCs/>
              </w:rPr>
              <w:t>&gt; € 43 million</w:t>
            </w:r>
          </w:p>
        </w:tc>
      </w:tr>
    </w:tbl>
    <w:p w14:paraId="66C3C2E4" w14:textId="77777777" w:rsidR="00F52BE8" w:rsidRDefault="00F52BE8" w:rsidP="00F52BE8">
      <w:pPr>
        <w:rPr>
          <w:rFonts w:cs="Arial"/>
          <w:szCs w:val="24"/>
        </w:rPr>
      </w:pPr>
    </w:p>
    <w:p w14:paraId="7F1885EF"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56D75F9B" w14:textId="77777777" w:rsidTr="00A86302">
        <w:trPr>
          <w:trHeight w:val="454"/>
        </w:trPr>
        <w:tc>
          <w:tcPr>
            <w:tcW w:w="8528" w:type="dxa"/>
            <w:shd w:val="clear" w:color="auto" w:fill="99CCFF"/>
          </w:tcPr>
          <w:p w14:paraId="6AD70B3F" w14:textId="77777777" w:rsidR="00F52BE8" w:rsidRPr="0036077E" w:rsidRDefault="00F52BE8" w:rsidP="00A86302">
            <w:pPr>
              <w:rPr>
                <w:rFonts w:cs="Arial"/>
                <w:b/>
                <w:sz w:val="28"/>
                <w:szCs w:val="28"/>
              </w:rPr>
            </w:pPr>
            <w:r w:rsidRPr="0036077E">
              <w:rPr>
                <w:rFonts w:cs="Arial"/>
                <w:b/>
                <w:sz w:val="28"/>
                <w:szCs w:val="28"/>
              </w:rPr>
              <w:t>2.1 Background to the project</w:t>
            </w:r>
          </w:p>
        </w:tc>
      </w:tr>
      <w:tr w:rsidR="00F52BE8" w:rsidRPr="0036077E" w14:paraId="142A3A02" w14:textId="77777777" w:rsidTr="00A86302">
        <w:trPr>
          <w:trHeight w:val="760"/>
        </w:trPr>
        <w:tc>
          <w:tcPr>
            <w:tcW w:w="8528" w:type="dxa"/>
            <w:tcBorders>
              <w:bottom w:val="single" w:sz="4" w:space="0" w:color="auto"/>
            </w:tcBorders>
            <w:shd w:val="clear" w:color="auto" w:fill="auto"/>
          </w:tcPr>
          <w:p w14:paraId="626569DB" w14:textId="32990D2B" w:rsidR="008F388B" w:rsidRDefault="004B6F8D" w:rsidP="00A8697E">
            <w:pPr>
              <w:ind w:left="360"/>
              <w:rPr>
                <w:rFonts w:cs="Arial"/>
                <w:sz w:val="22"/>
                <w:szCs w:val="22"/>
              </w:rPr>
            </w:pPr>
            <w:r w:rsidRPr="004B6F8D">
              <w:rPr>
                <w:rFonts w:cs="Arial"/>
                <w:sz w:val="22"/>
                <w:szCs w:val="22"/>
              </w:rPr>
              <w:t xml:space="preserve">Network Rail operates under its network licence, which requires it to comply with the licence conditions set in the public interest. These licence conditions underpin our approach to holding Network Rail to account and in monitoring and assessing compliance. </w:t>
            </w:r>
            <w:r>
              <w:rPr>
                <w:rFonts w:cs="Arial"/>
                <w:sz w:val="22"/>
                <w:szCs w:val="22"/>
              </w:rPr>
              <w:t>One of the</w:t>
            </w:r>
            <w:r w:rsidRPr="004B6F8D">
              <w:rPr>
                <w:rFonts w:cs="Arial"/>
                <w:sz w:val="22"/>
                <w:szCs w:val="22"/>
              </w:rPr>
              <w:t xml:space="preserve"> core obligati</w:t>
            </w:r>
            <w:r>
              <w:rPr>
                <w:rFonts w:cs="Arial"/>
                <w:sz w:val="22"/>
                <w:szCs w:val="22"/>
              </w:rPr>
              <w:t xml:space="preserve">ons within the licence, relates to </w:t>
            </w:r>
            <w:r w:rsidRPr="004B6F8D">
              <w:rPr>
                <w:rFonts w:cs="Arial"/>
                <w:sz w:val="22"/>
                <w:szCs w:val="22"/>
              </w:rPr>
              <w:t>securing the operation, maintenance, renewal and enhancement of the network in order to satisfy the reasonable requiremen</w:t>
            </w:r>
            <w:r>
              <w:rPr>
                <w:rFonts w:cs="Arial"/>
                <w:sz w:val="22"/>
                <w:szCs w:val="22"/>
              </w:rPr>
              <w:t xml:space="preserve">ts </w:t>
            </w:r>
            <w:r w:rsidR="002F1450">
              <w:rPr>
                <w:rFonts w:cs="Arial"/>
                <w:sz w:val="22"/>
                <w:szCs w:val="22"/>
              </w:rPr>
              <w:t xml:space="preserve">(balancing </w:t>
            </w:r>
            <w:r w:rsidR="002F1450" w:rsidRPr="002F1450">
              <w:rPr>
                <w:rFonts w:cs="Arial"/>
                <w:sz w:val="22"/>
                <w:szCs w:val="22"/>
              </w:rPr>
              <w:t>condition/performance/demand/risk/criticality/cost</w:t>
            </w:r>
            <w:r w:rsidR="002F1450">
              <w:rPr>
                <w:rFonts w:cs="Arial"/>
                <w:sz w:val="22"/>
                <w:szCs w:val="22"/>
              </w:rPr>
              <w:t>)</w:t>
            </w:r>
            <w:r w:rsidR="002F1450" w:rsidRPr="002F1450">
              <w:rPr>
                <w:rFonts w:cs="Arial"/>
                <w:sz w:val="22"/>
                <w:szCs w:val="22"/>
              </w:rPr>
              <w:t xml:space="preserve"> </w:t>
            </w:r>
            <w:r>
              <w:rPr>
                <w:rFonts w:cs="Arial"/>
                <w:sz w:val="22"/>
                <w:szCs w:val="22"/>
              </w:rPr>
              <w:t xml:space="preserve">of its customers and funders. </w:t>
            </w:r>
          </w:p>
          <w:p w14:paraId="3BC34D80" w14:textId="377D51C4" w:rsidR="004B6F8D" w:rsidRDefault="004B6F8D" w:rsidP="00A8697E">
            <w:pPr>
              <w:ind w:left="360"/>
              <w:rPr>
                <w:rFonts w:cs="Arial"/>
                <w:sz w:val="22"/>
                <w:szCs w:val="22"/>
              </w:rPr>
            </w:pPr>
            <w:r w:rsidRPr="008F388B">
              <w:rPr>
                <w:rFonts w:cs="Arial"/>
                <w:sz w:val="22"/>
                <w:szCs w:val="22"/>
              </w:rPr>
              <w:t xml:space="preserve">A key area of </w:t>
            </w:r>
            <w:r w:rsidR="00235E4D">
              <w:rPr>
                <w:rFonts w:cs="Arial"/>
                <w:sz w:val="22"/>
                <w:szCs w:val="22"/>
              </w:rPr>
              <w:t>our</w:t>
            </w:r>
            <w:r w:rsidRPr="008F388B">
              <w:rPr>
                <w:rFonts w:cs="Arial"/>
                <w:sz w:val="22"/>
                <w:szCs w:val="22"/>
              </w:rPr>
              <w:t xml:space="preserve"> focus is</w:t>
            </w:r>
            <w:r w:rsidR="00204C0E">
              <w:rPr>
                <w:rFonts w:cs="Arial"/>
                <w:sz w:val="22"/>
                <w:szCs w:val="22"/>
              </w:rPr>
              <w:t xml:space="preserve"> Network Rail management of</w:t>
            </w:r>
            <w:r w:rsidRPr="008F388B">
              <w:rPr>
                <w:rFonts w:cs="Arial"/>
                <w:sz w:val="22"/>
                <w:szCs w:val="22"/>
              </w:rPr>
              <w:t xml:space="preserve"> </w:t>
            </w:r>
            <w:r w:rsidR="008F388B" w:rsidRPr="008F388B">
              <w:rPr>
                <w:rFonts w:cs="Arial"/>
                <w:sz w:val="22"/>
                <w:szCs w:val="22"/>
              </w:rPr>
              <w:t>network</w:t>
            </w:r>
            <w:r w:rsidRPr="008F388B">
              <w:rPr>
                <w:rFonts w:cs="Arial"/>
                <w:sz w:val="22"/>
                <w:szCs w:val="22"/>
              </w:rPr>
              <w:t xml:space="preserve"> sustainability</w:t>
            </w:r>
            <w:r w:rsidR="008F388B" w:rsidRPr="008F388B">
              <w:rPr>
                <w:rFonts w:cs="Arial"/>
                <w:sz w:val="22"/>
                <w:szCs w:val="22"/>
              </w:rPr>
              <w:t>,</w:t>
            </w:r>
            <w:r w:rsidRPr="008F388B">
              <w:rPr>
                <w:rFonts w:cs="Arial"/>
                <w:sz w:val="22"/>
                <w:szCs w:val="22"/>
              </w:rPr>
              <w:t xml:space="preserve"> which </w:t>
            </w:r>
            <w:r w:rsidR="008F388B">
              <w:rPr>
                <w:rFonts w:cs="Arial"/>
                <w:sz w:val="22"/>
                <w:szCs w:val="22"/>
              </w:rPr>
              <w:t>ORR</w:t>
            </w:r>
            <w:r w:rsidRPr="008F388B">
              <w:rPr>
                <w:rFonts w:cs="Arial"/>
                <w:sz w:val="22"/>
                <w:szCs w:val="22"/>
              </w:rPr>
              <w:t xml:space="preserve"> define</w:t>
            </w:r>
            <w:r w:rsidR="008F388B">
              <w:rPr>
                <w:rFonts w:cs="Arial"/>
                <w:sz w:val="22"/>
                <w:szCs w:val="22"/>
              </w:rPr>
              <w:t>s</w:t>
            </w:r>
            <w:r w:rsidRPr="008F388B">
              <w:rPr>
                <w:rFonts w:cs="Arial"/>
                <w:sz w:val="22"/>
                <w:szCs w:val="22"/>
              </w:rPr>
              <w:t xml:space="preserve"> as</w:t>
            </w:r>
            <w:r w:rsidR="008F388B" w:rsidRPr="008F388B">
              <w:rPr>
                <w:rFonts w:cs="Arial"/>
                <w:sz w:val="22"/>
                <w:szCs w:val="22"/>
              </w:rPr>
              <w:t>:</w:t>
            </w:r>
          </w:p>
          <w:p w14:paraId="4473CB6B" w14:textId="4493B414" w:rsidR="004B6F8D" w:rsidRPr="00A8697E" w:rsidRDefault="004B6F8D" w:rsidP="00A8697E">
            <w:pPr>
              <w:ind w:left="360"/>
              <w:rPr>
                <w:rFonts w:cs="Arial"/>
                <w:i/>
                <w:sz w:val="22"/>
                <w:szCs w:val="22"/>
              </w:rPr>
            </w:pPr>
            <w:r w:rsidRPr="00A8697E">
              <w:rPr>
                <w:rFonts w:cs="Arial"/>
                <w:i/>
                <w:sz w:val="22"/>
                <w:szCs w:val="22"/>
              </w:rPr>
              <w:t>Delivering sufficient renewals to counter the ongoing deterioration of network assets through ageing and wear-out in order to protect the interests of future users and funders.</w:t>
            </w:r>
          </w:p>
          <w:p w14:paraId="294F9D5E" w14:textId="77777777" w:rsidR="005532ED" w:rsidRPr="004B6F8D" w:rsidRDefault="005532ED" w:rsidP="00A8697E">
            <w:pPr>
              <w:ind w:left="360"/>
              <w:rPr>
                <w:rFonts w:cs="Arial"/>
                <w:sz w:val="22"/>
                <w:szCs w:val="22"/>
              </w:rPr>
            </w:pPr>
            <w:r w:rsidRPr="004B6F8D">
              <w:rPr>
                <w:rFonts w:cs="Arial"/>
                <w:sz w:val="22"/>
                <w:szCs w:val="22"/>
              </w:rPr>
              <w:t xml:space="preserve">In our </w:t>
            </w:r>
            <w:r w:rsidR="00711801" w:rsidRPr="004B6F8D">
              <w:rPr>
                <w:rFonts w:cs="Arial"/>
                <w:sz w:val="22"/>
                <w:szCs w:val="22"/>
              </w:rPr>
              <w:t>2018 periodic review final determination Supplementary document: Scorecards and requirements</w:t>
            </w:r>
            <w:r w:rsidRPr="004B6F8D">
              <w:rPr>
                <w:rFonts w:cs="Arial"/>
                <w:sz w:val="22"/>
                <w:szCs w:val="22"/>
              </w:rPr>
              <w:t xml:space="preserve"> </w:t>
            </w:r>
            <w:r w:rsidR="00235E4D" w:rsidRPr="00235E4D">
              <w:rPr>
                <w:rFonts w:cs="Arial"/>
                <w:sz w:val="22"/>
                <w:szCs w:val="22"/>
              </w:rPr>
              <w:t>we highlighted that understanding network sustainability essentially involves an assessment of the life left in the assets.</w:t>
            </w:r>
            <w:hyperlink r:id="rId10" w:history="1">
              <w:r w:rsidRPr="00A8697E">
                <w:t>https://orr.gov.uk/__data/assets/pdf_file/0019/39313/pr18-final-determination-scorecards-and-requirements.pdf</w:t>
              </w:r>
            </w:hyperlink>
            <w:r w:rsidRPr="004B6F8D">
              <w:rPr>
                <w:rFonts w:cs="Arial"/>
                <w:sz w:val="22"/>
                <w:szCs w:val="22"/>
              </w:rPr>
              <w:t xml:space="preserve"> </w:t>
            </w:r>
          </w:p>
          <w:p w14:paraId="6E54DC4A" w14:textId="77777777" w:rsidR="005532ED" w:rsidRDefault="005532ED">
            <w:pPr>
              <w:ind w:left="360"/>
              <w:rPr>
                <w:rFonts w:cs="Arial"/>
                <w:sz w:val="22"/>
                <w:szCs w:val="22"/>
              </w:rPr>
            </w:pPr>
            <w:r w:rsidRPr="005532ED">
              <w:rPr>
                <w:rFonts w:cs="Arial"/>
                <w:sz w:val="22"/>
                <w:szCs w:val="22"/>
              </w:rPr>
              <w:t xml:space="preserve">Because of the importance of network sustainability, we wanted a consistent </w:t>
            </w:r>
            <w:r w:rsidR="00BA52C1">
              <w:rPr>
                <w:rFonts w:cs="Arial"/>
                <w:sz w:val="22"/>
                <w:szCs w:val="22"/>
              </w:rPr>
              <w:t>scorecard</w:t>
            </w:r>
            <w:r w:rsidR="00DC4564" w:rsidRPr="00A8697E">
              <w:footnoteReference w:id="1"/>
            </w:r>
            <w:r w:rsidR="00BA52C1">
              <w:rPr>
                <w:rFonts w:cs="Arial"/>
                <w:sz w:val="22"/>
                <w:szCs w:val="22"/>
              </w:rPr>
              <w:t xml:space="preserve"> </w:t>
            </w:r>
            <w:r w:rsidRPr="005532ED">
              <w:rPr>
                <w:rFonts w:cs="Arial"/>
                <w:sz w:val="22"/>
                <w:szCs w:val="22"/>
              </w:rPr>
              <w:t xml:space="preserve">measure for sustainability </w:t>
            </w:r>
            <w:r w:rsidR="00BA52C1">
              <w:rPr>
                <w:rFonts w:cs="Arial"/>
                <w:sz w:val="22"/>
                <w:szCs w:val="22"/>
              </w:rPr>
              <w:t xml:space="preserve">- </w:t>
            </w:r>
            <w:r w:rsidR="00BA52C1" w:rsidRPr="00BA52C1">
              <w:rPr>
                <w:rFonts w:cs="Arial"/>
                <w:sz w:val="22"/>
                <w:szCs w:val="22"/>
              </w:rPr>
              <w:t xml:space="preserve">Composite Sustainability Index </w:t>
            </w:r>
            <w:r w:rsidR="00BA52C1">
              <w:rPr>
                <w:rFonts w:cs="Arial"/>
                <w:sz w:val="22"/>
                <w:szCs w:val="22"/>
              </w:rPr>
              <w:t>(</w:t>
            </w:r>
            <w:r w:rsidR="00BA52C1" w:rsidRPr="00BA52C1">
              <w:rPr>
                <w:rFonts w:cs="Arial"/>
                <w:sz w:val="22"/>
                <w:szCs w:val="22"/>
              </w:rPr>
              <w:t>CSI</w:t>
            </w:r>
            <w:r w:rsidR="00BA52C1">
              <w:rPr>
                <w:rFonts w:cs="Arial"/>
                <w:sz w:val="22"/>
                <w:szCs w:val="22"/>
              </w:rPr>
              <w:t>)</w:t>
            </w:r>
            <w:r w:rsidR="00BA52C1" w:rsidRPr="00BA52C1">
              <w:rPr>
                <w:rFonts w:cs="Arial"/>
                <w:sz w:val="22"/>
                <w:szCs w:val="22"/>
              </w:rPr>
              <w:t xml:space="preserve"> </w:t>
            </w:r>
            <w:r w:rsidR="00235E4D">
              <w:rPr>
                <w:rFonts w:cs="Arial"/>
                <w:sz w:val="22"/>
                <w:szCs w:val="22"/>
              </w:rPr>
              <w:t xml:space="preserve">was developed in 2014 </w:t>
            </w:r>
            <w:r w:rsidR="00BA52C1">
              <w:rPr>
                <w:rFonts w:cs="Arial"/>
                <w:sz w:val="22"/>
                <w:szCs w:val="22"/>
              </w:rPr>
              <w:t>to</w:t>
            </w:r>
            <w:r w:rsidRPr="005532ED">
              <w:rPr>
                <w:rFonts w:cs="Arial"/>
                <w:sz w:val="22"/>
                <w:szCs w:val="22"/>
              </w:rPr>
              <w:t xml:space="preserve"> help maintain focus on network sustainability.</w:t>
            </w:r>
            <w:r w:rsidR="00235E4D">
              <w:rPr>
                <w:rFonts w:cs="Arial"/>
                <w:sz w:val="22"/>
                <w:szCs w:val="22"/>
              </w:rPr>
              <w:t xml:space="preserve"> CSI being used in CP5 and again in CP6</w:t>
            </w:r>
            <w:r w:rsidR="007C33DF">
              <w:rPr>
                <w:rFonts w:cs="Arial"/>
                <w:sz w:val="22"/>
                <w:szCs w:val="22"/>
              </w:rPr>
              <w:t xml:space="preserve"> as one of the tools available to us to not only track Network Rail performance but also to model future asset condition based on various funding scenarios</w:t>
            </w:r>
            <w:r>
              <w:rPr>
                <w:rFonts w:cs="Arial"/>
                <w:sz w:val="22"/>
                <w:szCs w:val="22"/>
              </w:rPr>
              <w:t>.</w:t>
            </w:r>
          </w:p>
          <w:p w14:paraId="4893E51D" w14:textId="027218F7" w:rsidR="00711801" w:rsidRDefault="005532ED">
            <w:pPr>
              <w:ind w:left="360"/>
              <w:rPr>
                <w:rFonts w:cs="Arial"/>
                <w:sz w:val="22"/>
                <w:szCs w:val="22"/>
              </w:rPr>
            </w:pPr>
            <w:r w:rsidRPr="005532ED">
              <w:rPr>
                <w:rFonts w:cs="Arial"/>
                <w:sz w:val="22"/>
                <w:szCs w:val="22"/>
              </w:rPr>
              <w:t xml:space="preserve">We noted that CSI </w:t>
            </w:r>
            <w:r>
              <w:rPr>
                <w:rFonts w:cs="Arial"/>
                <w:sz w:val="22"/>
                <w:szCs w:val="22"/>
              </w:rPr>
              <w:t>at the time of the determination was</w:t>
            </w:r>
            <w:r w:rsidRPr="005532ED">
              <w:rPr>
                <w:rFonts w:cs="Arial"/>
                <w:sz w:val="22"/>
                <w:szCs w:val="22"/>
              </w:rPr>
              <w:t xml:space="preserve"> the best available measure of n</w:t>
            </w:r>
            <w:r>
              <w:rPr>
                <w:rFonts w:cs="Arial"/>
                <w:sz w:val="22"/>
                <w:szCs w:val="22"/>
              </w:rPr>
              <w:t xml:space="preserve">etwork sustainability available to us, and </w:t>
            </w:r>
            <w:r w:rsidR="00BA52C1">
              <w:rPr>
                <w:rFonts w:cs="Arial"/>
                <w:sz w:val="22"/>
                <w:szCs w:val="22"/>
              </w:rPr>
              <w:t>that it was</w:t>
            </w:r>
            <w:r>
              <w:rPr>
                <w:rFonts w:cs="Arial"/>
                <w:sz w:val="22"/>
                <w:szCs w:val="22"/>
              </w:rPr>
              <w:t xml:space="preserve"> a </w:t>
            </w:r>
            <w:r w:rsidRPr="005532ED">
              <w:rPr>
                <w:rFonts w:cs="Arial"/>
                <w:sz w:val="22"/>
                <w:szCs w:val="22"/>
              </w:rPr>
              <w:t>useful part of the overall evidence available on asset sustainability</w:t>
            </w:r>
            <w:r>
              <w:rPr>
                <w:rFonts w:cs="Arial"/>
                <w:sz w:val="22"/>
                <w:szCs w:val="22"/>
              </w:rPr>
              <w:t xml:space="preserve">. </w:t>
            </w:r>
            <w:r w:rsidRPr="005532ED">
              <w:rPr>
                <w:rFonts w:cs="Arial"/>
                <w:sz w:val="22"/>
                <w:szCs w:val="22"/>
              </w:rPr>
              <w:t xml:space="preserve">We </w:t>
            </w:r>
            <w:r w:rsidR="00204C0E">
              <w:rPr>
                <w:rFonts w:cs="Arial"/>
                <w:sz w:val="22"/>
                <w:szCs w:val="22"/>
              </w:rPr>
              <w:t xml:space="preserve">however </w:t>
            </w:r>
            <w:r w:rsidRPr="005532ED">
              <w:rPr>
                <w:rFonts w:cs="Arial"/>
                <w:sz w:val="22"/>
                <w:szCs w:val="22"/>
              </w:rPr>
              <w:t xml:space="preserve">recognised that the CSI measure </w:t>
            </w:r>
            <w:r w:rsidR="00204C0E">
              <w:rPr>
                <w:rFonts w:cs="Arial"/>
                <w:sz w:val="22"/>
                <w:szCs w:val="22"/>
              </w:rPr>
              <w:t>had</w:t>
            </w:r>
            <w:r>
              <w:rPr>
                <w:rFonts w:cs="Arial"/>
                <w:sz w:val="22"/>
                <w:szCs w:val="22"/>
              </w:rPr>
              <w:t xml:space="preserve"> some limitations, in that </w:t>
            </w:r>
            <w:r w:rsidRPr="005532ED">
              <w:rPr>
                <w:rFonts w:cs="Arial"/>
                <w:sz w:val="22"/>
                <w:szCs w:val="22"/>
              </w:rPr>
              <w:t>it does not encompass all assets or all their attributes. Rat</w:t>
            </w:r>
            <w:r>
              <w:rPr>
                <w:rFonts w:cs="Arial"/>
                <w:sz w:val="22"/>
                <w:szCs w:val="22"/>
              </w:rPr>
              <w:t xml:space="preserve">her, it takes a </w:t>
            </w:r>
            <w:r w:rsidRPr="005532ED">
              <w:rPr>
                <w:rFonts w:cs="Arial"/>
                <w:sz w:val="22"/>
                <w:szCs w:val="22"/>
              </w:rPr>
              <w:t>representative sample on the basis that assets not in</w:t>
            </w:r>
            <w:r>
              <w:rPr>
                <w:rFonts w:cs="Arial"/>
                <w:sz w:val="22"/>
                <w:szCs w:val="22"/>
              </w:rPr>
              <w:t xml:space="preserve">cluded in the model would be in </w:t>
            </w:r>
            <w:r w:rsidRPr="005532ED">
              <w:rPr>
                <w:rFonts w:cs="Arial"/>
                <w:sz w:val="22"/>
                <w:szCs w:val="22"/>
              </w:rPr>
              <w:t xml:space="preserve">a similar condition and treated the same as the ones included. </w:t>
            </w:r>
          </w:p>
          <w:p w14:paraId="6CC96878" w14:textId="77777777" w:rsidR="00BA52C1" w:rsidRDefault="00BA52C1">
            <w:pPr>
              <w:ind w:left="360"/>
              <w:rPr>
                <w:rFonts w:cs="Arial"/>
                <w:sz w:val="22"/>
                <w:szCs w:val="22"/>
              </w:rPr>
            </w:pPr>
            <w:r w:rsidRPr="00BA52C1">
              <w:rPr>
                <w:rFonts w:cs="Arial"/>
                <w:sz w:val="22"/>
                <w:szCs w:val="22"/>
              </w:rPr>
              <w:t xml:space="preserve">CSI provides </w:t>
            </w:r>
            <w:r w:rsidR="007C33DF">
              <w:rPr>
                <w:rFonts w:cs="Arial"/>
                <w:sz w:val="22"/>
                <w:szCs w:val="22"/>
              </w:rPr>
              <w:t>one</w:t>
            </w:r>
            <w:r w:rsidRPr="00BA52C1">
              <w:rPr>
                <w:rFonts w:cs="Arial"/>
                <w:sz w:val="22"/>
                <w:szCs w:val="22"/>
              </w:rPr>
              <w:t xml:space="preserve"> view of longer-term patterns of</w:t>
            </w:r>
            <w:r>
              <w:rPr>
                <w:rFonts w:cs="Arial"/>
                <w:sz w:val="22"/>
                <w:szCs w:val="22"/>
              </w:rPr>
              <w:t xml:space="preserve"> change beyond a single control </w:t>
            </w:r>
            <w:r w:rsidRPr="00BA52C1">
              <w:rPr>
                <w:rFonts w:cs="Arial"/>
                <w:sz w:val="22"/>
                <w:szCs w:val="22"/>
              </w:rPr>
              <w:t>period and allows a perspective to be take</w:t>
            </w:r>
            <w:r>
              <w:rPr>
                <w:rFonts w:cs="Arial"/>
                <w:sz w:val="22"/>
                <w:szCs w:val="22"/>
              </w:rPr>
              <w:t xml:space="preserve">n on the longer-term impacts of </w:t>
            </w:r>
            <w:r w:rsidRPr="00BA52C1">
              <w:rPr>
                <w:rFonts w:cs="Arial"/>
                <w:sz w:val="22"/>
                <w:szCs w:val="22"/>
              </w:rPr>
              <w:t>Network Rail’s plans. Beyond this assessment, the m</w:t>
            </w:r>
            <w:r>
              <w:rPr>
                <w:rFonts w:cs="Arial"/>
                <w:sz w:val="22"/>
                <w:szCs w:val="22"/>
              </w:rPr>
              <w:t xml:space="preserve">ost meaningful indicator of how </w:t>
            </w:r>
            <w:r w:rsidRPr="00BA52C1">
              <w:rPr>
                <w:rFonts w:cs="Arial"/>
                <w:sz w:val="22"/>
                <w:szCs w:val="22"/>
              </w:rPr>
              <w:t>well Network Rail is delivering asset sustainability, i</w:t>
            </w:r>
            <w:r>
              <w:rPr>
                <w:rFonts w:cs="Arial"/>
                <w:sz w:val="22"/>
                <w:szCs w:val="22"/>
              </w:rPr>
              <w:t xml:space="preserve">s how well its renewals plan is </w:t>
            </w:r>
            <w:r w:rsidRPr="00BA52C1">
              <w:rPr>
                <w:rFonts w:cs="Arial"/>
                <w:sz w:val="22"/>
                <w:szCs w:val="22"/>
              </w:rPr>
              <w:t>delivered and how this compares with its original plan</w:t>
            </w:r>
            <w:r>
              <w:rPr>
                <w:rFonts w:cs="Arial"/>
                <w:sz w:val="22"/>
                <w:szCs w:val="22"/>
              </w:rPr>
              <w:t xml:space="preserve"> along with how well the asset are performing their operational requirements.</w:t>
            </w:r>
          </w:p>
          <w:p w14:paraId="05B9A2C2" w14:textId="77777777" w:rsidR="004B6F8D" w:rsidRDefault="004B6F8D">
            <w:pPr>
              <w:ind w:left="360"/>
              <w:rPr>
                <w:rFonts w:cs="Arial"/>
                <w:sz w:val="22"/>
                <w:szCs w:val="22"/>
              </w:rPr>
            </w:pPr>
            <w:r>
              <w:rPr>
                <w:rFonts w:cs="Arial"/>
                <w:sz w:val="22"/>
                <w:szCs w:val="22"/>
              </w:rPr>
              <w:t xml:space="preserve">Further information on CSI and how it was used within the determination process can also be found at </w:t>
            </w:r>
            <w:hyperlink r:id="rId11" w:history="1">
              <w:r w:rsidRPr="00A8697E">
                <w:t>https://orr.gov.uk/rail/economic-</w:t>
              </w:r>
              <w:r w:rsidRPr="00A8697E">
                <w:lastRenderedPageBreak/>
                <w:t>regulation/regulation-of-network-rail/price-controls/periodic-review-2018/publications/final-determination</w:t>
              </w:r>
            </w:hyperlink>
          </w:p>
          <w:p w14:paraId="3811DCC5" w14:textId="77777777" w:rsidR="00F52BE8" w:rsidRDefault="004B6F8D">
            <w:pPr>
              <w:ind w:left="360"/>
              <w:rPr>
                <w:rFonts w:cs="Arial"/>
                <w:sz w:val="22"/>
                <w:szCs w:val="22"/>
              </w:rPr>
            </w:pPr>
            <w:r w:rsidRPr="004B6F8D">
              <w:rPr>
                <w:rFonts w:cs="Arial"/>
                <w:sz w:val="22"/>
                <w:szCs w:val="22"/>
              </w:rPr>
              <w:t>In adva</w:t>
            </w:r>
            <w:r w:rsidR="007C33DF">
              <w:rPr>
                <w:rFonts w:cs="Arial"/>
                <w:sz w:val="22"/>
                <w:szCs w:val="22"/>
              </w:rPr>
              <w:t>nce of our next periodic review</w:t>
            </w:r>
            <w:r w:rsidRPr="004B6F8D">
              <w:rPr>
                <w:rFonts w:cs="Arial"/>
                <w:sz w:val="22"/>
                <w:szCs w:val="22"/>
              </w:rPr>
              <w:t xml:space="preserve"> </w:t>
            </w:r>
            <w:r w:rsidR="007C33DF">
              <w:rPr>
                <w:rFonts w:cs="Arial"/>
                <w:sz w:val="22"/>
                <w:szCs w:val="22"/>
              </w:rPr>
              <w:t>(</w:t>
            </w:r>
            <w:r w:rsidRPr="004B6F8D">
              <w:rPr>
                <w:rFonts w:cs="Arial"/>
                <w:sz w:val="22"/>
                <w:szCs w:val="22"/>
              </w:rPr>
              <w:t>PR23</w:t>
            </w:r>
            <w:r w:rsidR="007C33DF">
              <w:rPr>
                <w:rFonts w:cs="Arial"/>
                <w:sz w:val="22"/>
                <w:szCs w:val="22"/>
              </w:rPr>
              <w:t>),</w:t>
            </w:r>
            <w:r w:rsidRPr="004B6F8D">
              <w:rPr>
                <w:rFonts w:cs="Arial"/>
                <w:sz w:val="22"/>
                <w:szCs w:val="22"/>
              </w:rPr>
              <w:t xml:space="preserve"> </w:t>
            </w:r>
            <w:r w:rsidR="007C33DF">
              <w:rPr>
                <w:rFonts w:cs="Arial"/>
                <w:sz w:val="22"/>
                <w:szCs w:val="22"/>
              </w:rPr>
              <w:t>ORR</w:t>
            </w:r>
            <w:r w:rsidRPr="004B6F8D">
              <w:rPr>
                <w:rFonts w:cs="Arial"/>
                <w:sz w:val="22"/>
                <w:szCs w:val="22"/>
              </w:rPr>
              <w:t xml:space="preserve"> wish</w:t>
            </w:r>
            <w:r w:rsidR="007C33DF">
              <w:rPr>
                <w:rFonts w:cs="Arial"/>
                <w:sz w:val="22"/>
                <w:szCs w:val="22"/>
              </w:rPr>
              <w:t>es</w:t>
            </w:r>
            <w:r w:rsidRPr="004B6F8D">
              <w:rPr>
                <w:rFonts w:cs="Arial"/>
                <w:sz w:val="22"/>
                <w:szCs w:val="22"/>
              </w:rPr>
              <w:t xml:space="preserve"> to consider if the use of CSI as the measure of asset sustainability is still the best option open to us, by undertaking research into indicators other industries are using and if these might be applicable. We are also in discussion with Network Rail as to how CSI might be </w:t>
            </w:r>
            <w:r>
              <w:rPr>
                <w:rFonts w:cs="Arial"/>
                <w:sz w:val="22"/>
                <w:szCs w:val="22"/>
              </w:rPr>
              <w:t xml:space="preserve">further </w:t>
            </w:r>
            <w:r w:rsidRPr="004B6F8D">
              <w:rPr>
                <w:rFonts w:cs="Arial"/>
                <w:sz w:val="22"/>
                <w:szCs w:val="22"/>
              </w:rPr>
              <w:t>impr</w:t>
            </w:r>
            <w:r w:rsidR="00204C0E">
              <w:rPr>
                <w:rFonts w:cs="Arial"/>
                <w:sz w:val="22"/>
                <w:szCs w:val="22"/>
              </w:rPr>
              <w:t>oved</w:t>
            </w:r>
            <w:r w:rsidRPr="004B6F8D">
              <w:rPr>
                <w:rFonts w:cs="Arial"/>
                <w:sz w:val="22"/>
                <w:szCs w:val="22"/>
              </w:rPr>
              <w:t xml:space="preserve"> rather than replaced and the outcome of this project may help to inform that discussion.</w:t>
            </w:r>
          </w:p>
          <w:p w14:paraId="08A2E46D" w14:textId="77777777" w:rsidR="002F1450" w:rsidRDefault="002F1450">
            <w:pPr>
              <w:ind w:left="360"/>
              <w:rPr>
                <w:rFonts w:cs="Arial"/>
                <w:sz w:val="22"/>
                <w:szCs w:val="22"/>
              </w:rPr>
            </w:pPr>
            <w:r>
              <w:rPr>
                <w:rFonts w:cs="Arial"/>
                <w:sz w:val="22"/>
                <w:szCs w:val="22"/>
              </w:rPr>
              <w:t>For clarity we wish to</w:t>
            </w:r>
            <w:r w:rsidRPr="002F1450">
              <w:rPr>
                <w:rFonts w:cs="Arial"/>
                <w:sz w:val="22"/>
                <w:szCs w:val="22"/>
              </w:rPr>
              <w:t xml:space="preserve"> avoid NR being a primary focus of this commission</w:t>
            </w:r>
            <w:r w:rsidR="00D0028E">
              <w:rPr>
                <w:rFonts w:cs="Arial"/>
                <w:sz w:val="22"/>
                <w:szCs w:val="22"/>
              </w:rPr>
              <w:t>,</w:t>
            </w:r>
            <w:r w:rsidRPr="002F1450">
              <w:rPr>
                <w:rFonts w:cs="Arial"/>
                <w:sz w:val="22"/>
                <w:szCs w:val="22"/>
              </w:rPr>
              <w:t xml:space="preserve"> rather </w:t>
            </w:r>
            <w:r w:rsidR="00D0028E">
              <w:rPr>
                <w:rFonts w:cs="Arial"/>
                <w:sz w:val="22"/>
                <w:szCs w:val="22"/>
              </w:rPr>
              <w:t>this project should</w:t>
            </w:r>
            <w:r w:rsidRPr="002F1450">
              <w:rPr>
                <w:rFonts w:cs="Arial"/>
                <w:sz w:val="22"/>
                <w:szCs w:val="22"/>
              </w:rPr>
              <w:t xml:space="preserve"> focus on the alternatives out there</w:t>
            </w:r>
          </w:p>
          <w:p w14:paraId="4E8352DB" w14:textId="217DC398" w:rsidR="00913F8B" w:rsidRPr="00913F8B" w:rsidRDefault="00913F8B" w:rsidP="00913F8B">
            <w:pPr>
              <w:ind w:left="360"/>
              <w:rPr>
                <w:rFonts w:cs="Arial"/>
                <w:b/>
                <w:sz w:val="22"/>
                <w:szCs w:val="22"/>
              </w:rPr>
            </w:pPr>
            <w:r w:rsidRPr="00913F8B">
              <w:rPr>
                <w:rFonts w:cs="Arial"/>
                <w:b/>
                <w:sz w:val="22"/>
                <w:szCs w:val="22"/>
              </w:rPr>
              <w:t>Background information on CSI measure</w:t>
            </w:r>
          </w:p>
          <w:p w14:paraId="6C2A3AF6" w14:textId="0966F9A1" w:rsidR="00913F8B" w:rsidRDefault="00913F8B" w:rsidP="00913F8B">
            <w:pPr>
              <w:ind w:left="360"/>
              <w:rPr>
                <w:rFonts w:cs="Arial"/>
                <w:sz w:val="22"/>
                <w:szCs w:val="22"/>
              </w:rPr>
            </w:pPr>
            <w:r w:rsidRPr="00DE5080">
              <w:rPr>
                <w:rFonts w:cs="Arial"/>
                <w:sz w:val="22"/>
                <w:szCs w:val="22"/>
              </w:rPr>
              <w:t>Before the start of CP5</w:t>
            </w:r>
            <w:r>
              <w:rPr>
                <w:rFonts w:cs="Arial"/>
                <w:sz w:val="22"/>
                <w:szCs w:val="22"/>
              </w:rPr>
              <w:t xml:space="preserve"> (2014)</w:t>
            </w:r>
            <w:r w:rsidRPr="00DE5080">
              <w:rPr>
                <w:rFonts w:cs="Arial"/>
                <w:sz w:val="22"/>
                <w:szCs w:val="22"/>
              </w:rPr>
              <w:t xml:space="preserve">, a </w:t>
            </w:r>
            <w:r>
              <w:rPr>
                <w:rFonts w:cs="Arial"/>
                <w:sz w:val="22"/>
                <w:szCs w:val="22"/>
              </w:rPr>
              <w:t xml:space="preserve">new </w:t>
            </w:r>
            <w:r w:rsidRPr="00DE5080">
              <w:rPr>
                <w:rFonts w:cs="Arial"/>
                <w:sz w:val="22"/>
                <w:szCs w:val="22"/>
              </w:rPr>
              <w:t xml:space="preserve">sustainability measures </w:t>
            </w:r>
            <w:r>
              <w:rPr>
                <w:rFonts w:cs="Arial"/>
                <w:sz w:val="22"/>
                <w:szCs w:val="22"/>
              </w:rPr>
              <w:t xml:space="preserve">– Composite Sustainability Index (CSI) </w:t>
            </w:r>
            <w:r w:rsidRPr="00DE5080">
              <w:rPr>
                <w:rFonts w:cs="Arial"/>
                <w:sz w:val="22"/>
                <w:szCs w:val="22"/>
              </w:rPr>
              <w:t xml:space="preserve">was developed that monitored changing patterns of asset life and some aspects of asset performance and risk. </w:t>
            </w:r>
            <w:r w:rsidRPr="007C33DF">
              <w:rPr>
                <w:rFonts w:cs="Arial"/>
                <w:sz w:val="22"/>
                <w:szCs w:val="22"/>
              </w:rPr>
              <w:t>See Appendix A for further details of the CSI methodology</w:t>
            </w:r>
            <w:r>
              <w:rPr>
                <w:rFonts w:cs="Arial"/>
                <w:sz w:val="22"/>
                <w:szCs w:val="22"/>
              </w:rPr>
              <w:t>.</w:t>
            </w:r>
            <w:r w:rsidRPr="007C33DF">
              <w:rPr>
                <w:rFonts w:cs="Arial"/>
                <w:sz w:val="22"/>
                <w:szCs w:val="22"/>
              </w:rPr>
              <w:t xml:space="preserve"> </w:t>
            </w:r>
            <w:r w:rsidRPr="00DE5080">
              <w:rPr>
                <w:rFonts w:cs="Arial"/>
                <w:sz w:val="22"/>
                <w:szCs w:val="22"/>
              </w:rPr>
              <w:t>This measure uses models that tracked changing asset life by modelling patterns of degradation and improvement from interventions. The models are re-run annually using updated survey and work records.</w:t>
            </w:r>
          </w:p>
          <w:p w14:paraId="2B24E4B5" w14:textId="77777777" w:rsidR="00913F8B" w:rsidRDefault="00913F8B" w:rsidP="00913F8B">
            <w:pPr>
              <w:ind w:left="360"/>
              <w:rPr>
                <w:rFonts w:cs="Arial"/>
                <w:sz w:val="22"/>
                <w:szCs w:val="22"/>
              </w:rPr>
            </w:pPr>
            <w:r>
              <w:rPr>
                <w:rFonts w:cs="Arial"/>
                <w:sz w:val="22"/>
                <w:szCs w:val="22"/>
              </w:rPr>
              <w:t xml:space="preserve">CSI as implemented for CP5, did not measure all assets. The </w:t>
            </w:r>
            <w:r w:rsidRPr="00453075">
              <w:rPr>
                <w:rFonts w:cs="Arial"/>
                <w:sz w:val="22"/>
                <w:szCs w:val="22"/>
              </w:rPr>
              <w:t xml:space="preserve">excluded assets </w:t>
            </w:r>
            <w:r>
              <w:rPr>
                <w:rFonts w:cs="Arial"/>
                <w:sz w:val="22"/>
                <w:szCs w:val="22"/>
              </w:rPr>
              <w:t xml:space="preserve">consisting of </w:t>
            </w:r>
            <w:r w:rsidRPr="00453075">
              <w:rPr>
                <w:rFonts w:cs="Arial"/>
                <w:sz w:val="22"/>
                <w:szCs w:val="22"/>
              </w:rPr>
              <w:t>retaining walls, non-station footbridges, coastal &amp; estuarine defences, major structures, culverts, mining, off-track, lineside buildings, MDU/NDS buildings, level crossings, sub-stations, TP hut</w:t>
            </w:r>
            <w:r>
              <w:rPr>
                <w:rFonts w:cs="Arial"/>
                <w:sz w:val="22"/>
                <w:szCs w:val="22"/>
              </w:rPr>
              <w:t xml:space="preserve">s and cables) </w:t>
            </w:r>
            <w:r w:rsidRPr="00453075">
              <w:rPr>
                <w:rFonts w:cs="Arial"/>
                <w:sz w:val="22"/>
                <w:szCs w:val="22"/>
              </w:rPr>
              <w:t xml:space="preserve">make up about 20% of the renewal budget. </w:t>
            </w:r>
          </w:p>
          <w:p w14:paraId="1CC5361B" w14:textId="7C12AD63" w:rsidR="00913F8B" w:rsidRDefault="00913F8B" w:rsidP="00A8697E">
            <w:pPr>
              <w:ind w:left="360"/>
              <w:rPr>
                <w:rFonts w:cs="Arial"/>
                <w:sz w:val="22"/>
                <w:szCs w:val="22"/>
              </w:rPr>
            </w:pPr>
            <w:r>
              <w:rPr>
                <w:rFonts w:cs="Arial"/>
                <w:noProof/>
                <w:sz w:val="22"/>
                <w:szCs w:val="22"/>
                <w:lang w:eastAsia="en-GB"/>
              </w:rPr>
              <w:drawing>
                <wp:inline distT="0" distB="0" distL="0" distR="0" wp14:anchorId="0DFABCEC" wp14:editId="672E70D7">
                  <wp:extent cx="3332620" cy="2498233"/>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7798" cy="2502114"/>
                          </a:xfrm>
                          <a:prstGeom prst="rect">
                            <a:avLst/>
                          </a:prstGeom>
                          <a:noFill/>
                        </pic:spPr>
                      </pic:pic>
                    </a:graphicData>
                  </a:graphic>
                </wp:inline>
              </w:drawing>
            </w:r>
          </w:p>
          <w:p w14:paraId="54B95FD5" w14:textId="77777777" w:rsidR="00913F8B" w:rsidRDefault="00913F8B" w:rsidP="00A8697E">
            <w:pPr>
              <w:ind w:left="360"/>
              <w:rPr>
                <w:rFonts w:cs="Arial"/>
                <w:sz w:val="22"/>
                <w:szCs w:val="22"/>
              </w:rPr>
            </w:pPr>
            <w:r w:rsidRPr="00DE5080">
              <w:rPr>
                <w:rFonts w:cs="Arial"/>
                <w:sz w:val="22"/>
                <w:szCs w:val="22"/>
              </w:rPr>
              <w:t xml:space="preserve">The basis of the calculation </w:t>
            </w:r>
            <w:r>
              <w:rPr>
                <w:rFonts w:cs="Arial"/>
                <w:sz w:val="22"/>
                <w:szCs w:val="22"/>
              </w:rPr>
              <w:t xml:space="preserve">used for CP6 (2019-24) </w:t>
            </w:r>
            <w:r w:rsidRPr="00DE5080">
              <w:rPr>
                <w:rFonts w:cs="Arial"/>
                <w:sz w:val="22"/>
                <w:szCs w:val="22"/>
              </w:rPr>
              <w:t xml:space="preserve">is </w:t>
            </w:r>
            <w:r>
              <w:rPr>
                <w:rFonts w:cs="Arial"/>
                <w:sz w:val="22"/>
                <w:szCs w:val="22"/>
              </w:rPr>
              <w:t xml:space="preserve">broadly </w:t>
            </w:r>
            <w:r w:rsidRPr="00DE5080">
              <w:rPr>
                <w:rFonts w:cs="Arial"/>
                <w:sz w:val="22"/>
                <w:szCs w:val="22"/>
              </w:rPr>
              <w:t>the same</w:t>
            </w:r>
            <w:r>
              <w:rPr>
                <w:rFonts w:cs="Arial"/>
                <w:sz w:val="22"/>
                <w:szCs w:val="22"/>
              </w:rPr>
              <w:t xml:space="preserve"> as the methodology used in CP5</w:t>
            </w:r>
            <w:r w:rsidRPr="00DE5080">
              <w:rPr>
                <w:rFonts w:cs="Arial"/>
                <w:sz w:val="22"/>
                <w:szCs w:val="22"/>
              </w:rPr>
              <w:t xml:space="preserve">. The only difference for CP6 is that three </w:t>
            </w:r>
            <w:r>
              <w:rPr>
                <w:rFonts w:cs="Arial"/>
                <w:sz w:val="22"/>
                <w:szCs w:val="22"/>
              </w:rPr>
              <w:t xml:space="preserve">additional </w:t>
            </w:r>
            <w:r w:rsidRPr="00DE5080">
              <w:rPr>
                <w:rFonts w:cs="Arial"/>
                <w:sz w:val="22"/>
                <w:szCs w:val="22"/>
              </w:rPr>
              <w:t xml:space="preserve">asset groups have been excluded (light maintenance depots, tunnels and drainage) because Network Rails Tier 1 models do not, at present, calculate long-term forecasts. These excluded assets represent &lt;10% of the renewal budget. </w:t>
            </w:r>
          </w:p>
          <w:p w14:paraId="669E46CB" w14:textId="77777777" w:rsidR="00913F8B" w:rsidRDefault="00913F8B" w:rsidP="00A8697E">
            <w:pPr>
              <w:ind w:left="360"/>
              <w:rPr>
                <w:rFonts w:cs="Arial"/>
                <w:sz w:val="22"/>
                <w:szCs w:val="22"/>
              </w:rPr>
            </w:pPr>
            <w:r w:rsidRPr="00453075">
              <w:rPr>
                <w:rFonts w:cs="Arial"/>
                <w:sz w:val="22"/>
                <w:szCs w:val="22"/>
              </w:rPr>
              <w:t>CSI was adopted because of a need to be able to report changes in asset condition in an easily understood scorecard measure</w:t>
            </w:r>
            <w:r>
              <w:rPr>
                <w:rFonts w:cs="Arial"/>
                <w:sz w:val="22"/>
                <w:szCs w:val="22"/>
              </w:rPr>
              <w:t xml:space="preserve"> to inform stakeholders </w:t>
            </w:r>
            <w:r>
              <w:rPr>
                <w:rFonts w:cs="Arial"/>
                <w:sz w:val="22"/>
                <w:szCs w:val="22"/>
              </w:rPr>
              <w:lastRenderedPageBreak/>
              <w:t>and funders and at its introduction was considered at that time an innovative measure</w:t>
            </w:r>
            <w:r w:rsidRPr="00453075">
              <w:rPr>
                <w:rFonts w:cs="Arial"/>
                <w:sz w:val="22"/>
                <w:szCs w:val="22"/>
              </w:rPr>
              <w:t>.</w:t>
            </w:r>
            <w:r>
              <w:rPr>
                <w:rFonts w:cs="Arial"/>
                <w:sz w:val="22"/>
                <w:szCs w:val="22"/>
              </w:rPr>
              <w:t xml:space="preserve"> </w:t>
            </w:r>
          </w:p>
          <w:p w14:paraId="3DA593F7" w14:textId="5E314C8A" w:rsidR="00913F8B" w:rsidRPr="00FE211F" w:rsidRDefault="00913F8B" w:rsidP="00A8697E">
            <w:pPr>
              <w:ind w:left="360"/>
              <w:rPr>
                <w:rFonts w:cs="Arial"/>
                <w:sz w:val="22"/>
                <w:szCs w:val="22"/>
              </w:rPr>
            </w:pPr>
            <w:r>
              <w:rPr>
                <w:rFonts w:cs="Arial"/>
                <w:sz w:val="22"/>
                <w:szCs w:val="22"/>
              </w:rPr>
              <w:t>Where there are homogeneous asset types in an industry then asset deterioration and financial decision of future investments needs, may be relatively easily determined and explained to a non-technical audience. However where there is a diverse asset portfolio, such as railway infrastructure then reporting asset condition and how it might change over time depending of the levels of financial investment is less apparent.</w:t>
            </w:r>
          </w:p>
        </w:tc>
      </w:tr>
      <w:tr w:rsidR="00F52BE8" w:rsidRPr="0036077E" w14:paraId="25C9DAED" w14:textId="77777777" w:rsidTr="00A86302">
        <w:trPr>
          <w:trHeight w:val="371"/>
        </w:trPr>
        <w:tc>
          <w:tcPr>
            <w:tcW w:w="8528" w:type="dxa"/>
            <w:shd w:val="clear" w:color="auto" w:fill="99CCFF"/>
          </w:tcPr>
          <w:p w14:paraId="330018F2" w14:textId="77777777" w:rsidR="00F52BE8" w:rsidRPr="0036077E" w:rsidRDefault="00F52BE8" w:rsidP="00A86302">
            <w:pPr>
              <w:rPr>
                <w:rFonts w:cs="Arial"/>
                <w:b/>
                <w:sz w:val="28"/>
                <w:szCs w:val="28"/>
              </w:rPr>
            </w:pPr>
            <w:r w:rsidRPr="0036077E">
              <w:rPr>
                <w:rFonts w:cs="Arial"/>
                <w:b/>
                <w:sz w:val="28"/>
                <w:szCs w:val="28"/>
              </w:rPr>
              <w:lastRenderedPageBreak/>
              <w:t>2.2 Project Objectives &amp; Scope</w:t>
            </w:r>
          </w:p>
        </w:tc>
      </w:tr>
      <w:tr w:rsidR="00F52BE8" w:rsidRPr="0036077E" w14:paraId="1B811F1A" w14:textId="77777777" w:rsidTr="00A86302">
        <w:trPr>
          <w:trHeight w:val="757"/>
        </w:trPr>
        <w:tc>
          <w:tcPr>
            <w:tcW w:w="8528" w:type="dxa"/>
            <w:tcBorders>
              <w:bottom w:val="single" w:sz="4" w:space="0" w:color="auto"/>
            </w:tcBorders>
            <w:shd w:val="clear" w:color="auto" w:fill="auto"/>
          </w:tcPr>
          <w:p w14:paraId="4BE075DC" w14:textId="1516A0EF" w:rsidR="007D728A" w:rsidRDefault="00711801" w:rsidP="00DE5080">
            <w:pPr>
              <w:rPr>
                <w:rFonts w:cs="Arial"/>
                <w:sz w:val="22"/>
                <w:szCs w:val="22"/>
              </w:rPr>
            </w:pPr>
            <w:r>
              <w:rPr>
                <w:rFonts w:cs="Arial"/>
                <w:sz w:val="22"/>
                <w:szCs w:val="22"/>
              </w:rPr>
              <w:t xml:space="preserve">The project is to </w:t>
            </w:r>
            <w:r w:rsidR="008878C5">
              <w:rPr>
                <w:rFonts w:cs="Arial"/>
                <w:sz w:val="22"/>
                <w:szCs w:val="22"/>
              </w:rPr>
              <w:t xml:space="preserve">help </w:t>
            </w:r>
            <w:r>
              <w:rPr>
                <w:rFonts w:cs="Arial"/>
                <w:sz w:val="22"/>
                <w:szCs w:val="22"/>
              </w:rPr>
              <w:t xml:space="preserve">inform the ORR on current </w:t>
            </w:r>
            <w:r w:rsidR="00492423">
              <w:rPr>
                <w:rFonts w:cs="Arial"/>
                <w:sz w:val="22"/>
                <w:szCs w:val="22"/>
              </w:rPr>
              <w:t xml:space="preserve">best </w:t>
            </w:r>
            <w:r>
              <w:rPr>
                <w:rFonts w:cs="Arial"/>
                <w:sz w:val="22"/>
                <w:szCs w:val="22"/>
              </w:rPr>
              <w:t>practices in measuring asset</w:t>
            </w:r>
            <w:r w:rsidR="00492423">
              <w:rPr>
                <w:rFonts w:cs="Arial"/>
                <w:sz w:val="22"/>
                <w:szCs w:val="22"/>
              </w:rPr>
              <w:t xml:space="preserve"> health and </w:t>
            </w:r>
            <w:r w:rsidR="00913F8B">
              <w:rPr>
                <w:rFonts w:cs="Arial"/>
                <w:sz w:val="22"/>
                <w:szCs w:val="22"/>
              </w:rPr>
              <w:t>sustainability</w:t>
            </w:r>
            <w:r w:rsidR="00D0028E">
              <w:rPr>
                <w:rFonts w:cs="Arial"/>
                <w:sz w:val="22"/>
                <w:szCs w:val="22"/>
              </w:rPr>
              <w:t xml:space="preserve">. </w:t>
            </w:r>
            <w:r w:rsidR="008A38E4">
              <w:rPr>
                <w:rFonts w:cs="Arial"/>
                <w:sz w:val="22"/>
                <w:szCs w:val="22"/>
              </w:rPr>
              <w:t xml:space="preserve"> </w:t>
            </w:r>
            <w:r w:rsidR="00D0028E" w:rsidRPr="00D0028E">
              <w:rPr>
                <w:rFonts w:cs="Arial"/>
                <w:sz w:val="22"/>
                <w:szCs w:val="22"/>
              </w:rPr>
              <w:t>Particularly identifying if the practice of combining individual asset measures into a single composite measurement is used for reporting and informing funding discussions</w:t>
            </w:r>
            <w:r w:rsidR="00FE57A0">
              <w:rPr>
                <w:rFonts w:cs="Arial"/>
                <w:sz w:val="22"/>
                <w:szCs w:val="22"/>
              </w:rPr>
              <w:t>.</w:t>
            </w:r>
          </w:p>
          <w:p w14:paraId="7D1668DD" w14:textId="77777777" w:rsidR="00492423" w:rsidRDefault="00492423" w:rsidP="00DE5080">
            <w:pPr>
              <w:rPr>
                <w:rFonts w:cs="Arial"/>
                <w:sz w:val="22"/>
                <w:szCs w:val="22"/>
              </w:rPr>
            </w:pPr>
          </w:p>
          <w:p w14:paraId="5FC1CE5C" w14:textId="77777777" w:rsidR="00492423" w:rsidRDefault="00492423" w:rsidP="00492423">
            <w:pPr>
              <w:jc w:val="center"/>
              <w:rPr>
                <w:rFonts w:cs="Arial"/>
                <w:sz w:val="22"/>
                <w:szCs w:val="22"/>
              </w:rPr>
            </w:pPr>
            <w:r>
              <w:rPr>
                <w:rFonts w:cs="Arial"/>
                <w:noProof/>
                <w:sz w:val="22"/>
                <w:szCs w:val="22"/>
                <w:lang w:eastAsia="en-GB"/>
              </w:rPr>
              <w:drawing>
                <wp:inline distT="0" distB="0" distL="0" distR="0" wp14:anchorId="6E82A503" wp14:editId="25015BE7">
                  <wp:extent cx="2821387" cy="16854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7852" cy="1695335"/>
                          </a:xfrm>
                          <a:prstGeom prst="rect">
                            <a:avLst/>
                          </a:prstGeom>
                          <a:noFill/>
                        </pic:spPr>
                      </pic:pic>
                    </a:graphicData>
                  </a:graphic>
                </wp:inline>
              </w:drawing>
            </w:r>
          </w:p>
          <w:p w14:paraId="291684CD" w14:textId="6052A28D" w:rsidR="00DE5080" w:rsidRDefault="00DE5080" w:rsidP="00DE5080">
            <w:pPr>
              <w:rPr>
                <w:rFonts w:cs="Arial"/>
                <w:sz w:val="22"/>
                <w:szCs w:val="22"/>
              </w:rPr>
            </w:pPr>
            <w:r w:rsidRPr="00DE5080">
              <w:rPr>
                <w:rFonts w:cs="Arial"/>
                <w:sz w:val="22"/>
                <w:szCs w:val="22"/>
              </w:rPr>
              <w:t xml:space="preserve">Demonstrating that the underlying trends in remaining life of the infrastructure are within manageable ‘boundaries’ is an important measure in assuring the effectiveness of asset management activity. A sustainability measure therefore allows us </w:t>
            </w:r>
            <w:r>
              <w:rPr>
                <w:rFonts w:cs="Arial"/>
                <w:sz w:val="22"/>
                <w:szCs w:val="22"/>
              </w:rPr>
              <w:t>the ORR to</w:t>
            </w:r>
            <w:r w:rsidRPr="00DE5080">
              <w:rPr>
                <w:rFonts w:cs="Arial"/>
                <w:sz w:val="22"/>
                <w:szCs w:val="22"/>
              </w:rPr>
              <w:t xml:space="preserve"> monitor that Network Rail can ‘sustain’ current asset performance on the railway in future control periods, and provide an understanding of whether renewals work is consistent with minimising the whole-life cost of the railway. </w:t>
            </w:r>
          </w:p>
          <w:p w14:paraId="28AACC6E" w14:textId="1D419B7E" w:rsidR="00DC0C7B" w:rsidRDefault="00DE5080" w:rsidP="00DE5080">
            <w:pPr>
              <w:rPr>
                <w:rFonts w:cs="Arial"/>
                <w:sz w:val="22"/>
                <w:szCs w:val="22"/>
              </w:rPr>
            </w:pPr>
            <w:r>
              <w:rPr>
                <w:rFonts w:cs="Arial"/>
                <w:sz w:val="22"/>
                <w:szCs w:val="22"/>
              </w:rPr>
              <w:t>The ORR wishes to understand</w:t>
            </w:r>
            <w:r w:rsidR="00453075">
              <w:rPr>
                <w:rFonts w:cs="Arial"/>
                <w:sz w:val="22"/>
                <w:szCs w:val="22"/>
              </w:rPr>
              <w:t xml:space="preserve"> if since the introduction of CSI in 2014</w:t>
            </w:r>
            <w:r w:rsidR="00007956">
              <w:rPr>
                <w:rFonts w:cs="Arial"/>
                <w:sz w:val="22"/>
                <w:szCs w:val="22"/>
              </w:rPr>
              <w:t>,</w:t>
            </w:r>
            <w:r w:rsidR="00AE5DDA">
              <w:rPr>
                <w:rFonts w:cs="Arial"/>
                <w:sz w:val="22"/>
                <w:szCs w:val="22"/>
              </w:rPr>
              <w:t xml:space="preserve"> thin</w:t>
            </w:r>
            <w:r w:rsidR="00D0028E">
              <w:rPr>
                <w:rFonts w:cs="Arial"/>
                <w:sz w:val="22"/>
                <w:szCs w:val="22"/>
              </w:rPr>
              <w:t xml:space="preserve">king has developed in this area either in the regulated, public or private sectors </w:t>
            </w:r>
            <w:r w:rsidR="00AE5DDA">
              <w:rPr>
                <w:rFonts w:cs="Arial"/>
                <w:sz w:val="22"/>
                <w:szCs w:val="22"/>
              </w:rPr>
              <w:t>and</w:t>
            </w:r>
            <w:r w:rsidR="00453075">
              <w:rPr>
                <w:rFonts w:cs="Arial"/>
                <w:sz w:val="22"/>
                <w:szCs w:val="22"/>
              </w:rPr>
              <w:t xml:space="preserve"> </w:t>
            </w:r>
            <w:r>
              <w:rPr>
                <w:rFonts w:cs="Arial"/>
                <w:sz w:val="22"/>
                <w:szCs w:val="22"/>
              </w:rPr>
              <w:t>how other infrastructure heavy industries</w:t>
            </w:r>
            <w:r w:rsidR="00951FB1">
              <w:rPr>
                <w:rFonts w:cs="Arial"/>
                <w:sz w:val="22"/>
                <w:szCs w:val="22"/>
              </w:rPr>
              <w:t>/organisations</w:t>
            </w:r>
            <w:r>
              <w:rPr>
                <w:rFonts w:cs="Arial"/>
                <w:sz w:val="22"/>
                <w:szCs w:val="22"/>
              </w:rPr>
              <w:t xml:space="preserve"> with a </w:t>
            </w:r>
            <w:r w:rsidR="0037682C">
              <w:rPr>
                <w:rFonts w:cs="Arial"/>
                <w:sz w:val="22"/>
                <w:szCs w:val="22"/>
              </w:rPr>
              <w:t>diverse</w:t>
            </w:r>
            <w:r>
              <w:rPr>
                <w:rFonts w:cs="Arial"/>
                <w:sz w:val="22"/>
                <w:szCs w:val="22"/>
              </w:rPr>
              <w:t xml:space="preserve"> range of asset types</w:t>
            </w:r>
            <w:r w:rsidR="00DC0C7B">
              <w:rPr>
                <w:rFonts w:cs="Arial"/>
                <w:sz w:val="22"/>
                <w:szCs w:val="22"/>
              </w:rPr>
              <w:t>:</w:t>
            </w:r>
          </w:p>
          <w:p w14:paraId="3B71539B" w14:textId="77777777" w:rsidR="009A512D" w:rsidRDefault="001D7BF5" w:rsidP="00DC0C7B">
            <w:pPr>
              <w:pStyle w:val="ListParagraph"/>
              <w:numPr>
                <w:ilvl w:val="0"/>
                <w:numId w:val="10"/>
              </w:numPr>
              <w:rPr>
                <w:rFonts w:cs="Arial"/>
                <w:sz w:val="22"/>
                <w:szCs w:val="22"/>
              </w:rPr>
            </w:pPr>
            <w:r>
              <w:rPr>
                <w:rFonts w:cs="Arial"/>
                <w:sz w:val="22"/>
                <w:szCs w:val="22"/>
              </w:rPr>
              <w:t>m</w:t>
            </w:r>
            <w:r w:rsidR="009A512D">
              <w:rPr>
                <w:rFonts w:cs="Arial"/>
                <w:sz w:val="22"/>
                <w:szCs w:val="22"/>
              </w:rPr>
              <w:t>onitor and report changes in asset condition;</w:t>
            </w:r>
          </w:p>
          <w:p w14:paraId="05A12B44" w14:textId="685B5968" w:rsidR="00DE5080" w:rsidRDefault="00DC0C7B" w:rsidP="00DC0C7B">
            <w:pPr>
              <w:pStyle w:val="ListParagraph"/>
              <w:numPr>
                <w:ilvl w:val="0"/>
                <w:numId w:val="10"/>
              </w:numPr>
              <w:rPr>
                <w:rFonts w:cs="Arial"/>
                <w:sz w:val="22"/>
                <w:szCs w:val="22"/>
              </w:rPr>
            </w:pPr>
            <w:r w:rsidRPr="00DC0C7B">
              <w:rPr>
                <w:rFonts w:cs="Arial"/>
                <w:sz w:val="22"/>
                <w:szCs w:val="22"/>
              </w:rPr>
              <w:t>assess the respective condition of their assets, possibl</w:t>
            </w:r>
            <w:r w:rsidR="00D0028E">
              <w:rPr>
                <w:rFonts w:cs="Arial"/>
                <w:sz w:val="22"/>
                <w:szCs w:val="22"/>
              </w:rPr>
              <w:t>y</w:t>
            </w:r>
            <w:r w:rsidRPr="00DC0C7B">
              <w:rPr>
                <w:rFonts w:cs="Arial"/>
                <w:sz w:val="22"/>
                <w:szCs w:val="22"/>
              </w:rPr>
              <w:t xml:space="preserve"> using an alpha or numeric </w:t>
            </w:r>
            <w:r w:rsidR="00007956">
              <w:rPr>
                <w:rFonts w:cs="Arial"/>
                <w:sz w:val="22"/>
                <w:szCs w:val="22"/>
              </w:rPr>
              <w:t>scoring</w:t>
            </w:r>
            <w:r w:rsidRPr="00DC0C7B">
              <w:rPr>
                <w:rFonts w:cs="Arial"/>
                <w:sz w:val="22"/>
                <w:szCs w:val="22"/>
              </w:rPr>
              <w:t>, assessment of remaining/u</w:t>
            </w:r>
            <w:r w:rsidR="009A512D">
              <w:rPr>
                <w:rFonts w:cs="Arial"/>
                <w:sz w:val="22"/>
                <w:szCs w:val="22"/>
              </w:rPr>
              <w:t>sed life or some other criteria;</w:t>
            </w:r>
          </w:p>
          <w:p w14:paraId="13058DE6" w14:textId="5C102322" w:rsidR="00AE5DDA" w:rsidRPr="00DC0C7B" w:rsidRDefault="00AE5DDA" w:rsidP="00DC0C7B">
            <w:pPr>
              <w:pStyle w:val="ListParagraph"/>
              <w:numPr>
                <w:ilvl w:val="0"/>
                <w:numId w:val="10"/>
              </w:numPr>
              <w:rPr>
                <w:rFonts w:cs="Arial"/>
                <w:sz w:val="22"/>
                <w:szCs w:val="22"/>
              </w:rPr>
            </w:pPr>
            <w:r>
              <w:rPr>
                <w:rFonts w:cs="Arial"/>
                <w:sz w:val="22"/>
                <w:szCs w:val="22"/>
              </w:rPr>
              <w:t>if financial values, e</w:t>
            </w:r>
            <w:r w:rsidR="00D0028E">
              <w:rPr>
                <w:rFonts w:cs="Arial"/>
                <w:sz w:val="22"/>
                <w:szCs w:val="22"/>
              </w:rPr>
              <w:t>ither remaining or replacement are</w:t>
            </w:r>
            <w:r>
              <w:rPr>
                <w:rFonts w:cs="Arial"/>
                <w:sz w:val="22"/>
                <w:szCs w:val="22"/>
              </w:rPr>
              <w:t xml:space="preserve"> used as a reporting or planning measure;</w:t>
            </w:r>
          </w:p>
          <w:p w14:paraId="57215AE3" w14:textId="77777777" w:rsidR="00DC0C7B" w:rsidRPr="00DC0C7B" w:rsidRDefault="00AE5DDA" w:rsidP="00DC0C7B">
            <w:pPr>
              <w:pStyle w:val="ListParagraph"/>
              <w:numPr>
                <w:ilvl w:val="0"/>
                <w:numId w:val="10"/>
              </w:numPr>
              <w:rPr>
                <w:rFonts w:cs="Arial"/>
                <w:sz w:val="22"/>
                <w:szCs w:val="22"/>
              </w:rPr>
            </w:pPr>
            <w:r w:rsidRPr="00DC0C7B">
              <w:rPr>
                <w:rFonts w:cs="Arial"/>
                <w:sz w:val="22"/>
                <w:szCs w:val="22"/>
              </w:rPr>
              <w:t>w</w:t>
            </w:r>
            <w:r>
              <w:rPr>
                <w:rFonts w:cs="Arial"/>
                <w:sz w:val="22"/>
                <w:szCs w:val="22"/>
              </w:rPr>
              <w:t>h</w:t>
            </w:r>
            <w:r w:rsidRPr="00DC0C7B">
              <w:rPr>
                <w:rFonts w:cs="Arial"/>
                <w:sz w:val="22"/>
                <w:szCs w:val="22"/>
              </w:rPr>
              <w:t>ether</w:t>
            </w:r>
            <w:r w:rsidR="00DC0C7B" w:rsidRPr="00DC0C7B">
              <w:rPr>
                <w:rFonts w:cs="Arial"/>
                <w:sz w:val="22"/>
                <w:szCs w:val="22"/>
              </w:rPr>
              <w:t xml:space="preserve"> </w:t>
            </w:r>
            <w:r>
              <w:rPr>
                <w:rFonts w:cs="Arial"/>
                <w:sz w:val="22"/>
                <w:szCs w:val="22"/>
              </w:rPr>
              <w:t>other industries</w:t>
            </w:r>
            <w:r w:rsidR="00DC0C7B" w:rsidRPr="00DC0C7B">
              <w:rPr>
                <w:rFonts w:cs="Arial"/>
                <w:sz w:val="22"/>
                <w:szCs w:val="22"/>
              </w:rPr>
              <w:t xml:space="preserve"> combine individual asset condition score into an overall rating</w:t>
            </w:r>
            <w:r w:rsidR="009A512D">
              <w:rPr>
                <w:rFonts w:cs="Arial"/>
                <w:sz w:val="22"/>
                <w:szCs w:val="22"/>
              </w:rPr>
              <w:t xml:space="preserve">, comparable </w:t>
            </w:r>
            <w:r w:rsidR="001D7BF5">
              <w:rPr>
                <w:rFonts w:cs="Arial"/>
                <w:sz w:val="22"/>
                <w:szCs w:val="22"/>
              </w:rPr>
              <w:t>with CSI</w:t>
            </w:r>
            <w:r w:rsidR="009A512D">
              <w:rPr>
                <w:rFonts w:cs="Arial"/>
                <w:sz w:val="22"/>
                <w:szCs w:val="22"/>
              </w:rPr>
              <w:t>;</w:t>
            </w:r>
          </w:p>
          <w:p w14:paraId="35A8A85B" w14:textId="77777777" w:rsidR="00DC0C7B" w:rsidRPr="00DC0C7B" w:rsidRDefault="00DC0C7B" w:rsidP="00DC0C7B">
            <w:pPr>
              <w:pStyle w:val="ListParagraph"/>
              <w:numPr>
                <w:ilvl w:val="0"/>
                <w:numId w:val="10"/>
              </w:numPr>
              <w:rPr>
                <w:rFonts w:cs="Arial"/>
                <w:sz w:val="22"/>
                <w:szCs w:val="22"/>
              </w:rPr>
            </w:pPr>
            <w:r w:rsidRPr="00DC0C7B">
              <w:rPr>
                <w:rFonts w:cs="Arial"/>
                <w:sz w:val="22"/>
                <w:szCs w:val="22"/>
              </w:rPr>
              <w:t>how other industries then use these measures to determine funding requirements</w:t>
            </w:r>
            <w:r w:rsidR="009A512D">
              <w:rPr>
                <w:rFonts w:cs="Arial"/>
                <w:sz w:val="22"/>
                <w:szCs w:val="22"/>
              </w:rPr>
              <w:t xml:space="preserve"> at </w:t>
            </w:r>
            <w:r w:rsidR="001D7BF5">
              <w:rPr>
                <w:rFonts w:cs="Arial"/>
                <w:sz w:val="22"/>
                <w:szCs w:val="22"/>
              </w:rPr>
              <w:t xml:space="preserve">either </w:t>
            </w:r>
            <w:r w:rsidR="009A512D">
              <w:rPr>
                <w:rFonts w:cs="Arial"/>
                <w:sz w:val="22"/>
                <w:szCs w:val="22"/>
              </w:rPr>
              <w:t>a strategic and</w:t>
            </w:r>
            <w:r w:rsidR="001D7BF5">
              <w:rPr>
                <w:rFonts w:cs="Arial"/>
                <w:sz w:val="22"/>
                <w:szCs w:val="22"/>
              </w:rPr>
              <w:t>/or</w:t>
            </w:r>
            <w:r w:rsidR="009A512D">
              <w:rPr>
                <w:rFonts w:cs="Arial"/>
                <w:sz w:val="22"/>
                <w:szCs w:val="22"/>
              </w:rPr>
              <w:t xml:space="preserve"> tactical level;</w:t>
            </w:r>
          </w:p>
          <w:p w14:paraId="224F887F" w14:textId="77777777" w:rsidR="00DC0C7B" w:rsidRPr="00DC0C7B" w:rsidRDefault="00DC0C7B" w:rsidP="00DC0C7B">
            <w:pPr>
              <w:pStyle w:val="ListParagraph"/>
              <w:numPr>
                <w:ilvl w:val="0"/>
                <w:numId w:val="10"/>
              </w:numPr>
              <w:rPr>
                <w:rFonts w:cs="Arial"/>
                <w:sz w:val="22"/>
                <w:szCs w:val="22"/>
              </w:rPr>
            </w:pPr>
            <w:r w:rsidRPr="00DC0C7B">
              <w:rPr>
                <w:rFonts w:cs="Arial"/>
                <w:sz w:val="22"/>
                <w:szCs w:val="22"/>
              </w:rPr>
              <w:lastRenderedPageBreak/>
              <w:t xml:space="preserve">how other industries </w:t>
            </w:r>
            <w:r w:rsidR="009B2BC0">
              <w:rPr>
                <w:rFonts w:cs="Arial"/>
                <w:sz w:val="22"/>
                <w:szCs w:val="22"/>
              </w:rPr>
              <w:t xml:space="preserve">might then </w:t>
            </w:r>
            <w:r w:rsidRPr="00DC0C7B">
              <w:rPr>
                <w:rFonts w:cs="Arial"/>
                <w:sz w:val="22"/>
                <w:szCs w:val="22"/>
              </w:rPr>
              <w:t>make use of these measures to help inform and prioritise investment decisions</w:t>
            </w:r>
            <w:r w:rsidR="009A512D">
              <w:rPr>
                <w:rFonts w:cs="Arial"/>
                <w:sz w:val="22"/>
                <w:szCs w:val="22"/>
              </w:rPr>
              <w:t>;</w:t>
            </w:r>
          </w:p>
          <w:p w14:paraId="60343704" w14:textId="77777777" w:rsidR="009A512D" w:rsidRDefault="00DC0C7B" w:rsidP="00DC0C7B">
            <w:pPr>
              <w:pStyle w:val="ListParagraph"/>
              <w:numPr>
                <w:ilvl w:val="0"/>
                <w:numId w:val="10"/>
              </w:numPr>
              <w:rPr>
                <w:rFonts w:cs="Arial"/>
                <w:sz w:val="22"/>
                <w:szCs w:val="22"/>
              </w:rPr>
            </w:pPr>
            <w:r w:rsidRPr="00DC0C7B">
              <w:rPr>
                <w:rFonts w:cs="Arial"/>
                <w:sz w:val="22"/>
                <w:szCs w:val="22"/>
              </w:rPr>
              <w:t xml:space="preserve">how </w:t>
            </w:r>
            <w:r w:rsidR="00AE5DDA">
              <w:rPr>
                <w:rFonts w:cs="Arial"/>
                <w:sz w:val="22"/>
                <w:szCs w:val="22"/>
              </w:rPr>
              <w:t>other industries</w:t>
            </w:r>
            <w:r w:rsidRPr="00DC0C7B">
              <w:rPr>
                <w:rFonts w:cs="Arial"/>
                <w:sz w:val="22"/>
                <w:szCs w:val="22"/>
              </w:rPr>
              <w:t xml:space="preserve"> use the </w:t>
            </w:r>
            <w:r>
              <w:rPr>
                <w:rFonts w:cs="Arial"/>
                <w:sz w:val="22"/>
                <w:szCs w:val="22"/>
              </w:rPr>
              <w:t xml:space="preserve">expected </w:t>
            </w:r>
            <w:r w:rsidRPr="00DC0C7B">
              <w:rPr>
                <w:rFonts w:cs="Arial"/>
                <w:sz w:val="22"/>
                <w:szCs w:val="22"/>
              </w:rPr>
              <w:t xml:space="preserve">outcomes to forecast future asset </w:t>
            </w:r>
            <w:r>
              <w:rPr>
                <w:rFonts w:cs="Arial"/>
                <w:sz w:val="22"/>
                <w:szCs w:val="22"/>
              </w:rPr>
              <w:t>performance</w:t>
            </w:r>
            <w:r w:rsidR="009B2BC0">
              <w:rPr>
                <w:rFonts w:cs="Arial"/>
                <w:sz w:val="22"/>
                <w:szCs w:val="22"/>
              </w:rPr>
              <w:t xml:space="preserve"> over short, medium and longer term</w:t>
            </w:r>
            <w:r w:rsidR="009A512D">
              <w:rPr>
                <w:rFonts w:cs="Arial"/>
                <w:sz w:val="22"/>
                <w:szCs w:val="22"/>
              </w:rPr>
              <w:t>; and</w:t>
            </w:r>
          </w:p>
          <w:p w14:paraId="4E2F8E36" w14:textId="77777777" w:rsidR="00AE5DDA" w:rsidRDefault="00AE5DDA" w:rsidP="00AE5DDA">
            <w:pPr>
              <w:pStyle w:val="ListParagraph"/>
              <w:numPr>
                <w:ilvl w:val="0"/>
                <w:numId w:val="10"/>
              </w:numPr>
              <w:rPr>
                <w:rFonts w:cs="Arial"/>
                <w:sz w:val="22"/>
                <w:szCs w:val="22"/>
              </w:rPr>
            </w:pPr>
            <w:r>
              <w:rPr>
                <w:rFonts w:cs="Arial"/>
                <w:sz w:val="22"/>
                <w:szCs w:val="22"/>
              </w:rPr>
              <w:t xml:space="preserve">a view of </w:t>
            </w:r>
            <w:r w:rsidR="009A512D" w:rsidRPr="00AE5DDA">
              <w:rPr>
                <w:rFonts w:cs="Arial"/>
                <w:sz w:val="22"/>
                <w:szCs w:val="22"/>
              </w:rPr>
              <w:t xml:space="preserve">how easily transferable </w:t>
            </w:r>
            <w:r>
              <w:rPr>
                <w:rFonts w:cs="Arial"/>
                <w:sz w:val="22"/>
                <w:szCs w:val="22"/>
              </w:rPr>
              <w:t xml:space="preserve">a composite measure </w:t>
            </w:r>
            <w:r w:rsidR="009A512D" w:rsidRPr="00AE5DDA">
              <w:rPr>
                <w:rFonts w:cs="Arial"/>
                <w:sz w:val="22"/>
                <w:szCs w:val="22"/>
              </w:rPr>
              <w:t xml:space="preserve">from </w:t>
            </w:r>
            <w:r w:rsidRPr="00AE5DDA">
              <w:rPr>
                <w:rFonts w:cs="Arial"/>
                <w:sz w:val="22"/>
                <w:szCs w:val="22"/>
              </w:rPr>
              <w:t>another</w:t>
            </w:r>
            <w:r w:rsidR="009A512D" w:rsidRPr="00AE5DDA">
              <w:rPr>
                <w:rFonts w:cs="Arial"/>
                <w:sz w:val="22"/>
                <w:szCs w:val="22"/>
              </w:rPr>
              <w:t xml:space="preserve"> industry </w:t>
            </w:r>
            <w:r w:rsidR="009B2BC0">
              <w:rPr>
                <w:rFonts w:cs="Arial"/>
                <w:sz w:val="22"/>
                <w:szCs w:val="22"/>
              </w:rPr>
              <w:t xml:space="preserve">might be in broad terms </w:t>
            </w:r>
            <w:r w:rsidR="009A512D" w:rsidRPr="00AE5DDA">
              <w:rPr>
                <w:rFonts w:cs="Arial"/>
                <w:sz w:val="22"/>
                <w:szCs w:val="22"/>
              </w:rPr>
              <w:t xml:space="preserve">to </w:t>
            </w:r>
            <w:r w:rsidRPr="00AE5DDA">
              <w:rPr>
                <w:rFonts w:cs="Arial"/>
                <w:sz w:val="22"/>
                <w:szCs w:val="22"/>
              </w:rPr>
              <w:t>the UK Rail sector</w:t>
            </w:r>
            <w:r w:rsidR="009A512D" w:rsidRPr="00AE5DDA">
              <w:rPr>
                <w:rFonts w:cs="Arial"/>
                <w:sz w:val="22"/>
                <w:szCs w:val="22"/>
              </w:rPr>
              <w:t xml:space="preserve"> </w:t>
            </w:r>
            <w:r>
              <w:rPr>
                <w:rFonts w:cs="Arial"/>
                <w:sz w:val="22"/>
                <w:szCs w:val="22"/>
              </w:rPr>
              <w:t>and how might this might offer benefits beyond the current CSI measure, if at all.</w:t>
            </w:r>
          </w:p>
          <w:p w14:paraId="7FA0BA2E" w14:textId="77777777" w:rsidR="001F11A8" w:rsidRDefault="001F11A8" w:rsidP="0037682C">
            <w:pPr>
              <w:rPr>
                <w:rFonts w:cs="Arial"/>
                <w:sz w:val="22"/>
                <w:szCs w:val="22"/>
              </w:rPr>
            </w:pPr>
            <w:r w:rsidRPr="001F11A8">
              <w:rPr>
                <w:rFonts w:cs="Arial"/>
                <w:sz w:val="22"/>
                <w:szCs w:val="22"/>
              </w:rPr>
              <w:t>It is envisaged that this project will be undertaken as a desk top study making use of information already available within the public arena or drawn from the consultants existing knowledge base.</w:t>
            </w:r>
          </w:p>
          <w:p w14:paraId="54137171" w14:textId="1BBADE9B" w:rsidR="0037682C" w:rsidRPr="0036077E" w:rsidRDefault="0037682C" w:rsidP="0037682C">
            <w:pPr>
              <w:rPr>
                <w:rFonts w:cs="Arial"/>
                <w:sz w:val="22"/>
                <w:szCs w:val="22"/>
              </w:rPr>
            </w:pPr>
            <w:r>
              <w:rPr>
                <w:rFonts w:cs="Arial"/>
                <w:sz w:val="22"/>
                <w:szCs w:val="22"/>
              </w:rPr>
              <w:t xml:space="preserve">The consultant should consider other publically accountable industries and private sector comparators where they have </w:t>
            </w:r>
            <w:r w:rsidR="00AE5DDA">
              <w:rPr>
                <w:rFonts w:cs="Arial"/>
                <w:sz w:val="22"/>
                <w:szCs w:val="22"/>
              </w:rPr>
              <w:t xml:space="preserve">sufficient </w:t>
            </w:r>
            <w:r>
              <w:rPr>
                <w:rFonts w:cs="Arial"/>
                <w:sz w:val="22"/>
                <w:szCs w:val="22"/>
              </w:rPr>
              <w:t>insight.</w:t>
            </w:r>
            <w:r w:rsidR="00A11FA1">
              <w:rPr>
                <w:rFonts w:cs="Arial"/>
                <w:sz w:val="22"/>
                <w:szCs w:val="22"/>
              </w:rPr>
              <w:t xml:space="preserve"> </w:t>
            </w:r>
            <w:r w:rsidR="00A11FA1" w:rsidRPr="00A11FA1">
              <w:rPr>
                <w:rFonts w:cs="Arial"/>
                <w:sz w:val="22"/>
                <w:szCs w:val="22"/>
              </w:rPr>
              <w:t xml:space="preserve">The ORR wishes this study not to be restricted to UK or just </w:t>
            </w:r>
            <w:r w:rsidR="00A11FA1">
              <w:rPr>
                <w:rFonts w:cs="Arial"/>
                <w:sz w:val="22"/>
                <w:szCs w:val="22"/>
              </w:rPr>
              <w:t>rail transportation comparators, although UK practices should be noted and highlighted where there are possible learning opportunities.</w:t>
            </w:r>
          </w:p>
          <w:p w14:paraId="106F3A54" w14:textId="5F8E58B1" w:rsidR="001F11A8" w:rsidRDefault="001F11A8" w:rsidP="0037682C">
            <w:pPr>
              <w:rPr>
                <w:rFonts w:cs="Arial"/>
                <w:sz w:val="22"/>
                <w:szCs w:val="22"/>
              </w:rPr>
            </w:pPr>
            <w:r w:rsidRPr="001F11A8">
              <w:rPr>
                <w:rFonts w:cs="Arial"/>
                <w:sz w:val="22"/>
                <w:szCs w:val="22"/>
              </w:rPr>
              <w:t xml:space="preserve">There will be no requirement to review ORR’s day to day regulatory activity </w:t>
            </w:r>
            <w:r>
              <w:rPr>
                <w:rFonts w:cs="Arial"/>
                <w:sz w:val="22"/>
                <w:szCs w:val="22"/>
              </w:rPr>
              <w:t>or how the CSI measure has been used as part of the regulatory process,</w:t>
            </w:r>
            <w:r w:rsidRPr="001F11A8">
              <w:rPr>
                <w:rFonts w:cs="Arial"/>
                <w:sz w:val="22"/>
                <w:szCs w:val="22"/>
              </w:rPr>
              <w:t xml:space="preserve"> although we will take on board any recommendations made</w:t>
            </w:r>
            <w:r w:rsidR="00D0028E">
              <w:rPr>
                <w:rFonts w:cs="Arial"/>
                <w:sz w:val="22"/>
                <w:szCs w:val="22"/>
              </w:rPr>
              <w:t>.</w:t>
            </w:r>
          </w:p>
          <w:p w14:paraId="161D5327" w14:textId="5F6518DE" w:rsidR="0037682C" w:rsidRPr="0036077E" w:rsidRDefault="0037682C" w:rsidP="0037682C">
            <w:pPr>
              <w:rPr>
                <w:rFonts w:cs="Arial"/>
                <w:sz w:val="22"/>
                <w:szCs w:val="22"/>
              </w:rPr>
            </w:pPr>
            <w:r>
              <w:rPr>
                <w:rFonts w:cs="Arial"/>
                <w:sz w:val="22"/>
                <w:szCs w:val="22"/>
              </w:rPr>
              <w:t xml:space="preserve">As part of this study we would not expect the consultant to undertake </w:t>
            </w:r>
            <w:r w:rsidR="00320048">
              <w:rPr>
                <w:rFonts w:cs="Arial"/>
                <w:sz w:val="22"/>
                <w:szCs w:val="22"/>
              </w:rPr>
              <w:t>a</w:t>
            </w:r>
            <w:r w:rsidR="00E25E59">
              <w:rPr>
                <w:rFonts w:cs="Arial"/>
                <w:sz w:val="22"/>
                <w:szCs w:val="22"/>
              </w:rPr>
              <w:t>ny</w:t>
            </w:r>
            <w:r w:rsidR="00320048">
              <w:rPr>
                <w:rFonts w:cs="Arial"/>
                <w:sz w:val="22"/>
                <w:szCs w:val="22"/>
              </w:rPr>
              <w:t xml:space="preserve"> </w:t>
            </w:r>
            <w:r>
              <w:rPr>
                <w:rFonts w:cs="Arial"/>
                <w:sz w:val="22"/>
                <w:szCs w:val="22"/>
              </w:rPr>
              <w:t>physical visits to industri</w:t>
            </w:r>
            <w:r w:rsidR="00D0028E">
              <w:rPr>
                <w:rFonts w:cs="Arial"/>
                <w:sz w:val="22"/>
                <w:szCs w:val="22"/>
              </w:rPr>
              <w:t>es either globally or in the UK</w:t>
            </w:r>
            <w:r w:rsidR="00AE5DDA">
              <w:rPr>
                <w:rFonts w:cs="Arial"/>
                <w:sz w:val="22"/>
                <w:szCs w:val="22"/>
              </w:rPr>
              <w:t>.</w:t>
            </w:r>
            <w:r w:rsidR="00320048">
              <w:rPr>
                <w:rFonts w:cs="Arial"/>
                <w:sz w:val="22"/>
                <w:szCs w:val="22"/>
              </w:rPr>
              <w:t xml:space="preserve"> They may however determine that the holding of 1:1 interviews with individuals to seek greater clarification </w:t>
            </w:r>
            <w:r w:rsidR="00913F8B">
              <w:rPr>
                <w:rFonts w:cs="Arial"/>
                <w:sz w:val="22"/>
                <w:szCs w:val="22"/>
              </w:rPr>
              <w:t xml:space="preserve">would </w:t>
            </w:r>
            <w:r w:rsidR="00320048">
              <w:rPr>
                <w:rFonts w:cs="Arial"/>
                <w:sz w:val="22"/>
                <w:szCs w:val="22"/>
              </w:rPr>
              <w:t>be of benefit. Where this is the case, ORR requires the consultant to identify these individual</w:t>
            </w:r>
            <w:r w:rsidR="00D0028E">
              <w:rPr>
                <w:rFonts w:cs="Arial"/>
                <w:sz w:val="22"/>
                <w:szCs w:val="22"/>
              </w:rPr>
              <w:t>s</w:t>
            </w:r>
            <w:r w:rsidR="00320048">
              <w:rPr>
                <w:rFonts w:cs="Arial"/>
                <w:sz w:val="22"/>
                <w:szCs w:val="22"/>
              </w:rPr>
              <w:t xml:space="preserve"> and establish the</w:t>
            </w:r>
            <w:r w:rsidR="00E25E59">
              <w:rPr>
                <w:rFonts w:cs="Arial"/>
                <w:sz w:val="22"/>
                <w:szCs w:val="22"/>
              </w:rPr>
              <w:t>ir own</w:t>
            </w:r>
            <w:r w:rsidR="00320048">
              <w:rPr>
                <w:rFonts w:cs="Arial"/>
                <w:sz w:val="22"/>
                <w:szCs w:val="22"/>
              </w:rPr>
              <w:t xml:space="preserve"> lines of communications. </w:t>
            </w:r>
            <w:r w:rsidR="00D0028E" w:rsidRPr="00D0028E">
              <w:rPr>
                <w:rFonts w:cs="Arial"/>
                <w:sz w:val="22"/>
                <w:szCs w:val="22"/>
              </w:rPr>
              <w:t>This should be identified in the response to tender.</w:t>
            </w:r>
          </w:p>
          <w:p w14:paraId="23D97E35" w14:textId="5C2A0B67" w:rsidR="00E25E59" w:rsidRDefault="009A512D" w:rsidP="00E25E59">
            <w:pPr>
              <w:rPr>
                <w:rFonts w:cs="Arial"/>
                <w:sz w:val="22"/>
                <w:szCs w:val="22"/>
              </w:rPr>
            </w:pPr>
            <w:r w:rsidRPr="00E25E59">
              <w:rPr>
                <w:rFonts w:cs="Arial"/>
                <w:sz w:val="22"/>
                <w:szCs w:val="22"/>
              </w:rPr>
              <w:t xml:space="preserve">The consultant will provide a report </w:t>
            </w:r>
            <w:r w:rsidR="00AF7891">
              <w:rPr>
                <w:rFonts w:cs="Arial"/>
                <w:sz w:val="22"/>
                <w:szCs w:val="22"/>
              </w:rPr>
              <w:t xml:space="preserve">supported by a briefing </w:t>
            </w:r>
            <w:r w:rsidRPr="00E25E59">
              <w:rPr>
                <w:rFonts w:cs="Arial"/>
                <w:sz w:val="22"/>
                <w:szCs w:val="22"/>
              </w:rPr>
              <w:t>detailing their findings</w:t>
            </w:r>
            <w:r w:rsidR="001F11A8">
              <w:rPr>
                <w:rFonts w:cs="Arial"/>
                <w:sz w:val="22"/>
                <w:szCs w:val="22"/>
              </w:rPr>
              <w:t>, identifying what might be considered current best practice</w:t>
            </w:r>
            <w:r w:rsidR="00E25E59" w:rsidRPr="00E25E59">
              <w:rPr>
                <w:rFonts w:cs="Arial"/>
                <w:sz w:val="22"/>
                <w:szCs w:val="22"/>
              </w:rPr>
              <w:t xml:space="preserve"> </w:t>
            </w:r>
            <w:r w:rsidR="00007956">
              <w:rPr>
                <w:rFonts w:cs="Arial"/>
                <w:sz w:val="22"/>
                <w:szCs w:val="22"/>
              </w:rPr>
              <w:t xml:space="preserve">in asset condition recording and reporting </w:t>
            </w:r>
            <w:r w:rsidR="00E25E59" w:rsidRPr="00E25E59">
              <w:rPr>
                <w:rFonts w:cs="Arial"/>
                <w:sz w:val="22"/>
                <w:szCs w:val="22"/>
              </w:rPr>
              <w:t>and provide a view of how easily transferable a</w:t>
            </w:r>
            <w:r w:rsidR="00007956">
              <w:rPr>
                <w:rFonts w:cs="Arial"/>
                <w:sz w:val="22"/>
                <w:szCs w:val="22"/>
              </w:rPr>
              <w:t xml:space="preserve"> </w:t>
            </w:r>
            <w:r w:rsidR="00E25E59" w:rsidRPr="00E25E59">
              <w:rPr>
                <w:rFonts w:cs="Arial"/>
                <w:sz w:val="22"/>
                <w:szCs w:val="22"/>
              </w:rPr>
              <w:t xml:space="preserve">composite measure </w:t>
            </w:r>
            <w:r w:rsidR="001F11A8">
              <w:rPr>
                <w:rFonts w:cs="Arial"/>
                <w:sz w:val="22"/>
                <w:szCs w:val="22"/>
              </w:rPr>
              <w:t xml:space="preserve">(should they exist) </w:t>
            </w:r>
            <w:r w:rsidR="00E25E59" w:rsidRPr="00E25E59">
              <w:rPr>
                <w:rFonts w:cs="Arial"/>
                <w:sz w:val="22"/>
                <w:szCs w:val="22"/>
              </w:rPr>
              <w:t>from another industry</w:t>
            </w:r>
            <w:r w:rsidR="00007956">
              <w:rPr>
                <w:rFonts w:cs="Arial"/>
                <w:sz w:val="22"/>
                <w:szCs w:val="22"/>
              </w:rPr>
              <w:t>/organisation</w:t>
            </w:r>
            <w:r w:rsidR="00E25E59" w:rsidRPr="00E25E59">
              <w:rPr>
                <w:rFonts w:cs="Arial"/>
                <w:sz w:val="22"/>
                <w:szCs w:val="22"/>
              </w:rPr>
              <w:t xml:space="preserve"> to the UK Rail sector might be and how </w:t>
            </w:r>
            <w:r w:rsidR="00007956">
              <w:rPr>
                <w:rFonts w:cs="Arial"/>
                <w:sz w:val="22"/>
                <w:szCs w:val="22"/>
              </w:rPr>
              <w:t xml:space="preserve">in broad terms </w:t>
            </w:r>
            <w:r w:rsidR="00E25E59" w:rsidRPr="00E25E59">
              <w:rPr>
                <w:rFonts w:cs="Arial"/>
                <w:sz w:val="22"/>
                <w:szCs w:val="22"/>
              </w:rPr>
              <w:t>might this might offer benefits beyond the current CSI measure, if at all.</w:t>
            </w:r>
          </w:p>
          <w:p w14:paraId="69CB7FB5" w14:textId="77777777" w:rsidR="00E25E59" w:rsidRDefault="00E25E59" w:rsidP="00E25E59">
            <w:pPr>
              <w:rPr>
                <w:rFonts w:cs="Arial"/>
                <w:sz w:val="22"/>
                <w:szCs w:val="22"/>
              </w:rPr>
            </w:pPr>
            <w:r>
              <w:rPr>
                <w:rFonts w:cs="Arial"/>
                <w:sz w:val="22"/>
                <w:szCs w:val="22"/>
              </w:rPr>
              <w:t>The report will help inform ORR own view on the applicability of CSI as a scorecard measure for future control periods. The consultant is not required to come up with a fully working alternative mode</w:t>
            </w:r>
            <w:r w:rsidR="00007956">
              <w:rPr>
                <w:rFonts w:cs="Arial"/>
                <w:sz w:val="22"/>
                <w:szCs w:val="22"/>
              </w:rPr>
              <w:t xml:space="preserve"> as part of this commission, although illustrated high level examples should be provided to aid understanding</w:t>
            </w:r>
            <w:r w:rsidR="00951FB1">
              <w:rPr>
                <w:rFonts w:cs="Arial"/>
                <w:sz w:val="22"/>
                <w:szCs w:val="22"/>
              </w:rPr>
              <w:t>.</w:t>
            </w:r>
          </w:p>
          <w:p w14:paraId="3EEF3565" w14:textId="77777777" w:rsidR="00E25E59" w:rsidRPr="00E25E59" w:rsidRDefault="00E25E59" w:rsidP="00E25E59">
            <w:pPr>
              <w:rPr>
                <w:rFonts w:cs="Arial"/>
                <w:sz w:val="22"/>
                <w:szCs w:val="22"/>
              </w:rPr>
            </w:pPr>
            <w:r>
              <w:rPr>
                <w:rFonts w:cs="Arial"/>
                <w:sz w:val="22"/>
                <w:szCs w:val="22"/>
              </w:rPr>
              <w:t>It is possible that the final report may be published either in full or part on the ORR external web site or referenced in ORR published documents. The report should therefore be produced with this in mind.</w:t>
            </w:r>
          </w:p>
          <w:p w14:paraId="2A212207" w14:textId="77777777" w:rsidR="00AE5DDA" w:rsidRPr="0036077E" w:rsidRDefault="00AE5DDA" w:rsidP="00320048">
            <w:pPr>
              <w:rPr>
                <w:rFonts w:cs="Arial"/>
                <w:sz w:val="22"/>
                <w:szCs w:val="22"/>
              </w:rPr>
            </w:pPr>
            <w:r>
              <w:rPr>
                <w:rFonts w:cs="Arial"/>
                <w:sz w:val="22"/>
                <w:szCs w:val="22"/>
              </w:rPr>
              <w:t xml:space="preserve">We envisage from contract award the elapse time </w:t>
            </w:r>
            <w:r w:rsidR="00320048">
              <w:rPr>
                <w:rFonts w:cs="Arial"/>
                <w:sz w:val="22"/>
                <w:szCs w:val="22"/>
              </w:rPr>
              <w:t xml:space="preserve">for this commission </w:t>
            </w:r>
            <w:r>
              <w:rPr>
                <w:rFonts w:cs="Arial"/>
                <w:sz w:val="22"/>
                <w:szCs w:val="22"/>
              </w:rPr>
              <w:t>will be in the region of two months</w:t>
            </w:r>
            <w:r w:rsidR="00320048">
              <w:rPr>
                <w:rFonts w:cs="Arial"/>
                <w:sz w:val="22"/>
                <w:szCs w:val="22"/>
              </w:rPr>
              <w:t>.</w:t>
            </w:r>
          </w:p>
          <w:p w14:paraId="670245ED" w14:textId="77777777" w:rsidR="000F75B8" w:rsidRPr="00631D15" w:rsidRDefault="000F75B8" w:rsidP="000F75B8">
            <w:pPr>
              <w:rPr>
                <w:rFonts w:cs="Arial"/>
                <w:b/>
              </w:rPr>
            </w:pPr>
            <w:r>
              <w:rPr>
                <w:rFonts w:cs="Arial"/>
                <w:sz w:val="22"/>
                <w:szCs w:val="22"/>
              </w:rPr>
              <w:t xml:space="preserve">We do not envisage that Network Rail </w:t>
            </w:r>
            <w:r w:rsidR="00007956">
              <w:rPr>
                <w:rFonts w:cs="Arial"/>
                <w:sz w:val="22"/>
                <w:szCs w:val="22"/>
              </w:rPr>
              <w:t xml:space="preserve">or its use of CSI </w:t>
            </w:r>
            <w:r>
              <w:rPr>
                <w:rFonts w:cs="Arial"/>
                <w:sz w:val="22"/>
                <w:szCs w:val="22"/>
              </w:rPr>
              <w:t>will be subject to scrutiny as part of this project.</w:t>
            </w:r>
          </w:p>
          <w:p w14:paraId="7EA5036B" w14:textId="7CE69655" w:rsidR="00F52BE8" w:rsidRPr="00A8697E" w:rsidRDefault="00320048" w:rsidP="00A86302">
            <w:pPr>
              <w:rPr>
                <w:rFonts w:cs="Arial"/>
                <w:b/>
              </w:rPr>
            </w:pPr>
            <w:r>
              <w:rPr>
                <w:rFonts w:cs="Arial"/>
                <w:sz w:val="22"/>
                <w:szCs w:val="22"/>
              </w:rPr>
              <w:t>No security requirements are expected in this commission.</w:t>
            </w:r>
            <w:r w:rsidR="00E25E59">
              <w:rPr>
                <w:rFonts w:cs="Arial"/>
                <w:sz w:val="22"/>
                <w:szCs w:val="22"/>
              </w:rPr>
              <w:t xml:space="preserve"> It is not expected that the consultant will hav</w:t>
            </w:r>
            <w:r w:rsidR="00B329B7">
              <w:rPr>
                <w:rFonts w:cs="Arial"/>
                <w:sz w:val="22"/>
                <w:szCs w:val="22"/>
              </w:rPr>
              <w:t>e access to any personal data of</w:t>
            </w:r>
            <w:r w:rsidR="00E25E59">
              <w:rPr>
                <w:rFonts w:cs="Arial"/>
                <w:sz w:val="22"/>
                <w:szCs w:val="22"/>
              </w:rPr>
              <w:t xml:space="preserve"> the ORR network.</w:t>
            </w:r>
          </w:p>
        </w:tc>
      </w:tr>
      <w:tr w:rsidR="00F52BE8" w:rsidRPr="0036077E" w14:paraId="768421F4" w14:textId="77777777" w:rsidTr="00A86302">
        <w:trPr>
          <w:trHeight w:val="566"/>
        </w:trPr>
        <w:tc>
          <w:tcPr>
            <w:tcW w:w="8528" w:type="dxa"/>
            <w:shd w:val="clear" w:color="auto" w:fill="99CCFF"/>
          </w:tcPr>
          <w:p w14:paraId="4392EC68" w14:textId="77777777" w:rsidR="00F52BE8" w:rsidRPr="0036077E" w:rsidRDefault="00F52BE8" w:rsidP="00A86302">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0B0CB328" w14:textId="77777777" w:rsidTr="00A86302">
        <w:trPr>
          <w:trHeight w:val="757"/>
        </w:trPr>
        <w:tc>
          <w:tcPr>
            <w:tcW w:w="8528" w:type="dxa"/>
            <w:tcBorders>
              <w:bottom w:val="single" w:sz="4" w:space="0" w:color="auto"/>
            </w:tcBorders>
            <w:shd w:val="clear" w:color="auto" w:fill="auto"/>
          </w:tcPr>
          <w:p w14:paraId="4617751E" w14:textId="77777777" w:rsidR="00F52BE8" w:rsidRPr="008A4B34" w:rsidRDefault="00F52BE8" w:rsidP="00A86302">
            <w:pPr>
              <w:spacing w:after="0"/>
              <w:rPr>
                <w:rFonts w:cs="Arial"/>
                <w:b/>
                <w:sz w:val="22"/>
                <w:szCs w:val="22"/>
              </w:rPr>
            </w:pPr>
            <w:r w:rsidRPr="008A4B34">
              <w:rPr>
                <w:rFonts w:cs="Arial"/>
                <w:b/>
                <w:sz w:val="22"/>
                <w:szCs w:val="22"/>
              </w:rPr>
              <w:t>Outputs and Deliverables</w:t>
            </w:r>
          </w:p>
          <w:p w14:paraId="0CF4D3E6" w14:textId="77777777" w:rsidR="00F52BE8" w:rsidRPr="0036077E" w:rsidRDefault="00F52BE8" w:rsidP="00A86302">
            <w:pPr>
              <w:spacing w:after="0"/>
              <w:rPr>
                <w:rFonts w:cs="Arial"/>
                <w:sz w:val="22"/>
                <w:szCs w:val="22"/>
              </w:rPr>
            </w:pPr>
          </w:p>
          <w:p w14:paraId="2771C36C" w14:textId="77777777" w:rsidR="00F52BE8" w:rsidRPr="0036077E" w:rsidRDefault="00F52BE8" w:rsidP="00A86302">
            <w:pPr>
              <w:rPr>
                <w:sz w:val="22"/>
                <w:szCs w:val="22"/>
              </w:rPr>
            </w:pPr>
            <w:r w:rsidRPr="0036077E">
              <w:rPr>
                <w:sz w:val="22"/>
                <w:szCs w:val="22"/>
              </w:rPr>
              <w:t>The consultant is to deliver:</w:t>
            </w:r>
          </w:p>
          <w:p w14:paraId="5262C7CC" w14:textId="77777777" w:rsidR="00F52BE8" w:rsidRPr="0036077E" w:rsidRDefault="00F52BE8" w:rsidP="00F52BE8">
            <w:pPr>
              <w:numPr>
                <w:ilvl w:val="0"/>
                <w:numId w:val="1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Interim presentation of emerging findings</w:t>
            </w:r>
          </w:p>
          <w:p w14:paraId="3297B47A" w14:textId="77777777" w:rsidR="00F52BE8" w:rsidRPr="0036077E" w:rsidRDefault="00F52BE8" w:rsidP="00F52BE8">
            <w:pPr>
              <w:numPr>
                <w:ilvl w:val="0"/>
                <w:numId w:val="1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Draft report for comment which details the findings, conclusions and recommendations.  </w:t>
            </w:r>
          </w:p>
          <w:p w14:paraId="00F37E39" w14:textId="77777777" w:rsidR="00F52BE8" w:rsidRPr="0036077E" w:rsidRDefault="00F52BE8" w:rsidP="00F52BE8">
            <w:pPr>
              <w:numPr>
                <w:ilvl w:val="0"/>
                <w:numId w:val="1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Final report which incorporates the amendments from the ORR</w:t>
            </w:r>
          </w:p>
          <w:p w14:paraId="183DF247" w14:textId="77777777" w:rsidR="00F52BE8" w:rsidRDefault="00F52BE8" w:rsidP="00F52BE8">
            <w:pPr>
              <w:numPr>
                <w:ilvl w:val="0"/>
                <w:numId w:val="1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presentation of the findings and recommendations to the ORR</w:t>
            </w:r>
          </w:p>
          <w:p w14:paraId="1B844FA9" w14:textId="77777777" w:rsidR="00F52BE8" w:rsidRDefault="00F52BE8" w:rsidP="00A86302">
            <w:pPr>
              <w:autoSpaceDE w:val="0"/>
              <w:autoSpaceDN w:val="0"/>
              <w:adjustRightInd w:val="0"/>
              <w:spacing w:after="0"/>
              <w:rPr>
                <w:rFonts w:cs="Arial"/>
                <w:color w:val="000000"/>
                <w:sz w:val="22"/>
                <w:szCs w:val="22"/>
                <w:lang w:eastAsia="en-GB"/>
              </w:rPr>
            </w:pPr>
          </w:p>
          <w:p w14:paraId="3DF0B869" w14:textId="77777777" w:rsidR="00F52BE8" w:rsidRPr="008A4B34" w:rsidRDefault="00F52BE8" w:rsidP="00A86302">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56DF6434" w14:textId="77777777" w:rsidR="00F52BE8" w:rsidRDefault="00F52BE8" w:rsidP="00A86302">
            <w:pPr>
              <w:autoSpaceDE w:val="0"/>
              <w:autoSpaceDN w:val="0"/>
              <w:adjustRightInd w:val="0"/>
              <w:spacing w:after="0"/>
              <w:rPr>
                <w:rFonts w:cs="Arial"/>
                <w:color w:val="000000"/>
                <w:sz w:val="22"/>
                <w:szCs w:val="22"/>
                <w:lang w:eastAsia="en-GB"/>
              </w:rPr>
            </w:pPr>
          </w:p>
          <w:p w14:paraId="53140F22" w14:textId="77777777" w:rsidR="00B679D6" w:rsidRDefault="00B679D6" w:rsidP="00A86302">
            <w:p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Due to current recommendation in avoiding unnecessary face-to-face meeting it is envisage that all </w:t>
            </w:r>
            <w:r w:rsidR="004F5C25">
              <w:rPr>
                <w:rFonts w:cs="Arial"/>
                <w:color w:val="000000"/>
                <w:sz w:val="22"/>
                <w:szCs w:val="22"/>
                <w:lang w:eastAsia="en-GB"/>
              </w:rPr>
              <w:t>communication</w:t>
            </w:r>
            <w:r>
              <w:rPr>
                <w:rFonts w:cs="Arial"/>
                <w:color w:val="000000"/>
                <w:sz w:val="22"/>
                <w:szCs w:val="22"/>
                <w:lang w:eastAsia="en-GB"/>
              </w:rPr>
              <w:t xml:space="preserve"> will be via </w:t>
            </w:r>
            <w:r w:rsidR="00007956">
              <w:rPr>
                <w:rFonts w:cs="Arial"/>
                <w:color w:val="000000"/>
                <w:sz w:val="22"/>
                <w:szCs w:val="22"/>
                <w:lang w:eastAsia="en-GB"/>
              </w:rPr>
              <w:t xml:space="preserve">MS </w:t>
            </w:r>
            <w:r>
              <w:rPr>
                <w:rFonts w:cs="Arial"/>
                <w:color w:val="000000"/>
                <w:sz w:val="22"/>
                <w:szCs w:val="22"/>
                <w:lang w:eastAsia="en-GB"/>
              </w:rPr>
              <w:t>Teams or another suitable method.</w:t>
            </w:r>
          </w:p>
          <w:p w14:paraId="439568F0" w14:textId="77777777" w:rsidR="00007956" w:rsidRDefault="00007956" w:rsidP="00A86302">
            <w:pPr>
              <w:autoSpaceDE w:val="0"/>
              <w:autoSpaceDN w:val="0"/>
              <w:adjustRightInd w:val="0"/>
              <w:spacing w:after="0"/>
              <w:rPr>
                <w:rFonts w:cs="Arial"/>
                <w:color w:val="000000"/>
                <w:sz w:val="22"/>
                <w:szCs w:val="22"/>
                <w:lang w:eastAsia="en-GB"/>
              </w:rPr>
            </w:pPr>
          </w:p>
          <w:p w14:paraId="3D52391A" w14:textId="77777777" w:rsidR="00F52BE8" w:rsidRDefault="00007956" w:rsidP="00B679D6">
            <w:pPr>
              <w:autoSpaceDE w:val="0"/>
              <w:autoSpaceDN w:val="0"/>
              <w:adjustRightInd w:val="0"/>
              <w:spacing w:after="0"/>
              <w:rPr>
                <w:rFonts w:cs="Arial"/>
                <w:color w:val="000000"/>
                <w:sz w:val="22"/>
                <w:szCs w:val="22"/>
                <w:lang w:eastAsia="en-GB"/>
              </w:rPr>
            </w:pPr>
            <w:r>
              <w:rPr>
                <w:rFonts w:cs="Arial"/>
                <w:color w:val="000000"/>
                <w:sz w:val="22"/>
                <w:szCs w:val="22"/>
                <w:lang w:eastAsia="en-GB"/>
              </w:rPr>
              <w:t>Whilst this is a relatively short commission we do require that every two weeks the consultant provides a brief verbal update of progress</w:t>
            </w:r>
            <w:r w:rsidR="00BD24D2">
              <w:rPr>
                <w:rFonts w:cs="Arial"/>
                <w:color w:val="000000"/>
                <w:sz w:val="22"/>
                <w:szCs w:val="22"/>
                <w:lang w:eastAsia="en-GB"/>
              </w:rPr>
              <w:t>.</w:t>
            </w:r>
            <w:r>
              <w:rPr>
                <w:rFonts w:cs="Arial"/>
                <w:color w:val="000000"/>
                <w:sz w:val="22"/>
                <w:szCs w:val="22"/>
                <w:lang w:eastAsia="en-GB"/>
              </w:rPr>
              <w:t xml:space="preserve"> </w:t>
            </w:r>
          </w:p>
          <w:p w14:paraId="377127B2" w14:textId="4892A860" w:rsidR="00B329B7" w:rsidRPr="00B329B7" w:rsidRDefault="00B329B7" w:rsidP="00B679D6">
            <w:pPr>
              <w:autoSpaceDE w:val="0"/>
              <w:autoSpaceDN w:val="0"/>
              <w:adjustRightInd w:val="0"/>
              <w:spacing w:after="0"/>
              <w:rPr>
                <w:rFonts w:cs="Arial"/>
                <w:color w:val="000000"/>
                <w:sz w:val="22"/>
                <w:szCs w:val="22"/>
                <w:lang w:eastAsia="en-GB"/>
              </w:rPr>
            </w:pPr>
          </w:p>
        </w:tc>
      </w:tr>
      <w:tr w:rsidR="00F52BE8" w:rsidRPr="0036077E" w14:paraId="502441C1" w14:textId="77777777" w:rsidTr="00A86302">
        <w:trPr>
          <w:trHeight w:val="250"/>
        </w:trPr>
        <w:tc>
          <w:tcPr>
            <w:tcW w:w="8528" w:type="dxa"/>
            <w:shd w:val="clear" w:color="auto" w:fill="99CCFF"/>
          </w:tcPr>
          <w:p w14:paraId="0141B0B2" w14:textId="77777777" w:rsidR="00F52BE8" w:rsidRPr="0036077E" w:rsidRDefault="00F52BE8" w:rsidP="00A86302">
            <w:pPr>
              <w:rPr>
                <w:rFonts w:cs="Arial"/>
                <w:b/>
                <w:sz w:val="28"/>
                <w:szCs w:val="28"/>
              </w:rPr>
            </w:pPr>
            <w:r w:rsidRPr="0036077E">
              <w:rPr>
                <w:rFonts w:cs="Arial"/>
                <w:b/>
                <w:sz w:val="28"/>
                <w:szCs w:val="28"/>
              </w:rPr>
              <w:t>2.4 Project Timescales</w:t>
            </w:r>
          </w:p>
        </w:tc>
      </w:tr>
      <w:tr w:rsidR="00F52BE8" w:rsidRPr="0036077E" w14:paraId="7366E5C9" w14:textId="77777777" w:rsidTr="00A86302">
        <w:trPr>
          <w:trHeight w:val="250"/>
        </w:trPr>
        <w:tc>
          <w:tcPr>
            <w:tcW w:w="8528" w:type="dxa"/>
            <w:tcBorders>
              <w:bottom w:val="single" w:sz="4" w:space="0" w:color="auto"/>
            </w:tcBorders>
            <w:shd w:val="clear" w:color="auto" w:fill="auto"/>
          </w:tcPr>
          <w:p w14:paraId="19FB5F96" w14:textId="77777777" w:rsidR="00F52BE8" w:rsidRPr="0036077E" w:rsidRDefault="00F52BE8" w:rsidP="00A86302">
            <w:pPr>
              <w:rPr>
                <w:rFonts w:cs="Arial"/>
                <w:b/>
                <w:sz w:val="22"/>
                <w:szCs w:val="22"/>
              </w:rPr>
            </w:pPr>
            <w:r w:rsidRPr="0036077E">
              <w:rPr>
                <w:rFonts w:cs="Arial"/>
                <w:b/>
                <w:sz w:val="22"/>
                <w:szCs w:val="22"/>
              </w:rPr>
              <w:t>For example:</w:t>
            </w:r>
          </w:p>
          <w:p w14:paraId="5B8EAD98" w14:textId="692FF492" w:rsidR="00F52BE8" w:rsidRPr="0036077E" w:rsidRDefault="00F52BE8" w:rsidP="00A86302">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r w:rsidR="000808A1">
              <w:rPr>
                <w:rFonts w:cs="Arial"/>
                <w:color w:val="000000"/>
                <w:sz w:val="22"/>
                <w:szCs w:val="22"/>
                <w:lang w:eastAsia="en-GB"/>
              </w:rPr>
              <w:t xml:space="preserve"> (although the consultant may propose a more compressed programme)</w:t>
            </w:r>
            <w:r w:rsidRPr="0036077E">
              <w:rPr>
                <w:rFonts w:cs="Arial"/>
                <w:color w:val="000000"/>
                <w:sz w:val="22"/>
                <w:szCs w:val="22"/>
                <w:lang w:eastAsia="en-GB"/>
              </w:rPr>
              <w:t>:</w:t>
            </w:r>
          </w:p>
          <w:p w14:paraId="0BA69197" w14:textId="6121A2E7" w:rsidR="00F52BE8" w:rsidRPr="0036077E" w:rsidRDefault="00B329B7"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Start-</w:t>
            </w:r>
            <w:r w:rsidR="00F52BE8" w:rsidRPr="0036077E">
              <w:rPr>
                <w:rFonts w:cs="Arial"/>
                <w:color w:val="000000"/>
                <w:sz w:val="22"/>
                <w:szCs w:val="22"/>
                <w:lang w:eastAsia="en-GB"/>
              </w:rPr>
              <w:t xml:space="preserve">up meeting and commencement w/c </w:t>
            </w:r>
            <w:r w:rsidR="000808A1">
              <w:rPr>
                <w:rFonts w:cs="Arial"/>
                <w:color w:val="000000"/>
                <w:sz w:val="22"/>
                <w:szCs w:val="22"/>
                <w:lang w:eastAsia="en-GB"/>
              </w:rPr>
              <w:t>13 September 2020</w:t>
            </w:r>
          </w:p>
          <w:p w14:paraId="102BFA84" w14:textId="77777777" w:rsidR="00F52BE8" w:rsidRPr="0036077E" w:rsidRDefault="00E9262A"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Bi-weekly (once every two weeks)</w:t>
            </w:r>
            <w:r w:rsidR="00F52BE8" w:rsidRPr="0036077E">
              <w:rPr>
                <w:rFonts w:cs="Arial"/>
                <w:color w:val="000000"/>
                <w:sz w:val="22"/>
                <w:szCs w:val="22"/>
                <w:lang w:eastAsia="en-GB"/>
              </w:rPr>
              <w:t xml:space="preserve"> updates on progress and any issues</w:t>
            </w:r>
          </w:p>
          <w:p w14:paraId="02365753" w14:textId="4172D319"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Presentation of interim findings on </w:t>
            </w:r>
            <w:r w:rsidR="000808A1">
              <w:rPr>
                <w:rFonts w:cs="Arial"/>
                <w:color w:val="000000"/>
                <w:sz w:val="22"/>
                <w:szCs w:val="22"/>
                <w:lang w:eastAsia="en-GB"/>
              </w:rPr>
              <w:t>18 October 2020</w:t>
            </w:r>
            <w:r w:rsidRPr="0036077E">
              <w:rPr>
                <w:rFonts w:cs="Arial"/>
                <w:color w:val="000000"/>
                <w:sz w:val="22"/>
                <w:szCs w:val="22"/>
                <w:lang w:eastAsia="en-GB"/>
              </w:rPr>
              <w:t xml:space="preserve"> (or as agreed)</w:t>
            </w:r>
          </w:p>
          <w:p w14:paraId="79C0B58F" w14:textId="4C69298D"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Draft report by </w:t>
            </w:r>
            <w:r w:rsidR="00A8697E">
              <w:rPr>
                <w:rFonts w:cs="Arial"/>
                <w:color w:val="000000"/>
                <w:sz w:val="22"/>
                <w:szCs w:val="22"/>
                <w:lang w:eastAsia="en-GB"/>
              </w:rPr>
              <w:t>0</w:t>
            </w:r>
            <w:r w:rsidR="000808A1">
              <w:rPr>
                <w:rFonts w:cs="Arial"/>
                <w:color w:val="000000"/>
                <w:sz w:val="22"/>
                <w:szCs w:val="22"/>
                <w:lang w:eastAsia="en-GB"/>
              </w:rPr>
              <w:t>1 November 2020</w:t>
            </w:r>
          </w:p>
          <w:p w14:paraId="710227CF" w14:textId="5D9CDF9E" w:rsidR="00F52BE8"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Final report by the </w:t>
            </w:r>
            <w:r w:rsidR="000808A1">
              <w:rPr>
                <w:rFonts w:cs="Arial"/>
                <w:color w:val="000000"/>
                <w:sz w:val="22"/>
                <w:szCs w:val="22"/>
                <w:lang w:eastAsia="en-GB"/>
              </w:rPr>
              <w:t>15 November 2020</w:t>
            </w:r>
          </w:p>
          <w:p w14:paraId="7ABE2083" w14:textId="77777777" w:rsidR="00F52BE8" w:rsidRDefault="00F52BE8" w:rsidP="00A86302">
            <w:pPr>
              <w:autoSpaceDE w:val="0"/>
              <w:autoSpaceDN w:val="0"/>
              <w:adjustRightInd w:val="0"/>
              <w:spacing w:after="0"/>
              <w:rPr>
                <w:rFonts w:cs="Arial"/>
                <w:color w:val="000000"/>
                <w:sz w:val="22"/>
                <w:szCs w:val="22"/>
                <w:lang w:eastAsia="en-GB"/>
              </w:rPr>
            </w:pPr>
          </w:p>
          <w:p w14:paraId="6AF24C94" w14:textId="77777777" w:rsidR="00F52BE8" w:rsidRDefault="00F52BE8" w:rsidP="00A86302">
            <w:pPr>
              <w:autoSpaceDE w:val="0"/>
              <w:autoSpaceDN w:val="0"/>
              <w:adjustRightInd w:val="0"/>
              <w:spacing w:after="0"/>
              <w:rPr>
                <w:rFonts w:cs="Arial"/>
                <w:b/>
                <w:color w:val="000000"/>
                <w:sz w:val="22"/>
                <w:szCs w:val="22"/>
                <w:lang w:eastAsia="en-GB"/>
              </w:rPr>
            </w:pPr>
            <w:r>
              <w:rPr>
                <w:rFonts w:cs="Arial"/>
                <w:b/>
                <w:color w:val="000000"/>
                <w:sz w:val="22"/>
                <w:szCs w:val="22"/>
                <w:lang w:eastAsia="en-GB"/>
              </w:rPr>
              <w:t xml:space="preserve">Extension option: </w:t>
            </w:r>
          </w:p>
          <w:p w14:paraId="3DB08476" w14:textId="148C311E" w:rsidR="00F52BE8" w:rsidRDefault="00F52BE8" w:rsidP="00A86302">
            <w:pPr>
              <w:autoSpaceDE w:val="0"/>
              <w:autoSpaceDN w:val="0"/>
              <w:adjustRightInd w:val="0"/>
              <w:spacing w:after="0"/>
              <w:rPr>
                <w:rFonts w:cs="Arial"/>
                <w:b/>
                <w:color w:val="FF0000"/>
                <w:sz w:val="22"/>
                <w:szCs w:val="22"/>
              </w:rPr>
            </w:pPr>
          </w:p>
          <w:p w14:paraId="3B837187" w14:textId="1A323E49" w:rsidR="00F52BE8" w:rsidRPr="00A8697E" w:rsidRDefault="00F52BE8" w:rsidP="00A86302">
            <w:pPr>
              <w:autoSpaceDE w:val="0"/>
              <w:autoSpaceDN w:val="0"/>
              <w:adjustRightInd w:val="0"/>
              <w:spacing w:after="0"/>
              <w:rPr>
                <w:rFonts w:cs="Arial"/>
                <w:color w:val="000000"/>
                <w:sz w:val="22"/>
                <w:szCs w:val="22"/>
                <w:lang w:eastAsia="en-GB"/>
              </w:rPr>
            </w:pPr>
            <w:r w:rsidRPr="005C0295">
              <w:rPr>
                <w:rFonts w:cs="Arial"/>
                <w:color w:val="000000"/>
                <w:sz w:val="22"/>
                <w:szCs w:val="22"/>
                <w:lang w:eastAsia="en-GB"/>
              </w:rPr>
              <w:t>Subject to mutual ag</w:t>
            </w:r>
            <w:r>
              <w:rPr>
                <w:rFonts w:cs="Arial"/>
                <w:color w:val="000000"/>
                <w:sz w:val="22"/>
                <w:szCs w:val="22"/>
                <w:lang w:eastAsia="en-GB"/>
              </w:rPr>
              <w:t xml:space="preserve">reement between the two parties the contract let as a result of this tender may be extended for the provision of similar or complimentary goods or services, up to the </w:t>
            </w:r>
            <w:r w:rsidR="00E9262A">
              <w:rPr>
                <w:rFonts w:cs="Arial"/>
                <w:color w:val="000000"/>
                <w:sz w:val="22"/>
                <w:szCs w:val="22"/>
                <w:lang w:eastAsia="en-GB"/>
              </w:rPr>
              <w:t>one</w:t>
            </w:r>
            <w:r>
              <w:rPr>
                <w:rFonts w:cs="Arial"/>
                <w:color w:val="000000"/>
                <w:sz w:val="22"/>
                <w:szCs w:val="22"/>
                <w:lang w:eastAsia="en-GB"/>
              </w:rPr>
              <w:t xml:space="preserve"> month(s) and £</w:t>
            </w:r>
            <w:r w:rsidR="00E9262A">
              <w:rPr>
                <w:rFonts w:cs="Arial"/>
                <w:color w:val="000000"/>
                <w:sz w:val="22"/>
                <w:szCs w:val="22"/>
                <w:lang w:eastAsia="en-GB"/>
              </w:rPr>
              <w:t>5</w:t>
            </w:r>
            <w:r>
              <w:rPr>
                <w:rFonts w:cs="Arial"/>
                <w:color w:val="000000"/>
                <w:sz w:val="22"/>
                <w:szCs w:val="22"/>
                <w:lang w:eastAsia="en-GB"/>
              </w:rPr>
              <w:t>,</w:t>
            </w:r>
            <w:r w:rsidR="00E9262A">
              <w:rPr>
                <w:rFonts w:cs="Arial"/>
                <w:color w:val="000000"/>
                <w:sz w:val="22"/>
                <w:szCs w:val="22"/>
                <w:lang w:eastAsia="en-GB"/>
              </w:rPr>
              <w:t>000</w:t>
            </w:r>
            <w:r>
              <w:rPr>
                <w:rFonts w:cs="Arial"/>
                <w:color w:val="000000"/>
                <w:sz w:val="22"/>
                <w:szCs w:val="22"/>
                <w:lang w:eastAsia="en-GB"/>
              </w:rPr>
              <w:t xml:space="preserve"> excluding VAT. </w:t>
            </w:r>
          </w:p>
          <w:p w14:paraId="3CA725EE" w14:textId="77777777" w:rsidR="00F52BE8" w:rsidRPr="0036077E" w:rsidRDefault="00F52BE8" w:rsidP="00A86302">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F52BE8" w:rsidRPr="0036077E" w14:paraId="4F48600A" w14:textId="77777777" w:rsidTr="00A86302">
        <w:trPr>
          <w:trHeight w:val="129"/>
        </w:trPr>
        <w:tc>
          <w:tcPr>
            <w:tcW w:w="8528" w:type="dxa"/>
            <w:shd w:val="clear" w:color="auto" w:fill="99CCFF"/>
          </w:tcPr>
          <w:p w14:paraId="4D8A576A" w14:textId="77777777" w:rsidR="00F52BE8" w:rsidRPr="0036077E" w:rsidRDefault="00F52BE8" w:rsidP="00A86302">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294E7F8C" w14:textId="77777777" w:rsidTr="00A86302">
        <w:trPr>
          <w:trHeight w:val="127"/>
        </w:trPr>
        <w:tc>
          <w:tcPr>
            <w:tcW w:w="8528" w:type="dxa"/>
            <w:tcBorders>
              <w:bottom w:val="single" w:sz="4" w:space="0" w:color="auto"/>
            </w:tcBorders>
            <w:shd w:val="clear" w:color="auto" w:fill="auto"/>
          </w:tcPr>
          <w:p w14:paraId="5E6CD211" w14:textId="77777777" w:rsidR="00F52BE8" w:rsidRDefault="00F52BE8" w:rsidP="00A86302">
            <w:pPr>
              <w:rPr>
                <w:rFonts w:cs="Arial"/>
                <w:color w:val="000000"/>
                <w:sz w:val="22"/>
                <w:szCs w:val="22"/>
              </w:rPr>
            </w:pPr>
            <w:r w:rsidRPr="0036077E">
              <w:rPr>
                <w:sz w:val="22"/>
                <w:szCs w:val="22"/>
              </w:rPr>
              <w:t>The maximum budget for this piece of work is £</w:t>
            </w:r>
            <w:r w:rsidR="00E9262A">
              <w:rPr>
                <w:sz w:val="22"/>
                <w:szCs w:val="22"/>
              </w:rPr>
              <w:t>15,000</w:t>
            </w:r>
            <w:r w:rsidRPr="0036077E">
              <w:rPr>
                <w:sz w:val="22"/>
                <w:szCs w:val="22"/>
              </w:rPr>
              <w:t xml:space="preserve"> (</w:t>
            </w:r>
            <w:r w:rsidR="00951FB1" w:rsidRPr="0036077E">
              <w:rPr>
                <w:sz w:val="22"/>
                <w:szCs w:val="22"/>
              </w:rPr>
              <w:t>Inc.</w:t>
            </w:r>
            <w:r w:rsidRPr="0036077E">
              <w:rPr>
                <w:sz w:val="22"/>
                <w:szCs w:val="22"/>
              </w:rPr>
              <w:t xml:space="preserve"> of expenses, exc. of VAT), </w:t>
            </w:r>
            <w:r w:rsidRPr="0036077E">
              <w:rPr>
                <w:rFonts w:cs="Arial"/>
                <w:color w:val="000000"/>
                <w:sz w:val="22"/>
                <w:szCs w:val="22"/>
              </w:rPr>
              <w:t>however ORR expects bids to be significantly below this threshold.</w:t>
            </w:r>
          </w:p>
          <w:p w14:paraId="660A0429" w14:textId="2F4514B4" w:rsidR="00F52BE8" w:rsidRPr="00A8697E" w:rsidRDefault="00B95909" w:rsidP="00A86302">
            <w:pPr>
              <w:rPr>
                <w:rFonts w:cs="Arial"/>
                <w:sz w:val="22"/>
                <w:szCs w:val="22"/>
              </w:rPr>
            </w:pPr>
            <w:r>
              <w:rPr>
                <w:rFonts w:cs="Arial"/>
                <w:sz w:val="22"/>
                <w:szCs w:val="22"/>
              </w:rPr>
              <w:t>P</w:t>
            </w:r>
            <w:r w:rsidR="00F52BE8">
              <w:rPr>
                <w:rFonts w:cs="Arial"/>
                <w:sz w:val="22"/>
                <w:szCs w:val="22"/>
              </w:rPr>
              <w:t xml:space="preserve">ayment of the total fee will be on the delivery and acceptance by ORR </w:t>
            </w:r>
            <w:r w:rsidR="00951FB1">
              <w:rPr>
                <w:rFonts w:cs="Arial"/>
                <w:sz w:val="22"/>
                <w:szCs w:val="22"/>
              </w:rPr>
              <w:t>of the</w:t>
            </w:r>
            <w:r w:rsidR="00007956">
              <w:rPr>
                <w:rFonts w:cs="Arial"/>
                <w:sz w:val="22"/>
                <w:szCs w:val="22"/>
              </w:rPr>
              <w:t xml:space="preserve"> final report.</w:t>
            </w:r>
          </w:p>
        </w:tc>
      </w:tr>
      <w:tr w:rsidR="00F52BE8" w:rsidRPr="0036077E" w14:paraId="1E6E29CA" w14:textId="77777777" w:rsidTr="00A86302">
        <w:trPr>
          <w:trHeight w:val="127"/>
        </w:trPr>
        <w:tc>
          <w:tcPr>
            <w:tcW w:w="8528" w:type="dxa"/>
            <w:shd w:val="clear" w:color="auto" w:fill="99CCFF"/>
          </w:tcPr>
          <w:p w14:paraId="437FF1DB" w14:textId="77777777" w:rsidR="00F52BE8" w:rsidRPr="0036077E" w:rsidRDefault="00F52BE8" w:rsidP="00A86302">
            <w:pPr>
              <w:rPr>
                <w:rFonts w:cs="Arial"/>
                <w:b/>
                <w:sz w:val="28"/>
                <w:szCs w:val="28"/>
              </w:rPr>
            </w:pPr>
            <w:r w:rsidRPr="0036077E">
              <w:rPr>
                <w:rFonts w:cs="Arial"/>
                <w:b/>
                <w:sz w:val="28"/>
                <w:szCs w:val="28"/>
              </w:rPr>
              <w:t>2.6 Further project related information for bidders</w:t>
            </w:r>
          </w:p>
        </w:tc>
      </w:tr>
      <w:tr w:rsidR="00F52BE8" w:rsidRPr="0036077E" w14:paraId="5A1BAB55" w14:textId="77777777" w:rsidTr="00A86302">
        <w:trPr>
          <w:trHeight w:val="127"/>
        </w:trPr>
        <w:tc>
          <w:tcPr>
            <w:tcW w:w="8528" w:type="dxa"/>
            <w:shd w:val="clear" w:color="auto" w:fill="auto"/>
          </w:tcPr>
          <w:p w14:paraId="2C797A48" w14:textId="16656633" w:rsidR="00F52BE8" w:rsidRDefault="00F52BE8" w:rsidP="00A86302">
            <w:pPr>
              <w:pStyle w:val="ListNumber"/>
              <w:numPr>
                <w:ilvl w:val="0"/>
                <w:numId w:val="0"/>
              </w:numPr>
              <w:tabs>
                <w:tab w:val="clear" w:pos="720"/>
              </w:tabs>
              <w:spacing w:before="0"/>
              <w:rPr>
                <w:b/>
                <w:sz w:val="22"/>
                <w:szCs w:val="22"/>
              </w:rPr>
            </w:pPr>
            <w:r>
              <w:rPr>
                <w:b/>
                <w:sz w:val="22"/>
                <w:szCs w:val="22"/>
              </w:rPr>
              <w:t>Transparency requirements</w:t>
            </w:r>
          </w:p>
          <w:p w14:paraId="4B54EE0E" w14:textId="77777777" w:rsidR="00F52BE8" w:rsidRPr="003974B6" w:rsidRDefault="00F52BE8" w:rsidP="00A86302">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w:t>
            </w:r>
            <w:r>
              <w:rPr>
                <w:sz w:val="22"/>
                <w:szCs w:val="22"/>
              </w:rPr>
              <w:lastRenderedPageBreak/>
              <w:t xml:space="preserve">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43D6E06" w14:textId="77777777" w:rsidR="00F52BE8" w:rsidRPr="0036077E" w:rsidRDefault="00F52BE8" w:rsidP="00A86302">
            <w:pPr>
              <w:pStyle w:val="ListNumber"/>
              <w:numPr>
                <w:ilvl w:val="0"/>
                <w:numId w:val="0"/>
              </w:numPr>
              <w:spacing w:before="0" w:after="0"/>
              <w:rPr>
                <w:sz w:val="22"/>
                <w:szCs w:val="22"/>
              </w:rPr>
            </w:pPr>
          </w:p>
          <w:p w14:paraId="13B294FA" w14:textId="77777777" w:rsidR="00F52BE8" w:rsidRPr="00907369" w:rsidRDefault="00F52BE8" w:rsidP="00A86302">
            <w:pPr>
              <w:pStyle w:val="ListNumber"/>
              <w:numPr>
                <w:ilvl w:val="0"/>
                <w:numId w:val="0"/>
              </w:numPr>
              <w:spacing w:before="0" w:after="0"/>
              <w:rPr>
                <w:b/>
                <w:sz w:val="22"/>
                <w:szCs w:val="22"/>
              </w:rPr>
            </w:pPr>
            <w:r w:rsidRPr="00907369">
              <w:rPr>
                <w:b/>
                <w:sz w:val="22"/>
                <w:szCs w:val="22"/>
              </w:rPr>
              <w:t>Sub-Contractors</w:t>
            </w:r>
          </w:p>
          <w:p w14:paraId="450A0885" w14:textId="77777777" w:rsidR="00F52BE8" w:rsidRPr="00907369" w:rsidRDefault="00F52BE8" w:rsidP="00A86302">
            <w:pPr>
              <w:pStyle w:val="ListNumber"/>
              <w:numPr>
                <w:ilvl w:val="0"/>
                <w:numId w:val="0"/>
              </w:numPr>
              <w:spacing w:before="0" w:after="0"/>
              <w:rPr>
                <w:b/>
                <w:sz w:val="22"/>
                <w:szCs w:val="22"/>
              </w:rPr>
            </w:pPr>
          </w:p>
          <w:p w14:paraId="2CF5BE05" w14:textId="77777777" w:rsidR="00F52BE8" w:rsidRPr="00907369" w:rsidRDefault="00F52BE8" w:rsidP="00A86302">
            <w:pPr>
              <w:pStyle w:val="ListNumber2"/>
              <w:numPr>
                <w:ilvl w:val="0"/>
                <w:numId w:val="0"/>
              </w:numPr>
              <w:rPr>
                <w:sz w:val="22"/>
                <w:szCs w:val="22"/>
              </w:rPr>
            </w:pPr>
            <w:r w:rsidRPr="00907369">
              <w:rPr>
                <w:sz w:val="22"/>
                <w:szCs w:val="22"/>
              </w:rPr>
              <w:t xml:space="preserve">  Contractors may use sub-contractors subject to the following:</w:t>
            </w:r>
          </w:p>
          <w:p w14:paraId="6A878847"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6C83EA0D"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1BB6E1E5" w14:textId="77777777" w:rsidR="00F52BE8" w:rsidRPr="00907369" w:rsidRDefault="00F52BE8" w:rsidP="00A86302">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5204DAB1" w14:textId="77777777" w:rsidR="00F52BE8" w:rsidRPr="0036077E" w:rsidRDefault="00F52BE8" w:rsidP="00A86302">
            <w:pPr>
              <w:pStyle w:val="ListNumber"/>
              <w:numPr>
                <w:ilvl w:val="0"/>
                <w:numId w:val="0"/>
              </w:numPr>
              <w:spacing w:before="0" w:after="0"/>
              <w:rPr>
                <w:b/>
              </w:rPr>
            </w:pPr>
          </w:p>
          <w:p w14:paraId="1F46A39A"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3FF029D" w14:textId="77777777" w:rsidR="00907369" w:rsidRPr="00907369" w:rsidRDefault="00907369" w:rsidP="00907369">
            <w:pPr>
              <w:pStyle w:val="BodyTextIndent"/>
              <w:spacing w:after="0"/>
              <w:rPr>
                <w:rFonts w:cs="Arial"/>
                <w:sz w:val="22"/>
                <w:szCs w:val="22"/>
              </w:rPr>
            </w:pPr>
          </w:p>
          <w:p w14:paraId="19143FAB"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38DB35B3" w14:textId="77777777" w:rsidR="00D74997" w:rsidRPr="00D74997" w:rsidRDefault="00D74997" w:rsidP="00D74997">
            <w:pPr>
              <w:pStyle w:val="BodyTextIndent"/>
              <w:spacing w:after="0"/>
              <w:ind w:left="0"/>
              <w:rPr>
                <w:rFonts w:cs="Arial"/>
                <w:sz w:val="22"/>
                <w:szCs w:val="22"/>
              </w:rPr>
            </w:pPr>
          </w:p>
          <w:p w14:paraId="4CA7DECE"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5F1B6950" w14:textId="77777777" w:rsidR="00D74997" w:rsidRPr="00D74997" w:rsidRDefault="00D74997" w:rsidP="00D74997">
            <w:pPr>
              <w:pStyle w:val="BodyTextIndent"/>
              <w:spacing w:after="0"/>
              <w:ind w:left="0"/>
              <w:rPr>
                <w:rFonts w:cs="Arial"/>
                <w:sz w:val="22"/>
                <w:szCs w:val="22"/>
              </w:rPr>
            </w:pPr>
          </w:p>
          <w:p w14:paraId="0C98B9C6" w14:textId="7A3AEE30" w:rsidR="00F52BE8" w:rsidRPr="00A8697E" w:rsidRDefault="00D74997" w:rsidP="00A8697E">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tc>
      </w:tr>
    </w:tbl>
    <w:p w14:paraId="7288C3E0"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47983FC1" w14:textId="77777777" w:rsidTr="00A86302">
        <w:tc>
          <w:tcPr>
            <w:tcW w:w="8528" w:type="dxa"/>
            <w:shd w:val="clear" w:color="auto" w:fill="99CCFF"/>
          </w:tcPr>
          <w:p w14:paraId="03CF6D14" w14:textId="77777777" w:rsidR="00F52BE8" w:rsidRPr="0036077E" w:rsidRDefault="00F52BE8" w:rsidP="00A86302">
            <w:pPr>
              <w:rPr>
                <w:rFonts w:cs="Arial"/>
                <w:b/>
                <w:sz w:val="28"/>
                <w:szCs w:val="28"/>
              </w:rPr>
            </w:pPr>
            <w:r w:rsidRPr="0036077E">
              <w:rPr>
                <w:rFonts w:cs="Arial"/>
                <w:b/>
                <w:sz w:val="28"/>
                <w:szCs w:val="28"/>
              </w:rPr>
              <w:t>3.1 The Tender Response</w:t>
            </w:r>
          </w:p>
        </w:tc>
      </w:tr>
      <w:tr w:rsidR="00F52BE8" w:rsidRPr="0036077E" w14:paraId="22DD3461" w14:textId="77777777" w:rsidTr="00A86302">
        <w:trPr>
          <w:trHeight w:val="5730"/>
        </w:trPr>
        <w:tc>
          <w:tcPr>
            <w:tcW w:w="8528" w:type="dxa"/>
            <w:tcBorders>
              <w:bottom w:val="single" w:sz="4" w:space="0" w:color="auto"/>
            </w:tcBorders>
            <w:shd w:val="clear" w:color="auto" w:fill="auto"/>
          </w:tcPr>
          <w:p w14:paraId="36D29E63" w14:textId="77777777" w:rsidR="00F52BE8" w:rsidRPr="0036077E" w:rsidRDefault="00F52BE8" w:rsidP="00A86302">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49131C8C" w14:textId="77777777" w:rsidR="00F52BE8" w:rsidRPr="0036077E" w:rsidRDefault="00F52BE8" w:rsidP="00A86302">
            <w:pPr>
              <w:pStyle w:val="Default"/>
              <w:rPr>
                <w:sz w:val="22"/>
                <w:szCs w:val="22"/>
              </w:rPr>
            </w:pPr>
            <w:r w:rsidRPr="0036077E">
              <w:rPr>
                <w:b/>
                <w:bCs/>
                <w:sz w:val="22"/>
                <w:szCs w:val="22"/>
              </w:rPr>
              <w:t xml:space="preserve">a) Understanding of customer's requirements </w:t>
            </w:r>
          </w:p>
          <w:p w14:paraId="7D3B05DD" w14:textId="77777777" w:rsidR="00F52BE8" w:rsidRPr="0036077E" w:rsidRDefault="00F52BE8" w:rsidP="00A86302">
            <w:pPr>
              <w:autoSpaceDE w:val="0"/>
              <w:autoSpaceDN w:val="0"/>
              <w:adjustRightInd w:val="0"/>
              <w:spacing w:after="0"/>
              <w:rPr>
                <w:rFonts w:cs="Arial"/>
                <w:color w:val="000000"/>
                <w:sz w:val="22"/>
                <w:szCs w:val="22"/>
                <w:lang w:eastAsia="en-GB"/>
              </w:rPr>
            </w:pPr>
          </w:p>
          <w:p w14:paraId="5C5CFBC6"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7633CAF2" w14:textId="77777777" w:rsidR="00F52BE8" w:rsidRPr="0036077E" w:rsidRDefault="00F52BE8" w:rsidP="00A86302">
            <w:pPr>
              <w:autoSpaceDE w:val="0"/>
              <w:autoSpaceDN w:val="0"/>
              <w:adjustRightInd w:val="0"/>
              <w:spacing w:after="0"/>
              <w:rPr>
                <w:rFonts w:cs="Arial"/>
                <w:color w:val="000000"/>
                <w:sz w:val="22"/>
                <w:szCs w:val="22"/>
                <w:lang w:eastAsia="en-GB"/>
              </w:rPr>
            </w:pPr>
          </w:p>
          <w:p w14:paraId="3BFD94F5" w14:textId="77777777" w:rsidR="00F52BE8" w:rsidRPr="0036077E" w:rsidRDefault="00F52BE8" w:rsidP="00A86302">
            <w:pPr>
              <w:rPr>
                <w:rFonts w:cs="Arial"/>
                <w:sz w:val="22"/>
                <w:szCs w:val="22"/>
              </w:rPr>
            </w:pPr>
            <w:r w:rsidRPr="0036077E">
              <w:rPr>
                <w:rFonts w:cs="Arial"/>
                <w:b/>
                <w:bCs/>
                <w:color w:val="000000"/>
                <w:sz w:val="22"/>
                <w:szCs w:val="22"/>
                <w:lang w:eastAsia="en-GB"/>
              </w:rPr>
              <w:t>b) Approach to customer's requirements</w:t>
            </w:r>
          </w:p>
          <w:p w14:paraId="0A485C57"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r w:rsidR="00B679D6">
              <w:rPr>
                <w:sz w:val="22"/>
                <w:szCs w:val="22"/>
              </w:rPr>
              <w:t>, including the identification of proposed comparison industries</w:t>
            </w:r>
            <w:r w:rsidR="004F5C25">
              <w:rPr>
                <w:sz w:val="22"/>
                <w:szCs w:val="22"/>
              </w:rPr>
              <w:t>/organisations</w:t>
            </w:r>
            <w:r w:rsidRPr="0036077E">
              <w:rPr>
                <w:sz w:val="22"/>
                <w:szCs w:val="22"/>
              </w:rPr>
              <w:t>;</w:t>
            </w:r>
          </w:p>
          <w:p w14:paraId="150B2736" w14:textId="77777777" w:rsidR="00F52BE8" w:rsidRPr="0036077E" w:rsidRDefault="00F52BE8" w:rsidP="00A86302">
            <w:pPr>
              <w:autoSpaceDE w:val="0"/>
              <w:autoSpaceDN w:val="0"/>
              <w:adjustRightInd w:val="0"/>
              <w:spacing w:after="0"/>
              <w:rPr>
                <w:rFonts w:cs="Arial"/>
                <w:color w:val="000000"/>
                <w:sz w:val="22"/>
                <w:szCs w:val="22"/>
                <w:lang w:eastAsia="en-GB"/>
              </w:rPr>
            </w:pPr>
          </w:p>
          <w:p w14:paraId="67EBFF88"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63B6F818"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7D589BF0" w14:textId="77777777" w:rsidR="00F52BE8" w:rsidRPr="0036077E" w:rsidRDefault="00F52BE8" w:rsidP="00A86302">
            <w:pPr>
              <w:pStyle w:val="ListNumber"/>
              <w:numPr>
                <w:ilvl w:val="0"/>
                <w:numId w:val="0"/>
              </w:numPr>
              <w:rPr>
                <w:b/>
                <w:bCs/>
                <w:sz w:val="22"/>
                <w:szCs w:val="22"/>
              </w:rPr>
            </w:pPr>
            <w:r w:rsidRPr="00A8697E">
              <w:rPr>
                <w:b/>
                <w:sz w:val="22"/>
                <w:szCs w:val="22"/>
              </w:rPr>
              <w:t>c)</w:t>
            </w:r>
            <w:r w:rsidRPr="0036077E">
              <w:rPr>
                <w:sz w:val="22"/>
                <w:szCs w:val="22"/>
              </w:rPr>
              <w:t xml:space="preserve">  </w:t>
            </w:r>
            <w:r w:rsidRPr="0036077E">
              <w:rPr>
                <w:b/>
                <w:bCs/>
                <w:sz w:val="22"/>
                <w:szCs w:val="22"/>
              </w:rPr>
              <w:t>Proposed delivery team</w:t>
            </w:r>
          </w:p>
          <w:p w14:paraId="4B63439E" w14:textId="77777777" w:rsidR="00F52BE8" w:rsidRPr="0036077E" w:rsidRDefault="00F52BE8" w:rsidP="00A86302">
            <w:pPr>
              <w:autoSpaceDE w:val="0"/>
              <w:autoSpaceDN w:val="0"/>
              <w:adjustRightInd w:val="0"/>
              <w:spacing w:after="0"/>
              <w:rPr>
                <w:rFonts w:cs="Arial"/>
                <w:color w:val="000000"/>
                <w:sz w:val="22"/>
                <w:szCs w:val="22"/>
                <w:lang w:eastAsia="en-GB"/>
              </w:rPr>
            </w:pPr>
          </w:p>
          <w:p w14:paraId="3A25E0F0"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5A33172D" w14:textId="77777777" w:rsidR="00F52BE8" w:rsidRPr="0036077E" w:rsidRDefault="00F52BE8" w:rsidP="00A86302">
            <w:pPr>
              <w:autoSpaceDE w:val="0"/>
              <w:autoSpaceDN w:val="0"/>
              <w:adjustRightInd w:val="0"/>
              <w:spacing w:after="0"/>
              <w:rPr>
                <w:rFonts w:cs="Arial"/>
                <w:color w:val="000000"/>
                <w:sz w:val="22"/>
                <w:szCs w:val="22"/>
                <w:lang w:eastAsia="en-GB"/>
              </w:rPr>
            </w:pPr>
          </w:p>
          <w:p w14:paraId="750CF7D4"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0D8C8218" w14:textId="77777777" w:rsidR="00F52BE8" w:rsidRPr="00C251D3" w:rsidRDefault="00F52BE8" w:rsidP="00A86302">
            <w:pPr>
              <w:autoSpaceDE w:val="0"/>
              <w:autoSpaceDN w:val="0"/>
              <w:adjustRightInd w:val="0"/>
              <w:spacing w:after="0"/>
              <w:ind w:left="360"/>
              <w:rPr>
                <w:rFonts w:cs="Arial"/>
                <w:color w:val="000000"/>
                <w:sz w:val="22"/>
                <w:szCs w:val="22"/>
                <w:lang w:eastAsia="en-GB"/>
              </w:rPr>
            </w:pPr>
          </w:p>
          <w:p w14:paraId="626792C8" w14:textId="77777777" w:rsidR="00F52BE8" w:rsidRPr="00C251D3" w:rsidRDefault="00F52BE8" w:rsidP="00F52BE8">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3A76E81C" w14:textId="77777777" w:rsidR="00B679D6" w:rsidRDefault="00B679D6" w:rsidP="00B679D6">
            <w:pPr>
              <w:ind w:left="360"/>
              <w:rPr>
                <w:rFonts w:cs="Arial"/>
                <w:sz w:val="22"/>
                <w:szCs w:val="22"/>
              </w:rPr>
            </w:pPr>
          </w:p>
          <w:p w14:paraId="7EB351C2" w14:textId="77777777" w:rsidR="00F52BE8" w:rsidRPr="0036077E" w:rsidRDefault="00F52BE8" w:rsidP="00F52BE8">
            <w:pPr>
              <w:numPr>
                <w:ilvl w:val="0"/>
                <w:numId w:val="6"/>
              </w:numPr>
              <w:rPr>
                <w:rFonts w:cs="Arial"/>
                <w:sz w:val="22"/>
                <w:szCs w:val="22"/>
              </w:rPr>
            </w:pPr>
            <w:r w:rsidRPr="0036077E">
              <w:rPr>
                <w:rFonts w:cs="Arial"/>
                <w:sz w:val="22"/>
                <w:szCs w:val="22"/>
              </w:rPr>
              <w:t>Some relevant examples of previous work that bidders have carried out (</w:t>
            </w:r>
            <w:r w:rsidR="00951FB1" w:rsidRPr="0036077E">
              <w:rPr>
                <w:rFonts w:cs="Arial"/>
                <w:sz w:val="22"/>
                <w:szCs w:val="22"/>
              </w:rPr>
              <w:t>e.g.</w:t>
            </w:r>
            <w:r w:rsidRPr="0036077E">
              <w:rPr>
                <w:rFonts w:cs="Arial"/>
                <w:sz w:val="22"/>
                <w:szCs w:val="22"/>
              </w:rPr>
              <w:t xml:space="preserve"> case studies) </w:t>
            </w:r>
          </w:p>
          <w:p w14:paraId="40548CA4" w14:textId="77777777" w:rsidR="00F52BE8" w:rsidRPr="0036077E" w:rsidRDefault="00F52BE8" w:rsidP="00A86302">
            <w:pPr>
              <w:rPr>
                <w:rFonts w:cs="Arial"/>
                <w:b/>
                <w:sz w:val="22"/>
                <w:szCs w:val="22"/>
              </w:rPr>
            </w:pPr>
            <w:r w:rsidRPr="0036077E">
              <w:rPr>
                <w:rFonts w:cs="Arial"/>
                <w:b/>
                <w:sz w:val="22"/>
                <w:szCs w:val="22"/>
              </w:rPr>
              <w:t>d) Pricing</w:t>
            </w:r>
          </w:p>
          <w:p w14:paraId="06A45183" w14:textId="77777777" w:rsidR="00F52BE8" w:rsidRPr="004A4C80" w:rsidRDefault="00F52BE8" w:rsidP="00A86302">
            <w:pPr>
              <w:pStyle w:val="Default"/>
            </w:pPr>
            <w:r w:rsidRPr="0036077E">
              <w:rPr>
                <w:sz w:val="22"/>
                <w:szCs w:val="22"/>
              </w:rPr>
              <w:t>A fixed fee for the project inclusive of all expense. This should include</w:t>
            </w:r>
          </w:p>
          <w:p w14:paraId="68D7D193" w14:textId="77777777" w:rsidR="00F52BE8" w:rsidRPr="0036077E" w:rsidRDefault="00F52BE8" w:rsidP="00A86302">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3A8FDD14" w14:textId="77777777" w:rsidR="00F52BE8" w:rsidRDefault="00F52BE8" w:rsidP="00A86302">
            <w:pPr>
              <w:autoSpaceDE w:val="0"/>
              <w:autoSpaceDN w:val="0"/>
              <w:adjustRightInd w:val="0"/>
              <w:spacing w:after="0"/>
              <w:rPr>
                <w:rFonts w:cs="Arial"/>
                <w:color w:val="000000"/>
                <w:sz w:val="22"/>
                <w:szCs w:val="22"/>
                <w:lang w:eastAsia="en-GB"/>
              </w:rPr>
            </w:pPr>
          </w:p>
          <w:p w14:paraId="3C211897" w14:textId="77777777" w:rsidR="009878A7" w:rsidRPr="009878A7" w:rsidRDefault="009878A7" w:rsidP="00A86302">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5CB927E7" w14:textId="77777777" w:rsidR="009878A7" w:rsidRDefault="009878A7" w:rsidP="00A86302">
            <w:pPr>
              <w:autoSpaceDE w:val="0"/>
              <w:autoSpaceDN w:val="0"/>
              <w:adjustRightInd w:val="0"/>
              <w:spacing w:after="0"/>
              <w:rPr>
                <w:rFonts w:cs="Arial"/>
                <w:color w:val="000000"/>
                <w:sz w:val="22"/>
                <w:szCs w:val="22"/>
                <w:lang w:eastAsia="en-GB"/>
              </w:rPr>
            </w:pPr>
          </w:p>
          <w:p w14:paraId="463CBAF5"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7BB32AE1" w14:textId="77777777" w:rsidTr="00A86302">
        <w:trPr>
          <w:trHeight w:val="353"/>
        </w:trPr>
        <w:tc>
          <w:tcPr>
            <w:tcW w:w="8528" w:type="dxa"/>
            <w:tcBorders>
              <w:bottom w:val="single" w:sz="4" w:space="0" w:color="auto"/>
            </w:tcBorders>
            <w:shd w:val="clear" w:color="auto" w:fill="99CCFF"/>
          </w:tcPr>
          <w:p w14:paraId="1B2F2BE2" w14:textId="77777777" w:rsidR="00F52BE8" w:rsidRPr="0036077E" w:rsidRDefault="00F52BE8" w:rsidP="00A86302">
            <w:pPr>
              <w:rPr>
                <w:rFonts w:cs="Arial"/>
                <w:b/>
                <w:sz w:val="28"/>
                <w:szCs w:val="28"/>
              </w:rPr>
            </w:pPr>
            <w:r w:rsidRPr="0036077E">
              <w:rPr>
                <w:rFonts w:cs="Arial"/>
                <w:b/>
                <w:sz w:val="28"/>
                <w:szCs w:val="28"/>
              </w:rPr>
              <w:lastRenderedPageBreak/>
              <w:t>3.2 Evaluation Criteria</w:t>
            </w:r>
          </w:p>
        </w:tc>
      </w:tr>
      <w:tr w:rsidR="00F52BE8" w:rsidRPr="0036077E" w14:paraId="48EA3B61" w14:textId="77777777" w:rsidTr="00A86302">
        <w:trPr>
          <w:trHeight w:val="352"/>
        </w:trPr>
        <w:tc>
          <w:tcPr>
            <w:tcW w:w="8528" w:type="dxa"/>
            <w:tcBorders>
              <w:bottom w:val="single" w:sz="4" w:space="0" w:color="auto"/>
            </w:tcBorders>
            <w:shd w:val="clear" w:color="auto" w:fill="auto"/>
          </w:tcPr>
          <w:p w14:paraId="2380F945" w14:textId="77777777" w:rsidR="00F52BE8" w:rsidRPr="0036077E" w:rsidRDefault="00F52BE8" w:rsidP="00A8630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25E7858A" w14:textId="77777777" w:rsidR="00F52BE8" w:rsidRPr="0036077E" w:rsidRDefault="00F52BE8" w:rsidP="00A8630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DFABED3"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57776743"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AC1618A"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07C7A9B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1C60535"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74C2792C" w14:textId="77777777" w:rsidR="00F52BE8" w:rsidRPr="0036077E" w:rsidRDefault="00F52BE8" w:rsidP="00A8630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63AF92A8" w14:textId="77777777" w:rsidR="00F52BE8" w:rsidRPr="0036077E" w:rsidRDefault="00F52BE8" w:rsidP="00A86302">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619A12AB" w14:textId="77777777" w:rsidR="00F52BE8" w:rsidRPr="0036077E" w:rsidRDefault="00F52BE8" w:rsidP="00A86302">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6ECB0994" w14:textId="77777777" w:rsidR="00F52BE8" w:rsidRPr="0036077E" w:rsidRDefault="00F52BE8" w:rsidP="00A86302">
            <w:pPr>
              <w:pStyle w:val="ListNumber"/>
              <w:numPr>
                <w:ilvl w:val="0"/>
                <w:numId w:val="0"/>
              </w:numPr>
              <w:rPr>
                <w:rFonts w:cs="Arial"/>
                <w:szCs w:val="24"/>
              </w:rPr>
            </w:pPr>
            <w:r w:rsidRPr="0036077E">
              <w:rPr>
                <w:rFonts w:cs="Arial"/>
                <w:b/>
                <w:szCs w:val="24"/>
              </w:rPr>
              <w:t>Methodology (</w:t>
            </w:r>
            <w:r w:rsidR="00E9262A">
              <w:rPr>
                <w:rFonts w:cs="Arial"/>
                <w:b/>
                <w:szCs w:val="24"/>
              </w:rPr>
              <w:t>20</w:t>
            </w:r>
            <w:r w:rsidRPr="0036077E">
              <w:rPr>
                <w:rFonts w:cs="Arial"/>
                <w:b/>
                <w:szCs w:val="24"/>
              </w:rPr>
              <w:t>%)</w:t>
            </w:r>
          </w:p>
          <w:p w14:paraId="7E3B5C56" w14:textId="77777777" w:rsidR="00F52BE8" w:rsidRPr="0036077E" w:rsidRDefault="00F52BE8" w:rsidP="00A86302">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46524CE6" w14:textId="77777777" w:rsidR="00F52BE8" w:rsidRPr="0036077E" w:rsidRDefault="00F52BE8" w:rsidP="00A86302">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5E5CDE8E" w14:textId="77777777" w:rsidR="00F52BE8" w:rsidRPr="0036077E" w:rsidRDefault="00F52BE8" w:rsidP="00A86302">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54F39BD3" w14:textId="6B8168C6" w:rsidR="00F52BE8" w:rsidRPr="00A8697E" w:rsidRDefault="00F52BE8" w:rsidP="00A8697E">
            <w:pPr>
              <w:pStyle w:val="ListNumber"/>
              <w:numPr>
                <w:ilvl w:val="0"/>
                <w:numId w:val="13"/>
              </w:numPr>
              <w:tabs>
                <w:tab w:val="clear" w:pos="720"/>
                <w:tab w:val="clear" w:pos="1080"/>
                <w:tab w:val="num" w:pos="0"/>
                <w:tab w:val="left" w:pos="426"/>
              </w:tabs>
              <w:ind w:hanging="1080"/>
              <w:rPr>
                <w:rFonts w:cs="Arial"/>
                <w:sz w:val="22"/>
                <w:szCs w:val="22"/>
              </w:rPr>
            </w:pPr>
            <w:r w:rsidRPr="00E9262A">
              <w:rPr>
                <w:rFonts w:cs="Arial"/>
                <w:sz w:val="22"/>
                <w:szCs w:val="22"/>
              </w:rPr>
              <w:t xml:space="preserve">Explain how </w:t>
            </w:r>
            <w:r w:rsidR="004F5C25">
              <w:rPr>
                <w:rFonts w:cs="Arial"/>
                <w:sz w:val="22"/>
                <w:szCs w:val="22"/>
              </w:rPr>
              <w:t>you will structure the final report</w:t>
            </w:r>
          </w:p>
          <w:p w14:paraId="20ADBE6D" w14:textId="77777777" w:rsidR="00F52BE8" w:rsidRPr="0036077E" w:rsidRDefault="00F52BE8" w:rsidP="00A86302">
            <w:pPr>
              <w:pStyle w:val="ListNumber"/>
              <w:numPr>
                <w:ilvl w:val="0"/>
                <w:numId w:val="0"/>
              </w:numPr>
              <w:rPr>
                <w:rFonts w:cs="Arial"/>
                <w:b/>
                <w:bCs/>
                <w:szCs w:val="24"/>
                <w:lang w:eastAsia="en-GB"/>
              </w:rPr>
            </w:pPr>
            <w:r w:rsidRPr="0036077E">
              <w:rPr>
                <w:rFonts w:cs="Arial"/>
                <w:b/>
                <w:bCs/>
                <w:szCs w:val="24"/>
                <w:lang w:eastAsia="en-GB"/>
              </w:rPr>
              <w:t>Delivery (</w:t>
            </w:r>
            <w:r w:rsidR="00E9262A">
              <w:rPr>
                <w:rFonts w:cs="Arial"/>
                <w:b/>
                <w:bCs/>
                <w:szCs w:val="24"/>
                <w:lang w:eastAsia="en-GB"/>
              </w:rPr>
              <w:t>20</w:t>
            </w:r>
            <w:r w:rsidRPr="0036077E">
              <w:rPr>
                <w:rFonts w:cs="Arial"/>
                <w:b/>
                <w:bCs/>
                <w:szCs w:val="24"/>
                <w:lang w:eastAsia="en-GB"/>
              </w:rPr>
              <w:t>%)</w:t>
            </w:r>
          </w:p>
          <w:p w14:paraId="446F2E18" w14:textId="77777777" w:rsidR="00F52BE8" w:rsidRPr="0036077E" w:rsidRDefault="00F52BE8" w:rsidP="00A86302">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78482808" w14:textId="77777777" w:rsidR="00F52BE8" w:rsidRPr="0036077E" w:rsidRDefault="00F52BE8" w:rsidP="00A86302">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0334A888" w14:textId="77777777" w:rsidR="00F52BE8" w:rsidRPr="0036077E" w:rsidRDefault="00F52BE8" w:rsidP="00A86302">
            <w:pPr>
              <w:pStyle w:val="ListNumber"/>
              <w:numPr>
                <w:ilvl w:val="0"/>
                <w:numId w:val="0"/>
              </w:numPr>
              <w:rPr>
                <w:rFonts w:cs="Arial"/>
                <w:sz w:val="22"/>
                <w:szCs w:val="22"/>
              </w:rPr>
            </w:pPr>
            <w:r w:rsidRPr="0036077E">
              <w:rPr>
                <w:rFonts w:cs="Arial"/>
                <w:sz w:val="22"/>
                <w:szCs w:val="22"/>
              </w:rPr>
              <w:t>b)  Demonstrate</w:t>
            </w:r>
            <w:r w:rsidR="004F5C25">
              <w:rPr>
                <w:rFonts w:cs="Arial"/>
                <w:sz w:val="22"/>
                <w:szCs w:val="22"/>
              </w:rPr>
              <w:t xml:space="preserve"> an understanding of any possible risks </w:t>
            </w:r>
            <w:r w:rsidRPr="0036077E">
              <w:rPr>
                <w:rFonts w:cs="Arial"/>
                <w:sz w:val="22"/>
                <w:szCs w:val="22"/>
              </w:rPr>
              <w:t xml:space="preserve">and explain how they would be mitigated to ensure project delivery; </w:t>
            </w:r>
          </w:p>
          <w:p w14:paraId="1A0F6CD9" w14:textId="7BB67C04" w:rsidR="00F52BE8" w:rsidRPr="00A8697E" w:rsidRDefault="00F52BE8" w:rsidP="00A86302">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5CCF91C1" w14:textId="77777777" w:rsidR="00F52BE8" w:rsidRPr="0036077E" w:rsidRDefault="00F52BE8" w:rsidP="00A86302">
            <w:pPr>
              <w:pStyle w:val="ListNumber"/>
              <w:numPr>
                <w:ilvl w:val="0"/>
                <w:numId w:val="0"/>
              </w:numPr>
              <w:tabs>
                <w:tab w:val="clear" w:pos="720"/>
                <w:tab w:val="left" w:pos="426"/>
              </w:tabs>
              <w:rPr>
                <w:rFonts w:cs="Arial"/>
                <w:b/>
                <w:szCs w:val="24"/>
              </w:rPr>
            </w:pPr>
            <w:r w:rsidRPr="0036077E">
              <w:rPr>
                <w:rFonts w:cs="Arial"/>
                <w:b/>
                <w:szCs w:val="24"/>
              </w:rPr>
              <w:t>Experience (</w:t>
            </w:r>
            <w:r w:rsidR="00E9262A">
              <w:rPr>
                <w:rFonts w:cs="Arial"/>
                <w:b/>
                <w:szCs w:val="24"/>
              </w:rPr>
              <w:t>30</w:t>
            </w:r>
            <w:r w:rsidRPr="0036077E">
              <w:rPr>
                <w:rFonts w:cs="Arial"/>
                <w:b/>
                <w:szCs w:val="24"/>
              </w:rPr>
              <w:t>%)</w:t>
            </w:r>
          </w:p>
          <w:p w14:paraId="2217798C" w14:textId="77777777" w:rsidR="00F52BE8" w:rsidRPr="0036077E" w:rsidRDefault="00F52BE8" w:rsidP="00A86302">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799EC0EE" w14:textId="77777777" w:rsidR="00F52BE8" w:rsidRPr="0036077E" w:rsidRDefault="00F52BE8" w:rsidP="00A86302">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23C8AC49" w14:textId="56976F77" w:rsidR="00F52BE8" w:rsidRPr="0036077E" w:rsidRDefault="00F52BE8" w:rsidP="00A86302">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64863C3E" w14:textId="77777777" w:rsidR="00F52BE8" w:rsidRPr="0036077E" w:rsidRDefault="00F52BE8" w:rsidP="00A86302">
            <w:pPr>
              <w:pStyle w:val="ListNumber"/>
              <w:numPr>
                <w:ilvl w:val="0"/>
                <w:numId w:val="0"/>
              </w:numPr>
              <w:rPr>
                <w:rFonts w:cs="Arial"/>
                <w:szCs w:val="24"/>
              </w:rPr>
            </w:pPr>
            <w:r w:rsidRPr="0036077E">
              <w:rPr>
                <w:rFonts w:cs="Arial"/>
                <w:b/>
                <w:szCs w:val="24"/>
              </w:rPr>
              <w:t>Cost / Value for money (</w:t>
            </w:r>
            <w:r w:rsidR="00E9262A">
              <w:rPr>
                <w:rFonts w:cs="Arial"/>
                <w:b/>
                <w:szCs w:val="24"/>
              </w:rPr>
              <w:t>30</w:t>
            </w:r>
            <w:r w:rsidRPr="0036077E">
              <w:rPr>
                <w:rFonts w:cs="Arial"/>
                <w:b/>
                <w:szCs w:val="24"/>
              </w:rPr>
              <w:t>%)</w:t>
            </w:r>
          </w:p>
          <w:p w14:paraId="0CC1FA8E" w14:textId="77777777" w:rsidR="00F52BE8" w:rsidRPr="0036077E" w:rsidRDefault="00F52BE8" w:rsidP="00A86302">
            <w:pPr>
              <w:pStyle w:val="ListNumber"/>
              <w:numPr>
                <w:ilvl w:val="0"/>
                <w:numId w:val="0"/>
              </w:numPr>
              <w:rPr>
                <w:sz w:val="22"/>
                <w:szCs w:val="22"/>
              </w:rPr>
            </w:pPr>
            <w:r w:rsidRPr="0036077E">
              <w:rPr>
                <w:rFonts w:cs="Arial"/>
                <w:sz w:val="22"/>
                <w:szCs w:val="22"/>
              </w:rPr>
              <w:lastRenderedPageBreak/>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08B5DFDF" w14:textId="77777777" w:rsidR="00F52BE8" w:rsidRPr="0036077E" w:rsidRDefault="00F52BE8" w:rsidP="00A86302">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5B807B6A" w14:textId="77777777" w:rsidTr="00A86302">
              <w:trPr>
                <w:cantSplit/>
              </w:trPr>
              <w:tc>
                <w:tcPr>
                  <w:tcW w:w="1599" w:type="dxa"/>
                  <w:tcBorders>
                    <w:top w:val="single" w:sz="4" w:space="0" w:color="000000"/>
                    <w:left w:val="single" w:sz="4" w:space="0" w:color="000000"/>
                    <w:bottom w:val="single" w:sz="4" w:space="0" w:color="000000"/>
                    <w:right w:val="single" w:sz="4" w:space="0" w:color="000000"/>
                  </w:tcBorders>
                </w:tcPr>
                <w:p w14:paraId="445A3006" w14:textId="77777777" w:rsidR="00F52BE8" w:rsidRPr="005178AE" w:rsidRDefault="00F52BE8" w:rsidP="00A86302">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52F130FE" w14:textId="77777777" w:rsidR="00F52BE8" w:rsidRPr="005178AE" w:rsidRDefault="00F52BE8" w:rsidP="00A86302">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09F15FD0" w14:textId="77777777" w:rsidR="00F52BE8" w:rsidRPr="005178AE" w:rsidRDefault="00F52BE8" w:rsidP="00A86302">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0BF55262" w14:textId="77777777" w:rsidR="00F52BE8" w:rsidRPr="005178AE" w:rsidRDefault="00F52BE8" w:rsidP="00A86302">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D662655" w14:textId="77777777" w:rsidR="00F52BE8" w:rsidRPr="005178AE" w:rsidRDefault="00F52BE8" w:rsidP="00A86302">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32D97594" w14:textId="77777777" w:rsidR="00F52BE8" w:rsidRPr="005178AE" w:rsidRDefault="00F52BE8" w:rsidP="00A86302">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1FD2C07" w14:textId="77777777" w:rsidTr="00A86302">
              <w:trPr>
                <w:cantSplit/>
              </w:trPr>
              <w:tc>
                <w:tcPr>
                  <w:tcW w:w="1599" w:type="dxa"/>
                  <w:tcBorders>
                    <w:top w:val="single" w:sz="4" w:space="0" w:color="000000"/>
                    <w:left w:val="single" w:sz="4" w:space="0" w:color="000000"/>
                    <w:bottom w:val="single" w:sz="4" w:space="0" w:color="000000"/>
                    <w:right w:val="single" w:sz="4" w:space="0" w:color="000000"/>
                  </w:tcBorders>
                </w:tcPr>
                <w:p w14:paraId="6B0B8ABD" w14:textId="77777777" w:rsidR="00F52BE8" w:rsidRPr="005178AE" w:rsidRDefault="00F52BE8" w:rsidP="00A8630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4D670D1" w14:textId="77777777" w:rsidR="00F52BE8" w:rsidRPr="005178AE" w:rsidRDefault="00F52BE8" w:rsidP="00A8630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21B2DB05" w14:textId="77777777" w:rsidR="00F52BE8" w:rsidRPr="005178AE" w:rsidRDefault="00F52BE8" w:rsidP="00A8630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589012B" w14:textId="77777777" w:rsidR="00F52BE8" w:rsidRPr="005178AE" w:rsidRDefault="00F52BE8" w:rsidP="00A8630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3FEAADB" w14:textId="77777777" w:rsidR="00F52BE8" w:rsidRPr="005178AE" w:rsidRDefault="00F52BE8" w:rsidP="00A8630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BED8466" w14:textId="77777777" w:rsidR="00F52BE8" w:rsidRPr="005178AE" w:rsidRDefault="00F52BE8" w:rsidP="00A86302">
                  <w:pPr>
                    <w:autoSpaceDE w:val="0"/>
                    <w:autoSpaceDN w:val="0"/>
                    <w:adjustRightInd w:val="0"/>
                    <w:rPr>
                      <w:rFonts w:cs="Arial"/>
                      <w:color w:val="000000"/>
                      <w:sz w:val="20"/>
                    </w:rPr>
                  </w:pPr>
                </w:p>
              </w:tc>
            </w:tr>
            <w:tr w:rsidR="00F52BE8" w:rsidRPr="005178AE" w14:paraId="379CF5A9" w14:textId="77777777" w:rsidTr="00A86302">
              <w:trPr>
                <w:cantSplit/>
              </w:trPr>
              <w:tc>
                <w:tcPr>
                  <w:tcW w:w="1599" w:type="dxa"/>
                  <w:tcBorders>
                    <w:top w:val="single" w:sz="4" w:space="0" w:color="000000"/>
                    <w:left w:val="single" w:sz="4" w:space="0" w:color="000000"/>
                    <w:bottom w:val="single" w:sz="4" w:space="0" w:color="000000"/>
                    <w:right w:val="single" w:sz="4" w:space="0" w:color="000000"/>
                  </w:tcBorders>
                </w:tcPr>
                <w:p w14:paraId="388EBC78" w14:textId="77777777" w:rsidR="00F52BE8" w:rsidRPr="005178AE" w:rsidRDefault="00F52BE8" w:rsidP="00A8630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56E11CB6" w14:textId="77777777" w:rsidR="00F52BE8" w:rsidRPr="005178AE" w:rsidRDefault="00F52BE8" w:rsidP="00A8630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15175926" w14:textId="77777777" w:rsidR="00F52BE8" w:rsidRPr="005178AE" w:rsidRDefault="00F52BE8" w:rsidP="00A8630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BC3B0EA" w14:textId="77777777" w:rsidR="00F52BE8" w:rsidRPr="005178AE" w:rsidRDefault="00F52BE8" w:rsidP="00A8630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5D66DDFE" w14:textId="77777777" w:rsidR="00F52BE8" w:rsidRPr="005178AE" w:rsidRDefault="00F52BE8" w:rsidP="00A8630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4E5F4312" w14:textId="77777777" w:rsidR="00F52BE8" w:rsidRPr="005178AE" w:rsidRDefault="00F52BE8" w:rsidP="00A86302">
                  <w:pPr>
                    <w:autoSpaceDE w:val="0"/>
                    <w:autoSpaceDN w:val="0"/>
                    <w:adjustRightInd w:val="0"/>
                    <w:rPr>
                      <w:rFonts w:cs="Arial"/>
                      <w:color w:val="000000"/>
                      <w:sz w:val="20"/>
                    </w:rPr>
                  </w:pPr>
                </w:p>
              </w:tc>
            </w:tr>
            <w:tr w:rsidR="00F52BE8" w:rsidRPr="005178AE" w14:paraId="186A949A" w14:textId="77777777" w:rsidTr="00A86302">
              <w:trPr>
                <w:cantSplit/>
              </w:trPr>
              <w:tc>
                <w:tcPr>
                  <w:tcW w:w="1599" w:type="dxa"/>
                  <w:tcBorders>
                    <w:top w:val="single" w:sz="4" w:space="0" w:color="000000"/>
                    <w:left w:val="single" w:sz="4" w:space="0" w:color="000000"/>
                    <w:bottom w:val="single" w:sz="4" w:space="0" w:color="000000"/>
                    <w:right w:val="single" w:sz="4" w:space="0" w:color="000000"/>
                  </w:tcBorders>
                </w:tcPr>
                <w:p w14:paraId="1B89325B" w14:textId="77777777" w:rsidR="00F52BE8" w:rsidRPr="005178AE" w:rsidRDefault="00F52BE8" w:rsidP="00A86302">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795D9E5A" w14:textId="77777777" w:rsidR="00F52BE8" w:rsidRPr="005178AE" w:rsidRDefault="00F52BE8" w:rsidP="00A86302">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1790E5F9" w14:textId="77777777" w:rsidR="00F52BE8" w:rsidRPr="005178AE" w:rsidRDefault="00F52BE8" w:rsidP="00A86302">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2CD33DED" w14:textId="77777777" w:rsidR="00F52BE8" w:rsidRPr="005178AE" w:rsidRDefault="00F52BE8" w:rsidP="00A86302">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EFB76FA" w14:textId="77777777" w:rsidR="00F52BE8" w:rsidRPr="005178AE" w:rsidRDefault="00F52BE8" w:rsidP="00A86302">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0103268" w14:textId="77777777" w:rsidR="00F52BE8" w:rsidRPr="005178AE" w:rsidRDefault="00F52BE8" w:rsidP="00A86302">
                  <w:pPr>
                    <w:autoSpaceDE w:val="0"/>
                    <w:autoSpaceDN w:val="0"/>
                    <w:adjustRightInd w:val="0"/>
                    <w:rPr>
                      <w:rFonts w:cs="Arial"/>
                      <w:color w:val="000000"/>
                      <w:sz w:val="20"/>
                    </w:rPr>
                  </w:pPr>
                </w:p>
              </w:tc>
            </w:tr>
          </w:tbl>
          <w:p w14:paraId="4BD3A319" w14:textId="77777777" w:rsidR="00F52BE8" w:rsidRPr="0036077E" w:rsidRDefault="00F52BE8" w:rsidP="00A86302">
            <w:pPr>
              <w:rPr>
                <w:sz w:val="22"/>
                <w:szCs w:val="22"/>
              </w:rPr>
            </w:pPr>
          </w:p>
          <w:p w14:paraId="1124D70B" w14:textId="77777777" w:rsidR="00F52BE8" w:rsidRPr="0036077E" w:rsidRDefault="00F52BE8" w:rsidP="00A86302">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172B6E7A" w14:textId="77777777" w:rsidTr="00A86302">
              <w:trPr>
                <w:trHeight w:val="223"/>
              </w:trPr>
              <w:tc>
                <w:tcPr>
                  <w:tcW w:w="851" w:type="dxa"/>
                  <w:tcBorders>
                    <w:bottom w:val="single" w:sz="4" w:space="0" w:color="auto"/>
                  </w:tcBorders>
                  <w:shd w:val="clear" w:color="auto" w:fill="auto"/>
                  <w:vAlign w:val="center"/>
                </w:tcPr>
                <w:p w14:paraId="4D5A761F" w14:textId="77777777" w:rsidR="00F52BE8" w:rsidRPr="0036077E" w:rsidRDefault="00F52BE8" w:rsidP="00A86302">
                  <w:pPr>
                    <w:jc w:val="center"/>
                    <w:rPr>
                      <w:b/>
                      <w:sz w:val="20"/>
                    </w:rPr>
                  </w:pPr>
                  <w:r w:rsidRPr="0036077E">
                    <w:rPr>
                      <w:b/>
                      <w:sz w:val="20"/>
                    </w:rPr>
                    <w:t>Grade</w:t>
                  </w:r>
                </w:p>
              </w:tc>
              <w:tc>
                <w:tcPr>
                  <w:tcW w:w="6840" w:type="dxa"/>
                  <w:shd w:val="clear" w:color="auto" w:fill="auto"/>
                  <w:vAlign w:val="bottom"/>
                </w:tcPr>
                <w:p w14:paraId="227254C9" w14:textId="77777777" w:rsidR="00F52BE8" w:rsidRPr="0036077E" w:rsidRDefault="00F52BE8" w:rsidP="00A86302">
                  <w:pPr>
                    <w:jc w:val="center"/>
                    <w:rPr>
                      <w:b/>
                      <w:sz w:val="20"/>
                    </w:rPr>
                  </w:pPr>
                  <w:r w:rsidRPr="0036077E">
                    <w:rPr>
                      <w:b/>
                      <w:sz w:val="20"/>
                    </w:rPr>
                    <w:t>Requirement</w:t>
                  </w:r>
                </w:p>
              </w:tc>
            </w:tr>
            <w:tr w:rsidR="00F52BE8" w14:paraId="03AA650B" w14:textId="77777777" w:rsidTr="00A86302">
              <w:trPr>
                <w:trHeight w:hRule="exact" w:val="680"/>
              </w:trPr>
              <w:tc>
                <w:tcPr>
                  <w:tcW w:w="851" w:type="dxa"/>
                  <w:tcBorders>
                    <w:bottom w:val="single" w:sz="4" w:space="0" w:color="auto"/>
                  </w:tcBorders>
                  <w:shd w:val="clear" w:color="auto" w:fill="auto"/>
                </w:tcPr>
                <w:p w14:paraId="7839EE6C" w14:textId="77777777" w:rsidR="00F52BE8" w:rsidRPr="0036077E" w:rsidRDefault="00F52BE8" w:rsidP="00A86302">
                  <w:pPr>
                    <w:rPr>
                      <w:sz w:val="20"/>
                    </w:rPr>
                  </w:pPr>
                  <w:r w:rsidRPr="0036077E">
                    <w:rPr>
                      <w:sz w:val="20"/>
                    </w:rPr>
                    <w:t>Junior consultant</w:t>
                  </w:r>
                </w:p>
              </w:tc>
              <w:tc>
                <w:tcPr>
                  <w:tcW w:w="0" w:type="auto"/>
                  <w:tcBorders>
                    <w:bottom w:val="single" w:sz="4" w:space="0" w:color="auto"/>
                  </w:tcBorders>
                  <w:shd w:val="clear" w:color="auto" w:fill="auto"/>
                </w:tcPr>
                <w:p w14:paraId="617C9699" w14:textId="77777777" w:rsidR="00F52BE8" w:rsidRPr="0036077E" w:rsidRDefault="00F52BE8" w:rsidP="00A86302">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268D2C47" w14:textId="77777777" w:rsidTr="00A86302">
              <w:trPr>
                <w:trHeight w:hRule="exact" w:val="907"/>
              </w:trPr>
              <w:tc>
                <w:tcPr>
                  <w:tcW w:w="851" w:type="dxa"/>
                  <w:shd w:val="clear" w:color="auto" w:fill="auto"/>
                </w:tcPr>
                <w:p w14:paraId="3AF31B55" w14:textId="77777777" w:rsidR="00F52BE8" w:rsidRPr="0036077E" w:rsidRDefault="00F52BE8" w:rsidP="00A86302">
                  <w:pPr>
                    <w:rPr>
                      <w:sz w:val="20"/>
                    </w:rPr>
                  </w:pPr>
                  <w:r w:rsidRPr="0036077E">
                    <w:rPr>
                      <w:sz w:val="20"/>
                    </w:rPr>
                    <w:t>Consultant</w:t>
                  </w:r>
                </w:p>
              </w:tc>
              <w:tc>
                <w:tcPr>
                  <w:tcW w:w="0" w:type="auto"/>
                  <w:shd w:val="clear" w:color="auto" w:fill="auto"/>
                </w:tcPr>
                <w:p w14:paraId="1B6C5888" w14:textId="77777777" w:rsidR="00F52BE8" w:rsidRPr="0036077E" w:rsidRDefault="00F52BE8" w:rsidP="00A86302">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52C50F9" w14:textId="77777777" w:rsidTr="00A86302">
              <w:trPr>
                <w:trHeight w:hRule="exact" w:val="964"/>
              </w:trPr>
              <w:tc>
                <w:tcPr>
                  <w:tcW w:w="851" w:type="dxa"/>
                  <w:shd w:val="clear" w:color="auto" w:fill="auto"/>
                </w:tcPr>
                <w:p w14:paraId="10E87597" w14:textId="77777777" w:rsidR="00F52BE8" w:rsidRPr="0036077E" w:rsidRDefault="00F52BE8" w:rsidP="00A86302">
                  <w:pPr>
                    <w:rPr>
                      <w:sz w:val="20"/>
                    </w:rPr>
                  </w:pPr>
                  <w:r w:rsidRPr="0036077E">
                    <w:rPr>
                      <w:sz w:val="20"/>
                    </w:rPr>
                    <w:t>Senior Consultant</w:t>
                  </w:r>
                </w:p>
              </w:tc>
              <w:tc>
                <w:tcPr>
                  <w:tcW w:w="0" w:type="auto"/>
                  <w:shd w:val="clear" w:color="auto" w:fill="auto"/>
                </w:tcPr>
                <w:p w14:paraId="40F3D482" w14:textId="77777777" w:rsidR="00F52BE8" w:rsidRPr="0036077E" w:rsidRDefault="00F52BE8" w:rsidP="00A86302">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46716B1C" w14:textId="77777777" w:rsidTr="00A86302">
              <w:trPr>
                <w:trHeight w:hRule="exact" w:val="1134"/>
              </w:trPr>
              <w:tc>
                <w:tcPr>
                  <w:tcW w:w="851" w:type="dxa"/>
                  <w:shd w:val="clear" w:color="auto" w:fill="auto"/>
                </w:tcPr>
                <w:p w14:paraId="702B40D0" w14:textId="77777777" w:rsidR="00F52BE8" w:rsidRPr="0036077E" w:rsidRDefault="00F52BE8" w:rsidP="00A86302">
                  <w:pPr>
                    <w:rPr>
                      <w:sz w:val="20"/>
                    </w:rPr>
                  </w:pPr>
                  <w:r w:rsidRPr="0036077E">
                    <w:rPr>
                      <w:sz w:val="20"/>
                    </w:rPr>
                    <w:t>Principal Consultant</w:t>
                  </w:r>
                </w:p>
              </w:tc>
              <w:tc>
                <w:tcPr>
                  <w:tcW w:w="0" w:type="auto"/>
                  <w:shd w:val="clear" w:color="auto" w:fill="auto"/>
                </w:tcPr>
                <w:p w14:paraId="46625C08" w14:textId="77777777" w:rsidR="00F52BE8" w:rsidRPr="0036077E" w:rsidRDefault="00F52BE8" w:rsidP="00A86302">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DE5CA6C" w14:textId="77777777" w:rsidTr="00A86302">
              <w:trPr>
                <w:trHeight w:hRule="exact" w:val="1134"/>
              </w:trPr>
              <w:tc>
                <w:tcPr>
                  <w:tcW w:w="851" w:type="dxa"/>
                  <w:shd w:val="clear" w:color="auto" w:fill="auto"/>
                </w:tcPr>
                <w:p w14:paraId="0826E099" w14:textId="77777777" w:rsidR="00F52BE8" w:rsidRPr="0036077E" w:rsidRDefault="00F52BE8" w:rsidP="00A86302">
                  <w:pPr>
                    <w:rPr>
                      <w:sz w:val="20"/>
                    </w:rPr>
                  </w:pPr>
                  <w:r w:rsidRPr="0036077E">
                    <w:rPr>
                      <w:sz w:val="20"/>
                    </w:rPr>
                    <w:t>Managing Consultant</w:t>
                  </w:r>
                </w:p>
              </w:tc>
              <w:tc>
                <w:tcPr>
                  <w:tcW w:w="0" w:type="auto"/>
                  <w:shd w:val="clear" w:color="auto" w:fill="auto"/>
                </w:tcPr>
                <w:p w14:paraId="568315BD" w14:textId="77777777" w:rsidR="00F52BE8" w:rsidRPr="0036077E" w:rsidRDefault="00F52BE8" w:rsidP="00A86302">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2D265FD5" w14:textId="77777777" w:rsidTr="00A86302">
              <w:trPr>
                <w:trHeight w:hRule="exact" w:val="1221"/>
              </w:trPr>
              <w:tc>
                <w:tcPr>
                  <w:tcW w:w="851" w:type="dxa"/>
                  <w:shd w:val="clear" w:color="auto" w:fill="auto"/>
                </w:tcPr>
                <w:p w14:paraId="73939E79" w14:textId="77777777" w:rsidR="00F52BE8" w:rsidRPr="0036077E" w:rsidRDefault="00F52BE8" w:rsidP="00A86302">
                  <w:pPr>
                    <w:rPr>
                      <w:sz w:val="20"/>
                    </w:rPr>
                  </w:pPr>
                  <w:r w:rsidRPr="0036077E">
                    <w:rPr>
                      <w:sz w:val="20"/>
                    </w:rPr>
                    <w:t>Director / Partner</w:t>
                  </w:r>
                </w:p>
                <w:p w14:paraId="013370F0" w14:textId="77777777" w:rsidR="00F52BE8" w:rsidRPr="0036077E" w:rsidRDefault="00F52BE8" w:rsidP="00A86302">
                  <w:pPr>
                    <w:rPr>
                      <w:sz w:val="20"/>
                    </w:rPr>
                  </w:pPr>
                </w:p>
              </w:tc>
              <w:tc>
                <w:tcPr>
                  <w:tcW w:w="0" w:type="auto"/>
                  <w:shd w:val="clear" w:color="auto" w:fill="auto"/>
                </w:tcPr>
                <w:p w14:paraId="2D8046BC" w14:textId="77777777" w:rsidR="00F52BE8" w:rsidRPr="0036077E" w:rsidRDefault="00F52BE8" w:rsidP="00A86302">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343742F0" w14:textId="77777777" w:rsidR="00F52BE8" w:rsidRPr="0036077E" w:rsidRDefault="00F52BE8" w:rsidP="00A86302">
            <w:pPr>
              <w:rPr>
                <w:sz w:val="22"/>
                <w:szCs w:val="22"/>
              </w:rPr>
            </w:pPr>
          </w:p>
          <w:p w14:paraId="470FB722" w14:textId="77777777" w:rsidR="00F52BE8" w:rsidRPr="0036077E" w:rsidRDefault="00F52BE8" w:rsidP="00A86302">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0F3AECD7" w14:textId="77777777" w:rsidTr="00A86302">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40F16F8D" w14:textId="77777777" w:rsidR="00F52BE8" w:rsidRPr="0045576C" w:rsidRDefault="00F52BE8" w:rsidP="00A86302">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9514E71" w14:textId="77777777" w:rsidR="00F52BE8" w:rsidRPr="0045576C" w:rsidRDefault="00F52BE8" w:rsidP="00A86302">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5D41AE9B" w14:textId="77777777" w:rsidTr="00A86302">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629CB8E3" w14:textId="77777777" w:rsidR="00F52BE8" w:rsidRPr="0045576C" w:rsidRDefault="00F52BE8" w:rsidP="00A86302">
                  <w:pPr>
                    <w:spacing w:after="0"/>
                    <w:jc w:val="center"/>
                    <w:rPr>
                      <w:rFonts w:cs="Arial"/>
                      <w:szCs w:val="24"/>
                      <w:lang w:eastAsia="en-GB"/>
                    </w:rPr>
                  </w:pPr>
                  <w:r w:rsidRPr="0045576C">
                    <w:rPr>
                      <w:rFonts w:cs="Arial"/>
                      <w:szCs w:val="24"/>
                      <w:lang w:eastAsia="en-GB"/>
                    </w:rPr>
                    <w:lastRenderedPageBreak/>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316DD2ED" w14:textId="77777777" w:rsidR="00F52BE8" w:rsidRPr="0045576C" w:rsidRDefault="00F52BE8" w:rsidP="00A86302">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400E555" w14:textId="77777777" w:rsidTr="00A86302">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3BD4485A" w14:textId="77777777" w:rsidR="00F52BE8" w:rsidRPr="0045576C" w:rsidRDefault="00F52BE8" w:rsidP="00A86302">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59E86894" w14:textId="77777777" w:rsidR="00F52BE8" w:rsidRPr="0045576C" w:rsidRDefault="00F52BE8" w:rsidP="00A86302">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69963C81" w14:textId="77777777" w:rsidTr="00A86302">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716AD979" w14:textId="77777777" w:rsidR="00F52BE8" w:rsidRPr="0045576C" w:rsidRDefault="00F52BE8" w:rsidP="00A86302">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2B25F0DE" w14:textId="77777777" w:rsidR="00F52BE8" w:rsidRPr="0045576C" w:rsidRDefault="00F52BE8" w:rsidP="00A86302">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30A3042" w14:textId="0A9BFDA7" w:rsidR="00F52BE8" w:rsidRPr="0036077E" w:rsidRDefault="00F52BE8" w:rsidP="00A86302">
            <w:pPr>
              <w:rPr>
                <w:rFonts w:cs="Arial"/>
                <w:sz w:val="22"/>
                <w:szCs w:val="22"/>
              </w:rPr>
            </w:pPr>
          </w:p>
        </w:tc>
      </w:tr>
    </w:tbl>
    <w:p w14:paraId="5CF4C530" w14:textId="77777777" w:rsidR="00F52BE8" w:rsidRDefault="00F52BE8" w:rsidP="00F52BE8">
      <w:pPr>
        <w:rPr>
          <w:rFonts w:cs="Arial"/>
          <w:b/>
          <w:sz w:val="32"/>
          <w:szCs w:val="32"/>
          <w:u w:val="single"/>
        </w:rPr>
        <w:sectPr w:rsidR="00F52BE8" w:rsidSect="00A86302">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1618" w:left="1797" w:header="709" w:footer="709" w:gutter="0"/>
          <w:cols w:space="708"/>
          <w:docGrid w:linePitch="360"/>
        </w:sectPr>
      </w:pPr>
    </w:p>
    <w:p w14:paraId="353DB12F"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1AC31D63"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A4B131D" w14:textId="77777777" w:rsidR="00F52BE8" w:rsidRPr="00522904" w:rsidRDefault="00F52BE8" w:rsidP="00F52BE8">
      <w:pPr>
        <w:pStyle w:val="ListNumber2"/>
        <w:numPr>
          <w:ilvl w:val="0"/>
          <w:numId w:val="0"/>
        </w:numPr>
        <w:ind w:left="720" w:hanging="720"/>
        <w:rPr>
          <w:b/>
          <w:color w:val="FF0000"/>
          <w:szCs w:val="24"/>
        </w:rPr>
      </w:pPr>
    </w:p>
    <w:p w14:paraId="3D29298F"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6F2C2D9C"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0BD03DA6" w14:textId="77777777" w:rsidTr="00A86302">
        <w:tc>
          <w:tcPr>
            <w:tcW w:w="4928" w:type="dxa"/>
            <w:shd w:val="clear" w:color="auto" w:fill="auto"/>
          </w:tcPr>
          <w:p w14:paraId="0CDEB1A3" w14:textId="77777777" w:rsidR="00F52BE8" w:rsidRPr="0036077E" w:rsidRDefault="00F52BE8" w:rsidP="00A86302">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56516659" w14:textId="77777777" w:rsidR="00F52BE8" w:rsidRPr="0036077E" w:rsidRDefault="00F52BE8" w:rsidP="00A86302">
            <w:pPr>
              <w:pStyle w:val="ListNumber"/>
              <w:numPr>
                <w:ilvl w:val="0"/>
                <w:numId w:val="0"/>
              </w:numPr>
              <w:spacing w:before="0" w:after="0"/>
              <w:rPr>
                <w:rFonts w:cs="Arial"/>
                <w:b/>
              </w:rPr>
            </w:pPr>
            <w:r w:rsidRPr="0036077E">
              <w:rPr>
                <w:rFonts w:cs="Arial"/>
                <w:b/>
              </w:rPr>
              <w:t>Timescale</w:t>
            </w:r>
          </w:p>
        </w:tc>
      </w:tr>
      <w:tr w:rsidR="00F52BE8" w:rsidRPr="0036077E" w14:paraId="78FEA109" w14:textId="77777777" w:rsidTr="00A86302">
        <w:tc>
          <w:tcPr>
            <w:tcW w:w="4928" w:type="dxa"/>
            <w:shd w:val="clear" w:color="auto" w:fill="auto"/>
          </w:tcPr>
          <w:p w14:paraId="4ED9D090" w14:textId="77777777" w:rsidR="00F52BE8" w:rsidRPr="0036077E" w:rsidRDefault="00F52BE8" w:rsidP="00A86302">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1522F430" w14:textId="6C33EF30" w:rsidR="00F52BE8" w:rsidRPr="0036077E" w:rsidRDefault="00B95909" w:rsidP="000808A1">
            <w:pPr>
              <w:pStyle w:val="ListNumber"/>
              <w:numPr>
                <w:ilvl w:val="0"/>
                <w:numId w:val="0"/>
              </w:numPr>
              <w:spacing w:before="0" w:after="0"/>
              <w:rPr>
                <w:rFonts w:cs="Arial"/>
              </w:rPr>
            </w:pPr>
            <w:r>
              <w:rPr>
                <w:rFonts w:cs="Arial"/>
              </w:rPr>
              <w:t>0</w:t>
            </w:r>
            <w:r w:rsidR="00F0480D">
              <w:rPr>
                <w:rFonts w:cs="Arial"/>
              </w:rPr>
              <w:t>4</w:t>
            </w:r>
            <w:r w:rsidR="00E049E7">
              <w:rPr>
                <w:rFonts w:cs="Arial"/>
              </w:rPr>
              <w:t xml:space="preserve"> Aug</w:t>
            </w:r>
            <w:r>
              <w:rPr>
                <w:rFonts w:cs="Arial"/>
              </w:rPr>
              <w:t xml:space="preserve">ust </w:t>
            </w:r>
          </w:p>
        </w:tc>
      </w:tr>
      <w:tr w:rsidR="00F52BE8" w:rsidRPr="0036077E" w14:paraId="04F79977" w14:textId="77777777" w:rsidTr="00A86302">
        <w:tc>
          <w:tcPr>
            <w:tcW w:w="4928" w:type="dxa"/>
            <w:shd w:val="clear" w:color="auto" w:fill="auto"/>
          </w:tcPr>
          <w:p w14:paraId="5B74E109" w14:textId="77777777" w:rsidR="00F52BE8" w:rsidRPr="0036077E" w:rsidRDefault="00F52BE8" w:rsidP="00A86302">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2DE9FF65" w14:textId="2BCB58FE" w:rsidR="00F52BE8" w:rsidRPr="0036077E" w:rsidRDefault="000808A1" w:rsidP="00E049E7">
            <w:pPr>
              <w:pStyle w:val="ListNumber"/>
              <w:numPr>
                <w:ilvl w:val="0"/>
                <w:numId w:val="0"/>
              </w:numPr>
              <w:spacing w:before="0" w:after="0"/>
              <w:rPr>
                <w:rFonts w:cs="Arial"/>
              </w:rPr>
            </w:pPr>
            <w:r>
              <w:rPr>
                <w:rFonts w:cs="Arial"/>
              </w:rPr>
              <w:t>1</w:t>
            </w:r>
            <w:r w:rsidR="00E049E7">
              <w:rPr>
                <w:rFonts w:cs="Arial"/>
              </w:rPr>
              <w:t>2</w:t>
            </w:r>
            <w:r w:rsidR="00B95909">
              <w:rPr>
                <w:rFonts w:cs="Arial"/>
              </w:rPr>
              <w:t xml:space="preserve"> August 12:00pm</w:t>
            </w:r>
          </w:p>
        </w:tc>
      </w:tr>
      <w:tr w:rsidR="00F52BE8" w:rsidRPr="0036077E" w14:paraId="359838D5" w14:textId="77777777" w:rsidTr="00A86302">
        <w:tc>
          <w:tcPr>
            <w:tcW w:w="4928" w:type="dxa"/>
            <w:shd w:val="clear" w:color="auto" w:fill="auto"/>
          </w:tcPr>
          <w:p w14:paraId="29C7208E" w14:textId="77777777" w:rsidR="00F52BE8" w:rsidRPr="0036077E" w:rsidRDefault="00F52BE8" w:rsidP="00A86302">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5738B583" w14:textId="6C471163" w:rsidR="00F52BE8" w:rsidRPr="0036077E" w:rsidRDefault="000808A1" w:rsidP="00B95909">
            <w:pPr>
              <w:pStyle w:val="ListNumber"/>
              <w:numPr>
                <w:ilvl w:val="0"/>
                <w:numId w:val="0"/>
              </w:numPr>
              <w:spacing w:before="0" w:after="0"/>
              <w:rPr>
                <w:rFonts w:cs="Arial"/>
              </w:rPr>
            </w:pPr>
            <w:r>
              <w:rPr>
                <w:rFonts w:cs="Arial"/>
              </w:rPr>
              <w:t>1</w:t>
            </w:r>
            <w:r w:rsidR="00F0480D">
              <w:rPr>
                <w:rFonts w:cs="Arial"/>
              </w:rPr>
              <w:t>8</w:t>
            </w:r>
            <w:r w:rsidR="00B95909">
              <w:rPr>
                <w:rFonts w:cs="Arial"/>
                <w:vertAlign w:val="superscript"/>
              </w:rPr>
              <w:t xml:space="preserve"> </w:t>
            </w:r>
            <w:r w:rsidR="00B95909">
              <w:rPr>
                <w:rFonts w:cs="Arial"/>
              </w:rPr>
              <w:t>August 12:00pm</w:t>
            </w:r>
          </w:p>
        </w:tc>
      </w:tr>
      <w:tr w:rsidR="00F52BE8" w:rsidRPr="0036077E" w14:paraId="29B75004" w14:textId="77777777" w:rsidTr="00A86302">
        <w:tc>
          <w:tcPr>
            <w:tcW w:w="4928" w:type="dxa"/>
            <w:shd w:val="clear" w:color="auto" w:fill="auto"/>
          </w:tcPr>
          <w:p w14:paraId="2BC91FD8" w14:textId="77777777" w:rsidR="00F52BE8" w:rsidRPr="0036077E" w:rsidRDefault="00F52BE8" w:rsidP="00A86302">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5DD75A7D" w14:textId="6E4D4FBE" w:rsidR="00F52BE8" w:rsidRPr="0036077E" w:rsidRDefault="000808A1" w:rsidP="00E049E7">
            <w:pPr>
              <w:pStyle w:val="ListNumber"/>
              <w:numPr>
                <w:ilvl w:val="0"/>
                <w:numId w:val="0"/>
              </w:numPr>
              <w:spacing w:before="0" w:after="0"/>
              <w:rPr>
                <w:rFonts w:cs="Arial"/>
              </w:rPr>
            </w:pPr>
            <w:r>
              <w:rPr>
                <w:rFonts w:cs="Arial"/>
              </w:rPr>
              <w:t>2</w:t>
            </w:r>
            <w:r w:rsidR="00E049E7">
              <w:rPr>
                <w:rFonts w:cs="Arial"/>
              </w:rPr>
              <w:t>1</w:t>
            </w:r>
            <w:r w:rsidR="00B95909">
              <w:rPr>
                <w:rFonts w:cs="Arial"/>
                <w:vertAlign w:val="superscript"/>
              </w:rPr>
              <w:t xml:space="preserve"> </w:t>
            </w:r>
            <w:r w:rsidR="00B95909">
              <w:rPr>
                <w:rFonts w:cs="Arial"/>
              </w:rPr>
              <w:t>August</w:t>
            </w:r>
          </w:p>
        </w:tc>
      </w:tr>
      <w:tr w:rsidR="00F52BE8" w:rsidRPr="0036077E" w14:paraId="120C47BA" w14:textId="77777777" w:rsidTr="00A86302">
        <w:tc>
          <w:tcPr>
            <w:tcW w:w="4928" w:type="dxa"/>
            <w:shd w:val="clear" w:color="auto" w:fill="auto"/>
          </w:tcPr>
          <w:p w14:paraId="788584CA" w14:textId="77777777" w:rsidR="00F52BE8" w:rsidRPr="0036077E" w:rsidRDefault="00F52BE8" w:rsidP="00A86302">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35442355" w14:textId="2A1BDEBD" w:rsidR="00F52BE8" w:rsidRPr="0036077E" w:rsidRDefault="00B95909" w:rsidP="00E049E7">
            <w:pPr>
              <w:pStyle w:val="ListNumber"/>
              <w:numPr>
                <w:ilvl w:val="0"/>
                <w:numId w:val="0"/>
              </w:numPr>
              <w:spacing w:before="0" w:after="0"/>
              <w:rPr>
                <w:rFonts w:cs="Arial"/>
              </w:rPr>
            </w:pPr>
            <w:r>
              <w:rPr>
                <w:rFonts w:cs="Arial"/>
              </w:rPr>
              <w:t>w</w:t>
            </w:r>
            <w:r w:rsidR="000808A1">
              <w:rPr>
                <w:rFonts w:cs="Arial"/>
              </w:rPr>
              <w:t xml:space="preserve">/c </w:t>
            </w:r>
            <w:r w:rsidR="00E049E7">
              <w:rPr>
                <w:rFonts w:cs="Arial"/>
              </w:rPr>
              <w:t>24</w:t>
            </w:r>
            <w:r>
              <w:rPr>
                <w:rFonts w:cs="Arial"/>
              </w:rPr>
              <w:t xml:space="preserve"> August</w:t>
            </w:r>
          </w:p>
        </w:tc>
      </w:tr>
      <w:tr w:rsidR="00F52BE8" w:rsidRPr="0036077E" w14:paraId="73F1700B" w14:textId="77777777" w:rsidTr="00A86302">
        <w:tc>
          <w:tcPr>
            <w:tcW w:w="4928" w:type="dxa"/>
            <w:shd w:val="clear" w:color="auto" w:fill="auto"/>
          </w:tcPr>
          <w:p w14:paraId="7C2867DC" w14:textId="77777777" w:rsidR="00F52BE8" w:rsidRPr="0036077E" w:rsidRDefault="00F52BE8" w:rsidP="00A86302">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35255317" w14:textId="755B8115" w:rsidR="00F52BE8" w:rsidRPr="0036077E" w:rsidRDefault="00B95909" w:rsidP="00E049E7">
            <w:pPr>
              <w:pStyle w:val="ListNumber"/>
              <w:numPr>
                <w:ilvl w:val="0"/>
                <w:numId w:val="0"/>
              </w:numPr>
              <w:spacing w:before="0" w:after="0"/>
              <w:rPr>
                <w:rFonts w:cs="Arial"/>
              </w:rPr>
            </w:pPr>
            <w:r>
              <w:rPr>
                <w:rFonts w:cs="Arial"/>
              </w:rPr>
              <w:t>w</w:t>
            </w:r>
            <w:r w:rsidR="000808A1">
              <w:rPr>
                <w:rFonts w:cs="Arial"/>
              </w:rPr>
              <w:t xml:space="preserve">/c </w:t>
            </w:r>
            <w:r>
              <w:rPr>
                <w:rFonts w:cs="Arial"/>
              </w:rPr>
              <w:t>31 August</w:t>
            </w:r>
          </w:p>
        </w:tc>
      </w:tr>
      <w:tr w:rsidR="00F52BE8" w:rsidRPr="0036077E" w14:paraId="7B94630F" w14:textId="77777777" w:rsidTr="00A86302">
        <w:tc>
          <w:tcPr>
            <w:tcW w:w="4928" w:type="dxa"/>
            <w:shd w:val="clear" w:color="auto" w:fill="auto"/>
          </w:tcPr>
          <w:p w14:paraId="10645C45" w14:textId="77777777" w:rsidR="00F52BE8" w:rsidRPr="0036077E" w:rsidRDefault="00F52BE8" w:rsidP="00A86302">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753489B9" w14:textId="7BB7F88C" w:rsidR="00F52BE8" w:rsidRPr="0036077E" w:rsidRDefault="00B95909" w:rsidP="000808A1">
            <w:pPr>
              <w:pStyle w:val="ListNumber"/>
              <w:numPr>
                <w:ilvl w:val="0"/>
                <w:numId w:val="0"/>
              </w:numPr>
              <w:spacing w:before="0" w:after="0"/>
              <w:rPr>
                <w:rFonts w:cs="Arial"/>
              </w:rPr>
            </w:pPr>
            <w:r>
              <w:rPr>
                <w:rFonts w:cs="Arial"/>
              </w:rPr>
              <w:t>w</w:t>
            </w:r>
            <w:r w:rsidR="000808A1">
              <w:rPr>
                <w:rFonts w:cs="Arial"/>
              </w:rPr>
              <w:t>/c 13 Sep</w:t>
            </w:r>
            <w:r>
              <w:rPr>
                <w:rFonts w:cs="Arial"/>
              </w:rPr>
              <w:t>tember</w:t>
            </w:r>
          </w:p>
        </w:tc>
      </w:tr>
    </w:tbl>
    <w:p w14:paraId="06A9232D"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21B7180B" w14:textId="77777777" w:rsidR="00F52BE8" w:rsidRDefault="00F52BE8" w:rsidP="00F52BE8">
      <w:pPr>
        <w:jc w:val="both"/>
        <w:rPr>
          <w:rFonts w:cs="Arial"/>
          <w:sz w:val="28"/>
          <w:szCs w:val="28"/>
          <w:u w:val="single"/>
        </w:rPr>
      </w:pPr>
    </w:p>
    <w:p w14:paraId="0822154C"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1E97BA09" w14:textId="77777777" w:rsidR="00F52BE8" w:rsidRDefault="00F52BE8" w:rsidP="00F52BE8">
      <w:pPr>
        <w:jc w:val="both"/>
        <w:rPr>
          <w:rFonts w:cs="Arial"/>
          <w:b/>
        </w:rPr>
      </w:pPr>
      <w:r>
        <w:rPr>
          <w:rFonts w:cs="Arial"/>
          <w:b/>
        </w:rPr>
        <w:t>Amendments to ITT document</w:t>
      </w:r>
    </w:p>
    <w:p w14:paraId="3DC8B24D"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576D154E" w14:textId="77777777" w:rsidR="00F52BE8" w:rsidRPr="0041543F" w:rsidRDefault="00F52BE8" w:rsidP="00F52BE8">
      <w:pPr>
        <w:keepNext/>
        <w:jc w:val="both"/>
        <w:rPr>
          <w:b/>
        </w:rPr>
      </w:pPr>
      <w:r>
        <w:rPr>
          <w:b/>
        </w:rPr>
        <w:t>Clarifications &amp; Queries</w:t>
      </w:r>
    </w:p>
    <w:p w14:paraId="0ED7294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F585240" w14:textId="77777777" w:rsidR="00F52BE8" w:rsidRPr="0041543F" w:rsidRDefault="00F52BE8" w:rsidP="00F52BE8">
      <w:pPr>
        <w:jc w:val="both"/>
        <w:rPr>
          <w:rFonts w:cs="Arial"/>
          <w:b/>
        </w:rPr>
      </w:pPr>
      <w:r>
        <w:rPr>
          <w:rFonts w:cs="Arial"/>
          <w:b/>
        </w:rPr>
        <w:t>Submission Process</w:t>
      </w:r>
    </w:p>
    <w:p w14:paraId="2A5854F1"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19BF666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2B59AA0" w14:textId="77777777" w:rsidR="00A8697E" w:rsidRDefault="00F52BE8" w:rsidP="00F52BE8">
      <w:pPr>
        <w:pStyle w:val="ListNumber"/>
        <w:numPr>
          <w:ilvl w:val="0"/>
          <w:numId w:val="0"/>
        </w:numPr>
      </w:pPr>
      <w:r>
        <w:t xml:space="preserve">An evaluation team will evaluate all tenders correctly submitted against the stated evaluation criteria. </w:t>
      </w:r>
    </w:p>
    <w:p w14:paraId="51DD7101" w14:textId="3716D9FD" w:rsidR="00F52BE8" w:rsidRPr="00476755" w:rsidRDefault="00F52BE8" w:rsidP="00F52BE8">
      <w:pPr>
        <w:pStyle w:val="ListNumber"/>
        <w:numPr>
          <w:ilvl w:val="0"/>
          <w:numId w:val="0"/>
        </w:numPr>
      </w:pPr>
      <w:r>
        <w:lastRenderedPageBreak/>
        <w:t>By issuing this Invitation to Tender ORR does not undertake to accept the lowest tender, or part or all of any tender. No part of the tender submitted will be returned to the supplier</w:t>
      </w:r>
      <w:r w:rsidRPr="00841452">
        <w:t xml:space="preserve"> </w:t>
      </w:r>
    </w:p>
    <w:p w14:paraId="37450BC8" w14:textId="77777777" w:rsidR="00F52BE8" w:rsidRDefault="00F52BE8" w:rsidP="00F52BE8">
      <w:pPr>
        <w:jc w:val="both"/>
        <w:rPr>
          <w:rFonts w:cs="Arial"/>
          <w:b/>
        </w:rPr>
      </w:pPr>
    </w:p>
    <w:p w14:paraId="6EE1B804" w14:textId="77777777" w:rsidR="00F52BE8" w:rsidRPr="0075067D" w:rsidRDefault="00F52BE8" w:rsidP="00F52BE8">
      <w:pPr>
        <w:jc w:val="both"/>
        <w:rPr>
          <w:rFonts w:cs="Arial"/>
        </w:rPr>
      </w:pPr>
      <w:r>
        <w:rPr>
          <w:rFonts w:cs="Arial"/>
          <w:b/>
        </w:rPr>
        <w:t>Cost &amp; Pricing Information</w:t>
      </w:r>
    </w:p>
    <w:p w14:paraId="645D72C7"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700929E9"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2A99C5E2"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68493ADA" w14:textId="77777777" w:rsidR="00F52BE8" w:rsidRDefault="00F52BE8" w:rsidP="00F52BE8">
      <w:pPr>
        <w:pStyle w:val="ListNumber"/>
        <w:numPr>
          <w:ilvl w:val="0"/>
          <w:numId w:val="0"/>
        </w:numPr>
        <w:rPr>
          <w:b/>
        </w:rPr>
      </w:pPr>
    </w:p>
    <w:p w14:paraId="5C63AF89" w14:textId="77777777" w:rsidR="00F52BE8" w:rsidRPr="00720321" w:rsidRDefault="00F52BE8" w:rsidP="00F52BE8">
      <w:pPr>
        <w:pStyle w:val="ListNumber"/>
        <w:numPr>
          <w:ilvl w:val="0"/>
          <w:numId w:val="0"/>
        </w:numPr>
        <w:rPr>
          <w:b/>
        </w:rPr>
      </w:pPr>
      <w:r w:rsidRPr="00720321">
        <w:rPr>
          <w:b/>
        </w:rPr>
        <w:t>References</w:t>
      </w:r>
    </w:p>
    <w:p w14:paraId="7751FBA6" w14:textId="77777777" w:rsidR="00F52BE8" w:rsidRDefault="00F52BE8" w:rsidP="00F52BE8">
      <w:pPr>
        <w:pStyle w:val="ListNumber"/>
        <w:numPr>
          <w:ilvl w:val="0"/>
          <w:numId w:val="0"/>
        </w:numPr>
      </w:pPr>
      <w:r>
        <w:t>References provided as part of the tender may be approached during the tender stage</w:t>
      </w:r>
    </w:p>
    <w:p w14:paraId="1F300A30" w14:textId="77777777" w:rsidR="00F52BE8" w:rsidRDefault="00F52BE8" w:rsidP="00F52BE8">
      <w:pPr>
        <w:pStyle w:val="ListNumber"/>
        <w:numPr>
          <w:ilvl w:val="0"/>
          <w:numId w:val="0"/>
        </w:numPr>
      </w:pPr>
    </w:p>
    <w:p w14:paraId="1103A915" w14:textId="77777777" w:rsidR="00F52BE8" w:rsidRPr="00720321" w:rsidRDefault="00F52BE8" w:rsidP="00F52BE8">
      <w:pPr>
        <w:pStyle w:val="ListNumber"/>
        <w:numPr>
          <w:ilvl w:val="0"/>
          <w:numId w:val="0"/>
        </w:numPr>
        <w:rPr>
          <w:b/>
        </w:rPr>
      </w:pPr>
      <w:r w:rsidRPr="00720321">
        <w:rPr>
          <w:b/>
        </w:rPr>
        <w:t>Contractual Information</w:t>
      </w:r>
    </w:p>
    <w:p w14:paraId="547A55B5"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7436DABD" w14:textId="77777777" w:rsidR="00F52BE8" w:rsidRPr="00720321" w:rsidRDefault="00F52BE8" w:rsidP="00F52BE8">
      <w:pPr>
        <w:pStyle w:val="Default"/>
      </w:pPr>
    </w:p>
    <w:p w14:paraId="77728AA1"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003D3A01" w14:textId="77777777" w:rsidR="00F52BE8" w:rsidRDefault="00F52BE8" w:rsidP="00F52BE8">
      <w:pPr>
        <w:pStyle w:val="Default"/>
        <w:rPr>
          <w:sz w:val="22"/>
          <w:szCs w:val="22"/>
        </w:rPr>
      </w:pPr>
    </w:p>
    <w:p w14:paraId="47E6E10D"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F547B66" w14:textId="77777777" w:rsidR="00F52BE8" w:rsidRDefault="00F52BE8" w:rsidP="00F52BE8">
      <w:pPr>
        <w:pStyle w:val="Default"/>
      </w:pPr>
    </w:p>
    <w:p w14:paraId="670EF1D0"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435F98D8" w14:textId="77777777" w:rsidR="00F52BE8" w:rsidRDefault="00F52BE8" w:rsidP="00F52BE8">
      <w:pPr>
        <w:pStyle w:val="ListNumber"/>
        <w:numPr>
          <w:ilvl w:val="0"/>
          <w:numId w:val="0"/>
        </w:numPr>
      </w:pPr>
      <w:r>
        <w:rPr>
          <w:u w:val="single"/>
        </w:rPr>
        <w:t xml:space="preserve">The ORR may be prepared to consider non-fundamental changes to the standard terms and conditions in exceptional circumstances.  If there are any areas where you feel you are not able to comply with the standard ORR terms </w:t>
      </w:r>
      <w:r>
        <w:rPr>
          <w:u w:val="single"/>
        </w:rPr>
        <w:lastRenderedPageBreak/>
        <w:t>and conditions, then d</w:t>
      </w:r>
      <w:r w:rsidRPr="00171AA4">
        <w:rPr>
          <w:u w:val="single"/>
        </w:rPr>
        <w:t>etails</w:t>
      </w:r>
      <w:r>
        <w:rPr>
          <w:u w:val="single"/>
        </w:rPr>
        <w:t xml:space="preserve"> should be submitted as a separate annex to the proposal using the following format:</w:t>
      </w:r>
    </w:p>
    <w:p w14:paraId="45777FF8"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639A7188" w14:textId="77777777" w:rsidTr="00A86302">
        <w:tc>
          <w:tcPr>
            <w:tcW w:w="2132" w:type="dxa"/>
            <w:shd w:val="clear" w:color="auto" w:fill="auto"/>
          </w:tcPr>
          <w:p w14:paraId="14751D58" w14:textId="77777777" w:rsidR="00F52BE8" w:rsidRPr="0036077E" w:rsidRDefault="00F52BE8" w:rsidP="00A86302">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6BF3810C" w14:textId="77777777" w:rsidR="00F52BE8" w:rsidRPr="0036077E" w:rsidRDefault="00F52BE8" w:rsidP="00A86302">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77AA9F85" w14:textId="77777777" w:rsidR="00F52BE8" w:rsidRPr="0036077E" w:rsidRDefault="00F52BE8" w:rsidP="00A86302">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67B69C63" w14:textId="77777777" w:rsidR="00F52BE8" w:rsidRPr="0036077E" w:rsidRDefault="00F52BE8" w:rsidP="00A86302">
            <w:pPr>
              <w:pStyle w:val="ListNumber"/>
              <w:numPr>
                <w:ilvl w:val="0"/>
                <w:numId w:val="0"/>
              </w:numPr>
              <w:rPr>
                <w:b/>
                <w:i/>
                <w:sz w:val="22"/>
                <w:szCs w:val="22"/>
              </w:rPr>
            </w:pPr>
            <w:r w:rsidRPr="0036077E">
              <w:rPr>
                <w:b/>
                <w:i/>
                <w:sz w:val="22"/>
                <w:szCs w:val="22"/>
              </w:rPr>
              <w:t>Rational for amendment</w:t>
            </w:r>
          </w:p>
        </w:tc>
      </w:tr>
      <w:tr w:rsidR="00F52BE8" w14:paraId="268FC567" w14:textId="77777777" w:rsidTr="00A86302">
        <w:tc>
          <w:tcPr>
            <w:tcW w:w="2132" w:type="dxa"/>
            <w:shd w:val="clear" w:color="auto" w:fill="auto"/>
          </w:tcPr>
          <w:p w14:paraId="37025A01" w14:textId="77777777" w:rsidR="00F52BE8" w:rsidRDefault="00F52BE8" w:rsidP="00A86302">
            <w:pPr>
              <w:pStyle w:val="ListNumber"/>
              <w:numPr>
                <w:ilvl w:val="0"/>
                <w:numId w:val="0"/>
              </w:numPr>
            </w:pPr>
          </w:p>
        </w:tc>
        <w:tc>
          <w:tcPr>
            <w:tcW w:w="2132" w:type="dxa"/>
            <w:shd w:val="clear" w:color="auto" w:fill="auto"/>
          </w:tcPr>
          <w:p w14:paraId="7043ABE8" w14:textId="77777777" w:rsidR="00F52BE8" w:rsidRDefault="00F52BE8" w:rsidP="00A86302">
            <w:pPr>
              <w:pStyle w:val="ListNumber"/>
              <w:numPr>
                <w:ilvl w:val="0"/>
                <w:numId w:val="0"/>
              </w:numPr>
            </w:pPr>
          </w:p>
        </w:tc>
        <w:tc>
          <w:tcPr>
            <w:tcW w:w="2132" w:type="dxa"/>
            <w:shd w:val="clear" w:color="auto" w:fill="auto"/>
          </w:tcPr>
          <w:p w14:paraId="6F26D16C" w14:textId="77777777" w:rsidR="00F52BE8" w:rsidRDefault="00F52BE8" w:rsidP="00A86302">
            <w:pPr>
              <w:pStyle w:val="ListNumber"/>
              <w:numPr>
                <w:ilvl w:val="0"/>
                <w:numId w:val="0"/>
              </w:numPr>
            </w:pPr>
          </w:p>
        </w:tc>
        <w:tc>
          <w:tcPr>
            <w:tcW w:w="2132" w:type="dxa"/>
            <w:shd w:val="clear" w:color="auto" w:fill="auto"/>
          </w:tcPr>
          <w:p w14:paraId="3F3D1D09" w14:textId="77777777" w:rsidR="00F52BE8" w:rsidRDefault="00F52BE8" w:rsidP="00A86302">
            <w:pPr>
              <w:pStyle w:val="ListNumber"/>
              <w:numPr>
                <w:ilvl w:val="0"/>
                <w:numId w:val="0"/>
              </w:numPr>
            </w:pPr>
          </w:p>
        </w:tc>
      </w:tr>
      <w:tr w:rsidR="00F52BE8" w14:paraId="15687D38" w14:textId="77777777" w:rsidTr="00A86302">
        <w:tc>
          <w:tcPr>
            <w:tcW w:w="2132" w:type="dxa"/>
            <w:shd w:val="clear" w:color="auto" w:fill="auto"/>
          </w:tcPr>
          <w:p w14:paraId="7494BFCE" w14:textId="77777777" w:rsidR="00F52BE8" w:rsidRDefault="00F52BE8" w:rsidP="00A86302">
            <w:pPr>
              <w:pStyle w:val="ListNumber"/>
              <w:numPr>
                <w:ilvl w:val="0"/>
                <w:numId w:val="0"/>
              </w:numPr>
            </w:pPr>
          </w:p>
        </w:tc>
        <w:tc>
          <w:tcPr>
            <w:tcW w:w="2132" w:type="dxa"/>
            <w:shd w:val="clear" w:color="auto" w:fill="auto"/>
          </w:tcPr>
          <w:p w14:paraId="098F354E" w14:textId="77777777" w:rsidR="00F52BE8" w:rsidRDefault="00F52BE8" w:rsidP="00A86302">
            <w:pPr>
              <w:pStyle w:val="ListNumber"/>
              <w:numPr>
                <w:ilvl w:val="0"/>
                <w:numId w:val="0"/>
              </w:numPr>
            </w:pPr>
          </w:p>
        </w:tc>
        <w:tc>
          <w:tcPr>
            <w:tcW w:w="2132" w:type="dxa"/>
            <w:shd w:val="clear" w:color="auto" w:fill="auto"/>
          </w:tcPr>
          <w:p w14:paraId="55FCA15D" w14:textId="77777777" w:rsidR="00F52BE8" w:rsidRDefault="00F52BE8" w:rsidP="00A86302">
            <w:pPr>
              <w:pStyle w:val="ListNumber"/>
              <w:numPr>
                <w:ilvl w:val="0"/>
                <w:numId w:val="0"/>
              </w:numPr>
            </w:pPr>
          </w:p>
        </w:tc>
        <w:tc>
          <w:tcPr>
            <w:tcW w:w="2132" w:type="dxa"/>
            <w:shd w:val="clear" w:color="auto" w:fill="auto"/>
          </w:tcPr>
          <w:p w14:paraId="57C7572F" w14:textId="77777777" w:rsidR="00F52BE8" w:rsidRDefault="00F52BE8" w:rsidP="00A86302">
            <w:pPr>
              <w:pStyle w:val="ListNumber"/>
              <w:numPr>
                <w:ilvl w:val="0"/>
                <w:numId w:val="0"/>
              </w:numPr>
            </w:pPr>
          </w:p>
        </w:tc>
      </w:tr>
    </w:tbl>
    <w:p w14:paraId="64988A55" w14:textId="77777777" w:rsidR="00F52BE8" w:rsidRPr="00720321" w:rsidRDefault="00F52BE8" w:rsidP="00F52BE8">
      <w:pPr>
        <w:pStyle w:val="Default"/>
      </w:pPr>
    </w:p>
    <w:p w14:paraId="4AFFD989" w14:textId="77777777" w:rsidR="00F52BE8" w:rsidRDefault="00F52BE8" w:rsidP="00F52BE8">
      <w:pPr>
        <w:pStyle w:val="Default"/>
        <w:rPr>
          <w:sz w:val="22"/>
          <w:szCs w:val="22"/>
        </w:rPr>
      </w:pPr>
    </w:p>
    <w:p w14:paraId="544943DF" w14:textId="77777777" w:rsidR="00F52BE8" w:rsidRPr="00497E02" w:rsidRDefault="00F52BE8" w:rsidP="00F52BE8">
      <w:pPr>
        <w:pStyle w:val="Default"/>
      </w:pPr>
      <w:r w:rsidRPr="00497E02">
        <w:t xml:space="preserve">Any services arising from this ITT will be carried out pursuant to the contract which comprises of: </w:t>
      </w:r>
    </w:p>
    <w:p w14:paraId="19BD9975" w14:textId="77777777" w:rsidR="00F52BE8" w:rsidRPr="00497E02" w:rsidRDefault="00F52BE8" w:rsidP="00F52BE8">
      <w:pPr>
        <w:pStyle w:val="Default"/>
      </w:pPr>
    </w:p>
    <w:p w14:paraId="19B4D002" w14:textId="77777777" w:rsidR="00F52BE8" w:rsidRPr="00497E02" w:rsidRDefault="00F52BE8" w:rsidP="00F52BE8">
      <w:pPr>
        <w:pStyle w:val="Default"/>
        <w:numPr>
          <w:ilvl w:val="0"/>
          <w:numId w:val="14"/>
        </w:numPr>
      </w:pPr>
      <w:r>
        <w:t>ORR Terms &amp; Conditions</w:t>
      </w:r>
      <w:r w:rsidRPr="00497E02">
        <w:t xml:space="preserve">; </w:t>
      </w:r>
    </w:p>
    <w:p w14:paraId="489CA089" w14:textId="77777777" w:rsidR="00F52BE8" w:rsidRPr="00497E02" w:rsidRDefault="00F52BE8" w:rsidP="00F52BE8">
      <w:pPr>
        <w:pStyle w:val="Default"/>
      </w:pPr>
    </w:p>
    <w:p w14:paraId="3BC7905F" w14:textId="77777777" w:rsidR="00F52BE8" w:rsidRPr="00497E02" w:rsidRDefault="00F52BE8" w:rsidP="00F52BE8">
      <w:pPr>
        <w:pStyle w:val="Default"/>
        <w:numPr>
          <w:ilvl w:val="0"/>
          <w:numId w:val="14"/>
        </w:numPr>
      </w:pPr>
      <w:r w:rsidRPr="00497E02">
        <w:t>Service Schedules;</w:t>
      </w:r>
    </w:p>
    <w:p w14:paraId="71FA55DD" w14:textId="77777777" w:rsidR="00F52BE8" w:rsidRPr="00497E02" w:rsidRDefault="00F52BE8" w:rsidP="00F52BE8">
      <w:pPr>
        <w:pStyle w:val="Default"/>
      </w:pPr>
    </w:p>
    <w:p w14:paraId="2BBCF8D2"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0BA25BBF" w14:textId="77777777" w:rsidR="00F52BE8" w:rsidRPr="00497E02" w:rsidRDefault="00F52BE8" w:rsidP="00F52BE8">
      <w:pPr>
        <w:pStyle w:val="Default"/>
      </w:pPr>
    </w:p>
    <w:p w14:paraId="6EA65E7D"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7F83D2C6" w14:textId="77777777" w:rsidR="00F52BE8" w:rsidRDefault="00F52BE8" w:rsidP="00F52BE8">
      <w:pPr>
        <w:pStyle w:val="ListNumber"/>
        <w:numPr>
          <w:ilvl w:val="0"/>
          <w:numId w:val="0"/>
        </w:numPr>
      </w:pPr>
    </w:p>
    <w:p w14:paraId="7F39EF63" w14:textId="77777777" w:rsidR="00F52BE8" w:rsidRDefault="00F52BE8" w:rsidP="00F52BE8">
      <w:pPr>
        <w:pStyle w:val="Heading2"/>
      </w:pPr>
      <w:r>
        <w:t>ORR’s Transparency Obligations and the Freedom of Information Act 2000 (the Act)</w:t>
      </w:r>
    </w:p>
    <w:p w14:paraId="6CA193BC"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0DAD8D5C" w14:textId="77777777" w:rsidR="00F52BE8" w:rsidRDefault="00F52BE8" w:rsidP="00F52BE8">
      <w:pPr>
        <w:pStyle w:val="ListNumber"/>
        <w:numPr>
          <w:ilvl w:val="0"/>
          <w:numId w:val="0"/>
        </w:numPr>
      </w:pPr>
      <w:r>
        <w:t>Typically the following information will be published:</w:t>
      </w:r>
    </w:p>
    <w:p w14:paraId="5614B1DA" w14:textId="77777777" w:rsidR="00F52BE8" w:rsidRDefault="00F52BE8" w:rsidP="00F52BE8">
      <w:pPr>
        <w:pStyle w:val="ListNumber"/>
        <w:numPr>
          <w:ilvl w:val="0"/>
          <w:numId w:val="20"/>
        </w:numPr>
      </w:pPr>
      <w:r>
        <w:t xml:space="preserve">contract price and any </w:t>
      </w:r>
      <w:proofErr w:type="spellStart"/>
      <w:r>
        <w:t>incentivisation</w:t>
      </w:r>
      <w:proofErr w:type="spellEnd"/>
      <w:r>
        <w:t xml:space="preserve"> mechanisms</w:t>
      </w:r>
    </w:p>
    <w:p w14:paraId="72F7D135" w14:textId="77777777" w:rsidR="00F52BE8" w:rsidRDefault="00F52BE8" w:rsidP="00F52BE8">
      <w:pPr>
        <w:pStyle w:val="ListNumber"/>
        <w:numPr>
          <w:ilvl w:val="0"/>
          <w:numId w:val="20"/>
        </w:numPr>
      </w:pPr>
      <w:r>
        <w:t>performance metrics and management of them</w:t>
      </w:r>
    </w:p>
    <w:p w14:paraId="2821D65E" w14:textId="77777777" w:rsidR="00F52BE8" w:rsidRDefault="00F52BE8" w:rsidP="00F52BE8">
      <w:pPr>
        <w:pStyle w:val="ListNumber"/>
        <w:numPr>
          <w:ilvl w:val="0"/>
          <w:numId w:val="20"/>
        </w:numPr>
      </w:pPr>
      <w:r>
        <w:t>plans for management of underperformance and its financial impact</w:t>
      </w:r>
    </w:p>
    <w:p w14:paraId="35298E38"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1641CB6B" w14:textId="77777777" w:rsidR="00F52BE8" w:rsidRDefault="00F52BE8" w:rsidP="00F52BE8">
      <w:pPr>
        <w:pStyle w:val="ListNumber"/>
        <w:numPr>
          <w:ilvl w:val="0"/>
          <w:numId w:val="20"/>
        </w:numPr>
      </w:pPr>
      <w:r>
        <w:t>resource plans</w:t>
      </w:r>
    </w:p>
    <w:p w14:paraId="75258FE0" w14:textId="77777777" w:rsidR="00F52BE8" w:rsidRDefault="00F52BE8" w:rsidP="00F52BE8">
      <w:pPr>
        <w:pStyle w:val="ListNumber"/>
        <w:numPr>
          <w:ilvl w:val="0"/>
          <w:numId w:val="20"/>
        </w:numPr>
      </w:pPr>
      <w:r>
        <w:t>service improvement plans</w:t>
      </w:r>
    </w:p>
    <w:p w14:paraId="3D0D7392"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481770CB" w14:textId="77777777" w:rsidR="00F52BE8" w:rsidRDefault="00F52BE8" w:rsidP="00F52BE8">
      <w:pPr>
        <w:pStyle w:val="ListNumber"/>
        <w:numPr>
          <w:ilvl w:val="0"/>
          <w:numId w:val="0"/>
        </w:numPr>
      </w:pPr>
    </w:p>
    <w:p w14:paraId="464F03E5" w14:textId="77777777" w:rsidR="00F52BE8" w:rsidRDefault="00F52BE8" w:rsidP="00F52BE8">
      <w:pPr>
        <w:pStyle w:val="ListNumber"/>
        <w:numPr>
          <w:ilvl w:val="0"/>
          <w:numId w:val="0"/>
        </w:numPr>
      </w:pPr>
      <w:r>
        <w:lastRenderedPageBreak/>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60555476"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770F6400" w14:textId="77777777" w:rsidTr="00A86302">
        <w:tc>
          <w:tcPr>
            <w:tcW w:w="1368" w:type="dxa"/>
            <w:shd w:val="clear" w:color="auto" w:fill="auto"/>
          </w:tcPr>
          <w:p w14:paraId="44961EC4" w14:textId="77777777" w:rsidR="00F52BE8" w:rsidRDefault="00F52BE8" w:rsidP="00A86302">
            <w:pPr>
              <w:pStyle w:val="ListNumber"/>
              <w:numPr>
                <w:ilvl w:val="0"/>
                <w:numId w:val="0"/>
              </w:numPr>
            </w:pPr>
            <w:smartTag w:uri="urn:schemas-microsoft-com:office:smarttags" w:element="place">
              <w:r>
                <w:t>Para</w:t>
              </w:r>
            </w:smartTag>
            <w:r>
              <w:t>. No.</w:t>
            </w:r>
          </w:p>
        </w:tc>
        <w:tc>
          <w:tcPr>
            <w:tcW w:w="3600" w:type="dxa"/>
            <w:shd w:val="clear" w:color="auto" w:fill="auto"/>
          </w:tcPr>
          <w:p w14:paraId="4E270E42" w14:textId="77777777" w:rsidR="00F52BE8" w:rsidRDefault="00F52BE8" w:rsidP="00A86302">
            <w:pPr>
              <w:pStyle w:val="ListNumber"/>
              <w:numPr>
                <w:ilvl w:val="0"/>
                <w:numId w:val="0"/>
              </w:numPr>
            </w:pPr>
            <w:r>
              <w:t>Description</w:t>
            </w:r>
          </w:p>
        </w:tc>
        <w:tc>
          <w:tcPr>
            <w:tcW w:w="3560" w:type="dxa"/>
            <w:shd w:val="clear" w:color="auto" w:fill="auto"/>
          </w:tcPr>
          <w:p w14:paraId="4B5AD7A3" w14:textId="77777777" w:rsidR="00F52BE8" w:rsidRDefault="00F52BE8" w:rsidP="00A86302">
            <w:pPr>
              <w:pStyle w:val="ListNumber"/>
              <w:numPr>
                <w:ilvl w:val="0"/>
                <w:numId w:val="0"/>
              </w:numPr>
            </w:pPr>
            <w:r>
              <w:t>Applicable exemption under FOIA 2000</w:t>
            </w:r>
          </w:p>
        </w:tc>
      </w:tr>
      <w:tr w:rsidR="00F52BE8" w14:paraId="496CDDB9" w14:textId="77777777" w:rsidTr="00A86302">
        <w:tc>
          <w:tcPr>
            <w:tcW w:w="1368" w:type="dxa"/>
            <w:shd w:val="clear" w:color="auto" w:fill="auto"/>
          </w:tcPr>
          <w:p w14:paraId="247C4166" w14:textId="77777777" w:rsidR="00F52BE8" w:rsidRDefault="00F52BE8" w:rsidP="00A86302">
            <w:pPr>
              <w:pStyle w:val="ListNumber"/>
              <w:numPr>
                <w:ilvl w:val="0"/>
                <w:numId w:val="0"/>
              </w:numPr>
            </w:pPr>
          </w:p>
        </w:tc>
        <w:tc>
          <w:tcPr>
            <w:tcW w:w="3600" w:type="dxa"/>
            <w:shd w:val="clear" w:color="auto" w:fill="auto"/>
          </w:tcPr>
          <w:p w14:paraId="4DE5A106" w14:textId="77777777" w:rsidR="00F52BE8" w:rsidRDefault="00F52BE8" w:rsidP="00A86302">
            <w:pPr>
              <w:pStyle w:val="ListNumber"/>
              <w:numPr>
                <w:ilvl w:val="0"/>
                <w:numId w:val="0"/>
              </w:numPr>
            </w:pPr>
          </w:p>
        </w:tc>
        <w:tc>
          <w:tcPr>
            <w:tcW w:w="3560" w:type="dxa"/>
            <w:shd w:val="clear" w:color="auto" w:fill="auto"/>
          </w:tcPr>
          <w:p w14:paraId="7D5F3B24" w14:textId="77777777" w:rsidR="00F52BE8" w:rsidRDefault="00F52BE8" w:rsidP="00A86302">
            <w:pPr>
              <w:pStyle w:val="ListNumber"/>
              <w:numPr>
                <w:ilvl w:val="0"/>
                <w:numId w:val="0"/>
              </w:numPr>
            </w:pPr>
          </w:p>
        </w:tc>
      </w:tr>
      <w:tr w:rsidR="00F52BE8" w14:paraId="0F0CE62E" w14:textId="77777777" w:rsidTr="00A86302">
        <w:tc>
          <w:tcPr>
            <w:tcW w:w="1368" w:type="dxa"/>
            <w:shd w:val="clear" w:color="auto" w:fill="auto"/>
          </w:tcPr>
          <w:p w14:paraId="7082CF9B" w14:textId="77777777" w:rsidR="00F52BE8" w:rsidRDefault="00F52BE8" w:rsidP="00A86302">
            <w:pPr>
              <w:pStyle w:val="ListNumber"/>
              <w:numPr>
                <w:ilvl w:val="0"/>
                <w:numId w:val="0"/>
              </w:numPr>
            </w:pPr>
          </w:p>
        </w:tc>
        <w:tc>
          <w:tcPr>
            <w:tcW w:w="3600" w:type="dxa"/>
            <w:shd w:val="clear" w:color="auto" w:fill="auto"/>
          </w:tcPr>
          <w:p w14:paraId="65635F7F" w14:textId="77777777" w:rsidR="00F52BE8" w:rsidRDefault="00F52BE8" w:rsidP="00A86302">
            <w:pPr>
              <w:pStyle w:val="ListNumber"/>
              <w:numPr>
                <w:ilvl w:val="0"/>
                <w:numId w:val="0"/>
              </w:numPr>
            </w:pPr>
          </w:p>
        </w:tc>
        <w:tc>
          <w:tcPr>
            <w:tcW w:w="3560" w:type="dxa"/>
            <w:shd w:val="clear" w:color="auto" w:fill="auto"/>
          </w:tcPr>
          <w:p w14:paraId="30538472" w14:textId="77777777" w:rsidR="00F52BE8" w:rsidRDefault="00F52BE8" w:rsidP="00A86302">
            <w:pPr>
              <w:pStyle w:val="ListNumber"/>
              <w:numPr>
                <w:ilvl w:val="0"/>
                <w:numId w:val="0"/>
              </w:numPr>
            </w:pPr>
          </w:p>
        </w:tc>
      </w:tr>
      <w:tr w:rsidR="00F52BE8" w14:paraId="3C69CD28" w14:textId="77777777" w:rsidTr="00A86302">
        <w:tc>
          <w:tcPr>
            <w:tcW w:w="1368" w:type="dxa"/>
            <w:shd w:val="clear" w:color="auto" w:fill="auto"/>
          </w:tcPr>
          <w:p w14:paraId="7CE7213D" w14:textId="77777777" w:rsidR="00F52BE8" w:rsidRDefault="00F52BE8" w:rsidP="00A86302">
            <w:pPr>
              <w:pStyle w:val="ListNumber"/>
              <w:numPr>
                <w:ilvl w:val="0"/>
                <w:numId w:val="0"/>
              </w:numPr>
            </w:pPr>
          </w:p>
        </w:tc>
        <w:tc>
          <w:tcPr>
            <w:tcW w:w="3600" w:type="dxa"/>
            <w:shd w:val="clear" w:color="auto" w:fill="auto"/>
          </w:tcPr>
          <w:p w14:paraId="49F319A5" w14:textId="77777777" w:rsidR="00F52BE8" w:rsidRDefault="00F52BE8" w:rsidP="00A86302">
            <w:pPr>
              <w:pStyle w:val="ListNumber"/>
              <w:numPr>
                <w:ilvl w:val="0"/>
                <w:numId w:val="0"/>
              </w:numPr>
            </w:pPr>
          </w:p>
        </w:tc>
        <w:tc>
          <w:tcPr>
            <w:tcW w:w="3560" w:type="dxa"/>
            <w:shd w:val="clear" w:color="auto" w:fill="auto"/>
          </w:tcPr>
          <w:p w14:paraId="0E2BABC8" w14:textId="77777777" w:rsidR="00F52BE8" w:rsidRDefault="00F52BE8" w:rsidP="00A86302">
            <w:pPr>
              <w:pStyle w:val="ListNumber"/>
              <w:numPr>
                <w:ilvl w:val="0"/>
                <w:numId w:val="0"/>
              </w:numPr>
            </w:pPr>
          </w:p>
        </w:tc>
      </w:tr>
    </w:tbl>
    <w:p w14:paraId="41F04588" w14:textId="77777777" w:rsidR="00F52BE8" w:rsidRDefault="00F52BE8" w:rsidP="00F52BE8">
      <w:pPr>
        <w:pStyle w:val="ListNumber"/>
        <w:numPr>
          <w:ilvl w:val="0"/>
          <w:numId w:val="0"/>
        </w:numPr>
      </w:pPr>
    </w:p>
    <w:p w14:paraId="39A84F9E" w14:textId="77777777" w:rsidR="00F52BE8" w:rsidRPr="00B251F0" w:rsidRDefault="00F52BE8" w:rsidP="00F52BE8">
      <w:pPr>
        <w:pStyle w:val="ListNumber"/>
        <w:numPr>
          <w:ilvl w:val="0"/>
          <w:numId w:val="0"/>
        </w:numPr>
      </w:pPr>
    </w:p>
    <w:p w14:paraId="090338BE" w14:textId="77777777" w:rsidR="00492423" w:rsidRDefault="00492423">
      <w:pPr>
        <w:spacing w:after="160" w:line="259" w:lineRule="auto"/>
      </w:pPr>
      <w:r>
        <w:br w:type="page"/>
      </w:r>
    </w:p>
    <w:p w14:paraId="5BA48A6B" w14:textId="77777777" w:rsidR="00235E4D" w:rsidRDefault="00492423" w:rsidP="00235E4D">
      <w:r>
        <w:lastRenderedPageBreak/>
        <w:t>Appendix A</w:t>
      </w:r>
    </w:p>
    <w:p w14:paraId="525F09F4" w14:textId="77777777" w:rsidR="00235E4D" w:rsidRPr="00235E4D" w:rsidRDefault="00235E4D" w:rsidP="00235E4D">
      <w:pPr>
        <w:keepNext/>
        <w:tabs>
          <w:tab w:val="num" w:pos="0"/>
        </w:tabs>
        <w:spacing w:before="240" w:after="0"/>
        <w:ind w:hanging="539"/>
        <w:outlineLvl w:val="0"/>
        <w:rPr>
          <w:bCs/>
          <w:color w:val="093A80"/>
          <w:sz w:val="36"/>
          <w:szCs w:val="24"/>
        </w:rPr>
      </w:pPr>
      <w:bookmarkStart w:id="1" w:name="_Toc383673010"/>
      <w:r w:rsidRPr="00235E4D">
        <w:rPr>
          <w:bCs/>
          <w:color w:val="093A80"/>
          <w:sz w:val="36"/>
          <w:szCs w:val="24"/>
        </w:rPr>
        <w:t>Composite sustainability index</w:t>
      </w:r>
      <w:bookmarkEnd w:id="1"/>
      <w:r>
        <w:rPr>
          <w:bCs/>
          <w:color w:val="093A80"/>
          <w:sz w:val="36"/>
          <w:szCs w:val="24"/>
        </w:rPr>
        <w:t xml:space="preserve"> </w:t>
      </w:r>
      <w:r w:rsidR="00BD24D2">
        <w:rPr>
          <w:bCs/>
          <w:color w:val="093A80"/>
          <w:sz w:val="36"/>
          <w:szCs w:val="24"/>
        </w:rPr>
        <w:t xml:space="preserve">- </w:t>
      </w:r>
      <w:r>
        <w:rPr>
          <w:bCs/>
          <w:color w:val="093A80"/>
          <w:sz w:val="36"/>
          <w:szCs w:val="24"/>
        </w:rPr>
        <w:t>APRIL 2014</w:t>
      </w:r>
    </w:p>
    <w:p w14:paraId="230DC2BD" w14:textId="77777777" w:rsidR="00235E4D" w:rsidRPr="00235E4D" w:rsidRDefault="00235E4D" w:rsidP="00235E4D">
      <w:pPr>
        <w:keepNext/>
        <w:numPr>
          <w:ilvl w:val="1"/>
          <w:numId w:val="0"/>
        </w:numPr>
        <w:tabs>
          <w:tab w:val="num" w:pos="0"/>
        </w:tabs>
        <w:spacing w:before="240" w:after="0"/>
        <w:ind w:left="578" w:hanging="1117"/>
        <w:outlineLvl w:val="1"/>
        <w:rPr>
          <w:color w:val="093A80"/>
          <w:sz w:val="28"/>
          <w:szCs w:val="24"/>
        </w:rPr>
      </w:pPr>
      <w:bookmarkStart w:id="2" w:name="_Toc383673011"/>
      <w:r w:rsidRPr="00235E4D">
        <w:rPr>
          <w:color w:val="093A80"/>
          <w:sz w:val="28"/>
          <w:szCs w:val="24"/>
        </w:rPr>
        <w:t>Measures</w:t>
      </w:r>
      <w:bookmarkEnd w:id="2"/>
    </w:p>
    <w:p w14:paraId="61F4921E" w14:textId="77777777" w:rsidR="00235E4D" w:rsidRPr="00235E4D" w:rsidRDefault="00235E4D" w:rsidP="00235E4D">
      <w:pPr>
        <w:keepNext/>
        <w:spacing w:before="120" w:after="0"/>
        <w:rPr>
          <w:sz w:val="20"/>
        </w:rPr>
      </w:pPr>
      <w:r w:rsidRPr="00235E4D">
        <w:rPr>
          <w:sz w:val="20"/>
        </w:rPr>
        <w:t>The asset measures proposed for the composite sustainability index are shown below:</w:t>
      </w:r>
    </w:p>
    <w:p w14:paraId="7E967158" w14:textId="1A054138" w:rsidR="00235E4D" w:rsidRPr="00235E4D" w:rsidRDefault="00235E4D" w:rsidP="00235E4D">
      <w:pPr>
        <w:keepNext/>
        <w:spacing w:before="120" w:after="0"/>
        <w:rPr>
          <w:b/>
          <w:sz w:val="20"/>
          <w:szCs w:val="24"/>
        </w:rPr>
      </w:pPr>
    </w:p>
    <w:tbl>
      <w:tblPr>
        <w:tblW w:w="6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8"/>
        <w:gridCol w:w="4815"/>
      </w:tblGrid>
      <w:tr w:rsidR="00235E4D" w:rsidRPr="00235E4D" w14:paraId="0D2BC8C8" w14:textId="77777777" w:rsidTr="00235E4D">
        <w:trPr>
          <w:jc w:val="center"/>
        </w:trPr>
        <w:tc>
          <w:tcPr>
            <w:tcW w:w="1858" w:type="dxa"/>
            <w:shd w:val="clear" w:color="auto" w:fill="auto"/>
            <w:noWrap/>
          </w:tcPr>
          <w:p w14:paraId="6C87451C" w14:textId="77777777" w:rsidR="00235E4D" w:rsidRPr="00235E4D" w:rsidRDefault="00235E4D" w:rsidP="00235E4D">
            <w:pPr>
              <w:keepNext/>
              <w:spacing w:after="0"/>
              <w:rPr>
                <w:b/>
                <w:bCs/>
                <w:sz w:val="20"/>
              </w:rPr>
            </w:pPr>
            <w:r w:rsidRPr="00235E4D">
              <w:rPr>
                <w:b/>
                <w:bCs/>
                <w:sz w:val="20"/>
              </w:rPr>
              <w:t>Asset group</w:t>
            </w:r>
          </w:p>
        </w:tc>
        <w:tc>
          <w:tcPr>
            <w:tcW w:w="4815" w:type="dxa"/>
            <w:shd w:val="clear" w:color="auto" w:fill="auto"/>
          </w:tcPr>
          <w:p w14:paraId="1C734506" w14:textId="77777777" w:rsidR="00235E4D" w:rsidRPr="00235E4D" w:rsidRDefault="00235E4D" w:rsidP="00235E4D">
            <w:pPr>
              <w:keepNext/>
              <w:spacing w:after="0"/>
              <w:rPr>
                <w:b/>
                <w:bCs/>
                <w:sz w:val="20"/>
              </w:rPr>
            </w:pPr>
            <w:r w:rsidRPr="00235E4D">
              <w:rPr>
                <w:b/>
                <w:bCs/>
                <w:sz w:val="20"/>
              </w:rPr>
              <w:t>Sustainability measure for asset sub-group</w:t>
            </w:r>
          </w:p>
        </w:tc>
      </w:tr>
      <w:tr w:rsidR="00235E4D" w:rsidRPr="00235E4D" w14:paraId="6BA8C264" w14:textId="77777777" w:rsidTr="00235E4D">
        <w:trPr>
          <w:jc w:val="center"/>
        </w:trPr>
        <w:tc>
          <w:tcPr>
            <w:tcW w:w="1858" w:type="dxa"/>
            <w:vMerge w:val="restart"/>
            <w:shd w:val="clear" w:color="auto" w:fill="auto"/>
            <w:noWrap/>
          </w:tcPr>
          <w:p w14:paraId="63C24CB6" w14:textId="77777777" w:rsidR="00235E4D" w:rsidRPr="00235E4D" w:rsidRDefault="00235E4D" w:rsidP="00235E4D">
            <w:pPr>
              <w:keepNext/>
              <w:spacing w:after="0"/>
              <w:rPr>
                <w:sz w:val="20"/>
              </w:rPr>
            </w:pPr>
            <w:r w:rsidRPr="00235E4D">
              <w:rPr>
                <w:sz w:val="20"/>
              </w:rPr>
              <w:t>Track</w:t>
            </w:r>
          </w:p>
        </w:tc>
        <w:tc>
          <w:tcPr>
            <w:tcW w:w="4815" w:type="dxa"/>
            <w:shd w:val="clear" w:color="auto" w:fill="auto"/>
            <w:vAlign w:val="bottom"/>
          </w:tcPr>
          <w:p w14:paraId="3005DAD4" w14:textId="77777777" w:rsidR="00235E4D" w:rsidRPr="00235E4D" w:rsidRDefault="00235E4D" w:rsidP="00235E4D">
            <w:pPr>
              <w:keepNext/>
              <w:spacing w:after="0"/>
              <w:rPr>
                <w:sz w:val="20"/>
              </w:rPr>
            </w:pPr>
            <w:r w:rsidRPr="00235E4D">
              <w:rPr>
                <w:sz w:val="20"/>
              </w:rPr>
              <w:t>Ballast fouling (%)</w:t>
            </w:r>
          </w:p>
        </w:tc>
      </w:tr>
      <w:tr w:rsidR="00235E4D" w:rsidRPr="00235E4D" w14:paraId="3F9FD09D" w14:textId="77777777" w:rsidTr="00235E4D">
        <w:trPr>
          <w:jc w:val="center"/>
        </w:trPr>
        <w:tc>
          <w:tcPr>
            <w:tcW w:w="1858" w:type="dxa"/>
            <w:vMerge/>
            <w:shd w:val="clear" w:color="auto" w:fill="auto"/>
            <w:noWrap/>
          </w:tcPr>
          <w:p w14:paraId="44366C31" w14:textId="77777777" w:rsidR="00235E4D" w:rsidRPr="00235E4D" w:rsidRDefault="00235E4D" w:rsidP="00235E4D">
            <w:pPr>
              <w:keepNext/>
              <w:spacing w:after="0"/>
              <w:rPr>
                <w:sz w:val="20"/>
              </w:rPr>
            </w:pPr>
          </w:p>
        </w:tc>
        <w:tc>
          <w:tcPr>
            <w:tcW w:w="4815" w:type="dxa"/>
            <w:shd w:val="clear" w:color="auto" w:fill="auto"/>
            <w:vAlign w:val="bottom"/>
          </w:tcPr>
          <w:p w14:paraId="76E162FF" w14:textId="77777777" w:rsidR="00235E4D" w:rsidRPr="00235E4D" w:rsidRDefault="00235E4D" w:rsidP="00235E4D">
            <w:pPr>
              <w:keepNext/>
              <w:spacing w:after="0"/>
              <w:rPr>
                <w:sz w:val="20"/>
              </w:rPr>
            </w:pPr>
            <w:r w:rsidRPr="00235E4D">
              <w:rPr>
                <w:sz w:val="20"/>
              </w:rPr>
              <w:t>Rail used life (%)</w:t>
            </w:r>
          </w:p>
        </w:tc>
      </w:tr>
      <w:tr w:rsidR="00235E4D" w:rsidRPr="00235E4D" w14:paraId="1AC45758" w14:textId="77777777" w:rsidTr="00235E4D">
        <w:trPr>
          <w:jc w:val="center"/>
        </w:trPr>
        <w:tc>
          <w:tcPr>
            <w:tcW w:w="1858" w:type="dxa"/>
            <w:vMerge/>
            <w:shd w:val="clear" w:color="auto" w:fill="auto"/>
            <w:noWrap/>
          </w:tcPr>
          <w:p w14:paraId="7112FA2A" w14:textId="77777777" w:rsidR="00235E4D" w:rsidRPr="00235E4D" w:rsidRDefault="00235E4D" w:rsidP="00235E4D">
            <w:pPr>
              <w:keepNext/>
              <w:spacing w:after="0"/>
              <w:rPr>
                <w:sz w:val="20"/>
              </w:rPr>
            </w:pPr>
          </w:p>
        </w:tc>
        <w:tc>
          <w:tcPr>
            <w:tcW w:w="4815" w:type="dxa"/>
            <w:shd w:val="clear" w:color="auto" w:fill="auto"/>
            <w:vAlign w:val="bottom"/>
          </w:tcPr>
          <w:p w14:paraId="00140304" w14:textId="77777777" w:rsidR="00235E4D" w:rsidRPr="00235E4D" w:rsidRDefault="00235E4D" w:rsidP="00235E4D">
            <w:pPr>
              <w:keepNext/>
              <w:spacing w:after="0"/>
              <w:rPr>
                <w:sz w:val="20"/>
              </w:rPr>
            </w:pPr>
            <w:r w:rsidRPr="00235E4D">
              <w:rPr>
                <w:sz w:val="20"/>
              </w:rPr>
              <w:t>Sleepers used life (%)</w:t>
            </w:r>
          </w:p>
        </w:tc>
      </w:tr>
      <w:tr w:rsidR="00235E4D" w:rsidRPr="00235E4D" w14:paraId="2735A5B9" w14:textId="77777777" w:rsidTr="00235E4D">
        <w:trPr>
          <w:jc w:val="center"/>
        </w:trPr>
        <w:tc>
          <w:tcPr>
            <w:tcW w:w="1858" w:type="dxa"/>
            <w:vMerge/>
            <w:shd w:val="clear" w:color="auto" w:fill="auto"/>
            <w:noWrap/>
          </w:tcPr>
          <w:p w14:paraId="795788DC" w14:textId="77777777" w:rsidR="00235E4D" w:rsidRPr="00235E4D" w:rsidRDefault="00235E4D" w:rsidP="00235E4D">
            <w:pPr>
              <w:keepNext/>
              <w:spacing w:after="0"/>
              <w:rPr>
                <w:sz w:val="20"/>
              </w:rPr>
            </w:pPr>
          </w:p>
        </w:tc>
        <w:tc>
          <w:tcPr>
            <w:tcW w:w="4815" w:type="dxa"/>
            <w:shd w:val="clear" w:color="auto" w:fill="auto"/>
            <w:vAlign w:val="bottom"/>
          </w:tcPr>
          <w:p w14:paraId="2E2A48BF" w14:textId="77777777" w:rsidR="00235E4D" w:rsidRPr="00235E4D" w:rsidRDefault="00235E4D" w:rsidP="00235E4D">
            <w:pPr>
              <w:keepNext/>
              <w:spacing w:after="0"/>
              <w:rPr>
                <w:sz w:val="20"/>
              </w:rPr>
            </w:pPr>
            <w:r w:rsidRPr="00235E4D">
              <w:rPr>
                <w:sz w:val="20"/>
              </w:rPr>
              <w:t>S&amp;C used life (%)</w:t>
            </w:r>
          </w:p>
        </w:tc>
      </w:tr>
      <w:tr w:rsidR="00235E4D" w:rsidRPr="00235E4D" w14:paraId="60DF7DE6" w14:textId="77777777" w:rsidTr="00235E4D">
        <w:trPr>
          <w:jc w:val="center"/>
        </w:trPr>
        <w:tc>
          <w:tcPr>
            <w:tcW w:w="1858" w:type="dxa"/>
            <w:shd w:val="clear" w:color="auto" w:fill="auto"/>
            <w:noWrap/>
          </w:tcPr>
          <w:p w14:paraId="502377FB" w14:textId="77777777" w:rsidR="00235E4D" w:rsidRPr="00235E4D" w:rsidRDefault="00235E4D" w:rsidP="00235E4D">
            <w:pPr>
              <w:keepNext/>
              <w:spacing w:after="0"/>
              <w:rPr>
                <w:sz w:val="20"/>
              </w:rPr>
            </w:pPr>
            <w:r w:rsidRPr="00235E4D">
              <w:rPr>
                <w:sz w:val="20"/>
              </w:rPr>
              <w:t>Signalling</w:t>
            </w:r>
          </w:p>
        </w:tc>
        <w:tc>
          <w:tcPr>
            <w:tcW w:w="4815" w:type="dxa"/>
            <w:shd w:val="clear" w:color="auto" w:fill="auto"/>
          </w:tcPr>
          <w:p w14:paraId="7BBEC6D9" w14:textId="77777777" w:rsidR="00235E4D" w:rsidRPr="00235E4D" w:rsidRDefault="00235E4D" w:rsidP="00235E4D">
            <w:pPr>
              <w:keepNext/>
              <w:spacing w:after="0"/>
              <w:rPr>
                <w:sz w:val="20"/>
              </w:rPr>
            </w:pPr>
            <w:r w:rsidRPr="00235E4D">
              <w:rPr>
                <w:sz w:val="20"/>
              </w:rPr>
              <w:t>SICA remaining life (</w:t>
            </w:r>
            <w:proofErr w:type="spellStart"/>
            <w:r w:rsidRPr="00235E4D">
              <w:rPr>
                <w:sz w:val="20"/>
              </w:rPr>
              <w:t>yrs</w:t>
            </w:r>
            <w:proofErr w:type="spellEnd"/>
            <w:r w:rsidRPr="00235E4D">
              <w:rPr>
                <w:sz w:val="20"/>
              </w:rPr>
              <w:t>)</w:t>
            </w:r>
          </w:p>
        </w:tc>
      </w:tr>
      <w:tr w:rsidR="00235E4D" w:rsidRPr="00235E4D" w14:paraId="670DF053" w14:textId="77777777" w:rsidTr="00235E4D">
        <w:trPr>
          <w:jc w:val="center"/>
        </w:trPr>
        <w:tc>
          <w:tcPr>
            <w:tcW w:w="1858" w:type="dxa"/>
            <w:shd w:val="clear" w:color="auto" w:fill="auto"/>
            <w:noWrap/>
          </w:tcPr>
          <w:p w14:paraId="78EDBF30" w14:textId="77777777" w:rsidR="00235E4D" w:rsidRPr="00235E4D" w:rsidRDefault="00235E4D" w:rsidP="00235E4D">
            <w:pPr>
              <w:keepNext/>
              <w:spacing w:after="0"/>
              <w:rPr>
                <w:sz w:val="20"/>
              </w:rPr>
            </w:pPr>
            <w:r w:rsidRPr="00235E4D">
              <w:rPr>
                <w:sz w:val="20"/>
              </w:rPr>
              <w:t>Telecoms</w:t>
            </w:r>
          </w:p>
        </w:tc>
        <w:tc>
          <w:tcPr>
            <w:tcW w:w="4815" w:type="dxa"/>
            <w:shd w:val="clear" w:color="auto" w:fill="auto"/>
          </w:tcPr>
          <w:p w14:paraId="53CC7E16" w14:textId="77777777" w:rsidR="00235E4D" w:rsidRPr="00235E4D" w:rsidRDefault="00235E4D" w:rsidP="00235E4D">
            <w:pPr>
              <w:keepNext/>
              <w:spacing w:after="0"/>
              <w:rPr>
                <w:sz w:val="20"/>
              </w:rPr>
            </w:pPr>
            <w:r w:rsidRPr="00235E4D">
              <w:rPr>
                <w:sz w:val="20"/>
              </w:rPr>
              <w:t>Telecoms remaining life (%)</w:t>
            </w:r>
          </w:p>
        </w:tc>
      </w:tr>
      <w:tr w:rsidR="00235E4D" w:rsidRPr="00235E4D" w14:paraId="5C230AED" w14:textId="77777777" w:rsidTr="00235E4D">
        <w:trPr>
          <w:jc w:val="center"/>
        </w:trPr>
        <w:tc>
          <w:tcPr>
            <w:tcW w:w="1858" w:type="dxa"/>
            <w:vMerge w:val="restart"/>
            <w:shd w:val="clear" w:color="auto" w:fill="auto"/>
            <w:noWrap/>
          </w:tcPr>
          <w:p w14:paraId="1CC9944B" w14:textId="77777777" w:rsidR="00235E4D" w:rsidRPr="00235E4D" w:rsidRDefault="00235E4D" w:rsidP="00235E4D">
            <w:pPr>
              <w:keepNext/>
              <w:spacing w:after="0"/>
              <w:rPr>
                <w:sz w:val="20"/>
              </w:rPr>
            </w:pPr>
            <w:r w:rsidRPr="00235E4D">
              <w:rPr>
                <w:sz w:val="20"/>
              </w:rPr>
              <w:t>Electrical Power</w:t>
            </w:r>
          </w:p>
        </w:tc>
        <w:tc>
          <w:tcPr>
            <w:tcW w:w="4815" w:type="dxa"/>
            <w:shd w:val="clear" w:color="auto" w:fill="auto"/>
          </w:tcPr>
          <w:p w14:paraId="7C4AC98C" w14:textId="77777777" w:rsidR="00235E4D" w:rsidRPr="00235E4D" w:rsidRDefault="00235E4D" w:rsidP="00235E4D">
            <w:pPr>
              <w:keepNext/>
              <w:spacing w:after="0"/>
              <w:rPr>
                <w:sz w:val="20"/>
              </w:rPr>
            </w:pPr>
            <w:r w:rsidRPr="00235E4D">
              <w:rPr>
                <w:sz w:val="20"/>
              </w:rPr>
              <w:t>OLE remaining life (%)</w:t>
            </w:r>
          </w:p>
        </w:tc>
      </w:tr>
      <w:tr w:rsidR="00235E4D" w:rsidRPr="00235E4D" w14:paraId="26522951" w14:textId="77777777" w:rsidTr="00235E4D">
        <w:trPr>
          <w:jc w:val="center"/>
        </w:trPr>
        <w:tc>
          <w:tcPr>
            <w:tcW w:w="1858" w:type="dxa"/>
            <w:vMerge/>
            <w:shd w:val="clear" w:color="auto" w:fill="auto"/>
            <w:noWrap/>
          </w:tcPr>
          <w:p w14:paraId="476704BB" w14:textId="77777777" w:rsidR="00235E4D" w:rsidRPr="00235E4D" w:rsidRDefault="00235E4D" w:rsidP="00235E4D">
            <w:pPr>
              <w:keepNext/>
              <w:spacing w:after="0"/>
              <w:rPr>
                <w:sz w:val="20"/>
              </w:rPr>
            </w:pPr>
          </w:p>
        </w:tc>
        <w:tc>
          <w:tcPr>
            <w:tcW w:w="4815" w:type="dxa"/>
            <w:shd w:val="clear" w:color="auto" w:fill="auto"/>
          </w:tcPr>
          <w:p w14:paraId="562D6395" w14:textId="77777777" w:rsidR="00235E4D" w:rsidRPr="00235E4D" w:rsidRDefault="00235E4D" w:rsidP="00235E4D">
            <w:pPr>
              <w:keepNext/>
              <w:spacing w:after="0"/>
              <w:rPr>
                <w:sz w:val="20"/>
              </w:rPr>
            </w:pPr>
            <w:r w:rsidRPr="00235E4D">
              <w:rPr>
                <w:sz w:val="20"/>
              </w:rPr>
              <w:t>Conductor rail remaining life (%)</w:t>
            </w:r>
          </w:p>
        </w:tc>
      </w:tr>
      <w:tr w:rsidR="00235E4D" w:rsidRPr="00235E4D" w14:paraId="1A5BE035" w14:textId="77777777" w:rsidTr="00235E4D">
        <w:trPr>
          <w:jc w:val="center"/>
        </w:trPr>
        <w:tc>
          <w:tcPr>
            <w:tcW w:w="1858" w:type="dxa"/>
            <w:vMerge/>
            <w:shd w:val="clear" w:color="auto" w:fill="auto"/>
            <w:noWrap/>
          </w:tcPr>
          <w:p w14:paraId="3907C844" w14:textId="77777777" w:rsidR="00235E4D" w:rsidRPr="00235E4D" w:rsidRDefault="00235E4D" w:rsidP="00235E4D">
            <w:pPr>
              <w:keepNext/>
              <w:spacing w:after="0"/>
              <w:rPr>
                <w:sz w:val="20"/>
              </w:rPr>
            </w:pPr>
          </w:p>
        </w:tc>
        <w:tc>
          <w:tcPr>
            <w:tcW w:w="4815" w:type="dxa"/>
            <w:shd w:val="clear" w:color="auto" w:fill="auto"/>
          </w:tcPr>
          <w:p w14:paraId="7A9AA93F" w14:textId="77777777" w:rsidR="00235E4D" w:rsidRPr="00235E4D" w:rsidRDefault="00235E4D" w:rsidP="00235E4D">
            <w:pPr>
              <w:keepNext/>
              <w:spacing w:after="0"/>
              <w:rPr>
                <w:i/>
                <w:iCs/>
                <w:sz w:val="20"/>
              </w:rPr>
            </w:pPr>
            <w:r w:rsidRPr="00235E4D">
              <w:rPr>
                <w:i/>
                <w:iCs/>
                <w:sz w:val="20"/>
              </w:rPr>
              <w:t>Signalling power cable remaining life (%)</w:t>
            </w:r>
          </w:p>
        </w:tc>
      </w:tr>
      <w:tr w:rsidR="00235E4D" w:rsidRPr="00235E4D" w14:paraId="3BFA8134" w14:textId="77777777" w:rsidTr="00235E4D">
        <w:trPr>
          <w:jc w:val="center"/>
        </w:trPr>
        <w:tc>
          <w:tcPr>
            <w:tcW w:w="1858" w:type="dxa"/>
            <w:shd w:val="clear" w:color="auto" w:fill="auto"/>
            <w:noWrap/>
          </w:tcPr>
          <w:p w14:paraId="51B510B8" w14:textId="77777777" w:rsidR="00235E4D" w:rsidRPr="00235E4D" w:rsidRDefault="00235E4D" w:rsidP="00235E4D">
            <w:pPr>
              <w:keepNext/>
              <w:spacing w:after="0"/>
              <w:rPr>
                <w:sz w:val="20"/>
              </w:rPr>
            </w:pPr>
            <w:r w:rsidRPr="00235E4D">
              <w:rPr>
                <w:sz w:val="20"/>
              </w:rPr>
              <w:t>Earthworks</w:t>
            </w:r>
          </w:p>
        </w:tc>
        <w:tc>
          <w:tcPr>
            <w:tcW w:w="4815" w:type="dxa"/>
            <w:shd w:val="clear" w:color="auto" w:fill="auto"/>
          </w:tcPr>
          <w:p w14:paraId="2A4F36EA" w14:textId="77777777" w:rsidR="00235E4D" w:rsidRPr="00235E4D" w:rsidRDefault="00235E4D" w:rsidP="00235E4D">
            <w:pPr>
              <w:keepNext/>
              <w:spacing w:after="0"/>
              <w:rPr>
                <w:sz w:val="20"/>
              </w:rPr>
            </w:pPr>
            <w:r w:rsidRPr="00235E4D">
              <w:rPr>
                <w:sz w:val="20"/>
              </w:rPr>
              <w:t>Earthworks condition score</w:t>
            </w:r>
          </w:p>
        </w:tc>
      </w:tr>
      <w:tr w:rsidR="00235E4D" w:rsidRPr="00235E4D" w14:paraId="636E7B28" w14:textId="77777777" w:rsidTr="00235E4D">
        <w:trPr>
          <w:jc w:val="center"/>
        </w:trPr>
        <w:tc>
          <w:tcPr>
            <w:tcW w:w="1858" w:type="dxa"/>
            <w:vMerge w:val="restart"/>
            <w:shd w:val="clear" w:color="auto" w:fill="auto"/>
            <w:noWrap/>
          </w:tcPr>
          <w:p w14:paraId="143B8BB3" w14:textId="77777777" w:rsidR="00235E4D" w:rsidRPr="00235E4D" w:rsidRDefault="00235E4D" w:rsidP="00235E4D">
            <w:pPr>
              <w:keepNext/>
              <w:spacing w:after="0"/>
              <w:rPr>
                <w:sz w:val="20"/>
              </w:rPr>
            </w:pPr>
            <w:r w:rsidRPr="00235E4D">
              <w:rPr>
                <w:sz w:val="20"/>
              </w:rPr>
              <w:t>Drainage</w:t>
            </w:r>
          </w:p>
        </w:tc>
        <w:tc>
          <w:tcPr>
            <w:tcW w:w="4815" w:type="dxa"/>
            <w:shd w:val="clear" w:color="auto" w:fill="auto"/>
          </w:tcPr>
          <w:p w14:paraId="4B6B0368" w14:textId="77777777" w:rsidR="00235E4D" w:rsidRPr="00235E4D" w:rsidRDefault="00235E4D" w:rsidP="00235E4D">
            <w:pPr>
              <w:keepNext/>
              <w:spacing w:after="0"/>
              <w:rPr>
                <w:sz w:val="20"/>
              </w:rPr>
            </w:pPr>
            <w:r w:rsidRPr="00235E4D">
              <w:rPr>
                <w:sz w:val="20"/>
              </w:rPr>
              <w:t>Track drainage structural condition grade</w:t>
            </w:r>
          </w:p>
        </w:tc>
      </w:tr>
      <w:tr w:rsidR="00235E4D" w:rsidRPr="00235E4D" w14:paraId="10F325AF" w14:textId="77777777" w:rsidTr="00235E4D">
        <w:trPr>
          <w:jc w:val="center"/>
        </w:trPr>
        <w:tc>
          <w:tcPr>
            <w:tcW w:w="1858" w:type="dxa"/>
            <w:vMerge/>
            <w:shd w:val="clear" w:color="auto" w:fill="auto"/>
            <w:noWrap/>
          </w:tcPr>
          <w:p w14:paraId="20778739" w14:textId="77777777" w:rsidR="00235E4D" w:rsidRPr="00235E4D" w:rsidRDefault="00235E4D" w:rsidP="00235E4D">
            <w:pPr>
              <w:keepNext/>
              <w:spacing w:after="0"/>
              <w:rPr>
                <w:sz w:val="20"/>
              </w:rPr>
            </w:pPr>
          </w:p>
        </w:tc>
        <w:tc>
          <w:tcPr>
            <w:tcW w:w="4815" w:type="dxa"/>
            <w:shd w:val="clear" w:color="auto" w:fill="auto"/>
          </w:tcPr>
          <w:p w14:paraId="248B5972" w14:textId="77777777" w:rsidR="00235E4D" w:rsidRPr="00235E4D" w:rsidRDefault="00235E4D" w:rsidP="00235E4D">
            <w:pPr>
              <w:keepNext/>
              <w:spacing w:after="0"/>
              <w:rPr>
                <w:sz w:val="20"/>
              </w:rPr>
            </w:pPr>
            <w:r w:rsidRPr="00235E4D">
              <w:rPr>
                <w:sz w:val="20"/>
              </w:rPr>
              <w:t>Earthworks/structures structural condition grade</w:t>
            </w:r>
          </w:p>
        </w:tc>
      </w:tr>
      <w:tr w:rsidR="00235E4D" w:rsidRPr="00235E4D" w14:paraId="44338624" w14:textId="77777777" w:rsidTr="00235E4D">
        <w:trPr>
          <w:jc w:val="center"/>
        </w:trPr>
        <w:tc>
          <w:tcPr>
            <w:tcW w:w="1858" w:type="dxa"/>
            <w:vMerge w:val="restart"/>
            <w:shd w:val="clear" w:color="auto" w:fill="auto"/>
            <w:noWrap/>
          </w:tcPr>
          <w:p w14:paraId="5AF9780C" w14:textId="77777777" w:rsidR="00235E4D" w:rsidRPr="00235E4D" w:rsidRDefault="00235E4D" w:rsidP="00235E4D">
            <w:pPr>
              <w:keepNext/>
              <w:spacing w:after="0"/>
              <w:rPr>
                <w:sz w:val="20"/>
              </w:rPr>
            </w:pPr>
            <w:r w:rsidRPr="00235E4D">
              <w:rPr>
                <w:sz w:val="20"/>
              </w:rPr>
              <w:t>Structures</w:t>
            </w:r>
          </w:p>
        </w:tc>
        <w:tc>
          <w:tcPr>
            <w:tcW w:w="4815" w:type="dxa"/>
            <w:shd w:val="clear" w:color="auto" w:fill="auto"/>
          </w:tcPr>
          <w:p w14:paraId="2F7F5D85" w14:textId="77777777" w:rsidR="00235E4D" w:rsidRPr="00235E4D" w:rsidRDefault="00235E4D" w:rsidP="00235E4D">
            <w:pPr>
              <w:keepNext/>
              <w:spacing w:after="0"/>
              <w:rPr>
                <w:sz w:val="20"/>
              </w:rPr>
            </w:pPr>
            <w:r w:rsidRPr="00235E4D">
              <w:rPr>
                <w:sz w:val="20"/>
              </w:rPr>
              <w:t>Average condition of bridge major deck elements</w:t>
            </w:r>
          </w:p>
        </w:tc>
      </w:tr>
      <w:tr w:rsidR="00235E4D" w:rsidRPr="00235E4D" w14:paraId="13BC4394" w14:textId="77777777" w:rsidTr="00235E4D">
        <w:trPr>
          <w:jc w:val="center"/>
        </w:trPr>
        <w:tc>
          <w:tcPr>
            <w:tcW w:w="1858" w:type="dxa"/>
            <w:vMerge/>
            <w:shd w:val="clear" w:color="auto" w:fill="auto"/>
            <w:noWrap/>
          </w:tcPr>
          <w:p w14:paraId="07ADF038" w14:textId="77777777" w:rsidR="00235E4D" w:rsidRPr="00235E4D" w:rsidRDefault="00235E4D" w:rsidP="00235E4D">
            <w:pPr>
              <w:keepNext/>
              <w:spacing w:after="0"/>
              <w:rPr>
                <w:sz w:val="20"/>
              </w:rPr>
            </w:pPr>
          </w:p>
        </w:tc>
        <w:tc>
          <w:tcPr>
            <w:tcW w:w="4815" w:type="dxa"/>
            <w:shd w:val="clear" w:color="auto" w:fill="auto"/>
          </w:tcPr>
          <w:p w14:paraId="36E53F5A" w14:textId="77777777" w:rsidR="00235E4D" w:rsidRPr="00235E4D" w:rsidRDefault="00235E4D" w:rsidP="00235E4D">
            <w:pPr>
              <w:keepNext/>
              <w:spacing w:after="0"/>
              <w:rPr>
                <w:sz w:val="20"/>
              </w:rPr>
            </w:pPr>
            <w:r w:rsidRPr="00235E4D">
              <w:rPr>
                <w:sz w:val="20"/>
              </w:rPr>
              <w:t>Average condition of tunnel minor elements</w:t>
            </w:r>
          </w:p>
        </w:tc>
      </w:tr>
      <w:tr w:rsidR="00235E4D" w:rsidRPr="00235E4D" w14:paraId="57AA5E72" w14:textId="77777777" w:rsidTr="00235E4D">
        <w:trPr>
          <w:jc w:val="center"/>
        </w:trPr>
        <w:tc>
          <w:tcPr>
            <w:tcW w:w="1858" w:type="dxa"/>
            <w:vMerge w:val="restart"/>
            <w:shd w:val="clear" w:color="auto" w:fill="auto"/>
            <w:noWrap/>
          </w:tcPr>
          <w:p w14:paraId="38793D1D" w14:textId="77777777" w:rsidR="00235E4D" w:rsidRPr="00235E4D" w:rsidRDefault="00235E4D" w:rsidP="00235E4D">
            <w:pPr>
              <w:keepNext/>
              <w:spacing w:after="0"/>
              <w:rPr>
                <w:sz w:val="20"/>
              </w:rPr>
            </w:pPr>
            <w:r w:rsidRPr="00235E4D">
              <w:rPr>
                <w:sz w:val="20"/>
              </w:rPr>
              <w:t>Buildings</w:t>
            </w:r>
          </w:p>
        </w:tc>
        <w:tc>
          <w:tcPr>
            <w:tcW w:w="4815" w:type="dxa"/>
            <w:shd w:val="clear" w:color="auto" w:fill="auto"/>
          </w:tcPr>
          <w:p w14:paraId="1E2A4BCB" w14:textId="77777777" w:rsidR="00235E4D" w:rsidRPr="00235E4D" w:rsidRDefault="00235E4D" w:rsidP="00235E4D">
            <w:pPr>
              <w:keepNext/>
              <w:spacing w:after="0"/>
              <w:rPr>
                <w:sz w:val="20"/>
              </w:rPr>
            </w:pPr>
            <w:r w:rsidRPr="00235E4D">
              <w:rPr>
                <w:sz w:val="20"/>
              </w:rPr>
              <w:t>Percentage asset remaining life (PARL) depots</w:t>
            </w:r>
          </w:p>
        </w:tc>
      </w:tr>
      <w:tr w:rsidR="00235E4D" w:rsidRPr="00235E4D" w14:paraId="04FD8B53" w14:textId="77777777" w:rsidTr="00235E4D">
        <w:trPr>
          <w:jc w:val="center"/>
        </w:trPr>
        <w:tc>
          <w:tcPr>
            <w:tcW w:w="1858" w:type="dxa"/>
            <w:vMerge/>
            <w:shd w:val="clear" w:color="auto" w:fill="auto"/>
            <w:noWrap/>
          </w:tcPr>
          <w:p w14:paraId="3DF621FE" w14:textId="77777777" w:rsidR="00235E4D" w:rsidRPr="00235E4D" w:rsidRDefault="00235E4D" w:rsidP="00235E4D">
            <w:pPr>
              <w:spacing w:after="0"/>
              <w:rPr>
                <w:sz w:val="20"/>
              </w:rPr>
            </w:pPr>
          </w:p>
        </w:tc>
        <w:tc>
          <w:tcPr>
            <w:tcW w:w="4815" w:type="dxa"/>
            <w:shd w:val="clear" w:color="auto" w:fill="auto"/>
          </w:tcPr>
          <w:p w14:paraId="2682DA4D" w14:textId="77777777" w:rsidR="00235E4D" w:rsidRPr="00235E4D" w:rsidRDefault="00235E4D" w:rsidP="00235E4D">
            <w:pPr>
              <w:spacing w:after="0"/>
              <w:rPr>
                <w:sz w:val="20"/>
              </w:rPr>
            </w:pPr>
            <w:r w:rsidRPr="00235E4D">
              <w:rPr>
                <w:sz w:val="20"/>
              </w:rPr>
              <w:t>Percentage asset remaining life (PARL) stations</w:t>
            </w:r>
          </w:p>
        </w:tc>
      </w:tr>
    </w:tbl>
    <w:p w14:paraId="0037D47F" w14:textId="77777777" w:rsidR="00235E4D" w:rsidRPr="00235E4D" w:rsidRDefault="00235E4D" w:rsidP="00235E4D">
      <w:pPr>
        <w:keepNext/>
        <w:numPr>
          <w:ilvl w:val="1"/>
          <w:numId w:val="0"/>
        </w:numPr>
        <w:tabs>
          <w:tab w:val="num" w:pos="0"/>
        </w:tabs>
        <w:spacing w:before="240" w:after="0"/>
        <w:ind w:left="578" w:hanging="1117"/>
        <w:outlineLvl w:val="1"/>
        <w:rPr>
          <w:color w:val="093A80"/>
          <w:sz w:val="28"/>
          <w:szCs w:val="24"/>
        </w:rPr>
      </w:pPr>
      <w:bookmarkStart w:id="3" w:name="_Toc383673012"/>
      <w:r w:rsidRPr="00235E4D">
        <w:rPr>
          <w:color w:val="093A80"/>
          <w:sz w:val="28"/>
          <w:szCs w:val="24"/>
        </w:rPr>
        <w:t>Weights</w:t>
      </w:r>
      <w:bookmarkEnd w:id="3"/>
    </w:p>
    <w:p w14:paraId="78DFCC46" w14:textId="77777777" w:rsidR="00235E4D" w:rsidRPr="00235E4D" w:rsidRDefault="00235E4D" w:rsidP="00235E4D">
      <w:pPr>
        <w:spacing w:before="120" w:after="0"/>
        <w:rPr>
          <w:sz w:val="20"/>
        </w:rPr>
      </w:pPr>
      <w:r w:rsidRPr="00235E4D">
        <w:rPr>
          <w:sz w:val="20"/>
        </w:rPr>
        <w:t>The composite sustainability index is equivalent to the change in the value of the infrastructure assets, based on their underlying condition, relative to their value at the end of 2013/14. Therefore, the weight applied to each asset measure is related to the change in asset value that a unit change in the measure implies.</w:t>
      </w:r>
    </w:p>
    <w:p w14:paraId="3CAC85DA" w14:textId="77777777" w:rsidR="00235E4D" w:rsidRPr="00235E4D" w:rsidRDefault="00235E4D" w:rsidP="00235E4D">
      <w:pPr>
        <w:spacing w:before="120" w:after="0"/>
        <w:rPr>
          <w:sz w:val="20"/>
        </w:rPr>
      </w:pPr>
      <w:r w:rsidRPr="00235E4D">
        <w:rPr>
          <w:sz w:val="20"/>
        </w:rPr>
        <w:t>The value associated with an asset measure is the full replacement value of the assets represented by the measure. The replacement value is recalculated at the end of each control period, so the end CP4 valuatio</w:t>
      </w:r>
      <w:r w:rsidR="00BD24D2">
        <w:rPr>
          <w:sz w:val="20"/>
        </w:rPr>
        <w:t>ns will be used as the baseline</w:t>
      </w:r>
      <w:r w:rsidRPr="00235E4D">
        <w:rPr>
          <w:sz w:val="20"/>
        </w:rPr>
        <w:t>.</w:t>
      </w:r>
    </w:p>
    <w:p w14:paraId="4197DE20" w14:textId="77777777" w:rsidR="00235E4D" w:rsidRPr="00235E4D" w:rsidRDefault="00235E4D" w:rsidP="00235E4D">
      <w:pPr>
        <w:spacing w:before="120" w:after="0"/>
        <w:rPr>
          <w:sz w:val="20"/>
        </w:rPr>
      </w:pPr>
    </w:p>
    <w:p w14:paraId="7A315AF9" w14:textId="77777777" w:rsidR="00235E4D" w:rsidRPr="00235E4D" w:rsidRDefault="00235E4D" w:rsidP="00235E4D">
      <w:pPr>
        <w:keepNext/>
        <w:spacing w:before="120" w:after="0"/>
        <w:rPr>
          <w:b/>
          <w:sz w:val="20"/>
          <w:szCs w:val="24"/>
        </w:rPr>
      </w:pPr>
      <w:r w:rsidRPr="00235E4D">
        <w:rPr>
          <w:b/>
          <w:sz w:val="20"/>
          <w:szCs w:val="24"/>
        </w:rPr>
        <w:t xml:space="preserve">Table </w:t>
      </w:r>
      <w:r w:rsidRPr="00235E4D">
        <w:rPr>
          <w:b/>
          <w:sz w:val="20"/>
          <w:szCs w:val="24"/>
        </w:rPr>
        <w:fldChar w:fldCharType="begin"/>
      </w:r>
      <w:r w:rsidRPr="00235E4D">
        <w:rPr>
          <w:b/>
          <w:sz w:val="20"/>
          <w:szCs w:val="24"/>
        </w:rPr>
        <w:instrText xml:space="preserve"> SEQ Table \* ARABIC </w:instrText>
      </w:r>
      <w:r w:rsidRPr="00235E4D">
        <w:rPr>
          <w:b/>
          <w:sz w:val="20"/>
          <w:szCs w:val="24"/>
        </w:rPr>
        <w:fldChar w:fldCharType="separate"/>
      </w:r>
      <w:r w:rsidRPr="00235E4D">
        <w:rPr>
          <w:b/>
          <w:noProof/>
          <w:sz w:val="20"/>
          <w:szCs w:val="24"/>
        </w:rPr>
        <w:t>6</w:t>
      </w:r>
      <w:r w:rsidRPr="00235E4D">
        <w:rPr>
          <w:b/>
          <w:sz w:val="20"/>
          <w:szCs w:val="24"/>
        </w:rPr>
        <w:fldChar w:fldCharType="end"/>
      </w:r>
      <w:r w:rsidRPr="00235E4D">
        <w:rPr>
          <w:b/>
          <w:sz w:val="20"/>
          <w:szCs w:val="24"/>
        </w:rPr>
        <w:t xml:space="preserve"> CSI asset measure values (£ billion)</w:t>
      </w:r>
    </w:p>
    <w:tbl>
      <w:tblPr>
        <w:tblW w:w="8652" w:type="dxa"/>
        <w:jc w:val="center"/>
        <w:tblLook w:val="0000" w:firstRow="0" w:lastRow="0" w:firstColumn="0" w:lastColumn="0" w:noHBand="0" w:noVBand="0"/>
      </w:tblPr>
      <w:tblGrid>
        <w:gridCol w:w="1281"/>
        <w:gridCol w:w="4678"/>
        <w:gridCol w:w="1606"/>
        <w:gridCol w:w="1087"/>
      </w:tblGrid>
      <w:tr w:rsidR="00235E4D" w:rsidRPr="00235E4D" w14:paraId="4048A002" w14:textId="77777777" w:rsidTr="00235E4D">
        <w:trPr>
          <w:trHeight w:val="255"/>
          <w:jc w:val="center"/>
        </w:trPr>
        <w:tc>
          <w:tcPr>
            <w:tcW w:w="12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BEB22" w14:textId="77777777" w:rsidR="00235E4D" w:rsidRPr="00235E4D" w:rsidRDefault="00235E4D" w:rsidP="00235E4D">
            <w:pPr>
              <w:spacing w:after="0"/>
              <w:rPr>
                <w:b/>
                <w:bCs/>
                <w:color w:val="000000"/>
                <w:sz w:val="20"/>
              </w:rPr>
            </w:pPr>
            <w:r w:rsidRPr="00235E4D">
              <w:rPr>
                <w:b/>
                <w:bCs/>
                <w:color w:val="000000"/>
                <w:sz w:val="20"/>
              </w:rPr>
              <w:t>Asset group</w:t>
            </w:r>
          </w:p>
        </w:tc>
        <w:tc>
          <w:tcPr>
            <w:tcW w:w="4678" w:type="dxa"/>
            <w:tcBorders>
              <w:top w:val="single" w:sz="4" w:space="0" w:color="auto"/>
              <w:left w:val="nil"/>
              <w:bottom w:val="single" w:sz="4" w:space="0" w:color="auto"/>
              <w:right w:val="single" w:sz="4" w:space="0" w:color="auto"/>
            </w:tcBorders>
            <w:shd w:val="clear" w:color="auto" w:fill="auto"/>
            <w:noWrap/>
            <w:vAlign w:val="bottom"/>
          </w:tcPr>
          <w:p w14:paraId="76F847BF" w14:textId="77777777" w:rsidR="00235E4D" w:rsidRPr="00235E4D" w:rsidRDefault="00235E4D" w:rsidP="00235E4D">
            <w:pPr>
              <w:spacing w:after="0"/>
              <w:rPr>
                <w:b/>
                <w:bCs/>
                <w:color w:val="000000"/>
                <w:sz w:val="20"/>
              </w:rPr>
            </w:pPr>
            <w:r w:rsidRPr="00235E4D">
              <w:rPr>
                <w:b/>
                <w:bCs/>
                <w:color w:val="000000"/>
                <w:sz w:val="20"/>
              </w:rPr>
              <w:t>Sustainability measure for asset sub-group</w:t>
            </w:r>
          </w:p>
        </w:tc>
        <w:tc>
          <w:tcPr>
            <w:tcW w:w="1606" w:type="dxa"/>
            <w:tcBorders>
              <w:top w:val="single" w:sz="4" w:space="0" w:color="auto"/>
              <w:left w:val="nil"/>
              <w:bottom w:val="nil"/>
              <w:right w:val="single" w:sz="4" w:space="0" w:color="auto"/>
            </w:tcBorders>
            <w:shd w:val="clear" w:color="auto" w:fill="auto"/>
            <w:noWrap/>
            <w:vAlign w:val="bottom"/>
          </w:tcPr>
          <w:p w14:paraId="2DE566C5" w14:textId="77777777" w:rsidR="00235E4D" w:rsidRPr="00235E4D" w:rsidRDefault="00235E4D" w:rsidP="00235E4D">
            <w:pPr>
              <w:spacing w:after="0"/>
              <w:jc w:val="center"/>
              <w:rPr>
                <w:b/>
                <w:bCs/>
                <w:color w:val="000000"/>
                <w:sz w:val="20"/>
              </w:rPr>
            </w:pPr>
            <w:r w:rsidRPr="00235E4D">
              <w:rPr>
                <w:b/>
                <w:bCs/>
                <w:color w:val="000000"/>
                <w:sz w:val="20"/>
              </w:rPr>
              <w:t>Replacement value</w:t>
            </w:r>
          </w:p>
        </w:tc>
        <w:tc>
          <w:tcPr>
            <w:tcW w:w="1087" w:type="dxa"/>
            <w:tcBorders>
              <w:top w:val="single" w:sz="4" w:space="0" w:color="auto"/>
              <w:left w:val="nil"/>
              <w:bottom w:val="nil"/>
              <w:right w:val="single" w:sz="4" w:space="0" w:color="auto"/>
            </w:tcBorders>
            <w:shd w:val="clear" w:color="auto" w:fill="auto"/>
            <w:noWrap/>
            <w:vAlign w:val="bottom"/>
          </w:tcPr>
          <w:p w14:paraId="54A45B1F" w14:textId="77777777" w:rsidR="00235E4D" w:rsidRPr="00235E4D" w:rsidRDefault="00235E4D" w:rsidP="00235E4D">
            <w:pPr>
              <w:spacing w:after="0"/>
              <w:jc w:val="center"/>
              <w:rPr>
                <w:b/>
                <w:bCs/>
                <w:color w:val="000000"/>
                <w:sz w:val="20"/>
              </w:rPr>
            </w:pPr>
            <w:r w:rsidRPr="00235E4D">
              <w:rPr>
                <w:b/>
                <w:bCs/>
                <w:color w:val="000000"/>
                <w:sz w:val="20"/>
              </w:rPr>
              <w:t>Unit value</w:t>
            </w:r>
          </w:p>
        </w:tc>
      </w:tr>
      <w:tr w:rsidR="00235E4D" w:rsidRPr="00235E4D" w14:paraId="700711B6" w14:textId="77777777" w:rsidTr="00235E4D">
        <w:trPr>
          <w:trHeight w:val="255"/>
          <w:jc w:val="center"/>
        </w:trPr>
        <w:tc>
          <w:tcPr>
            <w:tcW w:w="1281" w:type="dxa"/>
            <w:vMerge w:val="restart"/>
            <w:tcBorders>
              <w:top w:val="nil"/>
              <w:left w:val="single" w:sz="4" w:space="0" w:color="auto"/>
              <w:bottom w:val="single" w:sz="4" w:space="0" w:color="000000"/>
              <w:right w:val="nil"/>
            </w:tcBorders>
            <w:shd w:val="clear" w:color="auto" w:fill="auto"/>
            <w:noWrap/>
            <w:vAlign w:val="center"/>
          </w:tcPr>
          <w:p w14:paraId="3D2F4E35" w14:textId="77777777" w:rsidR="00235E4D" w:rsidRPr="00235E4D" w:rsidRDefault="00235E4D" w:rsidP="00235E4D">
            <w:pPr>
              <w:spacing w:after="0"/>
              <w:rPr>
                <w:color w:val="000000"/>
                <w:sz w:val="20"/>
              </w:rPr>
            </w:pPr>
            <w:r w:rsidRPr="00235E4D">
              <w:rPr>
                <w:color w:val="000000"/>
                <w:sz w:val="20"/>
              </w:rPr>
              <w:t xml:space="preserve">Track  </w:t>
            </w:r>
          </w:p>
        </w:tc>
        <w:tc>
          <w:tcPr>
            <w:tcW w:w="4678" w:type="dxa"/>
            <w:tcBorders>
              <w:top w:val="nil"/>
              <w:left w:val="single" w:sz="4" w:space="0" w:color="auto"/>
              <w:bottom w:val="nil"/>
              <w:right w:val="nil"/>
            </w:tcBorders>
            <w:shd w:val="clear" w:color="auto" w:fill="auto"/>
            <w:noWrap/>
            <w:vAlign w:val="center"/>
          </w:tcPr>
          <w:p w14:paraId="5AD82D28" w14:textId="77777777" w:rsidR="00235E4D" w:rsidRPr="00235E4D" w:rsidRDefault="00235E4D" w:rsidP="00235E4D">
            <w:pPr>
              <w:spacing w:after="0"/>
              <w:rPr>
                <w:color w:val="000000"/>
                <w:sz w:val="20"/>
              </w:rPr>
            </w:pPr>
            <w:r w:rsidRPr="00235E4D">
              <w:rPr>
                <w:color w:val="000000"/>
                <w:sz w:val="20"/>
              </w:rPr>
              <w:t>Ballast fouling (%)</w:t>
            </w:r>
          </w:p>
        </w:tc>
        <w:tc>
          <w:tcPr>
            <w:tcW w:w="1606" w:type="dxa"/>
            <w:tcBorders>
              <w:top w:val="single" w:sz="4" w:space="0" w:color="auto"/>
              <w:left w:val="single" w:sz="4" w:space="0" w:color="auto"/>
              <w:bottom w:val="nil"/>
              <w:right w:val="single" w:sz="4" w:space="0" w:color="auto"/>
            </w:tcBorders>
            <w:shd w:val="clear" w:color="auto" w:fill="000000" w:themeFill="text1"/>
            <w:noWrap/>
            <w:vAlign w:val="bottom"/>
          </w:tcPr>
          <w:p w14:paraId="32493292" w14:textId="77777777" w:rsidR="00235E4D" w:rsidRPr="00235E4D" w:rsidRDefault="00235E4D" w:rsidP="00235E4D">
            <w:pPr>
              <w:tabs>
                <w:tab w:val="decimal" w:pos="627"/>
              </w:tabs>
              <w:spacing w:after="0"/>
              <w:rPr>
                <w:color w:val="000000"/>
                <w:sz w:val="20"/>
              </w:rPr>
            </w:pPr>
          </w:p>
        </w:tc>
        <w:tc>
          <w:tcPr>
            <w:tcW w:w="1087" w:type="dxa"/>
            <w:tcBorders>
              <w:top w:val="single" w:sz="4" w:space="0" w:color="auto"/>
              <w:left w:val="nil"/>
              <w:bottom w:val="nil"/>
              <w:right w:val="single" w:sz="4" w:space="0" w:color="auto"/>
            </w:tcBorders>
            <w:shd w:val="clear" w:color="auto" w:fill="000000" w:themeFill="text1"/>
            <w:noWrap/>
            <w:vAlign w:val="bottom"/>
          </w:tcPr>
          <w:p w14:paraId="3D25D91D" w14:textId="77777777" w:rsidR="00235E4D" w:rsidRPr="00235E4D" w:rsidRDefault="00235E4D" w:rsidP="00235E4D">
            <w:pPr>
              <w:tabs>
                <w:tab w:val="decimal" w:pos="437"/>
              </w:tabs>
              <w:spacing w:after="0"/>
              <w:rPr>
                <w:color w:val="000000"/>
                <w:sz w:val="20"/>
              </w:rPr>
            </w:pPr>
          </w:p>
        </w:tc>
      </w:tr>
      <w:tr w:rsidR="00235E4D" w:rsidRPr="00235E4D" w14:paraId="27A859F8" w14:textId="77777777" w:rsidTr="00235E4D">
        <w:trPr>
          <w:trHeight w:val="255"/>
          <w:jc w:val="center"/>
        </w:trPr>
        <w:tc>
          <w:tcPr>
            <w:tcW w:w="1281" w:type="dxa"/>
            <w:vMerge/>
            <w:tcBorders>
              <w:top w:val="nil"/>
              <w:left w:val="single" w:sz="4" w:space="0" w:color="auto"/>
              <w:bottom w:val="single" w:sz="4" w:space="0" w:color="000000"/>
              <w:right w:val="nil"/>
            </w:tcBorders>
            <w:vAlign w:val="center"/>
          </w:tcPr>
          <w:p w14:paraId="5A3F6DB3" w14:textId="77777777" w:rsidR="00235E4D" w:rsidRPr="00235E4D" w:rsidRDefault="00235E4D" w:rsidP="00235E4D">
            <w:pPr>
              <w:spacing w:after="0"/>
              <w:rPr>
                <w:color w:val="000000"/>
                <w:sz w:val="20"/>
              </w:rPr>
            </w:pPr>
          </w:p>
        </w:tc>
        <w:tc>
          <w:tcPr>
            <w:tcW w:w="4678" w:type="dxa"/>
            <w:tcBorders>
              <w:top w:val="nil"/>
              <w:left w:val="single" w:sz="4" w:space="0" w:color="auto"/>
              <w:bottom w:val="nil"/>
              <w:right w:val="nil"/>
            </w:tcBorders>
            <w:shd w:val="clear" w:color="auto" w:fill="auto"/>
            <w:noWrap/>
            <w:vAlign w:val="center"/>
          </w:tcPr>
          <w:p w14:paraId="4E604C29" w14:textId="77777777" w:rsidR="00235E4D" w:rsidRPr="00235E4D" w:rsidRDefault="00235E4D" w:rsidP="00235E4D">
            <w:pPr>
              <w:spacing w:after="0"/>
              <w:rPr>
                <w:color w:val="000000"/>
                <w:sz w:val="20"/>
              </w:rPr>
            </w:pPr>
            <w:r w:rsidRPr="00235E4D">
              <w:rPr>
                <w:color w:val="000000"/>
                <w:sz w:val="20"/>
              </w:rPr>
              <w:t>Rail used life (%)</w:t>
            </w:r>
          </w:p>
        </w:tc>
        <w:tc>
          <w:tcPr>
            <w:tcW w:w="1606" w:type="dxa"/>
            <w:tcBorders>
              <w:top w:val="nil"/>
              <w:left w:val="single" w:sz="4" w:space="0" w:color="auto"/>
              <w:bottom w:val="nil"/>
              <w:right w:val="single" w:sz="4" w:space="0" w:color="auto"/>
            </w:tcBorders>
            <w:shd w:val="clear" w:color="auto" w:fill="000000" w:themeFill="text1"/>
            <w:noWrap/>
            <w:vAlign w:val="bottom"/>
          </w:tcPr>
          <w:p w14:paraId="5F569C75" w14:textId="77777777" w:rsidR="00235E4D" w:rsidRPr="00235E4D" w:rsidRDefault="00235E4D" w:rsidP="00235E4D">
            <w:pPr>
              <w:tabs>
                <w:tab w:val="decimal" w:pos="627"/>
              </w:tabs>
              <w:spacing w:after="0"/>
              <w:rPr>
                <w:color w:val="000000"/>
                <w:sz w:val="20"/>
              </w:rPr>
            </w:pPr>
          </w:p>
        </w:tc>
        <w:tc>
          <w:tcPr>
            <w:tcW w:w="1087" w:type="dxa"/>
            <w:tcBorders>
              <w:top w:val="nil"/>
              <w:left w:val="nil"/>
              <w:bottom w:val="nil"/>
              <w:right w:val="single" w:sz="4" w:space="0" w:color="auto"/>
            </w:tcBorders>
            <w:shd w:val="clear" w:color="auto" w:fill="000000" w:themeFill="text1"/>
            <w:noWrap/>
            <w:vAlign w:val="bottom"/>
          </w:tcPr>
          <w:p w14:paraId="18BD0CFF" w14:textId="77777777" w:rsidR="00235E4D" w:rsidRPr="00235E4D" w:rsidRDefault="00235E4D" w:rsidP="00235E4D">
            <w:pPr>
              <w:tabs>
                <w:tab w:val="decimal" w:pos="437"/>
              </w:tabs>
              <w:spacing w:after="0"/>
              <w:rPr>
                <w:color w:val="000000"/>
                <w:sz w:val="20"/>
              </w:rPr>
            </w:pPr>
          </w:p>
        </w:tc>
      </w:tr>
      <w:tr w:rsidR="00235E4D" w:rsidRPr="00235E4D" w14:paraId="1FEB3846" w14:textId="77777777" w:rsidTr="00235E4D">
        <w:trPr>
          <w:trHeight w:val="255"/>
          <w:jc w:val="center"/>
        </w:trPr>
        <w:tc>
          <w:tcPr>
            <w:tcW w:w="1281" w:type="dxa"/>
            <w:vMerge/>
            <w:tcBorders>
              <w:top w:val="nil"/>
              <w:left w:val="single" w:sz="4" w:space="0" w:color="auto"/>
              <w:bottom w:val="single" w:sz="4" w:space="0" w:color="000000"/>
              <w:right w:val="nil"/>
            </w:tcBorders>
            <w:vAlign w:val="center"/>
          </w:tcPr>
          <w:p w14:paraId="009055F1" w14:textId="77777777" w:rsidR="00235E4D" w:rsidRPr="00235E4D" w:rsidRDefault="00235E4D" w:rsidP="00235E4D">
            <w:pPr>
              <w:spacing w:after="0"/>
              <w:rPr>
                <w:color w:val="000000"/>
                <w:sz w:val="20"/>
              </w:rPr>
            </w:pPr>
          </w:p>
        </w:tc>
        <w:tc>
          <w:tcPr>
            <w:tcW w:w="4678" w:type="dxa"/>
            <w:tcBorders>
              <w:top w:val="nil"/>
              <w:left w:val="single" w:sz="4" w:space="0" w:color="auto"/>
              <w:bottom w:val="nil"/>
              <w:right w:val="nil"/>
            </w:tcBorders>
            <w:shd w:val="clear" w:color="auto" w:fill="auto"/>
            <w:noWrap/>
            <w:vAlign w:val="center"/>
          </w:tcPr>
          <w:p w14:paraId="3C3D9FAB" w14:textId="77777777" w:rsidR="00235E4D" w:rsidRPr="00235E4D" w:rsidRDefault="00235E4D" w:rsidP="00235E4D">
            <w:pPr>
              <w:spacing w:after="0"/>
              <w:rPr>
                <w:color w:val="000000"/>
                <w:sz w:val="20"/>
              </w:rPr>
            </w:pPr>
            <w:r w:rsidRPr="00235E4D">
              <w:rPr>
                <w:color w:val="000000"/>
                <w:sz w:val="20"/>
              </w:rPr>
              <w:t>Sleeper used life (%)</w:t>
            </w:r>
          </w:p>
        </w:tc>
        <w:tc>
          <w:tcPr>
            <w:tcW w:w="1606" w:type="dxa"/>
            <w:tcBorders>
              <w:top w:val="nil"/>
              <w:left w:val="single" w:sz="4" w:space="0" w:color="auto"/>
              <w:bottom w:val="nil"/>
              <w:right w:val="single" w:sz="4" w:space="0" w:color="auto"/>
            </w:tcBorders>
            <w:shd w:val="clear" w:color="auto" w:fill="000000" w:themeFill="text1"/>
            <w:noWrap/>
            <w:vAlign w:val="bottom"/>
          </w:tcPr>
          <w:p w14:paraId="232347E7" w14:textId="77777777" w:rsidR="00235E4D" w:rsidRPr="00235E4D" w:rsidRDefault="00235E4D" w:rsidP="00235E4D">
            <w:pPr>
              <w:tabs>
                <w:tab w:val="decimal" w:pos="627"/>
              </w:tabs>
              <w:spacing w:after="0"/>
              <w:rPr>
                <w:color w:val="000000"/>
                <w:sz w:val="20"/>
              </w:rPr>
            </w:pPr>
          </w:p>
        </w:tc>
        <w:tc>
          <w:tcPr>
            <w:tcW w:w="1087" w:type="dxa"/>
            <w:tcBorders>
              <w:top w:val="nil"/>
              <w:left w:val="nil"/>
              <w:bottom w:val="nil"/>
              <w:right w:val="single" w:sz="4" w:space="0" w:color="auto"/>
            </w:tcBorders>
            <w:shd w:val="clear" w:color="auto" w:fill="000000" w:themeFill="text1"/>
            <w:noWrap/>
            <w:vAlign w:val="bottom"/>
          </w:tcPr>
          <w:p w14:paraId="1B8A33A0" w14:textId="77777777" w:rsidR="00235E4D" w:rsidRPr="00235E4D" w:rsidRDefault="00235E4D" w:rsidP="00235E4D">
            <w:pPr>
              <w:tabs>
                <w:tab w:val="decimal" w:pos="437"/>
              </w:tabs>
              <w:spacing w:after="0"/>
              <w:rPr>
                <w:color w:val="000000"/>
                <w:sz w:val="20"/>
              </w:rPr>
            </w:pPr>
          </w:p>
        </w:tc>
      </w:tr>
      <w:tr w:rsidR="00235E4D" w:rsidRPr="00235E4D" w14:paraId="5AFB8DFD" w14:textId="77777777" w:rsidTr="00235E4D">
        <w:trPr>
          <w:trHeight w:val="255"/>
          <w:jc w:val="center"/>
        </w:trPr>
        <w:tc>
          <w:tcPr>
            <w:tcW w:w="1281" w:type="dxa"/>
            <w:vMerge/>
            <w:tcBorders>
              <w:top w:val="nil"/>
              <w:left w:val="single" w:sz="4" w:space="0" w:color="auto"/>
              <w:bottom w:val="single" w:sz="4" w:space="0" w:color="000000"/>
              <w:right w:val="nil"/>
            </w:tcBorders>
            <w:vAlign w:val="center"/>
          </w:tcPr>
          <w:p w14:paraId="1DDAA348" w14:textId="77777777" w:rsidR="00235E4D" w:rsidRPr="00235E4D" w:rsidRDefault="00235E4D" w:rsidP="00235E4D">
            <w:pPr>
              <w:spacing w:after="0"/>
              <w:rPr>
                <w:color w:val="000000"/>
                <w:sz w:val="20"/>
              </w:rPr>
            </w:pPr>
          </w:p>
        </w:tc>
        <w:tc>
          <w:tcPr>
            <w:tcW w:w="4678" w:type="dxa"/>
            <w:tcBorders>
              <w:top w:val="nil"/>
              <w:left w:val="single" w:sz="4" w:space="0" w:color="auto"/>
              <w:bottom w:val="single" w:sz="4" w:space="0" w:color="auto"/>
              <w:right w:val="nil"/>
            </w:tcBorders>
            <w:shd w:val="clear" w:color="auto" w:fill="auto"/>
            <w:noWrap/>
            <w:vAlign w:val="center"/>
          </w:tcPr>
          <w:p w14:paraId="67B6D06E" w14:textId="77777777" w:rsidR="00235E4D" w:rsidRPr="00235E4D" w:rsidRDefault="00235E4D" w:rsidP="00235E4D">
            <w:pPr>
              <w:spacing w:after="0"/>
              <w:rPr>
                <w:color w:val="000000"/>
                <w:sz w:val="20"/>
              </w:rPr>
            </w:pPr>
            <w:r w:rsidRPr="00235E4D">
              <w:rPr>
                <w:color w:val="000000"/>
                <w:sz w:val="20"/>
              </w:rPr>
              <w:t>S&amp;C used life (%)</w:t>
            </w:r>
          </w:p>
        </w:tc>
        <w:tc>
          <w:tcPr>
            <w:tcW w:w="1606" w:type="dxa"/>
            <w:tcBorders>
              <w:top w:val="nil"/>
              <w:left w:val="single" w:sz="4" w:space="0" w:color="auto"/>
              <w:bottom w:val="single" w:sz="4" w:space="0" w:color="auto"/>
              <w:right w:val="single" w:sz="4" w:space="0" w:color="auto"/>
            </w:tcBorders>
            <w:shd w:val="clear" w:color="auto" w:fill="000000" w:themeFill="text1"/>
            <w:noWrap/>
            <w:vAlign w:val="bottom"/>
          </w:tcPr>
          <w:p w14:paraId="6B66EC8B" w14:textId="77777777" w:rsidR="00235E4D" w:rsidRPr="00235E4D" w:rsidRDefault="00235E4D" w:rsidP="00235E4D">
            <w:pPr>
              <w:tabs>
                <w:tab w:val="decimal" w:pos="627"/>
              </w:tabs>
              <w:spacing w:after="0"/>
              <w:rPr>
                <w:color w:val="000000"/>
                <w:sz w:val="20"/>
              </w:rPr>
            </w:pPr>
          </w:p>
        </w:tc>
        <w:tc>
          <w:tcPr>
            <w:tcW w:w="1087" w:type="dxa"/>
            <w:tcBorders>
              <w:top w:val="nil"/>
              <w:left w:val="nil"/>
              <w:bottom w:val="single" w:sz="4" w:space="0" w:color="auto"/>
              <w:right w:val="single" w:sz="4" w:space="0" w:color="auto"/>
            </w:tcBorders>
            <w:shd w:val="clear" w:color="auto" w:fill="000000" w:themeFill="text1"/>
            <w:noWrap/>
            <w:vAlign w:val="bottom"/>
          </w:tcPr>
          <w:p w14:paraId="668D6F81" w14:textId="77777777" w:rsidR="00235E4D" w:rsidRPr="00235E4D" w:rsidRDefault="00235E4D" w:rsidP="00235E4D">
            <w:pPr>
              <w:tabs>
                <w:tab w:val="decimal" w:pos="437"/>
              </w:tabs>
              <w:spacing w:after="0"/>
              <w:rPr>
                <w:color w:val="000000"/>
                <w:sz w:val="20"/>
              </w:rPr>
            </w:pPr>
          </w:p>
        </w:tc>
      </w:tr>
      <w:tr w:rsidR="00235E4D" w:rsidRPr="00235E4D" w14:paraId="77947F30" w14:textId="77777777" w:rsidTr="00235E4D">
        <w:trPr>
          <w:trHeight w:val="255"/>
          <w:jc w:val="center"/>
        </w:trPr>
        <w:tc>
          <w:tcPr>
            <w:tcW w:w="1281" w:type="dxa"/>
            <w:tcBorders>
              <w:top w:val="nil"/>
              <w:left w:val="single" w:sz="4" w:space="0" w:color="auto"/>
              <w:bottom w:val="single" w:sz="4" w:space="0" w:color="auto"/>
              <w:right w:val="nil"/>
            </w:tcBorders>
            <w:shd w:val="clear" w:color="auto" w:fill="auto"/>
            <w:noWrap/>
            <w:vAlign w:val="center"/>
          </w:tcPr>
          <w:p w14:paraId="7F8312D9" w14:textId="77777777" w:rsidR="00235E4D" w:rsidRPr="00235E4D" w:rsidRDefault="00235E4D" w:rsidP="00235E4D">
            <w:pPr>
              <w:spacing w:after="0"/>
              <w:rPr>
                <w:color w:val="000000"/>
                <w:sz w:val="20"/>
              </w:rPr>
            </w:pPr>
            <w:r w:rsidRPr="00235E4D">
              <w:rPr>
                <w:color w:val="000000"/>
                <w:sz w:val="20"/>
              </w:rPr>
              <w:t xml:space="preserve">Signalling </w:t>
            </w:r>
          </w:p>
        </w:tc>
        <w:tc>
          <w:tcPr>
            <w:tcW w:w="4678" w:type="dxa"/>
            <w:tcBorders>
              <w:top w:val="nil"/>
              <w:left w:val="single" w:sz="4" w:space="0" w:color="auto"/>
              <w:bottom w:val="single" w:sz="4" w:space="0" w:color="auto"/>
              <w:right w:val="nil"/>
            </w:tcBorders>
            <w:shd w:val="clear" w:color="auto" w:fill="auto"/>
            <w:noWrap/>
            <w:vAlign w:val="center"/>
          </w:tcPr>
          <w:p w14:paraId="62771D45" w14:textId="77777777" w:rsidR="00235E4D" w:rsidRPr="00235E4D" w:rsidRDefault="00235E4D" w:rsidP="00235E4D">
            <w:pPr>
              <w:spacing w:after="0"/>
              <w:rPr>
                <w:color w:val="000000"/>
                <w:sz w:val="20"/>
              </w:rPr>
            </w:pPr>
            <w:r w:rsidRPr="00235E4D">
              <w:rPr>
                <w:color w:val="000000"/>
                <w:sz w:val="20"/>
              </w:rPr>
              <w:t>SICA remaining life (</w:t>
            </w:r>
            <w:proofErr w:type="spellStart"/>
            <w:r w:rsidRPr="00235E4D">
              <w:rPr>
                <w:color w:val="000000"/>
                <w:sz w:val="20"/>
              </w:rPr>
              <w:t>yrs</w:t>
            </w:r>
            <w:proofErr w:type="spellEnd"/>
            <w:r w:rsidRPr="00235E4D">
              <w:rPr>
                <w:color w:val="000000"/>
                <w:sz w:val="20"/>
              </w:rPr>
              <w:t>)</w:t>
            </w:r>
          </w:p>
        </w:tc>
        <w:tc>
          <w:tcPr>
            <w:tcW w:w="1606" w:type="dxa"/>
            <w:tcBorders>
              <w:top w:val="nil"/>
              <w:left w:val="single" w:sz="4" w:space="0" w:color="auto"/>
              <w:bottom w:val="single" w:sz="4" w:space="0" w:color="auto"/>
              <w:right w:val="single" w:sz="4" w:space="0" w:color="auto"/>
            </w:tcBorders>
            <w:shd w:val="clear" w:color="auto" w:fill="000000" w:themeFill="text1"/>
            <w:noWrap/>
            <w:vAlign w:val="bottom"/>
          </w:tcPr>
          <w:p w14:paraId="0EAAC573" w14:textId="77777777" w:rsidR="00235E4D" w:rsidRPr="00235E4D" w:rsidRDefault="00235E4D" w:rsidP="00235E4D">
            <w:pPr>
              <w:tabs>
                <w:tab w:val="decimal" w:pos="627"/>
              </w:tabs>
              <w:spacing w:after="0"/>
              <w:rPr>
                <w:color w:val="000000"/>
                <w:sz w:val="20"/>
              </w:rPr>
            </w:pPr>
          </w:p>
        </w:tc>
        <w:tc>
          <w:tcPr>
            <w:tcW w:w="1087" w:type="dxa"/>
            <w:tcBorders>
              <w:top w:val="nil"/>
              <w:left w:val="nil"/>
              <w:bottom w:val="single" w:sz="4" w:space="0" w:color="auto"/>
              <w:right w:val="single" w:sz="4" w:space="0" w:color="auto"/>
            </w:tcBorders>
            <w:shd w:val="clear" w:color="auto" w:fill="000000" w:themeFill="text1"/>
            <w:noWrap/>
            <w:vAlign w:val="bottom"/>
          </w:tcPr>
          <w:p w14:paraId="48657709" w14:textId="77777777" w:rsidR="00235E4D" w:rsidRPr="00235E4D" w:rsidRDefault="00235E4D" w:rsidP="00235E4D">
            <w:pPr>
              <w:tabs>
                <w:tab w:val="decimal" w:pos="437"/>
              </w:tabs>
              <w:spacing w:after="0"/>
              <w:rPr>
                <w:color w:val="000000"/>
                <w:sz w:val="20"/>
              </w:rPr>
            </w:pPr>
          </w:p>
        </w:tc>
      </w:tr>
      <w:tr w:rsidR="00235E4D" w:rsidRPr="00235E4D" w14:paraId="0756AC01" w14:textId="77777777" w:rsidTr="00235E4D">
        <w:trPr>
          <w:trHeight w:val="255"/>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14:paraId="16E05C5C" w14:textId="77777777" w:rsidR="00235E4D" w:rsidRPr="00235E4D" w:rsidRDefault="00235E4D" w:rsidP="00235E4D">
            <w:pPr>
              <w:spacing w:after="0"/>
              <w:rPr>
                <w:color w:val="000000"/>
                <w:sz w:val="20"/>
              </w:rPr>
            </w:pPr>
            <w:r w:rsidRPr="00235E4D">
              <w:rPr>
                <w:color w:val="000000"/>
                <w:sz w:val="20"/>
              </w:rPr>
              <w:t xml:space="preserve">Telecoms </w:t>
            </w:r>
          </w:p>
        </w:tc>
        <w:tc>
          <w:tcPr>
            <w:tcW w:w="4678" w:type="dxa"/>
            <w:tcBorders>
              <w:top w:val="single" w:sz="4" w:space="0" w:color="auto"/>
              <w:left w:val="single" w:sz="4" w:space="0" w:color="auto"/>
              <w:bottom w:val="single" w:sz="4" w:space="0" w:color="auto"/>
              <w:right w:val="nil"/>
            </w:tcBorders>
            <w:shd w:val="clear" w:color="auto" w:fill="auto"/>
            <w:noWrap/>
            <w:vAlign w:val="center"/>
          </w:tcPr>
          <w:p w14:paraId="3843FC14" w14:textId="77777777" w:rsidR="00235E4D" w:rsidRPr="00235E4D" w:rsidRDefault="00235E4D" w:rsidP="00235E4D">
            <w:pPr>
              <w:spacing w:after="0"/>
              <w:rPr>
                <w:color w:val="000000"/>
                <w:sz w:val="20"/>
              </w:rPr>
            </w:pPr>
            <w:r w:rsidRPr="00235E4D">
              <w:rPr>
                <w:color w:val="000000"/>
                <w:sz w:val="20"/>
              </w:rPr>
              <w:t>Telecoms remaining life (%)</w:t>
            </w:r>
          </w:p>
        </w:tc>
        <w:tc>
          <w:tcPr>
            <w:tcW w:w="1606" w:type="dxa"/>
            <w:tcBorders>
              <w:top w:val="nil"/>
              <w:left w:val="single" w:sz="4" w:space="0" w:color="auto"/>
              <w:bottom w:val="nil"/>
              <w:right w:val="single" w:sz="4" w:space="0" w:color="auto"/>
            </w:tcBorders>
            <w:shd w:val="clear" w:color="auto" w:fill="000000" w:themeFill="text1"/>
            <w:noWrap/>
            <w:vAlign w:val="bottom"/>
          </w:tcPr>
          <w:p w14:paraId="232A701F" w14:textId="77777777" w:rsidR="00235E4D" w:rsidRPr="00235E4D" w:rsidRDefault="00235E4D" w:rsidP="00235E4D">
            <w:pPr>
              <w:tabs>
                <w:tab w:val="decimal" w:pos="627"/>
              </w:tabs>
              <w:spacing w:after="0"/>
              <w:rPr>
                <w:color w:val="000000"/>
                <w:sz w:val="20"/>
              </w:rPr>
            </w:pPr>
          </w:p>
        </w:tc>
        <w:tc>
          <w:tcPr>
            <w:tcW w:w="1087" w:type="dxa"/>
            <w:tcBorders>
              <w:top w:val="nil"/>
              <w:left w:val="nil"/>
              <w:bottom w:val="nil"/>
              <w:right w:val="single" w:sz="4" w:space="0" w:color="auto"/>
            </w:tcBorders>
            <w:shd w:val="clear" w:color="auto" w:fill="000000" w:themeFill="text1"/>
            <w:noWrap/>
            <w:vAlign w:val="bottom"/>
          </w:tcPr>
          <w:p w14:paraId="2E1C1B79" w14:textId="77777777" w:rsidR="00235E4D" w:rsidRPr="00235E4D" w:rsidRDefault="00235E4D" w:rsidP="00235E4D">
            <w:pPr>
              <w:tabs>
                <w:tab w:val="decimal" w:pos="437"/>
              </w:tabs>
              <w:spacing w:after="0"/>
              <w:rPr>
                <w:color w:val="000000"/>
                <w:sz w:val="20"/>
              </w:rPr>
            </w:pPr>
          </w:p>
        </w:tc>
      </w:tr>
      <w:tr w:rsidR="00235E4D" w:rsidRPr="00235E4D" w14:paraId="4C20F930" w14:textId="77777777" w:rsidTr="00235E4D">
        <w:trPr>
          <w:trHeight w:val="255"/>
          <w:jc w:val="center"/>
        </w:trPr>
        <w:tc>
          <w:tcPr>
            <w:tcW w:w="1281" w:type="dxa"/>
            <w:vMerge w:val="restart"/>
            <w:tcBorders>
              <w:top w:val="nil"/>
              <w:left w:val="single" w:sz="4" w:space="0" w:color="auto"/>
              <w:bottom w:val="single" w:sz="4" w:space="0" w:color="000000"/>
              <w:right w:val="nil"/>
            </w:tcBorders>
            <w:shd w:val="clear" w:color="auto" w:fill="auto"/>
            <w:noWrap/>
            <w:vAlign w:val="center"/>
          </w:tcPr>
          <w:p w14:paraId="23115AF0" w14:textId="77777777" w:rsidR="00235E4D" w:rsidRPr="00235E4D" w:rsidRDefault="00235E4D" w:rsidP="00235E4D">
            <w:pPr>
              <w:spacing w:after="0"/>
              <w:rPr>
                <w:color w:val="000000"/>
                <w:sz w:val="20"/>
              </w:rPr>
            </w:pPr>
            <w:r w:rsidRPr="00235E4D">
              <w:rPr>
                <w:color w:val="000000"/>
                <w:sz w:val="20"/>
              </w:rPr>
              <w:t xml:space="preserve">Electrical Power </w:t>
            </w:r>
          </w:p>
        </w:tc>
        <w:tc>
          <w:tcPr>
            <w:tcW w:w="4678" w:type="dxa"/>
            <w:tcBorders>
              <w:top w:val="single" w:sz="4" w:space="0" w:color="auto"/>
              <w:left w:val="single" w:sz="4" w:space="0" w:color="auto"/>
              <w:bottom w:val="nil"/>
              <w:right w:val="nil"/>
            </w:tcBorders>
            <w:shd w:val="clear" w:color="auto" w:fill="auto"/>
            <w:noWrap/>
            <w:vAlign w:val="center"/>
          </w:tcPr>
          <w:p w14:paraId="6BDA61FB" w14:textId="77777777" w:rsidR="00235E4D" w:rsidRPr="00235E4D" w:rsidRDefault="00235E4D" w:rsidP="00235E4D">
            <w:pPr>
              <w:spacing w:after="0"/>
              <w:rPr>
                <w:color w:val="000000"/>
                <w:sz w:val="20"/>
              </w:rPr>
            </w:pPr>
            <w:r w:rsidRPr="00235E4D">
              <w:rPr>
                <w:color w:val="000000"/>
                <w:sz w:val="20"/>
              </w:rPr>
              <w:t>Conductor rail remaining life (%)</w:t>
            </w:r>
          </w:p>
        </w:tc>
        <w:tc>
          <w:tcPr>
            <w:tcW w:w="1606" w:type="dxa"/>
            <w:tcBorders>
              <w:top w:val="single" w:sz="4" w:space="0" w:color="auto"/>
              <w:left w:val="single" w:sz="4" w:space="0" w:color="auto"/>
              <w:bottom w:val="nil"/>
              <w:right w:val="single" w:sz="4" w:space="0" w:color="auto"/>
            </w:tcBorders>
            <w:shd w:val="clear" w:color="auto" w:fill="000000" w:themeFill="text1"/>
            <w:noWrap/>
            <w:vAlign w:val="bottom"/>
          </w:tcPr>
          <w:p w14:paraId="33EDCE40" w14:textId="77777777" w:rsidR="00235E4D" w:rsidRPr="00235E4D" w:rsidRDefault="00235E4D" w:rsidP="00235E4D">
            <w:pPr>
              <w:tabs>
                <w:tab w:val="decimal" w:pos="627"/>
              </w:tabs>
              <w:spacing w:after="0"/>
              <w:rPr>
                <w:color w:val="000000"/>
                <w:sz w:val="20"/>
              </w:rPr>
            </w:pPr>
          </w:p>
        </w:tc>
        <w:tc>
          <w:tcPr>
            <w:tcW w:w="1087" w:type="dxa"/>
            <w:tcBorders>
              <w:top w:val="single" w:sz="4" w:space="0" w:color="auto"/>
              <w:left w:val="nil"/>
              <w:bottom w:val="nil"/>
              <w:right w:val="single" w:sz="4" w:space="0" w:color="auto"/>
            </w:tcBorders>
            <w:shd w:val="clear" w:color="auto" w:fill="000000" w:themeFill="text1"/>
            <w:noWrap/>
            <w:vAlign w:val="bottom"/>
          </w:tcPr>
          <w:p w14:paraId="450E2EAA" w14:textId="77777777" w:rsidR="00235E4D" w:rsidRPr="00235E4D" w:rsidRDefault="00235E4D" w:rsidP="00235E4D">
            <w:pPr>
              <w:tabs>
                <w:tab w:val="decimal" w:pos="437"/>
              </w:tabs>
              <w:spacing w:after="0"/>
              <w:rPr>
                <w:color w:val="000000"/>
                <w:sz w:val="20"/>
              </w:rPr>
            </w:pPr>
          </w:p>
        </w:tc>
      </w:tr>
      <w:tr w:rsidR="00235E4D" w:rsidRPr="00235E4D" w14:paraId="0A80F724" w14:textId="77777777" w:rsidTr="00235E4D">
        <w:trPr>
          <w:trHeight w:val="255"/>
          <w:jc w:val="center"/>
        </w:trPr>
        <w:tc>
          <w:tcPr>
            <w:tcW w:w="1281" w:type="dxa"/>
            <w:vMerge/>
            <w:tcBorders>
              <w:top w:val="nil"/>
              <w:left w:val="single" w:sz="4" w:space="0" w:color="auto"/>
              <w:bottom w:val="single" w:sz="4" w:space="0" w:color="000000"/>
              <w:right w:val="nil"/>
            </w:tcBorders>
            <w:vAlign w:val="center"/>
          </w:tcPr>
          <w:p w14:paraId="28048094" w14:textId="77777777" w:rsidR="00235E4D" w:rsidRPr="00235E4D" w:rsidRDefault="00235E4D" w:rsidP="00235E4D">
            <w:pPr>
              <w:spacing w:after="0"/>
              <w:rPr>
                <w:color w:val="000000"/>
                <w:sz w:val="20"/>
              </w:rPr>
            </w:pPr>
          </w:p>
        </w:tc>
        <w:tc>
          <w:tcPr>
            <w:tcW w:w="4678" w:type="dxa"/>
            <w:tcBorders>
              <w:top w:val="nil"/>
              <w:left w:val="single" w:sz="4" w:space="0" w:color="auto"/>
              <w:bottom w:val="nil"/>
              <w:right w:val="nil"/>
            </w:tcBorders>
            <w:shd w:val="clear" w:color="auto" w:fill="auto"/>
            <w:noWrap/>
            <w:vAlign w:val="center"/>
          </w:tcPr>
          <w:p w14:paraId="4FC574F2" w14:textId="77777777" w:rsidR="00235E4D" w:rsidRPr="00235E4D" w:rsidRDefault="00235E4D" w:rsidP="00235E4D">
            <w:pPr>
              <w:spacing w:after="0"/>
              <w:rPr>
                <w:color w:val="000000"/>
                <w:sz w:val="20"/>
              </w:rPr>
            </w:pPr>
            <w:r w:rsidRPr="00235E4D">
              <w:rPr>
                <w:color w:val="000000"/>
                <w:sz w:val="20"/>
              </w:rPr>
              <w:t>OLE remaining life (%)</w:t>
            </w:r>
          </w:p>
        </w:tc>
        <w:tc>
          <w:tcPr>
            <w:tcW w:w="1606" w:type="dxa"/>
            <w:tcBorders>
              <w:top w:val="nil"/>
              <w:left w:val="single" w:sz="4" w:space="0" w:color="auto"/>
              <w:bottom w:val="nil"/>
              <w:right w:val="single" w:sz="4" w:space="0" w:color="auto"/>
            </w:tcBorders>
            <w:shd w:val="clear" w:color="auto" w:fill="000000" w:themeFill="text1"/>
            <w:noWrap/>
            <w:vAlign w:val="bottom"/>
          </w:tcPr>
          <w:p w14:paraId="6524572E" w14:textId="77777777" w:rsidR="00235E4D" w:rsidRPr="00235E4D" w:rsidRDefault="00235E4D" w:rsidP="00235E4D">
            <w:pPr>
              <w:tabs>
                <w:tab w:val="decimal" w:pos="627"/>
              </w:tabs>
              <w:spacing w:after="0"/>
              <w:rPr>
                <w:color w:val="000000"/>
                <w:sz w:val="20"/>
              </w:rPr>
            </w:pPr>
          </w:p>
        </w:tc>
        <w:tc>
          <w:tcPr>
            <w:tcW w:w="1087" w:type="dxa"/>
            <w:tcBorders>
              <w:top w:val="nil"/>
              <w:left w:val="nil"/>
              <w:bottom w:val="nil"/>
              <w:right w:val="single" w:sz="4" w:space="0" w:color="auto"/>
            </w:tcBorders>
            <w:shd w:val="clear" w:color="auto" w:fill="000000" w:themeFill="text1"/>
            <w:noWrap/>
            <w:vAlign w:val="bottom"/>
          </w:tcPr>
          <w:p w14:paraId="3E3175CC" w14:textId="77777777" w:rsidR="00235E4D" w:rsidRPr="00235E4D" w:rsidRDefault="00235E4D" w:rsidP="00235E4D">
            <w:pPr>
              <w:tabs>
                <w:tab w:val="decimal" w:pos="437"/>
              </w:tabs>
              <w:spacing w:after="0"/>
              <w:rPr>
                <w:color w:val="000000"/>
                <w:sz w:val="20"/>
              </w:rPr>
            </w:pPr>
          </w:p>
        </w:tc>
      </w:tr>
      <w:tr w:rsidR="00235E4D" w:rsidRPr="00235E4D" w14:paraId="7B37513E" w14:textId="77777777" w:rsidTr="00235E4D">
        <w:trPr>
          <w:trHeight w:val="255"/>
          <w:jc w:val="center"/>
        </w:trPr>
        <w:tc>
          <w:tcPr>
            <w:tcW w:w="1281" w:type="dxa"/>
            <w:vMerge/>
            <w:tcBorders>
              <w:top w:val="nil"/>
              <w:left w:val="single" w:sz="4" w:space="0" w:color="auto"/>
              <w:bottom w:val="single" w:sz="4" w:space="0" w:color="000000"/>
              <w:right w:val="nil"/>
            </w:tcBorders>
            <w:vAlign w:val="center"/>
          </w:tcPr>
          <w:p w14:paraId="1095E65D" w14:textId="77777777" w:rsidR="00235E4D" w:rsidRPr="00235E4D" w:rsidRDefault="00235E4D" w:rsidP="00235E4D">
            <w:pPr>
              <w:spacing w:after="0"/>
              <w:rPr>
                <w:color w:val="000000"/>
                <w:sz w:val="20"/>
              </w:rPr>
            </w:pPr>
          </w:p>
        </w:tc>
        <w:tc>
          <w:tcPr>
            <w:tcW w:w="4678" w:type="dxa"/>
            <w:tcBorders>
              <w:top w:val="nil"/>
              <w:left w:val="single" w:sz="4" w:space="0" w:color="auto"/>
              <w:bottom w:val="single" w:sz="4" w:space="0" w:color="auto"/>
              <w:right w:val="nil"/>
            </w:tcBorders>
            <w:shd w:val="clear" w:color="auto" w:fill="auto"/>
            <w:noWrap/>
            <w:vAlign w:val="center"/>
          </w:tcPr>
          <w:p w14:paraId="61B33FCC" w14:textId="77777777" w:rsidR="00235E4D" w:rsidRPr="00235E4D" w:rsidRDefault="00235E4D" w:rsidP="00235E4D">
            <w:pPr>
              <w:spacing w:after="0"/>
              <w:rPr>
                <w:color w:val="808080"/>
                <w:sz w:val="20"/>
              </w:rPr>
            </w:pPr>
            <w:r w:rsidRPr="00235E4D">
              <w:rPr>
                <w:color w:val="808080"/>
                <w:sz w:val="20"/>
              </w:rPr>
              <w:t>Signalling power cable remaining life (%)</w:t>
            </w:r>
          </w:p>
        </w:tc>
        <w:tc>
          <w:tcPr>
            <w:tcW w:w="1606" w:type="dxa"/>
            <w:tcBorders>
              <w:top w:val="nil"/>
              <w:left w:val="single" w:sz="4" w:space="0" w:color="auto"/>
              <w:bottom w:val="single" w:sz="4" w:space="0" w:color="auto"/>
              <w:right w:val="single" w:sz="4" w:space="0" w:color="auto"/>
            </w:tcBorders>
            <w:shd w:val="clear" w:color="auto" w:fill="000000" w:themeFill="text1"/>
            <w:noWrap/>
            <w:vAlign w:val="bottom"/>
          </w:tcPr>
          <w:p w14:paraId="34A34FEC" w14:textId="77777777" w:rsidR="00235E4D" w:rsidRPr="00235E4D" w:rsidRDefault="00235E4D" w:rsidP="00235E4D">
            <w:pPr>
              <w:tabs>
                <w:tab w:val="decimal" w:pos="627"/>
              </w:tabs>
              <w:spacing w:after="0"/>
              <w:rPr>
                <w:color w:val="000000"/>
                <w:sz w:val="20"/>
              </w:rPr>
            </w:pPr>
          </w:p>
        </w:tc>
        <w:tc>
          <w:tcPr>
            <w:tcW w:w="1087" w:type="dxa"/>
            <w:tcBorders>
              <w:top w:val="nil"/>
              <w:left w:val="nil"/>
              <w:bottom w:val="single" w:sz="4" w:space="0" w:color="auto"/>
              <w:right w:val="single" w:sz="4" w:space="0" w:color="auto"/>
            </w:tcBorders>
            <w:shd w:val="clear" w:color="auto" w:fill="000000" w:themeFill="text1"/>
            <w:noWrap/>
            <w:vAlign w:val="bottom"/>
          </w:tcPr>
          <w:p w14:paraId="783DF044" w14:textId="77777777" w:rsidR="00235E4D" w:rsidRPr="00235E4D" w:rsidRDefault="00235E4D" w:rsidP="00235E4D">
            <w:pPr>
              <w:tabs>
                <w:tab w:val="decimal" w:pos="437"/>
              </w:tabs>
              <w:spacing w:after="0"/>
              <w:rPr>
                <w:color w:val="000000"/>
                <w:sz w:val="20"/>
              </w:rPr>
            </w:pPr>
          </w:p>
        </w:tc>
      </w:tr>
      <w:tr w:rsidR="00235E4D" w:rsidRPr="00235E4D" w14:paraId="558C6B5B" w14:textId="77777777" w:rsidTr="00235E4D">
        <w:trPr>
          <w:trHeight w:val="255"/>
          <w:jc w:val="center"/>
        </w:trPr>
        <w:tc>
          <w:tcPr>
            <w:tcW w:w="1281" w:type="dxa"/>
            <w:tcBorders>
              <w:top w:val="nil"/>
              <w:left w:val="single" w:sz="4" w:space="0" w:color="auto"/>
              <w:bottom w:val="single" w:sz="4" w:space="0" w:color="auto"/>
              <w:right w:val="single" w:sz="4" w:space="0" w:color="auto"/>
            </w:tcBorders>
            <w:shd w:val="clear" w:color="auto" w:fill="auto"/>
            <w:noWrap/>
            <w:vAlign w:val="center"/>
          </w:tcPr>
          <w:p w14:paraId="1434B123" w14:textId="77777777" w:rsidR="00235E4D" w:rsidRPr="00235E4D" w:rsidRDefault="00235E4D" w:rsidP="00235E4D">
            <w:pPr>
              <w:spacing w:after="0"/>
              <w:rPr>
                <w:color w:val="000000"/>
                <w:sz w:val="20"/>
              </w:rPr>
            </w:pPr>
            <w:r w:rsidRPr="00235E4D">
              <w:rPr>
                <w:color w:val="000000"/>
                <w:sz w:val="20"/>
              </w:rPr>
              <w:t xml:space="preserve">Earthworks </w:t>
            </w:r>
          </w:p>
        </w:tc>
        <w:tc>
          <w:tcPr>
            <w:tcW w:w="4678" w:type="dxa"/>
            <w:tcBorders>
              <w:top w:val="single" w:sz="4" w:space="0" w:color="auto"/>
              <w:left w:val="single" w:sz="4" w:space="0" w:color="auto"/>
              <w:bottom w:val="single" w:sz="4" w:space="0" w:color="auto"/>
              <w:right w:val="nil"/>
            </w:tcBorders>
            <w:shd w:val="clear" w:color="auto" w:fill="auto"/>
            <w:noWrap/>
            <w:vAlign w:val="center"/>
          </w:tcPr>
          <w:p w14:paraId="447C37B3" w14:textId="77777777" w:rsidR="00235E4D" w:rsidRPr="00235E4D" w:rsidRDefault="00235E4D" w:rsidP="00235E4D">
            <w:pPr>
              <w:spacing w:after="0"/>
              <w:rPr>
                <w:sz w:val="20"/>
              </w:rPr>
            </w:pPr>
            <w:r w:rsidRPr="00235E4D">
              <w:rPr>
                <w:sz w:val="20"/>
              </w:rPr>
              <w:t>Earthworks condition score</w:t>
            </w:r>
          </w:p>
        </w:tc>
        <w:tc>
          <w:tcPr>
            <w:tcW w:w="1606" w:type="dxa"/>
            <w:tcBorders>
              <w:top w:val="nil"/>
              <w:left w:val="single" w:sz="4" w:space="0" w:color="auto"/>
              <w:bottom w:val="nil"/>
              <w:right w:val="single" w:sz="4" w:space="0" w:color="auto"/>
            </w:tcBorders>
            <w:shd w:val="clear" w:color="auto" w:fill="000000" w:themeFill="text1"/>
            <w:noWrap/>
            <w:vAlign w:val="bottom"/>
          </w:tcPr>
          <w:p w14:paraId="6C719967" w14:textId="77777777" w:rsidR="00235E4D" w:rsidRPr="00235E4D" w:rsidRDefault="00235E4D" w:rsidP="00235E4D">
            <w:pPr>
              <w:tabs>
                <w:tab w:val="decimal" w:pos="627"/>
              </w:tabs>
              <w:spacing w:after="0"/>
              <w:rPr>
                <w:color w:val="000000"/>
                <w:sz w:val="20"/>
              </w:rPr>
            </w:pPr>
          </w:p>
        </w:tc>
        <w:tc>
          <w:tcPr>
            <w:tcW w:w="1087" w:type="dxa"/>
            <w:tcBorders>
              <w:top w:val="nil"/>
              <w:left w:val="nil"/>
              <w:bottom w:val="nil"/>
              <w:right w:val="single" w:sz="4" w:space="0" w:color="auto"/>
            </w:tcBorders>
            <w:shd w:val="clear" w:color="auto" w:fill="000000" w:themeFill="text1"/>
            <w:noWrap/>
            <w:vAlign w:val="bottom"/>
          </w:tcPr>
          <w:p w14:paraId="5D16FA47" w14:textId="77777777" w:rsidR="00235E4D" w:rsidRPr="00235E4D" w:rsidRDefault="00235E4D" w:rsidP="00235E4D">
            <w:pPr>
              <w:tabs>
                <w:tab w:val="decimal" w:pos="437"/>
              </w:tabs>
              <w:spacing w:after="0"/>
              <w:rPr>
                <w:color w:val="000000"/>
                <w:sz w:val="20"/>
              </w:rPr>
            </w:pPr>
          </w:p>
        </w:tc>
      </w:tr>
      <w:tr w:rsidR="00235E4D" w:rsidRPr="00235E4D" w14:paraId="00A5595E" w14:textId="77777777" w:rsidTr="00235E4D">
        <w:trPr>
          <w:trHeight w:val="255"/>
          <w:jc w:val="center"/>
        </w:trPr>
        <w:tc>
          <w:tcPr>
            <w:tcW w:w="1281" w:type="dxa"/>
            <w:vMerge w:val="restart"/>
            <w:tcBorders>
              <w:top w:val="nil"/>
              <w:left w:val="single" w:sz="4" w:space="0" w:color="auto"/>
              <w:bottom w:val="single" w:sz="4" w:space="0" w:color="000000"/>
              <w:right w:val="nil"/>
            </w:tcBorders>
            <w:shd w:val="clear" w:color="auto" w:fill="auto"/>
            <w:noWrap/>
            <w:vAlign w:val="center"/>
          </w:tcPr>
          <w:p w14:paraId="06FF5BAD" w14:textId="77777777" w:rsidR="00235E4D" w:rsidRPr="00235E4D" w:rsidRDefault="00235E4D" w:rsidP="00235E4D">
            <w:pPr>
              <w:spacing w:after="0"/>
              <w:rPr>
                <w:color w:val="000000"/>
                <w:sz w:val="20"/>
              </w:rPr>
            </w:pPr>
            <w:r w:rsidRPr="00235E4D">
              <w:rPr>
                <w:color w:val="000000"/>
                <w:sz w:val="20"/>
              </w:rPr>
              <w:t xml:space="preserve">Structures </w:t>
            </w:r>
          </w:p>
        </w:tc>
        <w:tc>
          <w:tcPr>
            <w:tcW w:w="4678" w:type="dxa"/>
            <w:tcBorders>
              <w:top w:val="single" w:sz="4" w:space="0" w:color="auto"/>
              <w:left w:val="single" w:sz="4" w:space="0" w:color="auto"/>
              <w:bottom w:val="nil"/>
              <w:right w:val="nil"/>
            </w:tcBorders>
            <w:shd w:val="clear" w:color="auto" w:fill="auto"/>
            <w:noWrap/>
            <w:vAlign w:val="center"/>
          </w:tcPr>
          <w:p w14:paraId="0D6CB89E" w14:textId="77777777" w:rsidR="00235E4D" w:rsidRPr="00235E4D" w:rsidRDefault="00235E4D" w:rsidP="00235E4D">
            <w:pPr>
              <w:spacing w:after="0"/>
              <w:rPr>
                <w:sz w:val="20"/>
              </w:rPr>
            </w:pPr>
            <w:r w:rsidRPr="00235E4D">
              <w:rPr>
                <w:sz w:val="20"/>
              </w:rPr>
              <w:t>Average condition of bridge major deck elements</w:t>
            </w:r>
          </w:p>
        </w:tc>
        <w:tc>
          <w:tcPr>
            <w:tcW w:w="1606" w:type="dxa"/>
            <w:tcBorders>
              <w:top w:val="single" w:sz="4" w:space="0" w:color="auto"/>
              <w:left w:val="single" w:sz="4" w:space="0" w:color="auto"/>
              <w:bottom w:val="nil"/>
              <w:right w:val="single" w:sz="4" w:space="0" w:color="auto"/>
            </w:tcBorders>
            <w:shd w:val="clear" w:color="auto" w:fill="000000" w:themeFill="text1"/>
            <w:noWrap/>
            <w:vAlign w:val="bottom"/>
          </w:tcPr>
          <w:p w14:paraId="1EF344CA" w14:textId="77777777" w:rsidR="00235E4D" w:rsidRPr="00235E4D" w:rsidRDefault="00235E4D" w:rsidP="00235E4D">
            <w:pPr>
              <w:tabs>
                <w:tab w:val="decimal" w:pos="627"/>
              </w:tabs>
              <w:spacing w:after="0"/>
              <w:rPr>
                <w:color w:val="000000"/>
                <w:sz w:val="20"/>
              </w:rPr>
            </w:pPr>
          </w:p>
        </w:tc>
        <w:tc>
          <w:tcPr>
            <w:tcW w:w="1087" w:type="dxa"/>
            <w:tcBorders>
              <w:top w:val="single" w:sz="4" w:space="0" w:color="auto"/>
              <w:left w:val="nil"/>
              <w:bottom w:val="nil"/>
              <w:right w:val="single" w:sz="4" w:space="0" w:color="auto"/>
            </w:tcBorders>
            <w:shd w:val="clear" w:color="auto" w:fill="000000" w:themeFill="text1"/>
            <w:noWrap/>
            <w:vAlign w:val="bottom"/>
          </w:tcPr>
          <w:p w14:paraId="75A2C67B" w14:textId="77777777" w:rsidR="00235E4D" w:rsidRPr="00235E4D" w:rsidRDefault="00235E4D" w:rsidP="00235E4D">
            <w:pPr>
              <w:tabs>
                <w:tab w:val="decimal" w:pos="437"/>
              </w:tabs>
              <w:spacing w:after="0"/>
              <w:rPr>
                <w:color w:val="000000"/>
                <w:sz w:val="20"/>
              </w:rPr>
            </w:pPr>
          </w:p>
        </w:tc>
      </w:tr>
      <w:tr w:rsidR="00235E4D" w:rsidRPr="00235E4D" w14:paraId="4942A7D3" w14:textId="77777777" w:rsidTr="00235E4D">
        <w:trPr>
          <w:trHeight w:val="255"/>
          <w:jc w:val="center"/>
        </w:trPr>
        <w:tc>
          <w:tcPr>
            <w:tcW w:w="1281" w:type="dxa"/>
            <w:vMerge/>
            <w:tcBorders>
              <w:top w:val="nil"/>
              <w:left w:val="single" w:sz="4" w:space="0" w:color="auto"/>
              <w:bottom w:val="single" w:sz="4" w:space="0" w:color="000000"/>
              <w:right w:val="nil"/>
            </w:tcBorders>
            <w:vAlign w:val="center"/>
          </w:tcPr>
          <w:p w14:paraId="62622837" w14:textId="77777777" w:rsidR="00235E4D" w:rsidRPr="00235E4D" w:rsidRDefault="00235E4D" w:rsidP="00235E4D">
            <w:pPr>
              <w:spacing w:after="0"/>
              <w:rPr>
                <w:color w:val="000000"/>
                <w:sz w:val="20"/>
              </w:rPr>
            </w:pPr>
          </w:p>
        </w:tc>
        <w:tc>
          <w:tcPr>
            <w:tcW w:w="4678" w:type="dxa"/>
            <w:tcBorders>
              <w:top w:val="nil"/>
              <w:left w:val="single" w:sz="4" w:space="0" w:color="auto"/>
              <w:bottom w:val="single" w:sz="4" w:space="0" w:color="auto"/>
              <w:right w:val="nil"/>
            </w:tcBorders>
            <w:shd w:val="clear" w:color="auto" w:fill="auto"/>
            <w:noWrap/>
            <w:vAlign w:val="center"/>
          </w:tcPr>
          <w:p w14:paraId="6AADA13E" w14:textId="77777777" w:rsidR="00235E4D" w:rsidRPr="00235E4D" w:rsidRDefault="00235E4D" w:rsidP="00235E4D">
            <w:pPr>
              <w:spacing w:after="0"/>
              <w:rPr>
                <w:sz w:val="20"/>
              </w:rPr>
            </w:pPr>
            <w:r w:rsidRPr="00235E4D">
              <w:rPr>
                <w:sz w:val="20"/>
              </w:rPr>
              <w:t>Average condition of tunnel minor elements</w:t>
            </w:r>
          </w:p>
        </w:tc>
        <w:tc>
          <w:tcPr>
            <w:tcW w:w="1606" w:type="dxa"/>
            <w:tcBorders>
              <w:top w:val="nil"/>
              <w:left w:val="single" w:sz="4" w:space="0" w:color="auto"/>
              <w:bottom w:val="single" w:sz="4" w:space="0" w:color="auto"/>
              <w:right w:val="single" w:sz="4" w:space="0" w:color="auto"/>
            </w:tcBorders>
            <w:shd w:val="clear" w:color="auto" w:fill="000000" w:themeFill="text1"/>
            <w:noWrap/>
            <w:vAlign w:val="bottom"/>
          </w:tcPr>
          <w:p w14:paraId="220FB5F8" w14:textId="77777777" w:rsidR="00235E4D" w:rsidRPr="00235E4D" w:rsidRDefault="00235E4D" w:rsidP="00235E4D">
            <w:pPr>
              <w:tabs>
                <w:tab w:val="decimal" w:pos="627"/>
              </w:tabs>
              <w:spacing w:after="0"/>
              <w:rPr>
                <w:color w:val="000000"/>
                <w:sz w:val="20"/>
              </w:rPr>
            </w:pPr>
          </w:p>
        </w:tc>
        <w:tc>
          <w:tcPr>
            <w:tcW w:w="1087" w:type="dxa"/>
            <w:tcBorders>
              <w:top w:val="nil"/>
              <w:left w:val="nil"/>
              <w:bottom w:val="single" w:sz="4" w:space="0" w:color="auto"/>
              <w:right w:val="single" w:sz="4" w:space="0" w:color="auto"/>
            </w:tcBorders>
            <w:shd w:val="clear" w:color="auto" w:fill="000000" w:themeFill="text1"/>
            <w:noWrap/>
            <w:vAlign w:val="bottom"/>
          </w:tcPr>
          <w:p w14:paraId="4FC4BAE4" w14:textId="77777777" w:rsidR="00235E4D" w:rsidRPr="00235E4D" w:rsidRDefault="00235E4D" w:rsidP="00235E4D">
            <w:pPr>
              <w:tabs>
                <w:tab w:val="decimal" w:pos="437"/>
              </w:tabs>
              <w:spacing w:after="0"/>
              <w:rPr>
                <w:color w:val="000000"/>
                <w:sz w:val="20"/>
              </w:rPr>
            </w:pPr>
          </w:p>
        </w:tc>
      </w:tr>
      <w:tr w:rsidR="00235E4D" w:rsidRPr="00235E4D" w14:paraId="2D5ADEE4" w14:textId="77777777" w:rsidTr="00235E4D">
        <w:trPr>
          <w:trHeight w:val="255"/>
          <w:jc w:val="center"/>
        </w:trPr>
        <w:tc>
          <w:tcPr>
            <w:tcW w:w="1281" w:type="dxa"/>
            <w:vMerge w:val="restart"/>
            <w:tcBorders>
              <w:top w:val="nil"/>
              <w:left w:val="single" w:sz="4" w:space="0" w:color="auto"/>
              <w:bottom w:val="single" w:sz="4" w:space="0" w:color="000000"/>
              <w:right w:val="single" w:sz="4" w:space="0" w:color="auto"/>
            </w:tcBorders>
            <w:shd w:val="clear" w:color="auto" w:fill="auto"/>
            <w:vAlign w:val="center"/>
          </w:tcPr>
          <w:p w14:paraId="1D2D322E" w14:textId="77777777" w:rsidR="00235E4D" w:rsidRPr="00235E4D" w:rsidRDefault="00235E4D" w:rsidP="00235E4D">
            <w:pPr>
              <w:spacing w:after="0"/>
              <w:rPr>
                <w:color w:val="000000"/>
                <w:sz w:val="20"/>
              </w:rPr>
            </w:pPr>
            <w:r w:rsidRPr="00235E4D">
              <w:rPr>
                <w:color w:val="000000"/>
                <w:sz w:val="20"/>
              </w:rPr>
              <w:t xml:space="preserve">Buildings </w:t>
            </w:r>
          </w:p>
        </w:tc>
        <w:tc>
          <w:tcPr>
            <w:tcW w:w="4678" w:type="dxa"/>
            <w:tcBorders>
              <w:top w:val="single" w:sz="4" w:space="0" w:color="auto"/>
              <w:left w:val="single" w:sz="4" w:space="0" w:color="auto"/>
              <w:bottom w:val="nil"/>
              <w:right w:val="nil"/>
            </w:tcBorders>
            <w:shd w:val="clear" w:color="auto" w:fill="auto"/>
            <w:noWrap/>
            <w:vAlign w:val="center"/>
          </w:tcPr>
          <w:p w14:paraId="69EAD118" w14:textId="77777777" w:rsidR="00235E4D" w:rsidRPr="00235E4D" w:rsidRDefault="00235E4D" w:rsidP="00235E4D">
            <w:pPr>
              <w:spacing w:after="0"/>
              <w:rPr>
                <w:color w:val="000000"/>
                <w:sz w:val="20"/>
              </w:rPr>
            </w:pPr>
            <w:r w:rsidRPr="00235E4D">
              <w:rPr>
                <w:color w:val="000000"/>
                <w:sz w:val="20"/>
              </w:rPr>
              <w:t>Percentage asset remaining life (PARL) stations</w:t>
            </w:r>
          </w:p>
        </w:tc>
        <w:tc>
          <w:tcPr>
            <w:tcW w:w="1606" w:type="dxa"/>
            <w:tcBorders>
              <w:top w:val="nil"/>
              <w:left w:val="single" w:sz="4" w:space="0" w:color="auto"/>
              <w:bottom w:val="nil"/>
              <w:right w:val="single" w:sz="4" w:space="0" w:color="auto"/>
            </w:tcBorders>
            <w:shd w:val="clear" w:color="auto" w:fill="000000" w:themeFill="text1"/>
            <w:noWrap/>
            <w:vAlign w:val="bottom"/>
          </w:tcPr>
          <w:p w14:paraId="7064835F" w14:textId="77777777" w:rsidR="00235E4D" w:rsidRPr="00235E4D" w:rsidRDefault="00235E4D" w:rsidP="00235E4D">
            <w:pPr>
              <w:tabs>
                <w:tab w:val="decimal" w:pos="627"/>
              </w:tabs>
              <w:spacing w:after="0"/>
              <w:rPr>
                <w:color w:val="000000"/>
                <w:sz w:val="20"/>
              </w:rPr>
            </w:pPr>
          </w:p>
        </w:tc>
        <w:tc>
          <w:tcPr>
            <w:tcW w:w="1087" w:type="dxa"/>
            <w:tcBorders>
              <w:top w:val="nil"/>
              <w:left w:val="nil"/>
              <w:bottom w:val="nil"/>
              <w:right w:val="single" w:sz="4" w:space="0" w:color="auto"/>
            </w:tcBorders>
            <w:shd w:val="clear" w:color="auto" w:fill="000000" w:themeFill="text1"/>
            <w:noWrap/>
            <w:vAlign w:val="bottom"/>
          </w:tcPr>
          <w:p w14:paraId="5B10C4CD" w14:textId="77777777" w:rsidR="00235E4D" w:rsidRPr="00235E4D" w:rsidRDefault="00235E4D" w:rsidP="00235E4D">
            <w:pPr>
              <w:tabs>
                <w:tab w:val="decimal" w:pos="437"/>
              </w:tabs>
              <w:spacing w:after="0"/>
              <w:rPr>
                <w:color w:val="000000"/>
                <w:sz w:val="20"/>
              </w:rPr>
            </w:pPr>
          </w:p>
        </w:tc>
      </w:tr>
      <w:tr w:rsidR="00235E4D" w:rsidRPr="00235E4D" w14:paraId="616E0661" w14:textId="77777777" w:rsidTr="00235E4D">
        <w:trPr>
          <w:trHeight w:val="255"/>
          <w:jc w:val="center"/>
        </w:trPr>
        <w:tc>
          <w:tcPr>
            <w:tcW w:w="1281" w:type="dxa"/>
            <w:vMerge/>
            <w:tcBorders>
              <w:top w:val="nil"/>
              <w:left w:val="single" w:sz="4" w:space="0" w:color="auto"/>
              <w:bottom w:val="single" w:sz="4" w:space="0" w:color="000000"/>
              <w:right w:val="single" w:sz="4" w:space="0" w:color="auto"/>
            </w:tcBorders>
            <w:vAlign w:val="center"/>
          </w:tcPr>
          <w:p w14:paraId="12259252" w14:textId="77777777" w:rsidR="00235E4D" w:rsidRPr="00235E4D" w:rsidRDefault="00235E4D" w:rsidP="00235E4D">
            <w:pPr>
              <w:spacing w:after="0"/>
              <w:rPr>
                <w:color w:val="000000"/>
                <w:sz w:val="20"/>
              </w:rPr>
            </w:pPr>
          </w:p>
        </w:tc>
        <w:tc>
          <w:tcPr>
            <w:tcW w:w="4678" w:type="dxa"/>
            <w:tcBorders>
              <w:top w:val="nil"/>
              <w:left w:val="single" w:sz="4" w:space="0" w:color="auto"/>
              <w:bottom w:val="single" w:sz="4" w:space="0" w:color="auto"/>
              <w:right w:val="nil"/>
            </w:tcBorders>
            <w:shd w:val="clear" w:color="auto" w:fill="auto"/>
            <w:noWrap/>
            <w:vAlign w:val="center"/>
          </w:tcPr>
          <w:p w14:paraId="466AFDD3" w14:textId="77777777" w:rsidR="00235E4D" w:rsidRPr="00235E4D" w:rsidRDefault="00235E4D" w:rsidP="00235E4D">
            <w:pPr>
              <w:spacing w:after="0"/>
              <w:rPr>
                <w:color w:val="000000"/>
                <w:sz w:val="20"/>
              </w:rPr>
            </w:pPr>
            <w:r w:rsidRPr="00235E4D">
              <w:rPr>
                <w:color w:val="000000"/>
                <w:sz w:val="20"/>
              </w:rPr>
              <w:t>Percentage asset remaining life (PARL) depots</w:t>
            </w:r>
          </w:p>
        </w:tc>
        <w:tc>
          <w:tcPr>
            <w:tcW w:w="1606" w:type="dxa"/>
            <w:tcBorders>
              <w:top w:val="nil"/>
              <w:left w:val="single" w:sz="4" w:space="0" w:color="auto"/>
              <w:bottom w:val="nil"/>
              <w:right w:val="single" w:sz="4" w:space="0" w:color="auto"/>
            </w:tcBorders>
            <w:shd w:val="clear" w:color="auto" w:fill="000000" w:themeFill="text1"/>
            <w:noWrap/>
            <w:vAlign w:val="bottom"/>
          </w:tcPr>
          <w:p w14:paraId="11985DAC" w14:textId="77777777" w:rsidR="00235E4D" w:rsidRPr="00235E4D" w:rsidRDefault="00235E4D" w:rsidP="00235E4D">
            <w:pPr>
              <w:tabs>
                <w:tab w:val="decimal" w:pos="627"/>
              </w:tabs>
              <w:spacing w:after="0"/>
              <w:rPr>
                <w:color w:val="000000"/>
                <w:sz w:val="20"/>
              </w:rPr>
            </w:pPr>
          </w:p>
        </w:tc>
        <w:tc>
          <w:tcPr>
            <w:tcW w:w="1087" w:type="dxa"/>
            <w:tcBorders>
              <w:top w:val="nil"/>
              <w:left w:val="nil"/>
              <w:bottom w:val="nil"/>
              <w:right w:val="single" w:sz="4" w:space="0" w:color="auto"/>
            </w:tcBorders>
            <w:shd w:val="clear" w:color="auto" w:fill="000000" w:themeFill="text1"/>
            <w:noWrap/>
            <w:vAlign w:val="bottom"/>
          </w:tcPr>
          <w:p w14:paraId="1D4E570B" w14:textId="77777777" w:rsidR="00235E4D" w:rsidRPr="00235E4D" w:rsidRDefault="00235E4D" w:rsidP="00235E4D">
            <w:pPr>
              <w:tabs>
                <w:tab w:val="decimal" w:pos="437"/>
              </w:tabs>
              <w:spacing w:after="0"/>
              <w:rPr>
                <w:color w:val="000000"/>
                <w:sz w:val="20"/>
              </w:rPr>
            </w:pPr>
          </w:p>
        </w:tc>
      </w:tr>
      <w:tr w:rsidR="00235E4D" w:rsidRPr="00235E4D" w14:paraId="4A669BAA" w14:textId="77777777" w:rsidTr="00235E4D">
        <w:trPr>
          <w:trHeight w:val="255"/>
          <w:jc w:val="center"/>
        </w:trPr>
        <w:tc>
          <w:tcPr>
            <w:tcW w:w="1281" w:type="dxa"/>
            <w:vMerge w:val="restart"/>
            <w:tcBorders>
              <w:top w:val="nil"/>
              <w:left w:val="single" w:sz="4" w:space="0" w:color="auto"/>
              <w:bottom w:val="single" w:sz="4" w:space="0" w:color="000000"/>
              <w:right w:val="nil"/>
            </w:tcBorders>
            <w:shd w:val="clear" w:color="auto" w:fill="auto"/>
            <w:noWrap/>
            <w:vAlign w:val="center"/>
          </w:tcPr>
          <w:p w14:paraId="54F798B8" w14:textId="77777777" w:rsidR="00235E4D" w:rsidRPr="00235E4D" w:rsidRDefault="00235E4D" w:rsidP="00235E4D">
            <w:pPr>
              <w:spacing w:after="0"/>
              <w:rPr>
                <w:color w:val="000000"/>
                <w:sz w:val="20"/>
              </w:rPr>
            </w:pPr>
            <w:r w:rsidRPr="00235E4D">
              <w:rPr>
                <w:color w:val="000000"/>
                <w:sz w:val="20"/>
              </w:rPr>
              <w:t xml:space="preserve">Drainage </w:t>
            </w:r>
          </w:p>
        </w:tc>
        <w:tc>
          <w:tcPr>
            <w:tcW w:w="4678" w:type="dxa"/>
            <w:tcBorders>
              <w:top w:val="single" w:sz="4" w:space="0" w:color="auto"/>
              <w:left w:val="single" w:sz="4" w:space="0" w:color="auto"/>
              <w:bottom w:val="nil"/>
              <w:right w:val="nil"/>
            </w:tcBorders>
            <w:shd w:val="clear" w:color="auto" w:fill="auto"/>
            <w:noWrap/>
            <w:vAlign w:val="center"/>
          </w:tcPr>
          <w:p w14:paraId="39AAB0BF" w14:textId="77777777" w:rsidR="00235E4D" w:rsidRPr="00235E4D" w:rsidRDefault="00235E4D" w:rsidP="00235E4D">
            <w:pPr>
              <w:spacing w:after="0"/>
              <w:rPr>
                <w:sz w:val="20"/>
              </w:rPr>
            </w:pPr>
            <w:r w:rsidRPr="00235E4D">
              <w:rPr>
                <w:sz w:val="20"/>
              </w:rPr>
              <w:t>Track drainage structure condition grade</w:t>
            </w:r>
          </w:p>
        </w:tc>
        <w:tc>
          <w:tcPr>
            <w:tcW w:w="1606" w:type="dxa"/>
            <w:tcBorders>
              <w:top w:val="single" w:sz="4" w:space="0" w:color="auto"/>
              <w:left w:val="single" w:sz="4" w:space="0" w:color="auto"/>
              <w:bottom w:val="nil"/>
              <w:right w:val="single" w:sz="4" w:space="0" w:color="auto"/>
            </w:tcBorders>
            <w:shd w:val="clear" w:color="auto" w:fill="000000" w:themeFill="text1"/>
            <w:noWrap/>
            <w:vAlign w:val="bottom"/>
          </w:tcPr>
          <w:p w14:paraId="644B6A6C" w14:textId="77777777" w:rsidR="00235E4D" w:rsidRPr="00235E4D" w:rsidRDefault="00235E4D" w:rsidP="00235E4D">
            <w:pPr>
              <w:tabs>
                <w:tab w:val="decimal" w:pos="627"/>
              </w:tabs>
              <w:spacing w:after="0"/>
              <w:rPr>
                <w:color w:val="000000"/>
                <w:sz w:val="20"/>
              </w:rPr>
            </w:pPr>
          </w:p>
        </w:tc>
        <w:tc>
          <w:tcPr>
            <w:tcW w:w="1087" w:type="dxa"/>
            <w:tcBorders>
              <w:top w:val="single" w:sz="4" w:space="0" w:color="auto"/>
              <w:left w:val="nil"/>
              <w:bottom w:val="nil"/>
              <w:right w:val="single" w:sz="4" w:space="0" w:color="auto"/>
            </w:tcBorders>
            <w:shd w:val="clear" w:color="auto" w:fill="000000" w:themeFill="text1"/>
            <w:noWrap/>
            <w:vAlign w:val="bottom"/>
          </w:tcPr>
          <w:p w14:paraId="3C3EA5AC" w14:textId="77777777" w:rsidR="00235E4D" w:rsidRPr="00235E4D" w:rsidRDefault="00235E4D" w:rsidP="00235E4D">
            <w:pPr>
              <w:tabs>
                <w:tab w:val="decimal" w:pos="437"/>
              </w:tabs>
              <w:spacing w:after="0"/>
              <w:rPr>
                <w:color w:val="000000"/>
                <w:sz w:val="20"/>
              </w:rPr>
            </w:pPr>
          </w:p>
        </w:tc>
      </w:tr>
      <w:tr w:rsidR="00235E4D" w:rsidRPr="00235E4D" w14:paraId="719943AC" w14:textId="77777777" w:rsidTr="00235E4D">
        <w:trPr>
          <w:trHeight w:val="255"/>
          <w:jc w:val="center"/>
        </w:trPr>
        <w:tc>
          <w:tcPr>
            <w:tcW w:w="1281" w:type="dxa"/>
            <w:vMerge/>
            <w:tcBorders>
              <w:top w:val="nil"/>
              <w:left w:val="single" w:sz="4" w:space="0" w:color="auto"/>
              <w:bottom w:val="single" w:sz="4" w:space="0" w:color="000000"/>
              <w:right w:val="nil"/>
            </w:tcBorders>
            <w:vAlign w:val="center"/>
          </w:tcPr>
          <w:p w14:paraId="5D6E9CFA" w14:textId="77777777" w:rsidR="00235E4D" w:rsidRPr="00235E4D" w:rsidRDefault="00235E4D" w:rsidP="00235E4D">
            <w:pPr>
              <w:spacing w:after="0"/>
              <w:rPr>
                <w:color w:val="000000"/>
                <w:sz w:val="20"/>
              </w:rPr>
            </w:pPr>
          </w:p>
        </w:tc>
        <w:tc>
          <w:tcPr>
            <w:tcW w:w="4678" w:type="dxa"/>
            <w:tcBorders>
              <w:top w:val="nil"/>
              <w:left w:val="single" w:sz="4" w:space="0" w:color="auto"/>
              <w:bottom w:val="single" w:sz="4" w:space="0" w:color="auto"/>
              <w:right w:val="nil"/>
            </w:tcBorders>
            <w:shd w:val="clear" w:color="auto" w:fill="auto"/>
            <w:noWrap/>
            <w:vAlign w:val="center"/>
          </w:tcPr>
          <w:p w14:paraId="778902F3" w14:textId="77777777" w:rsidR="00235E4D" w:rsidRPr="00235E4D" w:rsidRDefault="00235E4D" w:rsidP="00235E4D">
            <w:pPr>
              <w:spacing w:after="0"/>
              <w:rPr>
                <w:sz w:val="20"/>
              </w:rPr>
            </w:pPr>
            <w:r w:rsidRPr="00235E4D">
              <w:rPr>
                <w:sz w:val="20"/>
              </w:rPr>
              <w:t>Earthworks/structures structural condition grade</w:t>
            </w:r>
          </w:p>
        </w:tc>
        <w:tc>
          <w:tcPr>
            <w:tcW w:w="1606" w:type="dxa"/>
            <w:tcBorders>
              <w:top w:val="nil"/>
              <w:left w:val="single" w:sz="4" w:space="0" w:color="auto"/>
              <w:bottom w:val="single" w:sz="4" w:space="0" w:color="auto"/>
              <w:right w:val="single" w:sz="4" w:space="0" w:color="auto"/>
            </w:tcBorders>
            <w:shd w:val="clear" w:color="auto" w:fill="000000" w:themeFill="text1"/>
            <w:noWrap/>
            <w:vAlign w:val="bottom"/>
          </w:tcPr>
          <w:p w14:paraId="5E432634" w14:textId="77777777" w:rsidR="00235E4D" w:rsidRPr="00235E4D" w:rsidRDefault="00235E4D" w:rsidP="00235E4D">
            <w:pPr>
              <w:tabs>
                <w:tab w:val="decimal" w:pos="627"/>
              </w:tabs>
              <w:spacing w:after="0"/>
              <w:rPr>
                <w:color w:val="000000"/>
                <w:sz w:val="20"/>
              </w:rPr>
            </w:pPr>
          </w:p>
        </w:tc>
        <w:tc>
          <w:tcPr>
            <w:tcW w:w="1087" w:type="dxa"/>
            <w:tcBorders>
              <w:top w:val="nil"/>
              <w:left w:val="nil"/>
              <w:bottom w:val="single" w:sz="4" w:space="0" w:color="auto"/>
              <w:right w:val="single" w:sz="4" w:space="0" w:color="auto"/>
            </w:tcBorders>
            <w:shd w:val="clear" w:color="auto" w:fill="000000" w:themeFill="text1"/>
            <w:noWrap/>
            <w:vAlign w:val="bottom"/>
          </w:tcPr>
          <w:p w14:paraId="511D7188" w14:textId="77777777" w:rsidR="00235E4D" w:rsidRPr="00235E4D" w:rsidRDefault="00235E4D" w:rsidP="00235E4D">
            <w:pPr>
              <w:tabs>
                <w:tab w:val="decimal" w:pos="437"/>
              </w:tabs>
              <w:spacing w:after="0"/>
              <w:rPr>
                <w:color w:val="000000"/>
                <w:sz w:val="20"/>
              </w:rPr>
            </w:pPr>
          </w:p>
        </w:tc>
      </w:tr>
    </w:tbl>
    <w:p w14:paraId="1FC61273" w14:textId="77777777" w:rsidR="00235E4D" w:rsidRPr="00235E4D" w:rsidRDefault="00235E4D" w:rsidP="00235E4D">
      <w:pPr>
        <w:keepNext/>
        <w:numPr>
          <w:ilvl w:val="1"/>
          <w:numId w:val="0"/>
        </w:numPr>
        <w:tabs>
          <w:tab w:val="num" w:pos="0"/>
        </w:tabs>
        <w:spacing w:before="240" w:after="0"/>
        <w:ind w:left="578" w:hanging="1117"/>
        <w:outlineLvl w:val="1"/>
        <w:rPr>
          <w:color w:val="093A80"/>
          <w:sz w:val="28"/>
          <w:szCs w:val="24"/>
        </w:rPr>
      </w:pPr>
      <w:bookmarkStart w:id="4" w:name="_Toc383673013"/>
      <w:r w:rsidRPr="00235E4D">
        <w:rPr>
          <w:color w:val="093A80"/>
          <w:sz w:val="28"/>
          <w:szCs w:val="24"/>
        </w:rPr>
        <w:t>CSI Calculation</w:t>
      </w:r>
      <w:bookmarkEnd w:id="4"/>
    </w:p>
    <w:p w14:paraId="0CBE8E16" w14:textId="77777777" w:rsidR="00235E4D" w:rsidRPr="00235E4D" w:rsidRDefault="00235E4D" w:rsidP="00235E4D">
      <w:pPr>
        <w:spacing w:before="120" w:after="0"/>
        <w:rPr>
          <w:sz w:val="20"/>
        </w:rPr>
      </w:pPr>
      <w:r w:rsidRPr="00235E4D">
        <w:rPr>
          <w:sz w:val="20"/>
        </w:rPr>
        <w:t>The composite sustainability index for a route is the fractional change in value of the represented assets from the end of CP4:</w:t>
      </w:r>
    </w:p>
    <w:p w14:paraId="055DA056" w14:textId="77777777" w:rsidR="00235E4D" w:rsidRPr="00235E4D" w:rsidRDefault="00FE57A0" w:rsidP="00235E4D">
      <w:pPr>
        <w:spacing w:before="120" w:after="0"/>
        <w:jc w:val="center"/>
        <w:rPr>
          <w:sz w:val="20"/>
        </w:rPr>
      </w:pPr>
      <w:r>
        <w:rPr>
          <w:sz w:val="20"/>
        </w:rPr>
        <w:pict w14:anchorId="50431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15pt;height:53.75pt">
            <v:imagedata r:id="rId20" o:title=""/>
          </v:shape>
        </w:pict>
      </w:r>
    </w:p>
    <w:p w14:paraId="73DCBB83" w14:textId="77777777" w:rsidR="00235E4D" w:rsidRPr="00235E4D" w:rsidRDefault="00235E4D" w:rsidP="00235E4D">
      <w:pPr>
        <w:spacing w:before="120" w:after="0"/>
        <w:rPr>
          <w:sz w:val="20"/>
        </w:rPr>
      </w:pPr>
      <w:r w:rsidRPr="00235E4D">
        <w:rPr>
          <w:sz w:val="20"/>
        </w:rPr>
        <w:t>where</w:t>
      </w:r>
    </w:p>
    <w:tbl>
      <w:tblPr>
        <w:tblStyle w:val="TableGrid"/>
        <w:tblW w:w="796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3"/>
        <w:gridCol w:w="6968"/>
      </w:tblGrid>
      <w:tr w:rsidR="00235E4D" w:rsidRPr="00235E4D" w14:paraId="14FE59FD" w14:textId="77777777" w:rsidTr="00235E4D">
        <w:tc>
          <w:tcPr>
            <w:tcW w:w="993" w:type="dxa"/>
          </w:tcPr>
          <w:p w14:paraId="76127A3C" w14:textId="77777777" w:rsidR="00235E4D" w:rsidRPr="00235E4D" w:rsidRDefault="00235E4D" w:rsidP="00235E4D">
            <w:pPr>
              <w:spacing w:after="0"/>
              <w:rPr>
                <w:i/>
                <w:iCs/>
                <w:sz w:val="20"/>
                <w:vertAlign w:val="subscript"/>
              </w:rPr>
            </w:pPr>
            <w:r w:rsidRPr="00235E4D">
              <w:rPr>
                <w:i/>
                <w:iCs/>
                <w:sz w:val="20"/>
              </w:rPr>
              <w:t>CSI</w:t>
            </w:r>
            <w:r w:rsidRPr="00235E4D">
              <w:rPr>
                <w:i/>
                <w:iCs/>
                <w:sz w:val="20"/>
                <w:vertAlign w:val="subscript"/>
              </w:rPr>
              <w:t>R,Y</w:t>
            </w:r>
          </w:p>
        </w:tc>
        <w:tc>
          <w:tcPr>
            <w:tcW w:w="6968" w:type="dxa"/>
          </w:tcPr>
          <w:p w14:paraId="3DE8547F" w14:textId="77777777" w:rsidR="00235E4D" w:rsidRPr="00235E4D" w:rsidRDefault="00235E4D" w:rsidP="00235E4D">
            <w:pPr>
              <w:spacing w:after="0"/>
              <w:rPr>
                <w:sz w:val="20"/>
              </w:rPr>
            </w:pPr>
            <w:r w:rsidRPr="00235E4D">
              <w:rPr>
                <w:sz w:val="20"/>
              </w:rPr>
              <w:t>Composite sustainability index for the route at the end of the year</w:t>
            </w:r>
          </w:p>
        </w:tc>
      </w:tr>
      <w:tr w:rsidR="00235E4D" w:rsidRPr="00235E4D" w14:paraId="342C691E" w14:textId="77777777" w:rsidTr="00235E4D">
        <w:tc>
          <w:tcPr>
            <w:tcW w:w="993" w:type="dxa"/>
          </w:tcPr>
          <w:p w14:paraId="7CCF0E2E" w14:textId="77777777" w:rsidR="00235E4D" w:rsidRPr="00235E4D" w:rsidRDefault="00235E4D" w:rsidP="00235E4D">
            <w:pPr>
              <w:spacing w:after="0"/>
              <w:rPr>
                <w:i/>
                <w:iCs/>
                <w:sz w:val="20"/>
                <w:vertAlign w:val="subscript"/>
              </w:rPr>
            </w:pPr>
            <w:proofErr w:type="spellStart"/>
            <w:r w:rsidRPr="00235E4D">
              <w:rPr>
                <w:i/>
                <w:iCs/>
                <w:sz w:val="20"/>
              </w:rPr>
              <w:t>m</w:t>
            </w:r>
            <w:r w:rsidRPr="00235E4D">
              <w:rPr>
                <w:i/>
                <w:iCs/>
                <w:sz w:val="20"/>
                <w:vertAlign w:val="subscript"/>
              </w:rPr>
              <w:t>R,Y</w:t>
            </w:r>
            <w:proofErr w:type="spellEnd"/>
          </w:p>
        </w:tc>
        <w:tc>
          <w:tcPr>
            <w:tcW w:w="6968" w:type="dxa"/>
          </w:tcPr>
          <w:p w14:paraId="2E6001A8" w14:textId="77777777" w:rsidR="00235E4D" w:rsidRPr="00235E4D" w:rsidRDefault="00235E4D" w:rsidP="00235E4D">
            <w:pPr>
              <w:spacing w:after="0"/>
              <w:rPr>
                <w:sz w:val="20"/>
              </w:rPr>
            </w:pPr>
            <w:r w:rsidRPr="00235E4D">
              <w:rPr>
                <w:sz w:val="20"/>
              </w:rPr>
              <w:t>Measure value at the end of the year in the route</w:t>
            </w:r>
          </w:p>
        </w:tc>
      </w:tr>
      <w:tr w:rsidR="00235E4D" w:rsidRPr="00235E4D" w14:paraId="34BC5526" w14:textId="77777777" w:rsidTr="00235E4D">
        <w:tc>
          <w:tcPr>
            <w:tcW w:w="993" w:type="dxa"/>
          </w:tcPr>
          <w:p w14:paraId="26C96AA2" w14:textId="77777777" w:rsidR="00235E4D" w:rsidRPr="00235E4D" w:rsidRDefault="00235E4D" w:rsidP="00235E4D">
            <w:pPr>
              <w:spacing w:after="0"/>
              <w:rPr>
                <w:i/>
                <w:iCs/>
                <w:sz w:val="20"/>
                <w:vertAlign w:val="subscript"/>
              </w:rPr>
            </w:pPr>
            <w:r w:rsidRPr="00235E4D">
              <w:rPr>
                <w:i/>
                <w:iCs/>
                <w:sz w:val="20"/>
              </w:rPr>
              <w:t>m</w:t>
            </w:r>
            <w:r w:rsidRPr="00235E4D">
              <w:rPr>
                <w:i/>
                <w:iCs/>
                <w:sz w:val="20"/>
                <w:vertAlign w:val="subscript"/>
              </w:rPr>
              <w:t>R,CP4</w:t>
            </w:r>
          </w:p>
        </w:tc>
        <w:tc>
          <w:tcPr>
            <w:tcW w:w="6968" w:type="dxa"/>
          </w:tcPr>
          <w:p w14:paraId="180C8E50" w14:textId="77777777" w:rsidR="00235E4D" w:rsidRPr="00235E4D" w:rsidRDefault="00235E4D" w:rsidP="00235E4D">
            <w:pPr>
              <w:spacing w:after="0"/>
              <w:rPr>
                <w:sz w:val="20"/>
              </w:rPr>
            </w:pPr>
            <w:r w:rsidRPr="00235E4D">
              <w:rPr>
                <w:sz w:val="20"/>
              </w:rPr>
              <w:t>Measure value at the end of CP4 in the route</w:t>
            </w:r>
          </w:p>
        </w:tc>
      </w:tr>
      <w:tr w:rsidR="00235E4D" w:rsidRPr="00235E4D" w14:paraId="13D583D7" w14:textId="77777777" w:rsidTr="00235E4D">
        <w:tc>
          <w:tcPr>
            <w:tcW w:w="993" w:type="dxa"/>
          </w:tcPr>
          <w:p w14:paraId="381B7496" w14:textId="77777777" w:rsidR="00235E4D" w:rsidRPr="00235E4D" w:rsidRDefault="00235E4D" w:rsidP="00235E4D">
            <w:pPr>
              <w:spacing w:after="0"/>
              <w:rPr>
                <w:i/>
                <w:iCs/>
                <w:sz w:val="20"/>
                <w:vertAlign w:val="subscript"/>
              </w:rPr>
            </w:pPr>
            <w:proofErr w:type="spellStart"/>
            <w:r w:rsidRPr="00235E4D">
              <w:rPr>
                <w:i/>
                <w:iCs/>
                <w:sz w:val="20"/>
              </w:rPr>
              <w:t>n</w:t>
            </w:r>
            <w:r w:rsidRPr="00235E4D">
              <w:rPr>
                <w:i/>
                <w:iCs/>
                <w:sz w:val="20"/>
                <w:vertAlign w:val="subscript"/>
              </w:rPr>
              <w:t>A,R</w:t>
            </w:r>
            <w:proofErr w:type="spellEnd"/>
          </w:p>
        </w:tc>
        <w:tc>
          <w:tcPr>
            <w:tcW w:w="6968" w:type="dxa"/>
          </w:tcPr>
          <w:p w14:paraId="105479E8" w14:textId="77777777" w:rsidR="00235E4D" w:rsidRPr="00235E4D" w:rsidRDefault="00235E4D" w:rsidP="00235E4D">
            <w:pPr>
              <w:spacing w:after="0"/>
              <w:rPr>
                <w:sz w:val="20"/>
              </w:rPr>
            </w:pPr>
            <w:r w:rsidRPr="00235E4D">
              <w:rPr>
                <w:sz w:val="20"/>
              </w:rPr>
              <w:t>Volume of assets in the route represented by the measure</w:t>
            </w:r>
          </w:p>
        </w:tc>
      </w:tr>
      <w:tr w:rsidR="00235E4D" w:rsidRPr="00235E4D" w14:paraId="2A0669D8" w14:textId="77777777" w:rsidTr="00235E4D">
        <w:tc>
          <w:tcPr>
            <w:tcW w:w="993" w:type="dxa"/>
          </w:tcPr>
          <w:p w14:paraId="012F7852" w14:textId="77777777" w:rsidR="00235E4D" w:rsidRPr="00235E4D" w:rsidRDefault="00235E4D" w:rsidP="00235E4D">
            <w:pPr>
              <w:spacing w:after="0"/>
              <w:rPr>
                <w:i/>
                <w:iCs/>
                <w:sz w:val="20"/>
                <w:vertAlign w:val="subscript"/>
              </w:rPr>
            </w:pPr>
            <w:proofErr w:type="spellStart"/>
            <w:r w:rsidRPr="00235E4D">
              <w:rPr>
                <w:i/>
                <w:iCs/>
                <w:sz w:val="20"/>
              </w:rPr>
              <w:t>n</w:t>
            </w:r>
            <w:r w:rsidRPr="00235E4D">
              <w:rPr>
                <w:i/>
                <w:iCs/>
                <w:sz w:val="20"/>
                <w:vertAlign w:val="subscript"/>
              </w:rPr>
              <w:t>A,N</w:t>
            </w:r>
            <w:proofErr w:type="spellEnd"/>
          </w:p>
        </w:tc>
        <w:tc>
          <w:tcPr>
            <w:tcW w:w="6968" w:type="dxa"/>
          </w:tcPr>
          <w:p w14:paraId="15279185" w14:textId="77777777" w:rsidR="00235E4D" w:rsidRPr="00235E4D" w:rsidRDefault="00235E4D" w:rsidP="00235E4D">
            <w:pPr>
              <w:spacing w:after="0"/>
              <w:rPr>
                <w:sz w:val="20"/>
              </w:rPr>
            </w:pPr>
            <w:r w:rsidRPr="00235E4D">
              <w:rPr>
                <w:sz w:val="20"/>
              </w:rPr>
              <w:t>Volume of assets in the network represented by the measure</w:t>
            </w:r>
          </w:p>
        </w:tc>
      </w:tr>
      <w:tr w:rsidR="00235E4D" w:rsidRPr="00235E4D" w14:paraId="5101F4F1" w14:textId="77777777" w:rsidTr="00235E4D">
        <w:tc>
          <w:tcPr>
            <w:tcW w:w="993" w:type="dxa"/>
          </w:tcPr>
          <w:p w14:paraId="5317503B" w14:textId="77777777" w:rsidR="00235E4D" w:rsidRPr="00235E4D" w:rsidRDefault="00235E4D" w:rsidP="00235E4D">
            <w:pPr>
              <w:spacing w:after="0"/>
              <w:rPr>
                <w:i/>
                <w:iCs/>
                <w:sz w:val="20"/>
                <w:vertAlign w:val="subscript"/>
              </w:rPr>
            </w:pPr>
            <w:proofErr w:type="spellStart"/>
            <w:r w:rsidRPr="00235E4D">
              <w:rPr>
                <w:i/>
                <w:iCs/>
                <w:sz w:val="20"/>
              </w:rPr>
              <w:t>u</w:t>
            </w:r>
            <w:r w:rsidRPr="00235E4D">
              <w:rPr>
                <w:i/>
                <w:iCs/>
                <w:sz w:val="20"/>
                <w:vertAlign w:val="subscript"/>
              </w:rPr>
              <w:t>A</w:t>
            </w:r>
            <w:proofErr w:type="spellEnd"/>
          </w:p>
        </w:tc>
        <w:tc>
          <w:tcPr>
            <w:tcW w:w="6968" w:type="dxa"/>
          </w:tcPr>
          <w:p w14:paraId="406DD7F0" w14:textId="77777777" w:rsidR="00235E4D" w:rsidRPr="00235E4D" w:rsidRDefault="00235E4D" w:rsidP="00235E4D">
            <w:pPr>
              <w:spacing w:after="0"/>
              <w:rPr>
                <w:sz w:val="20"/>
              </w:rPr>
            </w:pPr>
            <w:r w:rsidRPr="00235E4D">
              <w:rPr>
                <w:sz w:val="20"/>
              </w:rPr>
              <w:t>Unit value for the asset measure</w:t>
            </w:r>
          </w:p>
        </w:tc>
      </w:tr>
      <w:tr w:rsidR="00235E4D" w:rsidRPr="00235E4D" w14:paraId="51DA97DE" w14:textId="77777777" w:rsidTr="00235E4D">
        <w:tc>
          <w:tcPr>
            <w:tcW w:w="993" w:type="dxa"/>
          </w:tcPr>
          <w:p w14:paraId="531EAAD3" w14:textId="77777777" w:rsidR="00235E4D" w:rsidRPr="00235E4D" w:rsidRDefault="00235E4D" w:rsidP="00235E4D">
            <w:pPr>
              <w:spacing w:after="0"/>
              <w:rPr>
                <w:i/>
                <w:iCs/>
                <w:sz w:val="20"/>
                <w:vertAlign w:val="subscript"/>
              </w:rPr>
            </w:pPr>
            <w:r w:rsidRPr="00235E4D">
              <w:rPr>
                <w:i/>
                <w:iCs/>
                <w:sz w:val="20"/>
              </w:rPr>
              <w:t>V</w:t>
            </w:r>
            <w:r w:rsidRPr="00235E4D">
              <w:rPr>
                <w:i/>
                <w:iCs/>
                <w:sz w:val="20"/>
                <w:vertAlign w:val="subscript"/>
              </w:rPr>
              <w:t>R,CP4</w:t>
            </w:r>
          </w:p>
        </w:tc>
        <w:tc>
          <w:tcPr>
            <w:tcW w:w="6968" w:type="dxa"/>
          </w:tcPr>
          <w:p w14:paraId="5A8C425C" w14:textId="77777777" w:rsidR="00235E4D" w:rsidRPr="00235E4D" w:rsidRDefault="00235E4D" w:rsidP="00235E4D">
            <w:pPr>
              <w:spacing w:after="0"/>
              <w:rPr>
                <w:sz w:val="20"/>
              </w:rPr>
            </w:pPr>
            <w:r w:rsidRPr="00235E4D">
              <w:rPr>
                <w:sz w:val="20"/>
              </w:rPr>
              <w:t>Value of assets represented by all measures in the route at the end of CP4</w:t>
            </w:r>
          </w:p>
        </w:tc>
      </w:tr>
    </w:tbl>
    <w:p w14:paraId="4A00EE53" w14:textId="77777777" w:rsidR="00235E4D" w:rsidRPr="00235E4D" w:rsidRDefault="00235E4D" w:rsidP="00235E4D">
      <w:pPr>
        <w:spacing w:before="120" w:after="0"/>
        <w:rPr>
          <w:sz w:val="20"/>
        </w:rPr>
      </w:pPr>
      <w:r w:rsidRPr="00235E4D">
        <w:rPr>
          <w:sz w:val="20"/>
        </w:rPr>
        <w:t>The network CSI is similarly calculated.</w:t>
      </w:r>
    </w:p>
    <w:p w14:paraId="20C3B55B" w14:textId="77777777" w:rsidR="00235E4D" w:rsidRDefault="00235E4D" w:rsidP="00235E4D">
      <w:pPr>
        <w:rPr>
          <w:sz w:val="20"/>
        </w:rPr>
      </w:pPr>
    </w:p>
    <w:p w14:paraId="0F111750" w14:textId="77777777" w:rsidR="005217A1" w:rsidRDefault="005217A1" w:rsidP="00235E4D"/>
    <w:p w14:paraId="1DB814D5" w14:textId="77777777" w:rsidR="00235E4D" w:rsidRDefault="00235E4D" w:rsidP="00235E4D">
      <w:pPr>
        <w:rPr>
          <w:sz w:val="28"/>
          <w:szCs w:val="28"/>
        </w:rPr>
      </w:pPr>
    </w:p>
    <w:p w14:paraId="3A03EEC5" w14:textId="77777777" w:rsidR="00235E4D" w:rsidRDefault="00235E4D" w:rsidP="00235E4D">
      <w:pPr>
        <w:pStyle w:val="BodyCopyPlain"/>
        <w:spacing w:before="60" w:after="60"/>
        <w:ind w:left="170" w:right="170"/>
        <w:jc w:val="right"/>
        <w:rPr>
          <w:sz w:val="28"/>
          <w:szCs w:val="28"/>
        </w:rPr>
      </w:pPr>
    </w:p>
    <w:p w14:paraId="43EBC8AB" w14:textId="77777777" w:rsidR="00235E4D" w:rsidRPr="00F0460D" w:rsidRDefault="00235E4D" w:rsidP="00235E4D">
      <w:pPr>
        <w:pStyle w:val="BodyCopyPlain"/>
        <w:spacing w:before="60" w:after="60"/>
        <w:ind w:left="170" w:right="170"/>
        <w:jc w:val="right"/>
        <w:rPr>
          <w:sz w:val="28"/>
          <w:szCs w:val="28"/>
        </w:rPr>
      </w:pPr>
    </w:p>
    <w:p w14:paraId="477E1E70" w14:textId="77777777" w:rsidR="00492423" w:rsidRDefault="00492423"/>
    <w:sectPr w:rsidR="0049242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6B38C" w14:textId="77777777" w:rsidR="007E38BC" w:rsidRDefault="007E38BC">
      <w:pPr>
        <w:spacing w:after="0"/>
      </w:pPr>
      <w:r>
        <w:separator/>
      </w:r>
    </w:p>
  </w:endnote>
  <w:endnote w:type="continuationSeparator" w:id="0">
    <w:p w14:paraId="1835CD1B" w14:textId="77777777" w:rsidR="007E38BC" w:rsidRDefault="007E38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46C59" w14:textId="77777777" w:rsidR="00FE57A0" w:rsidRDefault="00FE5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45400" w14:textId="77777777" w:rsidR="00FE57A0" w:rsidRPr="00673759" w:rsidRDefault="00FE57A0" w:rsidP="00A86302">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6DFA" w14:textId="77777777" w:rsidR="00FE57A0" w:rsidRDefault="00FE5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43C30" w14:textId="77777777" w:rsidR="007E38BC" w:rsidRDefault="007E38BC">
      <w:pPr>
        <w:spacing w:after="0"/>
      </w:pPr>
      <w:r>
        <w:separator/>
      </w:r>
    </w:p>
  </w:footnote>
  <w:footnote w:type="continuationSeparator" w:id="0">
    <w:p w14:paraId="6EEACA92" w14:textId="77777777" w:rsidR="007E38BC" w:rsidRDefault="007E38BC">
      <w:pPr>
        <w:spacing w:after="0"/>
      </w:pPr>
      <w:r>
        <w:continuationSeparator/>
      </w:r>
    </w:p>
  </w:footnote>
  <w:footnote w:id="1">
    <w:p w14:paraId="4243E952" w14:textId="77777777" w:rsidR="00FE57A0" w:rsidRDefault="00FE57A0">
      <w:pPr>
        <w:pStyle w:val="FootnoteText"/>
      </w:pPr>
      <w:r>
        <w:rPr>
          <w:rStyle w:val="FootnoteReference"/>
        </w:rPr>
        <w:footnoteRef/>
      </w:r>
      <w:r>
        <w:t xml:space="preserve"> Scorecards are used by ORR for undertaking</w:t>
      </w:r>
      <w:r w:rsidRPr="00DC4564">
        <w:t xml:space="preserve"> comparison</w:t>
      </w:r>
      <w:r>
        <w:t>s</w:t>
      </w:r>
      <w:r w:rsidRPr="00DC4564">
        <w:t xml:space="preserve"> of Network Rail’s routes’ performance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A3A68" w14:textId="77777777" w:rsidR="00FE57A0" w:rsidRDefault="00FE5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29F58" w14:textId="77777777" w:rsidR="00FE57A0" w:rsidRDefault="00FE57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227F" w14:textId="77777777" w:rsidR="00FE57A0" w:rsidRDefault="00FE5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4B197E"/>
    <w:multiLevelType w:val="hybridMultilevel"/>
    <w:tmpl w:val="087E49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117ED"/>
    <w:multiLevelType w:val="hybridMultilevel"/>
    <w:tmpl w:val="135037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6"/>
  </w:num>
  <w:num w:numId="3">
    <w:abstractNumId w:val="6"/>
  </w:num>
  <w:num w:numId="4">
    <w:abstractNumId w:val="18"/>
  </w:num>
  <w:num w:numId="5">
    <w:abstractNumId w:val="11"/>
  </w:num>
  <w:num w:numId="6">
    <w:abstractNumId w:val="0"/>
  </w:num>
  <w:num w:numId="7">
    <w:abstractNumId w:val="15"/>
  </w:num>
  <w:num w:numId="8">
    <w:abstractNumId w:val="4"/>
  </w:num>
  <w:num w:numId="9">
    <w:abstractNumId w:val="7"/>
  </w:num>
  <w:num w:numId="10">
    <w:abstractNumId w:val="13"/>
  </w:num>
  <w:num w:numId="11">
    <w:abstractNumId w:val="22"/>
  </w:num>
  <w:num w:numId="12">
    <w:abstractNumId w:val="5"/>
  </w:num>
  <w:num w:numId="13">
    <w:abstractNumId w:val="2"/>
  </w:num>
  <w:num w:numId="14">
    <w:abstractNumId w:val="12"/>
  </w:num>
  <w:num w:numId="15">
    <w:abstractNumId w:val="23"/>
  </w:num>
  <w:num w:numId="16">
    <w:abstractNumId w:val="1"/>
  </w:num>
  <w:num w:numId="17">
    <w:abstractNumId w:val="21"/>
  </w:num>
  <w:num w:numId="18">
    <w:abstractNumId w:val="10"/>
  </w:num>
  <w:num w:numId="19">
    <w:abstractNumId w:val="8"/>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07956"/>
    <w:rsid w:val="000808A1"/>
    <w:rsid w:val="000D0471"/>
    <w:rsid w:val="000F75B8"/>
    <w:rsid w:val="00174F5D"/>
    <w:rsid w:val="001845B5"/>
    <w:rsid w:val="001919A3"/>
    <w:rsid w:val="001A5D12"/>
    <w:rsid w:val="001D7BF5"/>
    <w:rsid w:val="001F11A8"/>
    <w:rsid w:val="00204C0E"/>
    <w:rsid w:val="00235E4D"/>
    <w:rsid w:val="00243C6B"/>
    <w:rsid w:val="002545A4"/>
    <w:rsid w:val="00296648"/>
    <w:rsid w:val="002F1450"/>
    <w:rsid w:val="002F7846"/>
    <w:rsid w:val="00320048"/>
    <w:rsid w:val="0037682C"/>
    <w:rsid w:val="003E2033"/>
    <w:rsid w:val="004073E3"/>
    <w:rsid w:val="00453075"/>
    <w:rsid w:val="00492423"/>
    <w:rsid w:val="004B6F8D"/>
    <w:rsid w:val="004F5C25"/>
    <w:rsid w:val="005217A1"/>
    <w:rsid w:val="005532ED"/>
    <w:rsid w:val="005846FB"/>
    <w:rsid w:val="00624B8A"/>
    <w:rsid w:val="006A16CB"/>
    <w:rsid w:val="006E6367"/>
    <w:rsid w:val="00711801"/>
    <w:rsid w:val="00730DD0"/>
    <w:rsid w:val="00787D48"/>
    <w:rsid w:val="007C33DF"/>
    <w:rsid w:val="007D728A"/>
    <w:rsid w:val="007E1B66"/>
    <w:rsid w:val="007E38BC"/>
    <w:rsid w:val="008878C5"/>
    <w:rsid w:val="008A38E4"/>
    <w:rsid w:val="008F388B"/>
    <w:rsid w:val="00907369"/>
    <w:rsid w:val="00913F8B"/>
    <w:rsid w:val="00951FB1"/>
    <w:rsid w:val="009878A7"/>
    <w:rsid w:val="009A512D"/>
    <w:rsid w:val="009B2BC0"/>
    <w:rsid w:val="00A11FA1"/>
    <w:rsid w:val="00A328C5"/>
    <w:rsid w:val="00A86302"/>
    <w:rsid w:val="00A8697E"/>
    <w:rsid w:val="00AB2204"/>
    <w:rsid w:val="00AE5DDA"/>
    <w:rsid w:val="00AF7891"/>
    <w:rsid w:val="00B02610"/>
    <w:rsid w:val="00B329B7"/>
    <w:rsid w:val="00B679D6"/>
    <w:rsid w:val="00B95909"/>
    <w:rsid w:val="00BA52C1"/>
    <w:rsid w:val="00BD24D2"/>
    <w:rsid w:val="00C04C45"/>
    <w:rsid w:val="00CB008C"/>
    <w:rsid w:val="00D0028E"/>
    <w:rsid w:val="00D22CBB"/>
    <w:rsid w:val="00D74997"/>
    <w:rsid w:val="00DC0C7B"/>
    <w:rsid w:val="00DC4564"/>
    <w:rsid w:val="00DE5080"/>
    <w:rsid w:val="00E049E7"/>
    <w:rsid w:val="00E25E59"/>
    <w:rsid w:val="00E9262A"/>
    <w:rsid w:val="00ED79FB"/>
    <w:rsid w:val="00F0480D"/>
    <w:rsid w:val="00F26B55"/>
    <w:rsid w:val="00F52BE8"/>
    <w:rsid w:val="00FE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8867AD5"/>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1">
    <w:name w:val="heading 1"/>
    <w:basedOn w:val="Normal"/>
    <w:next w:val="Normal"/>
    <w:link w:val="Heading1Char"/>
    <w:uiPriority w:val="9"/>
    <w:qFormat/>
    <w:rsid w:val="00235E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unhideWhenUsed/>
    <w:rsid w:val="00907369"/>
    <w:pPr>
      <w:spacing w:after="120"/>
      <w:ind w:left="283"/>
    </w:pPr>
  </w:style>
  <w:style w:type="character" w:customStyle="1" w:styleId="BodyTextIndentChar">
    <w:name w:val="Body Text Indent Char"/>
    <w:basedOn w:val="DefaultParagraphFont"/>
    <w:link w:val="BodyTextIndent"/>
    <w:uiPriority w:val="99"/>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4B6F8D"/>
    <w:rPr>
      <w:color w:val="954F72" w:themeColor="followedHyperlink"/>
      <w:u w:val="single"/>
    </w:rPr>
  </w:style>
  <w:style w:type="paragraph" w:styleId="FootnoteText">
    <w:name w:val="footnote text"/>
    <w:basedOn w:val="Normal"/>
    <w:link w:val="FootnoteTextChar"/>
    <w:uiPriority w:val="99"/>
    <w:semiHidden/>
    <w:unhideWhenUsed/>
    <w:rsid w:val="00DC4564"/>
    <w:pPr>
      <w:spacing w:after="0"/>
    </w:pPr>
    <w:rPr>
      <w:sz w:val="20"/>
    </w:rPr>
  </w:style>
  <w:style w:type="character" w:customStyle="1" w:styleId="FootnoteTextChar">
    <w:name w:val="Footnote Text Char"/>
    <w:basedOn w:val="DefaultParagraphFont"/>
    <w:link w:val="FootnoteText"/>
    <w:uiPriority w:val="99"/>
    <w:semiHidden/>
    <w:rsid w:val="00DC4564"/>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DC4564"/>
    <w:rPr>
      <w:vertAlign w:val="superscript"/>
    </w:rPr>
  </w:style>
  <w:style w:type="character" w:customStyle="1" w:styleId="Heading1Char">
    <w:name w:val="Heading 1 Char"/>
    <w:basedOn w:val="DefaultParagraphFont"/>
    <w:link w:val="Heading1"/>
    <w:uiPriority w:val="9"/>
    <w:rsid w:val="00235E4D"/>
    <w:rPr>
      <w:rFonts w:asciiTheme="majorHAnsi" w:eastAsiaTheme="majorEastAsia" w:hAnsiTheme="majorHAnsi" w:cstheme="majorBidi"/>
      <w:color w:val="2E74B5" w:themeColor="accent1" w:themeShade="BF"/>
      <w:sz w:val="32"/>
      <w:szCs w:val="32"/>
      <w:lang w:val="en-GB"/>
    </w:rPr>
  </w:style>
  <w:style w:type="paragraph" w:customStyle="1" w:styleId="BodyCopyPlain">
    <w:name w:val="Body Copy Plain"/>
    <w:basedOn w:val="Normal"/>
    <w:rsid w:val="00235E4D"/>
    <w:pPr>
      <w:spacing w:after="0" w:line="280" w:lineRule="exact"/>
    </w:pPr>
    <w:rPr>
      <w:spacing w:val="10"/>
      <w:sz w:val="20"/>
    </w:rPr>
  </w:style>
  <w:style w:type="table" w:styleId="TableGrid">
    <w:name w:val="Table Grid"/>
    <w:basedOn w:val="TableNormal"/>
    <w:rsid w:val="00235E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79FB"/>
    <w:rPr>
      <w:sz w:val="16"/>
      <w:szCs w:val="16"/>
    </w:rPr>
  </w:style>
  <w:style w:type="paragraph" w:styleId="CommentText">
    <w:name w:val="annotation text"/>
    <w:basedOn w:val="Normal"/>
    <w:link w:val="CommentTextChar"/>
    <w:uiPriority w:val="99"/>
    <w:semiHidden/>
    <w:unhideWhenUsed/>
    <w:rsid w:val="00ED79FB"/>
    <w:rPr>
      <w:sz w:val="20"/>
    </w:rPr>
  </w:style>
  <w:style w:type="character" w:customStyle="1" w:styleId="CommentTextChar">
    <w:name w:val="Comment Text Char"/>
    <w:basedOn w:val="DefaultParagraphFont"/>
    <w:link w:val="CommentText"/>
    <w:uiPriority w:val="99"/>
    <w:semiHidden/>
    <w:rsid w:val="00ED79FB"/>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D79FB"/>
    <w:rPr>
      <w:b/>
      <w:bCs/>
    </w:rPr>
  </w:style>
  <w:style w:type="character" w:customStyle="1" w:styleId="CommentSubjectChar">
    <w:name w:val="Comment Subject Char"/>
    <w:basedOn w:val="CommentTextChar"/>
    <w:link w:val="CommentSubject"/>
    <w:uiPriority w:val="99"/>
    <w:semiHidden/>
    <w:rsid w:val="00ED79FB"/>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ED79F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FB"/>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8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r.gov.uk/rail/economic-regulation/regulation-of-network-rail/price-controls/periodic-review-2018/publications/final-determina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rr.gov.uk/__data/assets/pdf_file/0019/39313/pr18-final-determination-scorecards-and-requirements.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FF5A7-E247-4A95-B7AD-95EBD277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5133</Words>
  <Characters>29264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8</cp:revision>
  <dcterms:created xsi:type="dcterms:W3CDTF">2020-07-30T08:12:00Z</dcterms:created>
  <dcterms:modified xsi:type="dcterms:W3CDTF">2020-08-04T10:52:00Z</dcterms:modified>
</cp:coreProperties>
</file>