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2" w:firstLine="0"/>
        <w:rPr>
          <w:color w:val="000000"/>
        </w:rPr>
      </w:pPr>
      <w:bookmarkStart w:colFirst="0" w:colLast="0" w:name="_heading=h.gjdgxs" w:id="0"/>
      <w:bookmarkEnd w:id="0"/>
      <w:r w:rsidDel="00000000" w:rsidR="00000000" w:rsidRPr="00000000">
        <w:rPr>
          <w:color w:val="000000"/>
        </w:rPr>
        <w:drawing>
          <wp:inline distB="0" distT="0" distL="0" distR="0">
            <wp:extent cx="5850888" cy="1752374"/>
            <wp:effectExtent b="0" l="0" r="0" t="0"/>
            <wp:docPr descr="C:\Users\richard.attwood\AppData\Local\Microsoft\Windows\INetCache\Content.MSO\8DD461F2.tmp" id="3"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Rule="auto"/>
        <w:ind w:left="7" w:firstLine="0"/>
        <w:jc w:val="center"/>
        <w:rPr>
          <w:b w:val="1"/>
          <w:color w:val="000000"/>
          <w:sz w:val="24"/>
          <w:szCs w:val="24"/>
          <w:u w:val="single"/>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SGG G157 Attachment 5 – Financial Viability Risk Assessment Instructions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1"/>
        <w:tblW w:w="7513.0" w:type="dxa"/>
        <w:jc w:val="center"/>
        <w:tblLayout w:type="fixed"/>
        <w:tblLook w:val="0000"/>
      </w:tblPr>
      <w:tblGrid>
        <w:gridCol w:w="2552"/>
        <w:gridCol w:w="1951"/>
        <w:gridCol w:w="3010"/>
        <w:tblGridChange w:id="0">
          <w:tblGrid>
            <w:gridCol w:w="2552"/>
            <w:gridCol w:w="1951"/>
            <w:gridCol w:w="3010"/>
          </w:tblGrid>
        </w:tblGridChange>
      </w:tblGrid>
      <w:tr>
        <w:trPr>
          <w:cantSplit w:val="0"/>
          <w:trHeight w:val="430" w:hRule="atLeast"/>
          <w:tblHeader w:val="0"/>
        </w:trPr>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6">
            <w:pPr>
              <w:spacing w:before="240" w:lineRule="auto"/>
              <w:jc w:val="center"/>
              <w:rPr/>
            </w:pPr>
            <w:r w:rsidDel="00000000" w:rsidR="00000000" w:rsidRPr="00000000">
              <w:rPr>
                <w:b w:val="1"/>
                <w:color w:val="000000"/>
                <w:rtl w:val="0"/>
              </w:rPr>
              <w:t xml:space="preserve">Version / Update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7">
            <w:pPr>
              <w:spacing w:before="240" w:lineRule="auto"/>
              <w:jc w:val="center"/>
              <w:rPr/>
            </w:pPr>
            <w:r w:rsidDel="00000000" w:rsidR="00000000" w:rsidRPr="00000000">
              <w:rPr>
                <w:b w:val="1"/>
                <w:color w:val="00000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8">
            <w:pPr>
              <w:spacing w:before="240" w:lineRule="auto"/>
              <w:jc w:val="center"/>
              <w:rPr/>
            </w:pPr>
            <w:r w:rsidDel="00000000" w:rsidR="00000000" w:rsidRPr="00000000">
              <w:rPr>
                <w:b w:val="1"/>
                <w:color w:val="000000"/>
                <w:rtl w:val="0"/>
              </w:rPr>
              <w:t xml:space="preserve">Owner</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9">
            <w:pPr>
              <w:spacing w:before="240" w:lineRule="auto"/>
              <w:jc w:val="center"/>
              <w:rPr>
                <w:b w:val="1"/>
                <w:color w:val="000000"/>
              </w:rPr>
            </w:pPr>
            <w:r w:rsidDel="00000000" w:rsidR="00000000" w:rsidRPr="00000000">
              <w:rPr>
                <w:b w:val="1"/>
                <w:color w:val="000000"/>
                <w:rtl w:val="0"/>
              </w:rPr>
              <w:t xml:space="preserve">v3.0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A">
            <w:pPr>
              <w:spacing w:before="240" w:lineRule="auto"/>
              <w:jc w:val="center"/>
              <w:rPr>
                <w:b w:val="1"/>
                <w:color w:val="000000"/>
              </w:rPr>
            </w:pPr>
            <w:r w:rsidDel="00000000" w:rsidR="00000000" w:rsidRPr="00000000">
              <w:rPr>
                <w:b w:val="1"/>
                <w:color w:val="000000"/>
                <w:rtl w:val="0"/>
              </w:rPr>
              <w:t xml:space="preserve"> 06/09/2023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B">
            <w:pPr>
              <w:spacing w:before="240" w:lineRule="auto"/>
              <w:jc w:val="center"/>
              <w:rPr>
                <w:b w:val="1"/>
                <w:color w:val="000000"/>
              </w:rPr>
            </w:pPr>
            <w:r w:rsidDel="00000000" w:rsidR="00000000" w:rsidRPr="00000000">
              <w:rPr>
                <w:b w:val="1"/>
                <w:color w:val="000000"/>
                <w:rtl w:val="0"/>
              </w:rPr>
              <w:t xml:space="preserve">Cheryl Begbie </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C">
            <w:pPr>
              <w:spacing w:before="240" w:lineRule="auto"/>
              <w:jc w:val="center"/>
              <w:rPr>
                <w:b w:val="1"/>
              </w:rPr>
            </w:pPr>
            <w:r w:rsidDel="00000000" w:rsidR="00000000" w:rsidRPr="00000000">
              <w:rPr>
                <w:b w:val="1"/>
                <w:rtl w:val="0"/>
              </w:rPr>
              <w:t xml:space="preserve">v4.0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D">
            <w:pPr>
              <w:spacing w:before="240" w:lineRule="auto"/>
              <w:jc w:val="center"/>
              <w:rPr>
                <w:b w:val="1"/>
              </w:rPr>
            </w:pPr>
            <w:r w:rsidDel="00000000" w:rsidR="00000000" w:rsidRPr="00000000">
              <w:rPr>
                <w:b w:val="1"/>
                <w:rtl w:val="0"/>
              </w:rPr>
              <w:t xml:space="preserve">17/01/2024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E">
            <w:pPr>
              <w:spacing w:before="240" w:lineRule="auto"/>
              <w:jc w:val="center"/>
              <w:rPr>
                <w:b w:val="1"/>
              </w:rPr>
            </w:pPr>
            <w:r w:rsidDel="00000000" w:rsidR="00000000" w:rsidRPr="00000000">
              <w:rPr>
                <w:b w:val="1"/>
                <w:rtl w:val="0"/>
              </w:rPr>
              <w:t xml:space="preserve">Paul Ellis</w:t>
            </w:r>
          </w:p>
        </w:tc>
      </w:tr>
    </w:tbl>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0">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75" w:lineRule="auto"/>
        <w:ind w:left="5" w:right="492" w:firstLine="18"/>
        <w:rPr>
          <w:color w:val="000000"/>
        </w:rPr>
      </w:pPr>
      <w:r w:rsidDel="00000000" w:rsidR="00000000" w:rsidRPr="00000000">
        <w:rPr>
          <w:color w:val="000000"/>
          <w:sz w:val="24"/>
          <w:szCs w:val="24"/>
          <w:rtl w:val="0"/>
        </w:rPr>
        <w:t xml:space="preserve">In this attachment and Attachment 5a </w:t>
      </w:r>
      <w:r w:rsidDel="00000000" w:rsidR="00000000" w:rsidRPr="00000000">
        <w:rPr>
          <w:color w:val="000000"/>
          <w:sz w:val="24"/>
          <w:szCs w:val="24"/>
          <w:rtl w:val="0"/>
        </w:rPr>
        <w:t xml:space="preserve">RM</w:t>
      </w:r>
      <w:r w:rsidDel="00000000" w:rsidR="00000000" w:rsidRPr="00000000">
        <w:rPr>
          <w:sz w:val="24"/>
          <w:szCs w:val="24"/>
          <w:rtl w:val="0"/>
        </w:rPr>
        <w:t xml:space="preserve">6342</w:t>
      </w:r>
      <w:r w:rsidDel="00000000" w:rsidR="00000000" w:rsidRPr="00000000">
        <w:rPr>
          <w:color w:val="000000"/>
          <w:sz w:val="24"/>
          <w:szCs w:val="24"/>
          <w:rtl w:val="0"/>
        </w:rPr>
        <w:t xml:space="preserve"> 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3">
      <w:pPr>
        <w:widowControl w:val="0"/>
        <w:spacing w:before="175" w:lineRule="auto"/>
        <w:ind w:left="5" w:right="492" w:firstLine="18"/>
        <w:rPr>
          <w:sz w:val="24"/>
          <w:szCs w:val="24"/>
        </w:rPr>
      </w:pPr>
      <w:r w:rsidDel="00000000" w:rsidR="00000000" w:rsidRPr="00000000">
        <w:rPr>
          <w:rtl w:val="0"/>
        </w:rPr>
      </w:r>
    </w:p>
    <w:tbl>
      <w:tblPr>
        <w:tblStyle w:val="Table2"/>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rPr/>
            </w:pPr>
            <w:r w:rsidDel="00000000" w:rsidR="00000000" w:rsidRPr="00000000">
              <w:rPr>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rPr/>
            </w:pPr>
            <w:r w:rsidDel="00000000" w:rsidR="00000000" w:rsidRPr="00000000">
              <w:rPr>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rPr/>
            </w:pPr>
            <w:r w:rsidDel="00000000" w:rsidR="00000000" w:rsidRPr="00000000">
              <w:rPr>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rPr/>
            </w:pPr>
            <w:r w:rsidDel="00000000" w:rsidR="00000000" w:rsidRPr="00000000">
              <w:rPr>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rPr/>
            </w:pPr>
            <w:r w:rsidDel="00000000" w:rsidR="00000000" w:rsidRPr="00000000">
              <w:rPr>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1A">
            <w:pPr>
              <w:widowControl w:val="0"/>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rPr/>
            </w:pPr>
            <w:r w:rsidDel="00000000" w:rsidR="00000000" w:rsidRPr="00000000">
              <w:rPr>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rPr>
                <w:sz w:val="24"/>
                <w:szCs w:val="24"/>
              </w:rPr>
            </w:pPr>
            <w:r w:rsidDel="00000000" w:rsidR="00000000" w:rsidRPr="00000000">
              <w:rPr>
                <w:sz w:val="24"/>
                <w:szCs w:val="24"/>
                <w:rtl w:val="0"/>
              </w:rPr>
              <w:t xml:space="preserve">Meaning: </w:t>
            </w:r>
          </w:p>
          <w:p w:rsidR="00000000" w:rsidDel="00000000" w:rsidP="00000000" w:rsidRDefault="00000000" w:rsidRPr="00000000" w14:paraId="0000001D">
            <w:pPr>
              <w:widowControl w:val="0"/>
              <w:rPr/>
            </w:pPr>
            <w:bookmarkStart w:colFirst="0" w:colLast="0" w:name="_heading=h.3znysh7" w:id="1"/>
            <w:bookmarkEnd w:id="1"/>
            <w:hyperlink r:id="rId8">
              <w:r w:rsidDel="00000000" w:rsidR="00000000" w:rsidRPr="00000000">
                <w:rPr>
                  <w:color w:val="0563c1"/>
                  <w:sz w:val="24"/>
                  <w:szCs w:val="24"/>
                  <w:u w:val="single"/>
                  <w:rtl w:val="0"/>
                </w:rPr>
                <w:t xml:space="preserve">Assessing and Monitoring the Economic and Financial Standing of Bidders and Suppliers document </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rPr/>
            </w:pPr>
            <w:r w:rsidDel="00000000" w:rsidR="00000000" w:rsidRPr="00000000">
              <w:rPr>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0">
            <w:pPr>
              <w:widowControl w:val="0"/>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21">
            <w:pPr>
              <w:widowControl w:val="0"/>
              <w:rPr>
                <w:sz w:val="24"/>
                <w:szCs w:val="24"/>
              </w:rPr>
            </w:pPr>
            <w:r w:rsidDel="00000000" w:rsidR="00000000" w:rsidRPr="00000000">
              <w:rPr>
                <w:rtl w:val="0"/>
              </w:rPr>
            </w:r>
          </w:p>
          <w:p w:rsidR="00000000" w:rsidDel="00000000" w:rsidP="00000000" w:rsidRDefault="00000000" w:rsidRPr="00000000" w14:paraId="00000022">
            <w:pPr>
              <w:widowControl w:val="0"/>
              <w:rPr/>
            </w:pPr>
            <w:hyperlink r:id="rId9">
              <w:r w:rsidDel="00000000" w:rsidR="00000000" w:rsidRPr="00000000">
                <w:rPr>
                  <w:color w:val="0563c1"/>
                  <w:sz w:val="24"/>
                  <w:szCs w:val="24"/>
                  <w:u w:val="single"/>
                  <w:rtl w:val="0"/>
                </w:rPr>
                <w:t xml:space="preserve">The Sourcing Playbook</w:t>
              </w:r>
            </w:hyperlink>
            <w:r w:rsidDel="00000000" w:rsidR="00000000" w:rsidRPr="00000000">
              <w:rPr>
                <w:rtl w:val="0"/>
              </w:rPr>
            </w:r>
          </w:p>
        </w:tc>
      </w:tr>
    </w:tbl>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5" w:lineRule="auto"/>
        <w:ind w:left="5" w:right="492" w:firstLine="18"/>
        <w:rPr>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5" w:lineRule="auto"/>
        <w:ind w:left="5" w:right="492" w:firstLine="18"/>
        <w:rPr>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75" w:lineRule="auto"/>
        <w:ind w:left="5" w:right="492" w:firstLine="18"/>
        <w:rPr>
          <w:sz w:val="24"/>
          <w:szCs w:val="24"/>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75" w:lineRule="auto"/>
        <w:ind w:left="5" w:right="492" w:firstLine="18"/>
        <w:rPr>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75" w:lineRule="auto"/>
        <w:ind w:left="5" w:right="492" w:firstLine="18"/>
        <w:rPr>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825" w:lineRule="auto"/>
        <w:rPr>
          <w:color w:val="000000"/>
          <w:sz w:val="24"/>
          <w:szCs w:val="24"/>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825" w:lineRule="auto"/>
        <w:rPr>
          <w:color w:val="000000"/>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28" w:lineRule="auto"/>
        <w:rPr>
          <w:color w:val="000000"/>
        </w:rPr>
      </w:pPr>
      <w:r w:rsidDel="00000000" w:rsidR="00000000" w:rsidRPr="00000000">
        <w:rPr>
          <w:color w:val="000000"/>
          <w:sz w:val="24"/>
          <w:szCs w:val="24"/>
          <w:rtl w:val="0"/>
        </w:rPr>
        <w:t xml:space="preserve">CCS has adapted the Cabinet Office’s Financial Viability Risk Assessment (FVRA) Tool </w:t>
      </w:r>
      <w:r w:rsidDel="00000000" w:rsidR="00000000" w:rsidRPr="00000000">
        <w:rPr>
          <w:color w:val="000000"/>
          <w:sz w:val="24"/>
          <w:szCs w:val="24"/>
          <w:rtl w:val="0"/>
        </w:rPr>
        <w:t xml:space="preserve">(version 4.3.1)</w:t>
      </w:r>
      <w:r w:rsidDel="00000000" w:rsidR="00000000" w:rsidRPr="00000000">
        <w:rPr>
          <w:color w:val="000000"/>
          <w:sz w:val="24"/>
          <w:szCs w:val="24"/>
          <w:rtl w:val="0"/>
        </w:rPr>
        <w:t xml:space="preserve"> as the basis to conduct a financial assessment on all Bids. The R</w:t>
      </w:r>
      <w:r w:rsidDel="00000000" w:rsidR="00000000" w:rsidRPr="00000000">
        <w:rPr>
          <w:sz w:val="24"/>
          <w:szCs w:val="24"/>
          <w:rtl w:val="0"/>
        </w:rPr>
        <w:t xml:space="preserve">M6342 Travel, Transport, Accommodation &amp; Venue Solutions </w:t>
      </w:r>
      <w:r w:rsidDel="00000000" w:rsidR="00000000" w:rsidRPr="00000000">
        <w:rPr>
          <w:color w:val="000000"/>
          <w:sz w:val="24"/>
          <w:szCs w:val="24"/>
          <w:rtl w:val="0"/>
        </w:rPr>
        <w:t xml:space="preserve">FVRA 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69" w:lineRule="auto"/>
        <w:ind w:left="23" w:right="363" w:hanging="3.0000000000000004"/>
        <w:rPr>
          <w:sz w:val="24"/>
          <w:szCs w:val="24"/>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 – Financial Viability Risk Assessment Tool.</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69" w:lineRule="auto"/>
        <w:ind w:left="23" w:right="363" w:hanging="3.0000000000000004"/>
        <w:rPr>
          <w:color w:val="0563c1"/>
          <w:sz w:val="24"/>
          <w:szCs w:val="24"/>
          <w:u w:val="single"/>
        </w:rPr>
      </w:pPr>
      <w:r w:rsidDel="00000000" w:rsidR="00000000" w:rsidRPr="00000000">
        <w:rPr>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June 2023 Guidance Note </w:t>
      </w:r>
      <w:hyperlink r:id="rId10">
        <w:r w:rsidDel="00000000" w:rsidR="00000000" w:rsidRPr="00000000">
          <w:rPr>
            <w:color w:val="0563c1"/>
            <w:sz w:val="24"/>
            <w:szCs w:val="24"/>
            <w:u w:val="single"/>
            <w:rtl w:val="0"/>
          </w:rPr>
          <w:t xml:space="preserve">‘Assessing and Monitoring the Economic and Financial Standing of Bidders and Suppliers’</w:t>
        </w:r>
      </w:hyperlink>
      <w:r w:rsidDel="00000000" w:rsidR="00000000" w:rsidRPr="00000000">
        <w:rPr>
          <w:sz w:val="24"/>
          <w:szCs w:val="24"/>
          <w:rtl w:val="0"/>
        </w:rPr>
        <w:t xml:space="preserve"> (hereafter referred to as ‘The Guidance Note’).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65" w:lineRule="auto"/>
        <w:ind w:left="5" w:right="532" w:firstLine="8"/>
        <w:rPr>
          <w:color w:val="000000"/>
        </w:rPr>
      </w:pPr>
      <w:r w:rsidDel="00000000" w:rsidR="00000000" w:rsidRPr="00000000">
        <w:rPr>
          <w:sz w:val="24"/>
          <w:szCs w:val="24"/>
          <w:rtl w:val="0"/>
        </w:rPr>
        <w:t xml:space="preserve">RM6342 Travel, Transport, Accommodation &amp; Venue Solutions </w:t>
      </w:r>
      <w:r w:rsidDel="00000000" w:rsidR="00000000" w:rsidRPr="00000000">
        <w:rPr>
          <w:color w:val="000000"/>
          <w:sz w:val="24"/>
          <w:szCs w:val="24"/>
          <w:rtl w:val="0"/>
        </w:rPr>
        <w:t xml:space="preserve">has been classified as a </w:t>
      </w: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contract, via the Contract Tiering Tool. All Bidders tendering for this framework are required to complete Attachment 5a - Financial Viability Assessment Tool and upload it to Part 1.25 of Attachment 2a Selection Questionnaire in the eSourcing suite. </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67" w:lineRule="auto"/>
        <w:ind w:left="5" w:right="323" w:firstLine="0"/>
        <w:rPr>
          <w:color w:val="000000"/>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color w:val="000000"/>
          <w:sz w:val="24"/>
          <w:szCs w:val="24"/>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0" w:lineRule="auto"/>
        <w:ind w:left="18" w:right="759" w:firstLine="4.000000000000002"/>
        <w:rPr>
          <w:b w:val="1"/>
          <w:color w:val="000000"/>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34">
      <w:pPr>
        <w:pageBreakBefore w:val="1"/>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83" w:lineRule="auto"/>
        <w:ind w:left="20" w:right="114" w:firstLine="0"/>
        <w:rPr>
          <w:color w:val="000000"/>
        </w:rPr>
      </w:pPr>
      <w:r w:rsidDel="00000000" w:rsidR="00000000" w:rsidRPr="00000000">
        <w:rPr>
          <w:color w:val="000000"/>
          <w:sz w:val="24"/>
          <w:szCs w:val="24"/>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66" w:lineRule="auto"/>
        <w:ind w:left="5" w:right="331" w:firstLine="18"/>
        <w:rPr>
          <w:color w:val="000000"/>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color w:val="000000"/>
          <w:sz w:val="24"/>
          <w:szCs w:val="24"/>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spacing w:before="166" w:lineRule="auto"/>
        <w:ind w:left="720" w:right="331" w:hanging="360"/>
        <w:rPr/>
      </w:pPr>
      <w:r w:rsidDel="00000000" w:rsidR="00000000" w:rsidRPr="00000000">
        <w:rPr>
          <w:color w:val="000000"/>
          <w:sz w:val="24"/>
          <w:szCs w:val="24"/>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ind w:left="720" w:right="331" w:hanging="360"/>
        <w:rPr/>
      </w:pPr>
      <w:r w:rsidDel="00000000" w:rsidR="00000000" w:rsidRPr="00000000">
        <w:rPr>
          <w:color w:val="000000"/>
          <w:sz w:val="24"/>
          <w:szCs w:val="24"/>
          <w:rtl w:val="0"/>
        </w:rPr>
        <w:t xml:space="preserve">1.1b Lead financial Input - only complete if you are Not for Profit/ Voluntary Organisation</w:t>
      </w:r>
      <w:r w:rsidDel="00000000" w:rsidR="00000000" w:rsidRPr="00000000">
        <w:rPr>
          <w:color w:val="000000"/>
          <w:sz w:val="24"/>
          <w:szCs w:val="24"/>
          <w:highlight w:val="yellow"/>
          <w:rtl w:val="0"/>
        </w:rPr>
        <w:br w:type="textWrapping"/>
      </w:r>
      <w:r w:rsidDel="00000000" w:rsidR="00000000" w:rsidRPr="00000000">
        <w:rPr>
          <w:rtl w:val="0"/>
        </w:rPr>
      </w:r>
    </w:p>
    <w:p w:rsidR="00000000" w:rsidDel="00000000" w:rsidP="00000000" w:rsidRDefault="00000000" w:rsidRPr="00000000" w14:paraId="0000003A">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28"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3C">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563c1"/>
          <w:sz w:val="24"/>
          <w:szCs w:val="24"/>
          <w:u w:val="single"/>
          <w:rtl w:val="0"/>
        </w:rPr>
        <w:t xml:space="preserve">https://www.legislation.gov.uk/uksi/2015/102/regulation/60/made</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7"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F">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Bidders should complete all tabs in line with the instruction found within the Bidder instructions tab of the RM</w:t>
      </w:r>
      <w:r w:rsidDel="00000000" w:rsidR="00000000" w:rsidRPr="00000000">
        <w:rPr>
          <w:sz w:val="24"/>
          <w:szCs w:val="24"/>
          <w:rtl w:val="0"/>
        </w:rPr>
        <w:t xml:space="preserve">6342</w:t>
      </w:r>
      <w:r w:rsidDel="00000000" w:rsidR="00000000" w:rsidRPr="00000000">
        <w:rPr>
          <w:color w:val="000000"/>
          <w:sz w:val="24"/>
          <w:szCs w:val="24"/>
          <w:rtl w:val="0"/>
        </w:rPr>
        <w:t xml:space="preserve"> Financial Viability Risk Assessment Tool</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41">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43">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44">
      <w:pPr>
        <w:widowControl w:val="0"/>
        <w:numPr>
          <w:ilvl w:val="0"/>
          <w:numId w:val="2"/>
        </w:numPr>
        <w:pBdr>
          <w:top w:space="0" w:sz="0" w:val="nil"/>
          <w:left w:space="0" w:sz="0" w:val="nil"/>
          <w:bottom w:space="0" w:sz="0" w:val="nil"/>
          <w:right w:space="0" w:sz="0" w:val="nil"/>
          <w:between w:space="0" w:sz="0" w:val="nil"/>
        </w:pBdr>
        <w:ind w:left="720" w:right="544" w:hanging="36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45">
      <w:pPr>
        <w:widowControl w:val="0"/>
        <w:numPr>
          <w:ilvl w:val="2"/>
          <w:numId w:val="2"/>
        </w:numPr>
        <w:pBdr>
          <w:top w:space="0" w:sz="0" w:val="nil"/>
          <w:left w:space="0" w:sz="0" w:val="nil"/>
          <w:bottom w:space="0" w:sz="0" w:val="nil"/>
          <w:right w:space="0" w:sz="0" w:val="nil"/>
          <w:between w:space="0" w:sz="0" w:val="nil"/>
        </w:pBdr>
        <w:ind w:left="2160" w:right="445"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46">
      <w:pPr>
        <w:widowControl w:val="0"/>
        <w:numPr>
          <w:ilvl w:val="2"/>
          <w:numId w:val="2"/>
        </w:numPr>
        <w:pBdr>
          <w:top w:space="0" w:sz="0" w:val="nil"/>
          <w:left w:space="0" w:sz="0" w:val="nil"/>
          <w:bottom w:space="0" w:sz="0" w:val="nil"/>
          <w:right w:space="0" w:sz="0" w:val="nil"/>
          <w:between w:space="0" w:sz="0" w:val="nil"/>
        </w:pBdr>
        <w:ind w:left="2160" w:right="128"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47">
      <w:pPr>
        <w:widowControl w:val="0"/>
        <w:numPr>
          <w:ilvl w:val="0"/>
          <w:numId w:val="2"/>
        </w:numPr>
        <w:pBdr>
          <w:top w:space="0" w:sz="0" w:val="nil"/>
          <w:left w:space="0" w:sz="0" w:val="nil"/>
          <w:bottom w:space="0" w:sz="0" w:val="nil"/>
          <w:right w:space="0" w:sz="0" w:val="nil"/>
          <w:between w:space="0" w:sz="0" w:val="nil"/>
        </w:pBdr>
        <w:ind w:left="720" w:right="278" w:hanging="36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48">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49">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4A">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4B">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C">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D">
      <w:pPr>
        <w:widowControl w:val="0"/>
        <w:numPr>
          <w:ilvl w:val="0"/>
          <w:numId w:val="2"/>
        </w:numPr>
        <w:pBdr>
          <w:top w:space="0" w:sz="0" w:val="nil"/>
          <w:left w:space="0" w:sz="0" w:val="nil"/>
          <w:bottom w:space="0" w:sz="0" w:val="nil"/>
          <w:right w:space="0" w:sz="0" w:val="nil"/>
          <w:between w:space="0" w:sz="0" w:val="nil"/>
        </w:pBdr>
        <w:ind w:left="720" w:right="227" w:hanging="360"/>
        <w:rPr/>
      </w:pPr>
      <w:bookmarkStart w:colFirst="0" w:colLast="0" w:name="_heading=h.1fob9te" w:id="2"/>
      <w:bookmarkEnd w:id="2"/>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F">
      <w:pPr>
        <w:widowControl w:val="0"/>
        <w:numPr>
          <w:ilvl w:val="1"/>
          <w:numId w:val="2"/>
        </w:numPr>
        <w:pBdr>
          <w:top w:space="0" w:sz="0" w:val="nil"/>
          <w:left w:space="0" w:sz="0" w:val="nil"/>
          <w:bottom w:space="0" w:sz="0" w:val="nil"/>
          <w:right w:space="0" w:sz="0" w:val="nil"/>
          <w:between w:space="0" w:sz="0" w:val="nil"/>
        </w:pBdr>
        <w:ind w:left="1440" w:right="123" w:hanging="36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50">
      <w:pPr>
        <w:widowControl w:val="0"/>
        <w:numPr>
          <w:ilvl w:val="1"/>
          <w:numId w:val="2"/>
        </w:numPr>
        <w:pBdr>
          <w:top w:space="0" w:sz="0" w:val="nil"/>
          <w:left w:space="0" w:sz="0" w:val="nil"/>
          <w:bottom w:space="0" w:sz="0" w:val="nil"/>
          <w:right w:space="0" w:sz="0" w:val="nil"/>
          <w:between w:space="0" w:sz="0" w:val="nil"/>
        </w:pBdr>
        <w:ind w:left="1440" w:right="653" w:hanging="36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51">
      <w:pPr>
        <w:widowControl w:val="0"/>
        <w:numPr>
          <w:ilvl w:val="1"/>
          <w:numId w:val="2"/>
        </w:numPr>
        <w:pBdr>
          <w:top w:space="0" w:sz="0" w:val="nil"/>
          <w:left w:space="0" w:sz="0" w:val="nil"/>
          <w:bottom w:space="0" w:sz="0" w:val="nil"/>
          <w:right w:space="0" w:sz="0" w:val="nil"/>
          <w:between w:space="0" w:sz="0" w:val="nil"/>
        </w:pBdr>
        <w:ind w:left="1440" w:right="311" w:hanging="36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83" w:lineRule="auto"/>
        <w:ind w:left="730" w:right="308" w:firstLine="14.000000000000057"/>
        <w:rPr>
          <w:color w:val="000000"/>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54">
      <w:pPr>
        <w:pageBreakBefore w:val="1"/>
        <w:widowControl w:val="0"/>
        <w:pBdr>
          <w:top w:space="0" w:sz="0" w:val="nil"/>
          <w:left w:space="0" w:sz="0" w:val="nil"/>
          <w:bottom w:space="0" w:sz="0" w:val="nil"/>
          <w:right w:space="0" w:sz="0" w:val="nil"/>
          <w:between w:space="0" w:sz="0" w:val="nil"/>
        </w:pBdr>
        <w:spacing w:before="760" w:lineRule="auto"/>
        <w:ind w:left="23" w:firstLine="0"/>
        <w:rPr>
          <w:color w:val="00000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320" w:lineRule="auto"/>
        <w:ind w:left="363" w:right="201" w:hanging="336"/>
        <w:rPr>
          <w:color w:val="000000"/>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7" w:lineRule="auto"/>
        <w:ind w:left="1511" w:right="435" w:hanging="360"/>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10" w:lineRule="auto"/>
        <w:ind w:left="720" w:right="734" w:firstLine="0"/>
        <w:jc w:val="center"/>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9" w:lineRule="auto"/>
        <w:ind w:left="1513" w:right="566" w:hanging="3.0000000000001137"/>
        <w:rPr>
          <w:color w:val="000000"/>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ind w:left="363" w:right="150" w:firstLine="0"/>
        <w:rPr>
          <w:color w:val="000000"/>
          <w:sz w:val="24"/>
          <w:szCs w:val="24"/>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ind w:left="363" w:right="150" w:firstLine="0"/>
        <w:rPr>
          <w:color w:val="00000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170" w:lineRule="auto"/>
        <w:ind w:left="363" w:right="281" w:hanging="336"/>
        <w:rPr>
          <w:color w:val="000000"/>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170" w:lineRule="auto"/>
        <w:ind w:left="1508" w:right="550" w:hanging="359.00000000000006"/>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9" w:lineRule="auto"/>
        <w:ind w:left="1502" w:right="555" w:hanging="352"/>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310" w:lineRule="auto"/>
        <w:ind w:left="294" w:right="306" w:hanging="5"/>
        <w:rPr>
          <w:color w:val="000000"/>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66">
      <w:pPr>
        <w:pageBreakBefore w:val="1"/>
        <w:widowControl w:val="0"/>
        <w:pBdr>
          <w:top w:space="0" w:sz="0" w:val="nil"/>
          <w:left w:space="0" w:sz="0" w:val="nil"/>
          <w:bottom w:space="0" w:sz="0" w:val="nil"/>
          <w:right w:space="0" w:sz="0" w:val="nil"/>
          <w:between w:space="0" w:sz="0" w:val="nil"/>
        </w:pBdr>
        <w:ind w:left="6" w:firstLine="0"/>
        <w:rPr>
          <w:color w:val="00000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Risk thresholds for RM</w:t>
      </w:r>
      <w:r w:rsidDel="00000000" w:rsidR="00000000" w:rsidRPr="00000000">
        <w:rPr>
          <w:sz w:val="24"/>
          <w:szCs w:val="24"/>
          <w:rtl w:val="0"/>
        </w:rPr>
        <w:t xml:space="preserve">6342</w:t>
      </w:r>
      <w:r w:rsidDel="00000000" w:rsidR="00000000" w:rsidRPr="00000000">
        <w:rPr>
          <w:color w:val="000000"/>
          <w:sz w:val="24"/>
          <w:szCs w:val="24"/>
          <w:rtl w:val="0"/>
        </w:rPr>
        <w:t xml:space="preserve"> </w:t>
      </w:r>
      <w:r w:rsidDel="00000000" w:rsidR="00000000" w:rsidRPr="00000000">
        <w:rPr>
          <w:sz w:val="24"/>
          <w:szCs w:val="24"/>
          <w:rtl w:val="0"/>
        </w:rPr>
        <w:t xml:space="preserve">Travel, Transport, Accommodation &amp; Venue Solutions</w:t>
      </w:r>
      <w:r w:rsidDel="00000000" w:rsidR="00000000" w:rsidRPr="00000000">
        <w:rPr>
          <w:sz w:val="24"/>
          <w:szCs w:val="24"/>
          <w:highlight w:val="yellow"/>
          <w:rtl w:val="0"/>
        </w:rPr>
        <w:t xml:space="preserve"> </w:t>
      </w:r>
      <w:r w:rsidDel="00000000" w:rsidR="00000000" w:rsidRPr="00000000">
        <w:rPr>
          <w:color w:val="000000"/>
          <w:sz w:val="24"/>
          <w:szCs w:val="24"/>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RM</w:t>
            </w:r>
            <w:r w:rsidDel="00000000" w:rsidR="00000000" w:rsidRPr="00000000">
              <w:rPr>
                <w:sz w:val="20"/>
                <w:szCs w:val="20"/>
                <w:rtl w:val="0"/>
              </w:rPr>
              <w:t xml:space="preserve">6342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13.0" w:type="dxa"/>
              <w:bottom w:w="0.0" w:type="dxa"/>
              <w:right w:w="108.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center"/>
              <w:rPr>
                <w:color w:val="000000"/>
                <w:shd w:fill="b7b7b7" w:val="clear"/>
              </w:rPr>
            </w:pPr>
            <w:r w:rsidDel="00000000" w:rsidR="00000000" w:rsidRPr="00000000">
              <w:rPr>
                <w:sz w:val="20"/>
                <w:szCs w:val="20"/>
                <w:shd w:fill="b7b7b7" w:val="clea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13.0" w:type="dxa"/>
              <w:bottom w:w="0.0" w:type="dxa"/>
              <w:right w:w="108.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76" w:lineRule="auto"/>
              <w:jc w:val="center"/>
              <w:rPr>
                <w:color w:val="000000"/>
                <w:shd w:fill="b7b7b7" w:val="clear"/>
              </w:rPr>
            </w:pPr>
            <w:r w:rsidDel="00000000" w:rsidR="00000000" w:rsidRPr="00000000">
              <w:rPr>
                <w:color w:val="000000"/>
                <w:sz w:val="20"/>
                <w:szCs w:val="20"/>
                <w:shd w:fill="b7b7b7" w:val="clea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13.0" w:type="dxa"/>
              <w:bottom w:w="0.0" w:type="dxa"/>
              <w:right w:w="108.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jc w:val="center"/>
              <w:rPr>
                <w:color w:val="000000"/>
                <w:shd w:fill="b7b7b7" w:val="clear"/>
              </w:rPr>
            </w:pPr>
            <w:r w:rsidDel="00000000" w:rsidR="00000000" w:rsidRPr="00000000">
              <w:rPr>
                <w:sz w:val="20"/>
                <w:szCs w:val="20"/>
                <w:shd w:fill="b7b7b7" w:val="clea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ind w:left="122" w:firstLine="0"/>
              <w:jc w:val="center"/>
              <w:rPr>
                <w:color w:val="000000"/>
              </w:rPr>
            </w:pPr>
            <w:r w:rsidDel="00000000" w:rsidR="00000000" w:rsidRPr="00000000">
              <w:rPr>
                <w:color w:val="000000"/>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7</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13.0" w:type="dxa"/>
              <w:bottom w:w="0.0" w:type="dxa"/>
              <w:right w:w="108.0" w:type="dxa"/>
            </w:tcMar>
            <w:vAlign w:val="center"/>
          </w:tcPr>
          <w:p w:rsidR="00000000" w:rsidDel="00000000" w:rsidP="00000000" w:rsidRDefault="00000000" w:rsidRPr="00000000" w14:paraId="00000084">
            <w:pPr>
              <w:widowControl w:val="0"/>
              <w:spacing w:line="276" w:lineRule="auto"/>
              <w:jc w:val="center"/>
              <w:rPr>
                <w:shd w:fill="b7b7b7" w:val="clear"/>
              </w:rPr>
            </w:pPr>
            <w:r w:rsidDel="00000000" w:rsidR="00000000" w:rsidRPr="00000000">
              <w:rPr>
                <w:sz w:val="20"/>
                <w:szCs w:val="20"/>
                <w:shd w:fill="b7b7b7" w:val="clea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13.0" w:type="dxa"/>
              <w:bottom w:w="0.0" w:type="dxa"/>
              <w:right w:w="108.0" w:type="dxa"/>
            </w:tcMar>
            <w:vAlign w:val="center"/>
          </w:tcPr>
          <w:p w:rsidR="00000000" w:rsidDel="00000000" w:rsidP="00000000" w:rsidRDefault="00000000" w:rsidRPr="00000000" w14:paraId="00000085">
            <w:pPr>
              <w:widowControl w:val="0"/>
              <w:spacing w:line="276" w:lineRule="auto"/>
              <w:jc w:val="center"/>
              <w:rPr>
                <w:shd w:fill="b7b7b7" w:val="clear"/>
              </w:rPr>
            </w:pPr>
            <w:r w:rsidDel="00000000" w:rsidR="00000000" w:rsidRPr="00000000">
              <w:rPr>
                <w:sz w:val="20"/>
                <w:szCs w:val="20"/>
                <w:shd w:fill="b7b7b7" w:val="clea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113.0" w:type="dxa"/>
              <w:bottom w:w="0.0" w:type="dxa"/>
              <w:right w:w="108.0" w:type="dxa"/>
            </w:tcMar>
            <w:vAlign w:val="center"/>
          </w:tcPr>
          <w:p w:rsidR="00000000" w:rsidDel="00000000" w:rsidP="00000000" w:rsidRDefault="00000000" w:rsidRPr="00000000" w14:paraId="00000086">
            <w:pPr>
              <w:widowControl w:val="0"/>
              <w:spacing w:line="276" w:lineRule="auto"/>
              <w:jc w:val="center"/>
              <w:rPr>
                <w:shd w:fill="b7b7b7" w:val="clear"/>
              </w:rPr>
            </w:pPr>
            <w:r w:rsidDel="00000000" w:rsidR="00000000" w:rsidRPr="00000000">
              <w:rPr>
                <w:sz w:val="20"/>
                <w:szCs w:val="20"/>
                <w:shd w:fill="b7b7b7" w:val="clea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4.5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bl>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20" w:firstLine="0"/>
        <w:rPr>
          <w:color w:val="00000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175" w:lineRule="auto"/>
        <w:ind w:left="376" w:right="1892" w:hanging="5"/>
        <w:rPr>
          <w:sz w:val="24"/>
          <w:szCs w:val="24"/>
        </w:rPr>
      </w:pPr>
      <w:r w:rsidDel="00000000" w:rsidR="00000000" w:rsidRPr="00000000">
        <w:rPr>
          <w:color w:val="000000"/>
          <w:sz w:val="24"/>
          <w:szCs w:val="24"/>
          <w:rtl w:val="0"/>
        </w:rPr>
        <w:t xml:space="preserve">a) Sourcing Playbook thresholds have been applied as above with a couple of bespoke changes.</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175" w:lineRule="auto"/>
        <w:ind w:left="376" w:right="1892" w:hanging="5"/>
        <w:rPr>
          <w:sz w:val="24"/>
          <w:szCs w:val="24"/>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7" w:lineRule="auto"/>
        <w:ind w:left="372" w:firstLine="0"/>
        <w:rPr>
          <w:color w:val="000000"/>
        </w:rPr>
      </w:pPr>
      <w:r w:rsidDel="00000000" w:rsidR="00000000" w:rsidRPr="00000000">
        <w:rPr>
          <w:color w:val="000000"/>
          <w:sz w:val="24"/>
          <w:szCs w:val="24"/>
          <w:rtl w:val="0"/>
        </w:rPr>
        <w:t xml:space="preserve">b) 1 and 3a will not be assessed  </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B3">
      <w:pPr>
        <w:pageBreakBefore w:val="1"/>
        <w:widowControl w:val="0"/>
        <w:pBdr>
          <w:top w:space="0" w:sz="0" w:val="nil"/>
          <w:left w:space="0" w:sz="0" w:val="nil"/>
          <w:bottom w:space="0" w:sz="0" w:val="nil"/>
          <w:right w:space="0" w:sz="0" w:val="nil"/>
          <w:between w:space="0" w:sz="0" w:val="nil"/>
        </w:pBdr>
        <w:spacing w:before="310" w:lineRule="auto"/>
        <w:ind w:left="6" w:firstLine="0"/>
        <w:rPr>
          <w:color w:val="00000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ind w:left="118" w:firstLine="0"/>
              <w:rPr>
                <w:color w:val="00000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28" w:lineRule="auto"/>
              <w:ind w:left="129" w:right="184" w:firstLine="0"/>
              <w:rPr>
                <w:color w:val="00000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6" w:lineRule="auto"/>
              <w:ind w:left="122" w:firstLine="0"/>
              <w:rPr>
                <w:color w:val="00000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 your  </w:t>
            </w: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ind w:left="120" w:firstLine="0"/>
              <w:rPr>
                <w:color w:val="00000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28" w:lineRule="auto"/>
              <w:ind w:left="133" w:right="186" w:firstLine="0"/>
              <w:rPr>
                <w:color w:val="000000"/>
              </w:rPr>
            </w:pPr>
            <w:bookmarkStart w:colFirst="0" w:colLast="0" w:name="_heading=h.3znysh7" w:id="1"/>
            <w:bookmarkEnd w:id="1"/>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22" w:lineRule="auto"/>
              <w:ind w:right="281"/>
              <w:jc w:val="right"/>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w:t>
            </w: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10" w:lineRule="auto"/>
              <w:ind w:left="485" w:firstLine="0"/>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12" w:lineRule="auto"/>
              <w:ind w:left="485" w:firstLine="0"/>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28" w:lineRule="auto"/>
              <w:ind w:left="128" w:right="54" w:firstLine="0"/>
              <w:rPr>
                <w:color w:val="000000"/>
              </w:rPr>
            </w:pPr>
            <w:r w:rsidDel="00000000" w:rsidR="00000000" w:rsidRPr="00000000">
              <w:rPr>
                <w:color w:val="000000"/>
                <w:sz w:val="24"/>
                <w:szCs w:val="24"/>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your  </w:t>
            </w: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2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Consortium  </w:t>
            </w: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right="696"/>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1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10"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right="695"/>
              <w:jc w:val="right"/>
              <w:rPr>
                <w:color w:val="000000"/>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consortia  </w:t>
            </w: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tbl>
      <w:tblPr>
        <w:tblStyle w:val="Table5"/>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2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ind w:right="696"/>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1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10"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ind w:right="695"/>
              <w:jc w:val="right"/>
              <w:rPr>
                <w:color w:val="000000"/>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consortium  </w:t>
            </w: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Any additional  </w:t>
            </w: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28" w:lineRule="auto"/>
        <w:ind w:right="175"/>
        <w:rPr>
          <w:color w:val="000000"/>
          <w:sz w:val="19"/>
          <w:szCs w:val="19"/>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28" w:lineRule="auto"/>
        <w:ind w:right="175"/>
        <w:rPr>
          <w:color w:val="000000"/>
        </w:rPr>
      </w:pPr>
      <w:r w:rsidDel="00000000" w:rsidR="00000000" w:rsidRPr="00000000">
        <w:rPr>
          <w:rtl w:val="0"/>
        </w:rPr>
      </w:r>
    </w:p>
    <w:sectPr>
      <w:footerReference r:id="rId11"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rPr>
        <w:sz w:val="20"/>
        <w:szCs w:val="20"/>
      </w:rPr>
    </w:pPr>
    <w:r w:rsidDel="00000000" w:rsidR="00000000" w:rsidRPr="00000000">
      <w:rPr>
        <w:sz w:val="20"/>
        <w:szCs w:val="20"/>
        <w:rtl w:val="0"/>
      </w:rPr>
      <w:t xml:space="preserve">SGG G157-Attachment 5 Financial Viability Risk Assessment Guidance v3.0</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styleId="FooterChar" w:customStyle="1">
    <w:name w:val="Footer Char"/>
    <w:basedOn w:val="DefaultParagraphFont"/>
    <w:rPr>
      <w:rFonts w:cs="Mangal"/>
      <w:szCs w:val="20"/>
    </w:rPr>
  </w:style>
  <w:style w:type="paragraph" w:styleId="NormalWeb">
    <w:name w:val="Normal (Web)"/>
    <w:basedOn w:val="Normal"/>
    <w:pPr>
      <w:suppressAutoHyphens w:val="0"/>
      <w:spacing w:after="100" w:before="100"/>
    </w:pPr>
    <w:rPr>
      <w:rFonts w:ascii="Times New Roman" w:cs="Times New Roman" w:eastAsia="Times New Roman" w:hAnsi="Times New Roman"/>
      <w:sz w:val="24"/>
      <w:szCs w:val="24"/>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assets.publishing.service.gov.uk/government/uploads/system/uploads/attachment_data/file/1163542/EFS_Guidance_Note.pdf" TargetMode="External"/><Relationship Id="rId9" Type="http://schemas.openxmlformats.org/officeDocument/2006/relationships/hyperlink" Target="https://assets.publishing.service.gov.uk/government/uploads/system/uploads/attachment_data/file/1163766/Sourcing_Playbook_Fina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1163542/EFS_Guidance_Not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Xlp3Jm2W/cFE/wZJ+oLejeDwQ==">CgMxLjAyCGguZ2pkZ3hzMgloLjN6bnlzaDcyCWguMWZvYjl0ZTIJaC4zem55c2g3OABqLAoUc3VnZ2VzdC5jYTdsb2FwMmYzaXESFFBoaWwgRGF2aWVzLVBlZXJsZXNzaiwKFHN1Z2dlc3QuODUyZ2Nya2dqaHFnEhRQaGlsIERhdmllcy1QZWVybGVzc3IhMWNSWXN1X0g3UzIyMzdWdVkxdV83NHB2Ti01RWxXQ0ls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2023-11-01T09:59:00Z</dcterms:created>
  <dc:creator>Caroline Bradshaw</dc:creator>
</cp:coreProperties>
</file>