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bookmarkStart w:id="0" w:name="_GoBack"/>
      <w:bookmarkEnd w:id="0"/>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41073BE3" w:rsidR="00A57128" w:rsidRPr="007E0083" w:rsidRDefault="00A57128" w:rsidP="00EE71A2">
      <w:pPr>
        <w:pStyle w:val="Heading1"/>
      </w:pPr>
      <w:r w:rsidRPr="007E0083">
        <w:t>Title:</w:t>
      </w:r>
      <w:r w:rsidR="003D77B0">
        <w:t xml:space="preserve"> </w:t>
      </w:r>
      <w:r w:rsidR="00992BC4" w:rsidRPr="00992BC4">
        <w:t xml:space="preserve">Process </w:t>
      </w:r>
      <w:r w:rsidR="00294F72">
        <w:t>E</w:t>
      </w:r>
      <w:r w:rsidR="00992BC4" w:rsidRPr="00992BC4">
        <w:t xml:space="preserve">valuation of </w:t>
      </w:r>
      <w:r w:rsidR="00294F72">
        <w:t>S</w:t>
      </w:r>
      <w:r w:rsidR="00992BC4" w:rsidRPr="00992BC4">
        <w:t>upport for T-level Industry Placements in 18/19</w:t>
      </w:r>
    </w:p>
    <w:p w14:paraId="2B434E3D" w14:textId="072C2706" w:rsidR="00A57128" w:rsidRPr="00C95C53" w:rsidRDefault="00A57128" w:rsidP="00C95C53">
      <w:pPr>
        <w:rPr>
          <w:b/>
        </w:rPr>
      </w:pPr>
      <w:r w:rsidRPr="00C95C53">
        <w:rPr>
          <w:b/>
        </w:rPr>
        <w:t>Project reference:</w:t>
      </w:r>
      <w:r w:rsidRPr="007E0083">
        <w:rPr>
          <w:b/>
        </w:rPr>
        <w:t xml:space="preserve"> </w:t>
      </w:r>
      <w:r w:rsidR="00B67FD6" w:rsidRPr="00B67FD6">
        <w:rPr>
          <w:b/>
        </w:rPr>
        <w:t>DFERPPU</w:t>
      </w:r>
      <w:r w:rsidR="00C95C53">
        <w:rPr>
          <w:b/>
        </w:rPr>
        <w:t xml:space="preserve"> </w:t>
      </w:r>
      <w:r w:rsidR="00C95C53" w:rsidRPr="00C95C53">
        <w:rPr>
          <w:b/>
        </w:rPr>
        <w:t>2018/074</w:t>
      </w:r>
    </w:p>
    <w:p w14:paraId="501D40E4" w14:textId="6F512346" w:rsidR="00A57128" w:rsidRPr="007E0083" w:rsidRDefault="00A57128" w:rsidP="00A57128">
      <w:pPr>
        <w:rPr>
          <w:b/>
        </w:rPr>
      </w:pPr>
      <w:r w:rsidRPr="007E0083">
        <w:rPr>
          <w:b/>
        </w:rPr>
        <w:t>Deadline for expressions of interest:</w:t>
      </w:r>
      <w:r w:rsidR="00992BC4">
        <w:rPr>
          <w:b/>
        </w:rPr>
        <w:t xml:space="preserve"> </w:t>
      </w:r>
      <w:r w:rsidR="00992BC4" w:rsidRPr="00992BC4">
        <w:rPr>
          <w:b/>
          <w:bCs/>
        </w:rPr>
        <w:t>16.11.18</w:t>
      </w:r>
    </w:p>
    <w:p w14:paraId="0CFBF484" w14:textId="184FA1CF" w:rsidR="00A57128" w:rsidRPr="001F2CE2" w:rsidRDefault="00A57128" w:rsidP="001F2CE2">
      <w:pPr>
        <w:pStyle w:val="Heading2"/>
      </w:pPr>
      <w:r w:rsidRPr="001F2CE2">
        <w:t>Summary</w:t>
      </w:r>
    </w:p>
    <w:p w14:paraId="237D87FC" w14:textId="11A57F87" w:rsidR="00A57128" w:rsidRPr="002C4629" w:rsidRDefault="00A57128" w:rsidP="002C4629">
      <w:pPr>
        <w:rPr>
          <w:szCs w:val="22"/>
        </w:rPr>
      </w:pPr>
      <w:r w:rsidRPr="003E05F9">
        <w:rPr>
          <w:szCs w:val="22"/>
        </w:rPr>
        <w:t>Expressions of interest are sought</w:t>
      </w:r>
      <w:r>
        <w:rPr>
          <w:szCs w:val="22"/>
        </w:rPr>
        <w:t xml:space="preserve"> t</w:t>
      </w:r>
      <w:r w:rsidR="00992BC4">
        <w:rPr>
          <w:szCs w:val="22"/>
        </w:rPr>
        <w:t xml:space="preserve">o undertake a process evaluation of </w:t>
      </w:r>
      <w:r w:rsidR="00992BC4" w:rsidRPr="00992BC4">
        <w:rPr>
          <w:szCs w:val="22"/>
        </w:rPr>
        <w:t>support for T-level Industry Placements in 18/19</w:t>
      </w:r>
      <w:r w:rsidR="001A58A2">
        <w:rPr>
          <w:szCs w:val="22"/>
        </w:rPr>
        <w:t xml:space="preserve">. </w:t>
      </w:r>
    </w:p>
    <w:p w14:paraId="0BF9ADD3" w14:textId="1AFEF1C9" w:rsidR="00A57128" w:rsidRDefault="00A57128" w:rsidP="001F2CE2">
      <w:pPr>
        <w:pStyle w:val="Heading2"/>
      </w:pPr>
      <w:r>
        <w:t>Background</w:t>
      </w:r>
    </w:p>
    <w:p w14:paraId="13C7A9FB" w14:textId="467DE25B" w:rsidR="002C4629" w:rsidRPr="008B7A96" w:rsidRDefault="009F5F63" w:rsidP="002C4629">
      <w:pPr>
        <w:rPr>
          <w:szCs w:val="22"/>
        </w:rPr>
      </w:pPr>
      <w:r w:rsidRPr="008B7A96">
        <w:rPr>
          <w:szCs w:val="22"/>
        </w:rPr>
        <w:t>A substantial, high-quality industry placement will be an essential part of every T Level and a requirement for a young pe</w:t>
      </w:r>
      <w:r w:rsidR="00C70B3C" w:rsidRPr="008B7A96">
        <w:rPr>
          <w:szCs w:val="22"/>
        </w:rPr>
        <w:t>rson to pass their programme. </w:t>
      </w:r>
      <w:r w:rsidR="002C4629" w:rsidRPr="008B7A96">
        <w:rPr>
          <w:szCs w:val="22"/>
        </w:rPr>
        <w:t>Industry placements are critical to ensuring that young people on predominately classroom-based courses can develop the range of knowledge, skills and behaviours required for skilled employment in their field of study and have the potential to transform the skills of young people leaving further education.</w:t>
      </w:r>
    </w:p>
    <w:p w14:paraId="418E66FD" w14:textId="31F3661F" w:rsidR="009F5F63" w:rsidRPr="008B7A96" w:rsidRDefault="002C4629" w:rsidP="009F5F63">
      <w:pPr>
        <w:rPr>
          <w:szCs w:val="22"/>
        </w:rPr>
      </w:pPr>
      <w:r w:rsidRPr="008B7A96">
        <w:rPr>
          <w:szCs w:val="22"/>
        </w:rPr>
        <w:t>The T Level industry placement was a key recommendation of the Sainsbury Panel Report and an integral part of the refor</w:t>
      </w:r>
      <w:r w:rsidR="00C70B3C" w:rsidRPr="008B7A96">
        <w:rPr>
          <w:szCs w:val="22"/>
        </w:rPr>
        <w:t xml:space="preserve">ms outlined in the Skills Plan. Industry placements will be external to the college environment; linked to the skills related to their course; and for a minimum duration of 45 working days. This is a significant change from what the sector currently offers. Ensuring that </w:t>
      </w:r>
      <w:proofErr w:type="gramStart"/>
      <w:r w:rsidR="00C70B3C" w:rsidRPr="008B7A96">
        <w:rPr>
          <w:szCs w:val="22"/>
        </w:rPr>
        <w:t>providers</w:t>
      </w:r>
      <w:proofErr w:type="gramEnd"/>
      <w:r w:rsidR="00C70B3C" w:rsidRPr="008B7A96">
        <w:rPr>
          <w:szCs w:val="22"/>
        </w:rPr>
        <w:t xml:space="preserve"> and employers can make this step change is critical to T Level delivery as the student can only secure their certificate if they have completed an industry placement.    </w:t>
      </w:r>
    </w:p>
    <w:p w14:paraId="45D01C9D" w14:textId="73784FAC" w:rsidR="0005376B" w:rsidRPr="008B7A96" w:rsidRDefault="0005376B" w:rsidP="0005376B">
      <w:pPr>
        <w:rPr>
          <w:szCs w:val="22"/>
        </w:rPr>
      </w:pPr>
      <w:r w:rsidRPr="008B7A96">
        <w:rPr>
          <w:szCs w:val="22"/>
        </w:rPr>
        <w:t xml:space="preserve">In </w:t>
      </w:r>
      <w:r w:rsidR="0044119D">
        <w:rPr>
          <w:szCs w:val="22"/>
        </w:rPr>
        <w:t>academic year</w:t>
      </w:r>
      <w:r w:rsidR="0044119D" w:rsidRPr="008B7A96">
        <w:rPr>
          <w:szCs w:val="22"/>
        </w:rPr>
        <w:t xml:space="preserve"> </w:t>
      </w:r>
      <w:r w:rsidRPr="008B7A96">
        <w:rPr>
          <w:szCs w:val="22"/>
        </w:rPr>
        <w:t xml:space="preserve">18/19, almost £60m Capacity and Delivery Funding (CDF) is going to 400 providers to help build their capacity to offer industry placements. Alongside this, </w:t>
      </w:r>
      <w:r w:rsidR="00A6118B">
        <w:rPr>
          <w:szCs w:val="22"/>
        </w:rPr>
        <w:t>DfE</w:t>
      </w:r>
      <w:r w:rsidR="00A6118B" w:rsidRPr="008B7A96">
        <w:rPr>
          <w:szCs w:val="22"/>
        </w:rPr>
        <w:t xml:space="preserve"> </w:t>
      </w:r>
      <w:r w:rsidRPr="008B7A96">
        <w:rPr>
          <w:szCs w:val="22"/>
        </w:rPr>
        <w:t>h</w:t>
      </w:r>
      <w:r w:rsidR="00A6118B">
        <w:rPr>
          <w:szCs w:val="22"/>
        </w:rPr>
        <w:t>as</w:t>
      </w:r>
      <w:r w:rsidRPr="008B7A96">
        <w:rPr>
          <w:szCs w:val="22"/>
        </w:rPr>
        <w:t xml:space="preserve"> put in place a substantial programme of support to help providers and employers. This includes: </w:t>
      </w:r>
    </w:p>
    <w:p w14:paraId="5BE682FB" w14:textId="77777777" w:rsidR="0005376B" w:rsidRPr="008B7A96" w:rsidRDefault="0005376B" w:rsidP="0005376B">
      <w:pPr>
        <w:numPr>
          <w:ilvl w:val="0"/>
          <w:numId w:val="20"/>
        </w:numPr>
        <w:rPr>
          <w:b/>
          <w:szCs w:val="22"/>
        </w:rPr>
      </w:pPr>
      <w:r w:rsidRPr="008B7A96">
        <w:rPr>
          <w:szCs w:val="22"/>
        </w:rPr>
        <w:t>Putting in place light-touch support through the ESFA field force, answering providers’ questions; signposting them to resources and processing quarterly monitoring reports;</w:t>
      </w:r>
    </w:p>
    <w:p w14:paraId="353BD01E" w14:textId="77777777" w:rsidR="0005376B" w:rsidRPr="008B7A96" w:rsidRDefault="0005376B" w:rsidP="0005376B">
      <w:pPr>
        <w:numPr>
          <w:ilvl w:val="0"/>
          <w:numId w:val="20"/>
        </w:numPr>
        <w:rPr>
          <w:b/>
          <w:szCs w:val="22"/>
        </w:rPr>
      </w:pPr>
      <w:r w:rsidRPr="008B7A96">
        <w:rPr>
          <w:szCs w:val="22"/>
        </w:rPr>
        <w:t>Investing £350k in the provision of direct, intensive support to help providers plan and deliver placements and overcome issues and deliver workshops across England to share best practice;</w:t>
      </w:r>
    </w:p>
    <w:p w14:paraId="52ABEF2E" w14:textId="77777777" w:rsidR="0005376B" w:rsidRPr="008B7A96" w:rsidRDefault="0005376B" w:rsidP="0005376B">
      <w:pPr>
        <w:numPr>
          <w:ilvl w:val="0"/>
          <w:numId w:val="20"/>
        </w:numPr>
        <w:rPr>
          <w:b/>
          <w:szCs w:val="22"/>
        </w:rPr>
      </w:pPr>
      <w:r w:rsidRPr="008B7A96">
        <w:rPr>
          <w:szCs w:val="22"/>
        </w:rPr>
        <w:lastRenderedPageBreak/>
        <w:t xml:space="preserve">Investing £5m into the National Apprenticeship Service (NAS) to offer an advice and support service to employers and develop a streamlined referral and matching service to make it easier for employers to connect with local providers; </w:t>
      </w:r>
    </w:p>
    <w:p w14:paraId="0B4C64DE" w14:textId="0A6E22A3" w:rsidR="0005376B" w:rsidRPr="008B7A96" w:rsidRDefault="0005376B" w:rsidP="0005376B">
      <w:pPr>
        <w:numPr>
          <w:ilvl w:val="0"/>
          <w:numId w:val="20"/>
        </w:numPr>
        <w:rPr>
          <w:b/>
          <w:szCs w:val="22"/>
        </w:rPr>
      </w:pPr>
      <w:r w:rsidRPr="008B7A96">
        <w:rPr>
          <w:szCs w:val="22"/>
        </w:rPr>
        <w:t xml:space="preserve">Putting in place additional bursary funding (in addition to their normal annual bursary allocation) for providers to support students to travel further to their placement and cover subsistence costs.  </w:t>
      </w:r>
    </w:p>
    <w:p w14:paraId="61A16E61" w14:textId="581502AD" w:rsidR="00674FEE" w:rsidRPr="008B7A96" w:rsidRDefault="0005376B" w:rsidP="009F5F63">
      <w:pPr>
        <w:rPr>
          <w:szCs w:val="22"/>
        </w:rPr>
      </w:pPr>
      <w:r w:rsidRPr="008B7A96">
        <w:rPr>
          <w:szCs w:val="22"/>
        </w:rPr>
        <w:t>The aim of the CDF and the associated support is to build providers</w:t>
      </w:r>
      <w:r w:rsidR="00A6118B">
        <w:rPr>
          <w:szCs w:val="22"/>
        </w:rPr>
        <w:t>’</w:t>
      </w:r>
      <w:r w:rsidRPr="008B7A96">
        <w:rPr>
          <w:szCs w:val="22"/>
        </w:rPr>
        <w:t xml:space="preserve"> capacity to deliver placements, ensure providers feel supported and confident with placement delivery, increase the number of relationships providers have with employers, increase employer understanding of what quality placements are, ensure learners are able to access placements and enable providers to deliver 10% of their vocational cohort on placements in </w:t>
      </w:r>
      <w:r w:rsidR="0044119D">
        <w:rPr>
          <w:szCs w:val="22"/>
        </w:rPr>
        <w:t>academic year</w:t>
      </w:r>
      <w:r w:rsidR="0044119D" w:rsidRPr="008B7A96">
        <w:rPr>
          <w:szCs w:val="22"/>
        </w:rPr>
        <w:t xml:space="preserve"> </w:t>
      </w:r>
      <w:r w:rsidRPr="008B7A96">
        <w:rPr>
          <w:szCs w:val="22"/>
        </w:rPr>
        <w:t>18/19.</w:t>
      </w:r>
    </w:p>
    <w:p w14:paraId="2DA3BB87" w14:textId="3728CB5C" w:rsidR="00A57128" w:rsidRDefault="00A57128" w:rsidP="001F2CE2">
      <w:pPr>
        <w:pStyle w:val="Heading2"/>
      </w:pPr>
      <w:r w:rsidRPr="003E05F9">
        <w:t>Evaluation aims</w:t>
      </w:r>
    </w:p>
    <w:p w14:paraId="667021DE" w14:textId="3CAE7D54" w:rsidR="00977056" w:rsidRPr="008B7A96" w:rsidRDefault="00F10B92" w:rsidP="00977056">
      <w:pPr>
        <w:rPr>
          <w:rFonts w:eastAsia="Calibri" w:cs="Arial"/>
          <w:szCs w:val="22"/>
        </w:rPr>
      </w:pPr>
      <w:r w:rsidRPr="008B7A96">
        <w:rPr>
          <w:rFonts w:cs="Arial"/>
          <w:szCs w:val="22"/>
        </w:rPr>
        <w:t xml:space="preserve">The purpose of this process evaluation is to </w:t>
      </w:r>
      <w:r w:rsidR="00FB6494" w:rsidRPr="008B7A96">
        <w:rPr>
          <w:rFonts w:cs="Arial"/>
          <w:szCs w:val="22"/>
        </w:rPr>
        <w:t xml:space="preserve">understand if the CDF is being implemented and used by providers and employers to plan, design and implement work placements as intended and whether the approach </w:t>
      </w:r>
      <w:r w:rsidR="00547150" w:rsidRPr="008B7A96">
        <w:rPr>
          <w:rFonts w:cs="Arial"/>
          <w:szCs w:val="22"/>
        </w:rPr>
        <w:t xml:space="preserve">needs to be adjusted. </w:t>
      </w:r>
      <w:r w:rsidR="00D84114" w:rsidRPr="008B7A96">
        <w:rPr>
          <w:rFonts w:eastAsia="Calibri" w:cs="Arial"/>
          <w:szCs w:val="22"/>
        </w:rPr>
        <w:t>This evaluation will</w:t>
      </w:r>
      <w:r w:rsidR="00BB0886" w:rsidRPr="008B7A96">
        <w:rPr>
          <w:rFonts w:eastAsia="Calibri" w:cs="Arial"/>
          <w:szCs w:val="22"/>
        </w:rPr>
        <w:t xml:space="preserve"> also</w:t>
      </w:r>
      <w:r w:rsidR="00D84114" w:rsidRPr="008B7A96">
        <w:rPr>
          <w:rFonts w:eastAsia="Calibri" w:cs="Arial"/>
          <w:szCs w:val="22"/>
        </w:rPr>
        <w:t xml:space="preserve"> provide an understanding of how the current Industry </w:t>
      </w:r>
      <w:r w:rsidR="00BB0886" w:rsidRPr="008B7A96">
        <w:rPr>
          <w:rFonts w:eastAsia="Calibri" w:cs="Arial"/>
          <w:szCs w:val="22"/>
        </w:rPr>
        <w:t>Placements policy works</w:t>
      </w:r>
      <w:r w:rsidR="00D84114" w:rsidRPr="008B7A96">
        <w:rPr>
          <w:rFonts w:eastAsia="Calibri" w:cs="Arial"/>
          <w:szCs w:val="22"/>
        </w:rPr>
        <w:t>, the key challenges of implementing placements within different contexts (location, industry/route, employer size), and whether any flexibilities in the policy should be considered.</w:t>
      </w:r>
      <w:r w:rsidR="00BB0886" w:rsidRPr="008B7A96">
        <w:rPr>
          <w:rFonts w:eastAsia="Calibri" w:cs="Arial"/>
          <w:szCs w:val="22"/>
        </w:rPr>
        <w:t xml:space="preserve"> In</w:t>
      </w:r>
      <w:r w:rsidR="000F5279" w:rsidRPr="008B7A96">
        <w:rPr>
          <w:rFonts w:eastAsia="Calibri" w:cs="Arial"/>
          <w:szCs w:val="22"/>
        </w:rPr>
        <w:t xml:space="preserve"> particular, we </w:t>
      </w:r>
      <w:r w:rsidR="003A528A" w:rsidRPr="008B7A96">
        <w:rPr>
          <w:rFonts w:eastAsia="Calibri" w:cs="Arial"/>
          <w:szCs w:val="22"/>
        </w:rPr>
        <w:t>anticipate</w:t>
      </w:r>
      <w:r w:rsidR="00FE7785" w:rsidRPr="008B7A96">
        <w:rPr>
          <w:rFonts w:eastAsia="Calibri" w:cs="Arial"/>
          <w:szCs w:val="22"/>
        </w:rPr>
        <w:t xml:space="preserve"> </w:t>
      </w:r>
      <w:r w:rsidR="000F5279" w:rsidRPr="008B7A96">
        <w:rPr>
          <w:rFonts w:eastAsia="Calibri" w:cs="Arial"/>
          <w:szCs w:val="22"/>
        </w:rPr>
        <w:t xml:space="preserve">research questions to include but not </w:t>
      </w:r>
      <w:r w:rsidR="00FE7785" w:rsidRPr="008B7A96">
        <w:rPr>
          <w:rFonts w:eastAsia="Calibri" w:cs="Arial"/>
          <w:szCs w:val="22"/>
        </w:rPr>
        <w:t>l</w:t>
      </w:r>
      <w:r w:rsidR="000F5279" w:rsidRPr="008B7A96">
        <w:rPr>
          <w:rFonts w:eastAsia="Calibri" w:cs="Arial"/>
          <w:szCs w:val="22"/>
        </w:rPr>
        <w:t>imited to</w:t>
      </w:r>
      <w:r w:rsidR="00BB0886" w:rsidRPr="008B7A96">
        <w:rPr>
          <w:rFonts w:eastAsia="Calibri" w:cs="Arial"/>
          <w:szCs w:val="22"/>
        </w:rPr>
        <w:t xml:space="preserve">: </w:t>
      </w:r>
    </w:p>
    <w:p w14:paraId="19362A7F" w14:textId="682FDBD6" w:rsidR="00BB0886" w:rsidRPr="008B7A96" w:rsidRDefault="00BB0886" w:rsidP="000F5279">
      <w:pPr>
        <w:pStyle w:val="ListParagraph"/>
        <w:numPr>
          <w:ilvl w:val="0"/>
          <w:numId w:val="21"/>
        </w:numPr>
        <w:rPr>
          <w:szCs w:val="22"/>
        </w:rPr>
      </w:pPr>
      <w:r w:rsidRPr="008B7A96">
        <w:rPr>
          <w:rFonts w:cs="Arial"/>
          <w:szCs w:val="22"/>
        </w:rPr>
        <w:t xml:space="preserve">What did providers spend the CDF funding on? What processes and resources did they put in place, including </w:t>
      </w:r>
      <w:r w:rsidRPr="008B7A96">
        <w:rPr>
          <w:szCs w:val="22"/>
        </w:rPr>
        <w:t>how they approached the planning and implementation of industry placements</w:t>
      </w:r>
      <w:r w:rsidR="00977056" w:rsidRPr="008B7A96">
        <w:rPr>
          <w:szCs w:val="22"/>
        </w:rPr>
        <w:t xml:space="preserve"> (</w:t>
      </w:r>
      <w:r w:rsidR="003A528A" w:rsidRPr="008B7A96">
        <w:rPr>
          <w:szCs w:val="22"/>
        </w:rPr>
        <w:t>e.g.</w:t>
      </w:r>
      <w:r w:rsidRPr="008B7A96">
        <w:rPr>
          <w:szCs w:val="22"/>
        </w:rPr>
        <w:t xml:space="preserve"> curriculum planning, securing buy-in across the institution etc.)?</w:t>
      </w:r>
    </w:p>
    <w:p w14:paraId="4E08F9CA" w14:textId="77777777" w:rsidR="00BB0886" w:rsidRPr="008B7A96" w:rsidRDefault="00BB0886" w:rsidP="00BB0886">
      <w:pPr>
        <w:pStyle w:val="ListParagraph"/>
        <w:numPr>
          <w:ilvl w:val="0"/>
          <w:numId w:val="20"/>
        </w:numPr>
        <w:spacing w:after="160" w:line="259" w:lineRule="auto"/>
        <w:rPr>
          <w:szCs w:val="22"/>
        </w:rPr>
      </w:pPr>
      <w:r w:rsidRPr="008B7A96">
        <w:rPr>
          <w:rFonts w:cs="Arial"/>
          <w:szCs w:val="22"/>
        </w:rPr>
        <w:t>What challenges were identified in implementing placements? How did these challenges vary by context (location, route, employer size, learner type) and to what extent did CDF help overcome these challenges versus other measures?</w:t>
      </w:r>
    </w:p>
    <w:p w14:paraId="4963A84D" w14:textId="77777777" w:rsidR="00BB0886" w:rsidRPr="008B7A96" w:rsidRDefault="00BB0886" w:rsidP="00BB0886">
      <w:pPr>
        <w:pStyle w:val="ListParagraph"/>
        <w:numPr>
          <w:ilvl w:val="0"/>
          <w:numId w:val="20"/>
        </w:numPr>
        <w:spacing w:after="160" w:line="259" w:lineRule="auto"/>
        <w:rPr>
          <w:szCs w:val="22"/>
        </w:rPr>
      </w:pPr>
      <w:r w:rsidRPr="008B7A96">
        <w:rPr>
          <w:szCs w:val="22"/>
        </w:rPr>
        <w:t>Why did some employers ‎decide not to engage with industry placements?</w:t>
      </w:r>
    </w:p>
    <w:p w14:paraId="0F3C7DB9" w14:textId="24F1CAF6" w:rsidR="00BB0886" w:rsidRPr="008B7A96" w:rsidRDefault="00BB0886" w:rsidP="00BB0886">
      <w:pPr>
        <w:pStyle w:val="ListParagraph"/>
        <w:numPr>
          <w:ilvl w:val="0"/>
          <w:numId w:val="20"/>
        </w:numPr>
        <w:spacing w:after="160" w:line="259" w:lineRule="auto"/>
        <w:rPr>
          <w:szCs w:val="22"/>
        </w:rPr>
      </w:pPr>
      <w:r w:rsidRPr="008B7A96">
        <w:rPr>
          <w:szCs w:val="22"/>
        </w:rPr>
        <w:t>Why did those employers initially reluctant to engage change their minds and what was the persuading factor for them? </w:t>
      </w:r>
    </w:p>
    <w:p w14:paraId="1EAFDD54" w14:textId="77777777" w:rsidR="00BB0886" w:rsidRPr="008B7A96" w:rsidRDefault="00BB0886" w:rsidP="00BB0886">
      <w:pPr>
        <w:pStyle w:val="ListParagraph"/>
        <w:numPr>
          <w:ilvl w:val="0"/>
          <w:numId w:val="20"/>
        </w:numPr>
        <w:spacing w:after="160" w:line="259" w:lineRule="auto"/>
        <w:rPr>
          <w:szCs w:val="22"/>
        </w:rPr>
      </w:pPr>
      <w:r w:rsidRPr="008B7A96">
        <w:rPr>
          <w:szCs w:val="22"/>
        </w:rPr>
        <w:t>Why did some employers engage without any persuasion and what was the persuading factor for them?</w:t>
      </w:r>
    </w:p>
    <w:p w14:paraId="5BCA9F0E" w14:textId="77777777" w:rsidR="00BB0886" w:rsidRPr="008B7A96" w:rsidRDefault="00BB0886" w:rsidP="00BB0886">
      <w:pPr>
        <w:pStyle w:val="ListParagraph"/>
        <w:numPr>
          <w:ilvl w:val="0"/>
          <w:numId w:val="20"/>
        </w:numPr>
        <w:spacing w:after="160" w:line="259" w:lineRule="auto"/>
        <w:rPr>
          <w:szCs w:val="22"/>
        </w:rPr>
      </w:pPr>
      <w:r w:rsidRPr="008B7A96">
        <w:rPr>
          <w:szCs w:val="22"/>
        </w:rPr>
        <w:t>Would participating employers choose to offer placements again next year?</w:t>
      </w:r>
    </w:p>
    <w:p w14:paraId="0744B721" w14:textId="77777777" w:rsidR="00BB0886" w:rsidRPr="008B7A96" w:rsidRDefault="00BB0886" w:rsidP="00BB0886">
      <w:pPr>
        <w:pStyle w:val="ListParagraph"/>
        <w:numPr>
          <w:ilvl w:val="0"/>
          <w:numId w:val="20"/>
        </w:numPr>
        <w:spacing w:after="160" w:line="259" w:lineRule="auto"/>
        <w:rPr>
          <w:szCs w:val="22"/>
        </w:rPr>
      </w:pPr>
      <w:r w:rsidRPr="008B7A96">
        <w:rPr>
          <w:rFonts w:cs="Arial"/>
          <w:szCs w:val="22"/>
        </w:rPr>
        <w:t>Was the financial support from the CDF sufficient to help providers build capacity to offer placements? Did CDF funding cover all needs, and if not, what was not covered and how much more would be needed? Did this vary across geographies and industries?</w:t>
      </w:r>
    </w:p>
    <w:p w14:paraId="723214B3" w14:textId="77777777" w:rsidR="00BB0886" w:rsidRPr="008B7A96" w:rsidRDefault="00BB0886" w:rsidP="00BB0886">
      <w:pPr>
        <w:pStyle w:val="ListParagraph"/>
        <w:numPr>
          <w:ilvl w:val="0"/>
          <w:numId w:val="20"/>
        </w:numPr>
        <w:spacing w:after="160" w:line="259" w:lineRule="auto"/>
        <w:rPr>
          <w:szCs w:val="22"/>
        </w:rPr>
      </w:pPr>
      <w:r w:rsidRPr="008B7A96">
        <w:rPr>
          <w:szCs w:val="22"/>
        </w:rPr>
        <w:t>Did CDF enable providers to increase the number of relationships with employers willing to offer placements?</w:t>
      </w:r>
    </w:p>
    <w:p w14:paraId="0650FB36" w14:textId="77777777" w:rsidR="00BB0886" w:rsidRPr="008B7A96" w:rsidRDefault="00BB0886" w:rsidP="00BB0886">
      <w:pPr>
        <w:pStyle w:val="ListParagraph"/>
        <w:numPr>
          <w:ilvl w:val="0"/>
          <w:numId w:val="20"/>
        </w:numPr>
        <w:spacing w:after="160" w:line="259" w:lineRule="auto"/>
        <w:rPr>
          <w:szCs w:val="22"/>
        </w:rPr>
      </w:pPr>
      <w:r w:rsidRPr="008B7A96">
        <w:rPr>
          <w:szCs w:val="22"/>
        </w:rPr>
        <w:t xml:space="preserve">Was CDF used to cover employer costs? If so, what costs were these? How many employers would not have engaged without costs being funded – did this vary across routes? Did employers have any upfront concerns around the costs of providing a placement? What were these and how much were they? Did these costs prevent employers from taking a placement? </w:t>
      </w:r>
    </w:p>
    <w:p w14:paraId="6BC1F48C" w14:textId="77777777" w:rsidR="00BB0886" w:rsidRPr="008B7A96" w:rsidRDefault="00BB0886" w:rsidP="00BB0886">
      <w:pPr>
        <w:pStyle w:val="ListParagraph"/>
        <w:numPr>
          <w:ilvl w:val="0"/>
          <w:numId w:val="20"/>
        </w:numPr>
        <w:spacing w:after="160" w:line="259" w:lineRule="auto"/>
        <w:rPr>
          <w:szCs w:val="22"/>
        </w:rPr>
      </w:pPr>
      <w:r w:rsidRPr="008B7A96">
        <w:rPr>
          <w:rFonts w:cs="Arial"/>
          <w:szCs w:val="22"/>
        </w:rPr>
        <w:t xml:space="preserve">Did providers and/or employers feel sufficient support was available to deliver placements? If so, how? If not, would additional support have helped providers/employers to overcome these challenges and what would this look like? </w:t>
      </w:r>
    </w:p>
    <w:p w14:paraId="5C3456C2" w14:textId="65CCF57E" w:rsidR="00BB0886" w:rsidRPr="008B7A96" w:rsidRDefault="00BB0886" w:rsidP="00F10B92">
      <w:pPr>
        <w:pStyle w:val="ListParagraph"/>
        <w:numPr>
          <w:ilvl w:val="0"/>
          <w:numId w:val="20"/>
        </w:numPr>
        <w:spacing w:after="160" w:line="259" w:lineRule="auto"/>
        <w:rPr>
          <w:szCs w:val="22"/>
        </w:rPr>
      </w:pPr>
      <w:r w:rsidRPr="008B7A96">
        <w:rPr>
          <w:szCs w:val="22"/>
        </w:rPr>
        <w:lastRenderedPageBreak/>
        <w:t>Did providers or students report travel costs as a barrier or requiring substantial funding? If yes, what costs were incurred?</w:t>
      </w:r>
    </w:p>
    <w:p w14:paraId="341733E2" w14:textId="23194B04" w:rsidR="00975F7A" w:rsidRDefault="004A600B" w:rsidP="001F2CE2">
      <w:pPr>
        <w:pStyle w:val="Heading2"/>
      </w:pPr>
      <w:r>
        <w:t>Methodology</w:t>
      </w:r>
    </w:p>
    <w:p w14:paraId="6BD142F7" w14:textId="0C5F7528" w:rsidR="003F731B" w:rsidRPr="008B7A96" w:rsidRDefault="00975F7A" w:rsidP="00975F7A">
      <w:pPr>
        <w:rPr>
          <w:szCs w:val="22"/>
        </w:rPr>
      </w:pPr>
      <w:r w:rsidRPr="008B7A96">
        <w:rPr>
          <w:szCs w:val="22"/>
        </w:rPr>
        <w:t>At full tender stage bidders will be invited to submit appropriate and innovative approaches for undertaking this evaluation. We anticipate this evaluation will use a mix of qualitative and quantitative techniques to explore support for industry placements.</w:t>
      </w:r>
      <w:r w:rsidR="003F731B" w:rsidRPr="008B7A96">
        <w:rPr>
          <w:szCs w:val="22"/>
        </w:rPr>
        <w:t xml:space="preserve"> </w:t>
      </w:r>
    </w:p>
    <w:p w14:paraId="1E87AA8F" w14:textId="2AEFAF70" w:rsidR="00975F7A" w:rsidRPr="008B7A96" w:rsidRDefault="003F731B" w:rsidP="00975F7A">
      <w:pPr>
        <w:rPr>
          <w:szCs w:val="22"/>
        </w:rPr>
      </w:pPr>
      <w:r w:rsidRPr="008B7A96">
        <w:rPr>
          <w:rFonts w:cs="Arial"/>
          <w:szCs w:val="22"/>
        </w:rPr>
        <w:t xml:space="preserve">We have mapped existing relevant data and evidence; the data is listed below in the data monitoring section and shall be provided by the </w:t>
      </w:r>
      <w:r w:rsidR="00FE7785" w:rsidRPr="008B7A96">
        <w:rPr>
          <w:rFonts w:cs="Arial"/>
          <w:szCs w:val="22"/>
        </w:rPr>
        <w:t>Department</w:t>
      </w:r>
      <w:r w:rsidRPr="008B7A96">
        <w:rPr>
          <w:rFonts w:cs="Arial"/>
          <w:szCs w:val="22"/>
        </w:rPr>
        <w:t xml:space="preserve">. This evidence does not give us all that we need to know and further qualitative analysis is required to help us fill important outstanding evidence gaps, contextualising and complementing the quantitative data. </w:t>
      </w:r>
      <w:r w:rsidR="00975F7A" w:rsidRPr="008B7A96">
        <w:rPr>
          <w:szCs w:val="22"/>
        </w:rPr>
        <w:t xml:space="preserve"> </w:t>
      </w:r>
    </w:p>
    <w:p w14:paraId="6682A886" w14:textId="49B1B923" w:rsidR="00977056" w:rsidRPr="0044119D" w:rsidRDefault="00977056" w:rsidP="00975F7A">
      <w:pPr>
        <w:rPr>
          <w:b/>
          <w:szCs w:val="22"/>
        </w:rPr>
      </w:pPr>
      <w:r w:rsidRPr="0044119D">
        <w:rPr>
          <w:b/>
          <w:szCs w:val="22"/>
        </w:rPr>
        <w:t>Data monitoring</w:t>
      </w:r>
    </w:p>
    <w:p w14:paraId="65A1EA0F" w14:textId="72B4D46B" w:rsidR="00977056" w:rsidRPr="008B7A96" w:rsidRDefault="00977056" w:rsidP="00977056">
      <w:pPr>
        <w:rPr>
          <w:szCs w:val="22"/>
        </w:rPr>
      </w:pPr>
      <w:r w:rsidRPr="008B7A96">
        <w:rPr>
          <w:szCs w:val="22"/>
        </w:rPr>
        <w:t>The Department will provide the contractor with Provider Quarterly Monitoring reports, Progress reports</w:t>
      </w:r>
      <w:r w:rsidR="000F5279" w:rsidRPr="008B7A96">
        <w:rPr>
          <w:szCs w:val="22"/>
        </w:rPr>
        <w:t xml:space="preserve"> and Employer and Student Satisfaction feedback.  </w:t>
      </w:r>
    </w:p>
    <w:p w14:paraId="19AEC480" w14:textId="77777777" w:rsidR="00FE7785" w:rsidRPr="0044119D" w:rsidRDefault="00FE7785" w:rsidP="00FE7785">
      <w:pPr>
        <w:rPr>
          <w:rFonts w:cs="Arial"/>
          <w:b/>
          <w:szCs w:val="22"/>
        </w:rPr>
      </w:pPr>
      <w:r w:rsidRPr="0044119D">
        <w:rPr>
          <w:rFonts w:cs="Arial"/>
          <w:b/>
          <w:szCs w:val="22"/>
        </w:rPr>
        <w:t>Sample</w:t>
      </w:r>
    </w:p>
    <w:p w14:paraId="60B5184C" w14:textId="77777777" w:rsidR="00FE7785" w:rsidRPr="008B7A96" w:rsidRDefault="00FE7785" w:rsidP="00FE7785">
      <w:pPr>
        <w:rPr>
          <w:rFonts w:cs="Arial"/>
          <w:szCs w:val="22"/>
        </w:rPr>
      </w:pPr>
      <w:r w:rsidRPr="008B7A96">
        <w:rPr>
          <w:rFonts w:cs="Arial"/>
          <w:szCs w:val="22"/>
        </w:rPr>
        <w:t xml:space="preserve">The appointed contractor will draw a purposive sample from the providers and employers involved in delivering Industry Placements as part of the Capacity and Delivery Fund. </w:t>
      </w:r>
    </w:p>
    <w:p w14:paraId="1E72057C" w14:textId="77777777" w:rsidR="00FE7785" w:rsidRPr="008B7A96" w:rsidRDefault="00FE7785" w:rsidP="00FE7785">
      <w:pPr>
        <w:rPr>
          <w:rFonts w:cs="Arial"/>
          <w:szCs w:val="22"/>
        </w:rPr>
      </w:pPr>
      <w:r w:rsidRPr="008B7A96">
        <w:rPr>
          <w:rFonts w:cs="Arial"/>
          <w:szCs w:val="22"/>
        </w:rPr>
        <w:t>The sample should include:</w:t>
      </w:r>
    </w:p>
    <w:p w14:paraId="174932C7" w14:textId="77777777" w:rsidR="00FE7785" w:rsidRPr="008B7A96" w:rsidRDefault="00FE7785" w:rsidP="00FE7785">
      <w:pPr>
        <w:numPr>
          <w:ilvl w:val="0"/>
          <w:numId w:val="22"/>
        </w:numPr>
        <w:spacing w:line="240" w:lineRule="auto"/>
        <w:rPr>
          <w:rFonts w:cs="Arial"/>
          <w:szCs w:val="22"/>
        </w:rPr>
      </w:pPr>
      <w:r w:rsidRPr="008B7A96">
        <w:rPr>
          <w:rFonts w:cs="Arial"/>
          <w:szCs w:val="22"/>
        </w:rPr>
        <w:t xml:space="preserve">All 11 technical education routes </w:t>
      </w:r>
    </w:p>
    <w:p w14:paraId="6E2DAFC4" w14:textId="77777777" w:rsidR="00FE7785" w:rsidRPr="008B7A96" w:rsidRDefault="00FE7785" w:rsidP="00FE7785">
      <w:pPr>
        <w:numPr>
          <w:ilvl w:val="0"/>
          <w:numId w:val="22"/>
        </w:numPr>
        <w:spacing w:line="240" w:lineRule="auto"/>
        <w:rPr>
          <w:rFonts w:cs="Arial"/>
          <w:szCs w:val="22"/>
        </w:rPr>
      </w:pPr>
      <w:r w:rsidRPr="008B7A96">
        <w:rPr>
          <w:rFonts w:cs="Arial"/>
          <w:szCs w:val="22"/>
        </w:rPr>
        <w:t>An appropriate balance between different geographical areas</w:t>
      </w:r>
    </w:p>
    <w:p w14:paraId="69BCEA3C" w14:textId="77777777" w:rsidR="00FE7785" w:rsidRPr="008B7A96" w:rsidRDefault="00FE7785" w:rsidP="00FE7785">
      <w:pPr>
        <w:numPr>
          <w:ilvl w:val="0"/>
          <w:numId w:val="22"/>
        </w:numPr>
        <w:spacing w:line="240" w:lineRule="auto"/>
        <w:rPr>
          <w:rFonts w:cs="Arial"/>
          <w:szCs w:val="22"/>
        </w:rPr>
      </w:pPr>
      <w:r w:rsidRPr="008B7A96">
        <w:rPr>
          <w:rFonts w:cs="Arial"/>
          <w:szCs w:val="22"/>
        </w:rPr>
        <w:t xml:space="preserve">Micro, small, medium and large employers </w:t>
      </w:r>
    </w:p>
    <w:p w14:paraId="3D31D910" w14:textId="5740CB1C" w:rsidR="00FE7785" w:rsidRPr="008B7A96" w:rsidRDefault="00FE7785" w:rsidP="00977056">
      <w:pPr>
        <w:numPr>
          <w:ilvl w:val="0"/>
          <w:numId w:val="22"/>
        </w:numPr>
        <w:spacing w:line="240" w:lineRule="auto"/>
        <w:rPr>
          <w:rFonts w:cs="Arial"/>
          <w:szCs w:val="22"/>
        </w:rPr>
      </w:pPr>
      <w:r w:rsidRPr="008B7A96">
        <w:rPr>
          <w:rFonts w:cs="Arial"/>
          <w:szCs w:val="22"/>
        </w:rPr>
        <w:t>A range of providers to  include General FE colleges, Land-Based colleges, School Sixth Forms, Sixth Form College, UTCs</w:t>
      </w:r>
    </w:p>
    <w:p w14:paraId="6BBCD9D8" w14:textId="5855B1B4" w:rsidR="00B941A5" w:rsidRPr="008B7A96" w:rsidRDefault="00B941A5" w:rsidP="00977056">
      <w:pPr>
        <w:numPr>
          <w:ilvl w:val="0"/>
          <w:numId w:val="22"/>
        </w:numPr>
        <w:spacing w:line="240" w:lineRule="auto"/>
        <w:rPr>
          <w:rFonts w:cs="Arial"/>
          <w:szCs w:val="22"/>
        </w:rPr>
      </w:pPr>
      <w:r w:rsidRPr="008B7A96">
        <w:rPr>
          <w:rFonts w:cs="Arial"/>
          <w:szCs w:val="22"/>
        </w:rPr>
        <w:t xml:space="preserve">Stakeholders to include, DfE, NAS,ESFA </w:t>
      </w:r>
      <w:proofErr w:type="spellStart"/>
      <w:r w:rsidRPr="008B7A96">
        <w:rPr>
          <w:rFonts w:cs="Arial"/>
          <w:szCs w:val="22"/>
        </w:rPr>
        <w:t>fieldforce</w:t>
      </w:r>
      <w:proofErr w:type="spellEnd"/>
      <w:r w:rsidRPr="008B7A96">
        <w:rPr>
          <w:rFonts w:cs="Arial"/>
          <w:szCs w:val="22"/>
        </w:rPr>
        <w:t xml:space="preserve"> and Intensive Support staff</w:t>
      </w:r>
    </w:p>
    <w:p w14:paraId="502BE6FA" w14:textId="21E986BD" w:rsidR="004A600B" w:rsidRDefault="004A600B" w:rsidP="001F2CE2">
      <w:pPr>
        <w:pStyle w:val="Heading2"/>
      </w:pPr>
      <w:r>
        <w:t>Timing</w:t>
      </w:r>
    </w:p>
    <w:p w14:paraId="0E9B57F1" w14:textId="75296628" w:rsidR="008B7A96" w:rsidRPr="008B7A96" w:rsidRDefault="008B7A96" w:rsidP="008B7A96">
      <w:pPr>
        <w:pStyle w:val="ListParagraph"/>
        <w:numPr>
          <w:ilvl w:val="0"/>
          <w:numId w:val="24"/>
        </w:numPr>
        <w:rPr>
          <w:szCs w:val="22"/>
        </w:rPr>
      </w:pPr>
      <w:r w:rsidRPr="008B7A96">
        <w:rPr>
          <w:szCs w:val="22"/>
        </w:rPr>
        <w:t>The deadline for EOIs is 12 noon on Friday 16 November 2018</w:t>
      </w:r>
    </w:p>
    <w:p w14:paraId="458CADC1" w14:textId="77777777" w:rsidR="008B7A96" w:rsidRPr="008B7A96" w:rsidRDefault="00B941A5" w:rsidP="008B7A96">
      <w:pPr>
        <w:pStyle w:val="ListParagraph"/>
        <w:numPr>
          <w:ilvl w:val="0"/>
          <w:numId w:val="24"/>
        </w:numPr>
        <w:rPr>
          <w:szCs w:val="22"/>
        </w:rPr>
      </w:pPr>
      <w:r w:rsidRPr="008B7A96">
        <w:rPr>
          <w:szCs w:val="22"/>
        </w:rPr>
        <w:t xml:space="preserve">Invitations to tender will be issued to short-listed organisations during the week commencing </w:t>
      </w:r>
      <w:r w:rsidR="008B7A96" w:rsidRPr="008B7A96">
        <w:rPr>
          <w:szCs w:val="22"/>
        </w:rPr>
        <w:t>19 November 2018</w:t>
      </w:r>
    </w:p>
    <w:p w14:paraId="6B33FADA" w14:textId="357C5360" w:rsidR="00B941A5" w:rsidRPr="008B7A96" w:rsidRDefault="008B7A96" w:rsidP="008B7A96">
      <w:pPr>
        <w:pStyle w:val="ListParagraph"/>
        <w:numPr>
          <w:ilvl w:val="0"/>
          <w:numId w:val="24"/>
        </w:numPr>
        <w:rPr>
          <w:szCs w:val="22"/>
        </w:rPr>
      </w:pPr>
      <w:r w:rsidRPr="008B7A96">
        <w:rPr>
          <w:szCs w:val="22"/>
        </w:rPr>
        <w:t>Deadline for receipt of completed proposals Friday 7 December 2018</w:t>
      </w:r>
    </w:p>
    <w:p w14:paraId="7D9749B6" w14:textId="72B75E85" w:rsidR="008B7A96" w:rsidRPr="008B7A96" w:rsidRDefault="008B7A96" w:rsidP="008B7A96">
      <w:pPr>
        <w:pStyle w:val="ListParagraph"/>
        <w:numPr>
          <w:ilvl w:val="0"/>
          <w:numId w:val="24"/>
        </w:numPr>
        <w:rPr>
          <w:szCs w:val="22"/>
        </w:rPr>
      </w:pPr>
      <w:r w:rsidRPr="008B7A96">
        <w:rPr>
          <w:szCs w:val="22"/>
        </w:rPr>
        <w:t>Award of bid and project inception meeting week commencing 17 December 2018</w:t>
      </w:r>
    </w:p>
    <w:p w14:paraId="0D2B2C65" w14:textId="5FFD5214" w:rsidR="004A600B" w:rsidRPr="004A600B" w:rsidRDefault="004A600B" w:rsidP="007E0083">
      <w:pPr>
        <w:pStyle w:val="Heading2"/>
      </w:pPr>
      <w:r w:rsidRPr="004A600B">
        <w:t>Assessment criteria</w:t>
      </w:r>
    </w:p>
    <w:p w14:paraId="17CC6FEA" w14:textId="56A2EC7E" w:rsidR="00FF75BA" w:rsidRPr="008B7A96" w:rsidRDefault="00FF75BA" w:rsidP="008B7A96">
      <w:pPr>
        <w:numPr>
          <w:ilvl w:val="0"/>
          <w:numId w:val="19"/>
        </w:numPr>
        <w:spacing w:line="240" w:lineRule="auto"/>
        <w:rPr>
          <w:szCs w:val="22"/>
        </w:rPr>
      </w:pPr>
      <w:r w:rsidRPr="008B7A96">
        <w:rPr>
          <w:szCs w:val="22"/>
        </w:rPr>
        <w:t xml:space="preserve">Evidence of suppliers' </w:t>
      </w:r>
      <w:r w:rsidR="00A6118B">
        <w:rPr>
          <w:szCs w:val="22"/>
        </w:rPr>
        <w:t>understanding</w:t>
      </w:r>
      <w:r w:rsidR="00A6118B" w:rsidRPr="008B7A96">
        <w:rPr>
          <w:szCs w:val="22"/>
        </w:rPr>
        <w:t xml:space="preserve"> </w:t>
      </w:r>
      <w:r w:rsidRPr="008B7A96">
        <w:rPr>
          <w:szCs w:val="22"/>
        </w:rPr>
        <w:t xml:space="preserve">of the policy area </w:t>
      </w:r>
    </w:p>
    <w:p w14:paraId="6653ED4E" w14:textId="36BFF8CA" w:rsidR="00FF75BA" w:rsidRPr="0044119D" w:rsidRDefault="00BC237B" w:rsidP="008B7A96">
      <w:pPr>
        <w:numPr>
          <w:ilvl w:val="0"/>
          <w:numId w:val="19"/>
        </w:numPr>
        <w:spacing w:line="240" w:lineRule="auto"/>
        <w:rPr>
          <w:szCs w:val="22"/>
        </w:rPr>
      </w:pPr>
      <w:r w:rsidRPr="00BC237B">
        <w:rPr>
          <w:bCs/>
          <w:szCs w:val="22"/>
        </w:rPr>
        <w:t xml:space="preserve">Evidence of suppliers' </w:t>
      </w:r>
      <w:r>
        <w:rPr>
          <w:bCs/>
          <w:szCs w:val="22"/>
        </w:rPr>
        <w:t>t</w:t>
      </w:r>
      <w:r w:rsidR="00FF75BA" w:rsidRPr="008B7A96">
        <w:rPr>
          <w:bCs/>
          <w:szCs w:val="22"/>
        </w:rPr>
        <w:t xml:space="preserve">echnical/professional ability to undertake </w:t>
      </w:r>
      <w:r w:rsidR="008B7A96" w:rsidRPr="008B7A96">
        <w:rPr>
          <w:bCs/>
          <w:szCs w:val="22"/>
        </w:rPr>
        <w:t>the work</w:t>
      </w:r>
    </w:p>
    <w:p w14:paraId="3B196C45" w14:textId="4EC8752C" w:rsidR="0044119D" w:rsidRPr="0044119D" w:rsidRDefault="0044119D" w:rsidP="008B7A96">
      <w:pPr>
        <w:numPr>
          <w:ilvl w:val="0"/>
          <w:numId w:val="19"/>
        </w:numPr>
        <w:spacing w:line="240" w:lineRule="auto"/>
        <w:rPr>
          <w:szCs w:val="22"/>
        </w:rPr>
      </w:pPr>
      <w:r>
        <w:rPr>
          <w:bCs/>
          <w:szCs w:val="22"/>
        </w:rPr>
        <w:t>Evidence of r</w:t>
      </w:r>
      <w:r w:rsidRPr="0044119D">
        <w:rPr>
          <w:bCs/>
          <w:szCs w:val="22"/>
        </w:rPr>
        <w:t xml:space="preserve">elevant research experience. This covers an assessment of the </w:t>
      </w:r>
      <w:r>
        <w:rPr>
          <w:bCs/>
          <w:szCs w:val="22"/>
        </w:rPr>
        <w:t>suppliers’</w:t>
      </w:r>
      <w:r w:rsidRPr="0044119D">
        <w:rPr>
          <w:bCs/>
          <w:szCs w:val="22"/>
        </w:rPr>
        <w:t xml:space="preserve"> expertise and experience in</w:t>
      </w:r>
      <w:r>
        <w:rPr>
          <w:bCs/>
          <w:szCs w:val="22"/>
        </w:rPr>
        <w:t xml:space="preserve"> evaluation</w:t>
      </w:r>
    </w:p>
    <w:p w14:paraId="1AC98431" w14:textId="694A9A79" w:rsidR="00BC237B" w:rsidRPr="00BC237B" w:rsidRDefault="0044119D" w:rsidP="008B7A96">
      <w:pPr>
        <w:numPr>
          <w:ilvl w:val="0"/>
          <w:numId w:val="19"/>
        </w:numPr>
        <w:spacing w:line="240" w:lineRule="auto"/>
        <w:rPr>
          <w:szCs w:val="22"/>
        </w:rPr>
      </w:pPr>
      <w:r w:rsidRPr="0044119D">
        <w:rPr>
          <w:bCs/>
          <w:szCs w:val="22"/>
        </w:rPr>
        <w:lastRenderedPageBreak/>
        <w:t xml:space="preserve">Evidence of relevant research experience. This covers an assessment of the suppliers’ expertise and experience in </w:t>
      </w:r>
      <w:r w:rsidR="00BC237B">
        <w:rPr>
          <w:bCs/>
          <w:szCs w:val="22"/>
        </w:rPr>
        <w:t>vocational education policy</w:t>
      </w:r>
    </w:p>
    <w:p w14:paraId="2D943A2E" w14:textId="77777777" w:rsidR="00FF75BA" w:rsidRDefault="00FF75BA" w:rsidP="00FF75BA"/>
    <w:p w14:paraId="6515D874" w14:textId="0962C7B6" w:rsidR="00FF75BA" w:rsidRPr="00FF75BA" w:rsidRDefault="00FF75BA" w:rsidP="00FF75BA">
      <w:pPr>
        <w:rPr>
          <w:b/>
        </w:rPr>
      </w:pPr>
      <w:r w:rsidRPr="00FF75BA">
        <w:rPr>
          <w:b/>
        </w:rPr>
        <w:t>CVs and references are not required at this stage</w:t>
      </w:r>
    </w:p>
    <w:p w14:paraId="121DCC1C" w14:textId="77777777" w:rsidR="00FF75BA" w:rsidRPr="00FF75BA" w:rsidRDefault="00FF75BA" w:rsidP="00FF75BA">
      <w:pPr>
        <w:rPr>
          <w:b/>
        </w:rPr>
      </w:pPr>
      <w:r w:rsidRPr="00FF75BA">
        <w:rPr>
          <w:b/>
        </w:rPr>
        <w:t>Please note there is a 1000 word limit for Expressions of Interest</w:t>
      </w:r>
    </w:p>
    <w:p w14:paraId="40F6F47F" w14:textId="77777777" w:rsidR="00915C18" w:rsidRPr="00FF75BA" w:rsidRDefault="00915C18" w:rsidP="00915C18">
      <w:pPr>
        <w:rPr>
          <w:b/>
        </w:rPr>
      </w:pP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53D2B878" w:rsidR="00915C18" w:rsidRDefault="00915C18" w:rsidP="00915C18">
            <w:pPr>
              <w:spacing w:before="160"/>
              <w:rPr>
                <w:b/>
                <w:bCs/>
                <w:sz w:val="28"/>
                <w:szCs w:val="20"/>
              </w:rPr>
            </w:pPr>
            <w:r w:rsidRPr="00915C18">
              <w:rPr>
                <w:b/>
                <w:bCs/>
                <w:sz w:val="28"/>
                <w:szCs w:val="20"/>
              </w:rPr>
              <w:t>Closing date for EOIs:</w:t>
            </w:r>
            <w:r w:rsidR="00AA3F56">
              <w:rPr>
                <w:b/>
                <w:bCs/>
                <w:sz w:val="28"/>
                <w:szCs w:val="20"/>
              </w:rPr>
              <w:t xml:space="preserve"> 16.11.18</w:t>
            </w:r>
          </w:p>
          <w:p w14:paraId="5178F3E6" w14:textId="67FB0DF4" w:rsidR="00A85EBD" w:rsidRDefault="00915C18" w:rsidP="007519C2">
            <w:pPr>
              <w:rPr>
                <w:rFonts w:ascii="Calibri" w:hAnsi="Calibri"/>
              </w:rPr>
            </w:pPr>
            <w:r w:rsidRPr="00915C18">
              <w:rPr>
                <w:b/>
                <w:bCs/>
                <w:sz w:val="28"/>
                <w:szCs w:val="20"/>
              </w:rPr>
              <w:t>Send your EOI form to:</w:t>
            </w:r>
            <w:r w:rsidR="00AA3F56">
              <w:rPr>
                <w:b/>
                <w:bCs/>
                <w:sz w:val="28"/>
                <w:szCs w:val="20"/>
              </w:rPr>
              <w:t xml:space="preserve"> sarah.mcloughlin@edu</w:t>
            </w:r>
            <w:r w:rsidR="00FF75BA">
              <w:rPr>
                <w:b/>
                <w:bCs/>
                <w:sz w:val="28"/>
                <w:szCs w:val="20"/>
              </w:rPr>
              <w:t>c</w:t>
            </w:r>
            <w:r w:rsidR="00AA3F56">
              <w:rPr>
                <w:b/>
                <w:bCs/>
                <w:sz w:val="28"/>
                <w:szCs w:val="20"/>
              </w:rPr>
              <w:t>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4DD2CD7C" w:rsidR="005D3B59" w:rsidRPr="00531385" w:rsidRDefault="00C2496D" w:rsidP="005D3B59">
      <w:r w:rsidRPr="00995398">
        <w:t>©</w:t>
      </w:r>
      <w:r w:rsidR="005D3B59" w:rsidRPr="005D3B59">
        <w:t xml:space="preserve"> </w:t>
      </w:r>
      <w:r w:rsidR="00EE71A2">
        <w:t xml:space="preserve">Crown copyright </w:t>
      </w:r>
      <w:r w:rsidR="00F10B92">
        <w:t>2018</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A21B6" w14:textId="77777777" w:rsidR="00C64F8C" w:rsidRDefault="00C64F8C" w:rsidP="002B6D93">
      <w:r>
        <w:separator/>
      </w:r>
    </w:p>
    <w:p w14:paraId="077BEAFC" w14:textId="77777777" w:rsidR="00C64F8C" w:rsidRDefault="00C64F8C"/>
  </w:endnote>
  <w:endnote w:type="continuationSeparator" w:id="0">
    <w:p w14:paraId="69FD452A" w14:textId="77777777" w:rsidR="00C64F8C" w:rsidRDefault="00C64F8C" w:rsidP="002B6D93">
      <w:r>
        <w:continuationSeparator/>
      </w:r>
    </w:p>
    <w:p w14:paraId="34533D24" w14:textId="77777777" w:rsidR="00C64F8C" w:rsidRDefault="00C64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53A7E03B"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692AD3">
          <w:rPr>
            <w:noProof/>
          </w:rPr>
          <w:t>4</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66DD9F68" w:rsidR="00DA0AD5" w:rsidRPr="006E6ADB" w:rsidRDefault="00DA0AD5" w:rsidP="004A3626">
    <w:pPr>
      <w:tabs>
        <w:tab w:val="left" w:pos="7088"/>
      </w:tabs>
      <w:spacing w:before="240"/>
      <w:rPr>
        <w:szCs w:val="20"/>
      </w:rPr>
    </w:pPr>
    <w:r w:rsidRPr="006E6ADB">
      <w:rPr>
        <w:szCs w:val="20"/>
      </w:rPr>
      <w:tab/>
      <w:t xml:space="preserve">Published: </w:t>
    </w:r>
    <w:r w:rsidR="00F10B92">
      <w:rPr>
        <w:szCs w:val="20"/>
      </w:rPr>
      <w:t>November</w:t>
    </w:r>
    <w:r w:rsidR="00F85AA7">
      <w:rPr>
        <w:szCs w:val="20"/>
      </w:rPr>
      <w:t xml:space="preserve"> </w:t>
    </w:r>
    <w:r>
      <w:rPr>
        <w:szCs w:val="20"/>
      </w:rPr>
      <w:t>201</w:t>
    </w:r>
    <w:r w:rsidR="00F10B92">
      <w:rPr>
        <w:szCs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FD77A" w14:textId="77777777" w:rsidR="00C64F8C" w:rsidRDefault="00C64F8C" w:rsidP="002B6D93">
      <w:r>
        <w:separator/>
      </w:r>
    </w:p>
    <w:p w14:paraId="7A1A428D" w14:textId="77777777" w:rsidR="00C64F8C" w:rsidRDefault="00C64F8C"/>
  </w:footnote>
  <w:footnote w:type="continuationSeparator" w:id="0">
    <w:p w14:paraId="05FA9F59" w14:textId="77777777" w:rsidR="00C64F8C" w:rsidRDefault="00C64F8C" w:rsidP="002B6D93">
      <w:r>
        <w:continuationSeparator/>
      </w:r>
    </w:p>
    <w:p w14:paraId="7ABFC3BD" w14:textId="77777777" w:rsidR="00C64F8C" w:rsidRDefault="00C64F8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BB4682"/>
    <w:multiLevelType w:val="hybridMultilevel"/>
    <w:tmpl w:val="41247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ECA61CD"/>
    <w:multiLevelType w:val="hybridMultilevel"/>
    <w:tmpl w:val="BFD25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D3ED8"/>
    <w:multiLevelType w:val="hybridMultilevel"/>
    <w:tmpl w:val="27F2C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8A07825"/>
    <w:multiLevelType w:val="hybridMultilevel"/>
    <w:tmpl w:val="090454CC"/>
    <w:lvl w:ilvl="0" w:tplc="9D00AD42">
      <w:start w:val="1"/>
      <w:numFmt w:val="bullet"/>
      <w:lvlText w:val=""/>
      <w:lvlJc w:val="left"/>
      <w:pPr>
        <w:ind w:left="720" w:hanging="360"/>
      </w:pPr>
      <w:rPr>
        <w:rFonts w:ascii="Symbol" w:hAnsi="Symbol" w:hint="default"/>
      </w:rPr>
    </w:lvl>
    <w:lvl w:ilvl="1" w:tplc="2C041BF4">
      <w:start w:val="1"/>
      <w:numFmt w:val="bullet"/>
      <w:lvlText w:val="o"/>
      <w:lvlJc w:val="left"/>
      <w:pPr>
        <w:ind w:left="1440" w:hanging="360"/>
      </w:pPr>
      <w:rPr>
        <w:rFonts w:ascii="Courier New" w:hAnsi="Courier New" w:hint="default"/>
      </w:rPr>
    </w:lvl>
    <w:lvl w:ilvl="2" w:tplc="C5B6722A">
      <w:start w:val="1"/>
      <w:numFmt w:val="bullet"/>
      <w:lvlText w:val=""/>
      <w:lvlJc w:val="left"/>
      <w:pPr>
        <w:ind w:left="2160" w:hanging="360"/>
      </w:pPr>
      <w:rPr>
        <w:rFonts w:ascii="Wingdings" w:hAnsi="Wingdings" w:hint="default"/>
      </w:rPr>
    </w:lvl>
    <w:lvl w:ilvl="3" w:tplc="535E94D2">
      <w:start w:val="1"/>
      <w:numFmt w:val="bullet"/>
      <w:lvlText w:val=""/>
      <w:lvlJc w:val="left"/>
      <w:pPr>
        <w:ind w:left="2880" w:hanging="360"/>
      </w:pPr>
      <w:rPr>
        <w:rFonts w:ascii="Symbol" w:hAnsi="Symbol" w:hint="default"/>
      </w:rPr>
    </w:lvl>
    <w:lvl w:ilvl="4" w:tplc="C3788A1C">
      <w:start w:val="1"/>
      <w:numFmt w:val="bullet"/>
      <w:lvlText w:val="o"/>
      <w:lvlJc w:val="left"/>
      <w:pPr>
        <w:ind w:left="3600" w:hanging="360"/>
      </w:pPr>
      <w:rPr>
        <w:rFonts w:ascii="Courier New" w:hAnsi="Courier New" w:hint="default"/>
      </w:rPr>
    </w:lvl>
    <w:lvl w:ilvl="5" w:tplc="F94A221C">
      <w:start w:val="1"/>
      <w:numFmt w:val="bullet"/>
      <w:lvlText w:val=""/>
      <w:lvlJc w:val="left"/>
      <w:pPr>
        <w:ind w:left="4320" w:hanging="360"/>
      </w:pPr>
      <w:rPr>
        <w:rFonts w:ascii="Wingdings" w:hAnsi="Wingdings" w:hint="default"/>
      </w:rPr>
    </w:lvl>
    <w:lvl w:ilvl="6" w:tplc="09C64284">
      <w:start w:val="1"/>
      <w:numFmt w:val="bullet"/>
      <w:lvlText w:val=""/>
      <w:lvlJc w:val="left"/>
      <w:pPr>
        <w:ind w:left="5040" w:hanging="360"/>
      </w:pPr>
      <w:rPr>
        <w:rFonts w:ascii="Symbol" w:hAnsi="Symbol" w:hint="default"/>
      </w:rPr>
    </w:lvl>
    <w:lvl w:ilvl="7" w:tplc="52FE4184">
      <w:start w:val="1"/>
      <w:numFmt w:val="bullet"/>
      <w:lvlText w:val="o"/>
      <w:lvlJc w:val="left"/>
      <w:pPr>
        <w:ind w:left="5760" w:hanging="360"/>
      </w:pPr>
      <w:rPr>
        <w:rFonts w:ascii="Courier New" w:hAnsi="Courier New" w:hint="default"/>
      </w:rPr>
    </w:lvl>
    <w:lvl w:ilvl="8" w:tplc="F4F2B400">
      <w:start w:val="1"/>
      <w:numFmt w:val="bullet"/>
      <w:lvlText w:val=""/>
      <w:lvlJc w:val="left"/>
      <w:pPr>
        <w:ind w:left="6480" w:hanging="360"/>
      </w:pPr>
      <w:rPr>
        <w:rFonts w:ascii="Wingdings" w:hAnsi="Wingdings" w:hint="default"/>
      </w:rPr>
    </w:lvl>
  </w:abstractNum>
  <w:abstractNum w:abstractNumId="16" w15:restartNumberingAfterBreak="0">
    <w:nsid w:val="4A2774D3"/>
    <w:multiLevelType w:val="hybridMultilevel"/>
    <w:tmpl w:val="506E0EBC"/>
    <w:lvl w:ilvl="0" w:tplc="08090001">
      <w:start w:val="1"/>
      <w:numFmt w:val="bullet"/>
      <w:lvlText w:val=""/>
      <w:lvlJc w:val="left"/>
      <w:pPr>
        <w:ind w:left="927" w:hanging="360"/>
      </w:pPr>
      <w:rPr>
        <w:rFonts w:ascii="Symbol" w:hAnsi="Symbol" w:hint="default"/>
      </w:rPr>
    </w:lvl>
    <w:lvl w:ilvl="1" w:tplc="A4A029DE">
      <w:start w:val="1"/>
      <w:numFmt w:val="bullet"/>
      <w:lvlText w:val=""/>
      <w:lvlJc w:val="left"/>
      <w:pPr>
        <w:ind w:left="2160" w:hanging="360"/>
      </w:pPr>
      <w:rPr>
        <w:rFonts w:ascii="Symbol" w:hAnsi="Symbol" w:hint="default"/>
        <w:strike w:val="0"/>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C616A89"/>
    <w:multiLevelType w:val="hybridMultilevel"/>
    <w:tmpl w:val="A67EA70C"/>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621888"/>
    <w:multiLevelType w:val="hybridMultilevel"/>
    <w:tmpl w:val="27B253DE"/>
    <w:lvl w:ilvl="0" w:tplc="08090003">
      <w:start w:val="1"/>
      <w:numFmt w:val="bullet"/>
      <w:lvlText w:val="o"/>
      <w:lvlJc w:val="left"/>
      <w:pPr>
        <w:ind w:left="1211" w:hanging="360"/>
      </w:pPr>
      <w:rPr>
        <w:rFonts w:ascii="Courier New" w:hAnsi="Courier New" w:cs="Courier New" w:hint="default"/>
      </w:rPr>
    </w:lvl>
    <w:lvl w:ilvl="1" w:tplc="C046EBFC">
      <w:numFmt w:val="bullet"/>
      <w:lvlText w:val=""/>
      <w:lvlJc w:val="left"/>
      <w:pPr>
        <w:ind w:left="2663" w:hanging="525"/>
      </w:pPr>
      <w:rPr>
        <w:rFonts w:ascii="Symbol" w:eastAsiaTheme="minorHAnsi" w:hAnsi="Symbol" w:cs="Arial"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num w:numId="1">
    <w:abstractNumId w:val="4"/>
  </w:num>
  <w:num w:numId="2">
    <w:abstractNumId w:val="20"/>
  </w:num>
  <w:num w:numId="3">
    <w:abstractNumId w:val="19"/>
  </w:num>
  <w:num w:numId="4">
    <w:abstractNumId w:val="12"/>
  </w:num>
  <w:num w:numId="5">
    <w:abstractNumId w:val="8"/>
  </w:num>
  <w:num w:numId="6">
    <w:abstractNumId w:val="14"/>
  </w:num>
  <w:num w:numId="7">
    <w:abstractNumId w:val="3"/>
  </w:num>
  <w:num w:numId="8">
    <w:abstractNumId w:val="1"/>
  </w:num>
  <w:num w:numId="9">
    <w:abstractNumId w:val="0"/>
  </w:num>
  <w:num w:numId="10">
    <w:abstractNumId w:val="18"/>
  </w:num>
  <w:num w:numId="11">
    <w:abstractNumId w:val="14"/>
  </w:num>
  <w:num w:numId="12">
    <w:abstractNumId w:val="21"/>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0"/>
  </w:num>
  <w:num w:numId="18">
    <w:abstractNumId w:val="13"/>
  </w:num>
  <w:num w:numId="19">
    <w:abstractNumId w:val="15"/>
  </w:num>
  <w:num w:numId="20">
    <w:abstractNumId w:val="22"/>
  </w:num>
  <w:num w:numId="21">
    <w:abstractNumId w:val="17"/>
  </w:num>
  <w:num w:numId="22">
    <w:abstractNumId w:val="5"/>
  </w:num>
  <w:num w:numId="23">
    <w:abstractNumId w:val="11"/>
  </w:num>
  <w:num w:numId="24">
    <w:abstractNumId w:val="9"/>
  </w:num>
  <w:num w:numId="25">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376B"/>
    <w:rsid w:val="00057100"/>
    <w:rsid w:val="00065E86"/>
    <w:rsid w:val="00066B1C"/>
    <w:rsid w:val="00070A6F"/>
    <w:rsid w:val="000720CD"/>
    <w:rsid w:val="00083A73"/>
    <w:rsid w:val="00094338"/>
    <w:rsid w:val="000A10F4"/>
    <w:rsid w:val="000B3DE0"/>
    <w:rsid w:val="000D1D30"/>
    <w:rsid w:val="000D4433"/>
    <w:rsid w:val="000E3350"/>
    <w:rsid w:val="000F5279"/>
    <w:rsid w:val="000F73F3"/>
    <w:rsid w:val="00103E77"/>
    <w:rsid w:val="0011494F"/>
    <w:rsid w:val="00116EF0"/>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A58A2"/>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75C5"/>
    <w:rsid w:val="002639B5"/>
    <w:rsid w:val="0027231C"/>
    <w:rsid w:val="0027252F"/>
    <w:rsid w:val="002839B5"/>
    <w:rsid w:val="00287788"/>
    <w:rsid w:val="00294F72"/>
    <w:rsid w:val="002A28F7"/>
    <w:rsid w:val="002A3153"/>
    <w:rsid w:val="002A5858"/>
    <w:rsid w:val="002B23F3"/>
    <w:rsid w:val="002B6D93"/>
    <w:rsid w:val="002C34D4"/>
    <w:rsid w:val="002C3AA4"/>
    <w:rsid w:val="002C4629"/>
    <w:rsid w:val="002E463F"/>
    <w:rsid w:val="002E4E9A"/>
    <w:rsid w:val="002E508B"/>
    <w:rsid w:val="002E5F9F"/>
    <w:rsid w:val="002E7849"/>
    <w:rsid w:val="002F7128"/>
    <w:rsid w:val="00300F99"/>
    <w:rsid w:val="00342F8B"/>
    <w:rsid w:val="00361752"/>
    <w:rsid w:val="00374981"/>
    <w:rsid w:val="003810D8"/>
    <w:rsid w:val="003853A4"/>
    <w:rsid w:val="0039725F"/>
    <w:rsid w:val="003A1CC2"/>
    <w:rsid w:val="003A528A"/>
    <w:rsid w:val="003C60B5"/>
    <w:rsid w:val="003D1EFE"/>
    <w:rsid w:val="003D77B0"/>
    <w:rsid w:val="003E1329"/>
    <w:rsid w:val="003E3ED2"/>
    <w:rsid w:val="003F731B"/>
    <w:rsid w:val="00400E1D"/>
    <w:rsid w:val="00403D1C"/>
    <w:rsid w:val="004216FF"/>
    <w:rsid w:val="004242C5"/>
    <w:rsid w:val="004339FB"/>
    <w:rsid w:val="0044119D"/>
    <w:rsid w:val="004509BE"/>
    <w:rsid w:val="00456560"/>
    <w:rsid w:val="00470223"/>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247AD"/>
    <w:rsid w:val="005360B7"/>
    <w:rsid w:val="00536E0B"/>
    <w:rsid w:val="00547150"/>
    <w:rsid w:val="005535E5"/>
    <w:rsid w:val="0056045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332D"/>
    <w:rsid w:val="005C657D"/>
    <w:rsid w:val="005D3B59"/>
    <w:rsid w:val="005D5ECF"/>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4FEE"/>
    <w:rsid w:val="006775FA"/>
    <w:rsid w:val="00684973"/>
    <w:rsid w:val="0068544D"/>
    <w:rsid w:val="00692AD3"/>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8015A0"/>
    <w:rsid w:val="00814CCF"/>
    <w:rsid w:val="00816E77"/>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B7A96"/>
    <w:rsid w:val="008C46DC"/>
    <w:rsid w:val="008D15AA"/>
    <w:rsid w:val="008D6968"/>
    <w:rsid w:val="008E3F07"/>
    <w:rsid w:val="008E5F36"/>
    <w:rsid w:val="008F2757"/>
    <w:rsid w:val="008F2E4F"/>
    <w:rsid w:val="008F7436"/>
    <w:rsid w:val="009055E4"/>
    <w:rsid w:val="00915C18"/>
    <w:rsid w:val="00917E9C"/>
    <w:rsid w:val="00926A3C"/>
    <w:rsid w:val="0093027C"/>
    <w:rsid w:val="0094189B"/>
    <w:rsid w:val="009518E4"/>
    <w:rsid w:val="00951C56"/>
    <w:rsid w:val="0095599F"/>
    <w:rsid w:val="0096424B"/>
    <w:rsid w:val="009701C8"/>
    <w:rsid w:val="00972EFD"/>
    <w:rsid w:val="00975F7A"/>
    <w:rsid w:val="00977056"/>
    <w:rsid w:val="00986616"/>
    <w:rsid w:val="00992BC4"/>
    <w:rsid w:val="00995398"/>
    <w:rsid w:val="009B32FA"/>
    <w:rsid w:val="009C2C02"/>
    <w:rsid w:val="009C73CF"/>
    <w:rsid w:val="009E00AE"/>
    <w:rsid w:val="009E09D3"/>
    <w:rsid w:val="009E6E74"/>
    <w:rsid w:val="009E7EE1"/>
    <w:rsid w:val="009E7F32"/>
    <w:rsid w:val="009F5F63"/>
    <w:rsid w:val="00A0541C"/>
    <w:rsid w:val="00A248DB"/>
    <w:rsid w:val="00A30BA1"/>
    <w:rsid w:val="00A37DEE"/>
    <w:rsid w:val="00A433C3"/>
    <w:rsid w:val="00A54BB7"/>
    <w:rsid w:val="00A5643A"/>
    <w:rsid w:val="00A57128"/>
    <w:rsid w:val="00A5723C"/>
    <w:rsid w:val="00A6118B"/>
    <w:rsid w:val="00A707A4"/>
    <w:rsid w:val="00A7274B"/>
    <w:rsid w:val="00A73FB8"/>
    <w:rsid w:val="00A75086"/>
    <w:rsid w:val="00A763CB"/>
    <w:rsid w:val="00A801D1"/>
    <w:rsid w:val="00A81F69"/>
    <w:rsid w:val="00A85EBD"/>
    <w:rsid w:val="00AA3484"/>
    <w:rsid w:val="00AA3F56"/>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3333"/>
    <w:rsid w:val="00B55A49"/>
    <w:rsid w:val="00B64265"/>
    <w:rsid w:val="00B67F76"/>
    <w:rsid w:val="00B67FD6"/>
    <w:rsid w:val="00B70EFF"/>
    <w:rsid w:val="00B7558C"/>
    <w:rsid w:val="00B818C3"/>
    <w:rsid w:val="00B9194F"/>
    <w:rsid w:val="00B941A5"/>
    <w:rsid w:val="00BA003B"/>
    <w:rsid w:val="00BA415D"/>
    <w:rsid w:val="00BB05E2"/>
    <w:rsid w:val="00BB0886"/>
    <w:rsid w:val="00BC237B"/>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64F8C"/>
    <w:rsid w:val="00C70B3C"/>
    <w:rsid w:val="00C71238"/>
    <w:rsid w:val="00C71561"/>
    <w:rsid w:val="00C76325"/>
    <w:rsid w:val="00C8124F"/>
    <w:rsid w:val="00C81513"/>
    <w:rsid w:val="00C84637"/>
    <w:rsid w:val="00C92AD3"/>
    <w:rsid w:val="00C95C53"/>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7D9B"/>
    <w:rsid w:val="00D376DB"/>
    <w:rsid w:val="00D408A5"/>
    <w:rsid w:val="00D40DE9"/>
    <w:rsid w:val="00D41212"/>
    <w:rsid w:val="00D42B45"/>
    <w:rsid w:val="00D57EE0"/>
    <w:rsid w:val="00D660A1"/>
    <w:rsid w:val="00D75416"/>
    <w:rsid w:val="00D84114"/>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B1D11"/>
    <w:rsid w:val="00EC3DC1"/>
    <w:rsid w:val="00ED2F1C"/>
    <w:rsid w:val="00ED3D05"/>
    <w:rsid w:val="00EE64AE"/>
    <w:rsid w:val="00EE71A2"/>
    <w:rsid w:val="00EF2A20"/>
    <w:rsid w:val="00F06445"/>
    <w:rsid w:val="00F07114"/>
    <w:rsid w:val="00F10B92"/>
    <w:rsid w:val="00F206A7"/>
    <w:rsid w:val="00F3105E"/>
    <w:rsid w:val="00F41591"/>
    <w:rsid w:val="00F41A63"/>
    <w:rsid w:val="00F45BEB"/>
    <w:rsid w:val="00F54523"/>
    <w:rsid w:val="00F54B50"/>
    <w:rsid w:val="00F84544"/>
    <w:rsid w:val="00F85AA7"/>
    <w:rsid w:val="00F91E9D"/>
    <w:rsid w:val="00F954FA"/>
    <w:rsid w:val="00F95B1F"/>
    <w:rsid w:val="00FA05B2"/>
    <w:rsid w:val="00FA68A7"/>
    <w:rsid w:val="00FB3D33"/>
    <w:rsid w:val="00FB6494"/>
    <w:rsid w:val="00FC0C51"/>
    <w:rsid w:val="00FC2B3C"/>
    <w:rsid w:val="00FD1CD8"/>
    <w:rsid w:val="00FE1B88"/>
    <w:rsid w:val="00FE7785"/>
    <w:rsid w:val="00FF7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TaxCatchAll xmlns="8c566321-f672-4e06-a901-b5e72b4c4357">
      <Value>3</Value>
      <Value>2</Value>
      <Value>1</Value>
    </TaxCatchAll>
    <TaxCatchAllLabel xmlns="8c566321-f672-4e06-a901-b5e72b4c4357"/>
  </documentManagement>
</p:properties>
</file>

<file path=customXml/item3.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21705ef0c172cb8bb829dab3cfb66bad">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1d8741c7-de4e-4a2d-a0c7-324270fb0e97" targetNamespace="http://schemas.microsoft.com/office/2006/metadata/properties" ma:root="true" ma:fieldsID="b844300eca98848f429da5731f459ab4" ns1:_="" ns2:_="" ns3:_="" ns4:_="" ns5:_="">
    <xsd:import namespace="http://schemas.microsoft.com/sharepoint/v3"/>
    <xsd:import namespace="ad312983-9933-4586-87ae-0dd55f2c5b7f"/>
    <xsd:import namespace="8c566321-f672-4e06-a901-b5e72b4c4357"/>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B7DCE39-AB92-4048-BD16-472514B227E0}">
  <ds:schemaRefs>
    <ds:schemaRef ds:uri="8c566321-f672-4e06-a901-b5e72b4c4357"/>
    <ds:schemaRef ds:uri="1d8741c7-de4e-4a2d-a0c7-324270fb0e97"/>
    <ds:schemaRef ds:uri="http://purl.org/dc/elements/1.1/"/>
    <ds:schemaRef ds:uri="http://schemas.openxmlformats.org/package/2006/metadata/core-properties"/>
    <ds:schemaRef ds:uri="http://schemas.microsoft.com/office/infopath/2007/PartnerControls"/>
    <ds:schemaRef ds:uri="65c01043-0666-442f-acb7-2528b588859a"/>
    <ds:schemaRef ds:uri="http://purl.org/dc/terms/"/>
    <ds:schemaRef ds:uri="ad312983-9933-4586-87ae-0dd55f2c5b7f"/>
    <ds:schemaRef ds:uri="http://schemas.microsoft.com/sharepoint/v3"/>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88894A6-BBBB-42E7-9FA7-44F28AAD9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6.xml><?xml version="1.0" encoding="utf-8"?>
<ds:datastoreItem xmlns:ds="http://schemas.openxmlformats.org/officeDocument/2006/customXml" ds:itemID="{0A4290EC-5BEE-4191-8FFF-BED87B33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7189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8453</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2</cp:revision>
  <cp:lastPrinted>2013-07-11T10:35:00Z</cp:lastPrinted>
  <dcterms:created xsi:type="dcterms:W3CDTF">2018-11-09T10:51:00Z</dcterms:created>
  <dcterms:modified xsi:type="dcterms:W3CDTF">2018-11-09T10:51:00Z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