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7797"/>
        <w:gridCol w:w="1275"/>
        <w:gridCol w:w="994"/>
      </w:tblGrid>
      <w:tr w:rsidR="00624065" w:rsidTr="00B95918">
        <w:trPr>
          <w:trHeight w:val="340"/>
          <w:jc w:val="center"/>
        </w:trPr>
        <w:tc>
          <w:tcPr>
            <w:tcW w:w="1129" w:type="dxa"/>
            <w:shd w:val="clear" w:color="auto" w:fill="BEBEBE"/>
          </w:tcPr>
          <w:p w:rsidR="00624065" w:rsidRPr="00932C19" w:rsidRDefault="00624065" w:rsidP="00B95918">
            <w:pPr>
              <w:pStyle w:val="TableParagraph"/>
              <w:spacing w:before="14" w:line="240" w:lineRule="auto"/>
              <w:ind w:left="110"/>
              <w:rPr>
                <w:b/>
                <w:sz w:val="18"/>
              </w:rPr>
            </w:pPr>
            <w:bookmarkStart w:id="0" w:name="_GoBack" w:colFirst="0" w:colLast="0"/>
            <w:r w:rsidRPr="00932C19">
              <w:rPr>
                <w:b/>
                <w:sz w:val="18"/>
              </w:rPr>
              <w:t>Regulation</w:t>
            </w:r>
          </w:p>
        </w:tc>
        <w:tc>
          <w:tcPr>
            <w:tcW w:w="7797" w:type="dxa"/>
            <w:shd w:val="clear" w:color="auto" w:fill="BEBEBE"/>
          </w:tcPr>
          <w:p w:rsidR="00624065" w:rsidRPr="00932C19" w:rsidRDefault="00624065" w:rsidP="00B95918">
            <w:pPr>
              <w:pStyle w:val="TableParagraph"/>
              <w:spacing w:before="14" w:line="240" w:lineRule="auto"/>
              <w:rPr>
                <w:b/>
                <w:sz w:val="18"/>
              </w:rPr>
            </w:pPr>
            <w:r w:rsidRPr="00932C19">
              <w:rPr>
                <w:b/>
                <w:sz w:val="18"/>
              </w:rPr>
              <w:t>Data</w:t>
            </w:r>
          </w:p>
        </w:tc>
        <w:tc>
          <w:tcPr>
            <w:tcW w:w="1275" w:type="dxa"/>
            <w:shd w:val="clear" w:color="auto" w:fill="BEBEBE"/>
          </w:tcPr>
          <w:p w:rsidR="00624065" w:rsidRPr="00932C19" w:rsidRDefault="00624065" w:rsidP="00B95918">
            <w:pPr>
              <w:pStyle w:val="TableParagraph"/>
              <w:spacing w:before="14" w:line="240" w:lineRule="auto"/>
              <w:ind w:left="146" w:right="132"/>
              <w:rPr>
                <w:b/>
                <w:sz w:val="18"/>
              </w:rPr>
            </w:pPr>
            <w:r w:rsidRPr="00932C19">
              <w:rPr>
                <w:b/>
                <w:sz w:val="18"/>
              </w:rPr>
              <w:t>Required?</w:t>
            </w:r>
          </w:p>
        </w:tc>
        <w:tc>
          <w:tcPr>
            <w:tcW w:w="994" w:type="dxa"/>
            <w:shd w:val="clear" w:color="auto" w:fill="BEBEBE"/>
          </w:tcPr>
          <w:p w:rsidR="00624065" w:rsidRPr="00932C19" w:rsidRDefault="00624065" w:rsidP="00B95918">
            <w:pPr>
              <w:pStyle w:val="TableParagraph"/>
              <w:spacing w:before="14" w:line="240" w:lineRule="auto"/>
              <w:ind w:left="132"/>
              <w:jc w:val="center"/>
              <w:rPr>
                <w:b/>
                <w:sz w:val="18"/>
              </w:rPr>
            </w:pPr>
            <w:r w:rsidRPr="00932C19">
              <w:rPr>
                <w:b/>
                <w:sz w:val="18"/>
              </w:rPr>
              <w:t>Included?</w:t>
            </w:r>
          </w:p>
        </w:tc>
      </w:tr>
      <w:tr w:rsidR="00624065" w:rsidRPr="00375F11" w:rsidTr="00B95918">
        <w:trPr>
          <w:trHeight w:val="304"/>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84(1)(a)</w:t>
            </w:r>
          </w:p>
        </w:tc>
        <w:tc>
          <w:tcPr>
            <w:tcW w:w="7797" w:type="dxa"/>
          </w:tcPr>
          <w:p w:rsidR="00624065" w:rsidRDefault="00624065" w:rsidP="00B95918">
            <w:pPr>
              <w:spacing w:after="0"/>
              <w:rPr>
                <w:color w:val="858589"/>
                <w:sz w:val="18"/>
                <w:szCs w:val="18"/>
              </w:rPr>
            </w:pPr>
            <w:r w:rsidRPr="0043774B">
              <w:rPr>
                <w:color w:val="858589"/>
                <w:sz w:val="18"/>
                <w:szCs w:val="18"/>
              </w:rPr>
              <w:t>Name and address of contracting authority</w:t>
            </w:r>
            <w:r>
              <w:rPr>
                <w:color w:val="858589"/>
                <w:sz w:val="18"/>
                <w:szCs w:val="18"/>
              </w:rPr>
              <w:br/>
              <w:t xml:space="preserve">Name and Address: </w:t>
            </w:r>
          </w:p>
          <w:p w:rsidR="00624065" w:rsidRPr="00F87DB0" w:rsidRDefault="00624065" w:rsidP="00B95918">
            <w:pPr>
              <w:spacing w:after="0"/>
              <w:rPr>
                <w:rFonts w:ascii="Arial" w:eastAsia="Helvetica Neue" w:hAnsi="Arial" w:cs="Arial"/>
                <w:sz w:val="18"/>
                <w:szCs w:val="18"/>
              </w:rPr>
            </w:pPr>
            <w:r w:rsidRPr="00F87DB0">
              <w:rPr>
                <w:rFonts w:ascii="Arial" w:hAnsi="Arial" w:cs="Arial"/>
                <w:sz w:val="18"/>
                <w:szCs w:val="18"/>
              </w:rPr>
              <w:t>British Telecom PLC</w:t>
            </w:r>
            <w:r>
              <w:rPr>
                <w:rFonts w:ascii="Arial" w:hAnsi="Arial" w:cs="Arial"/>
                <w:sz w:val="18"/>
                <w:szCs w:val="18"/>
              </w:rPr>
              <w:t xml:space="preserve">, </w:t>
            </w:r>
            <w:r w:rsidRPr="00F87DB0">
              <w:rPr>
                <w:rFonts w:ascii="Arial" w:eastAsia="Helvetica Neue" w:hAnsi="Arial" w:cs="Arial"/>
                <w:sz w:val="18"/>
                <w:szCs w:val="18"/>
              </w:rPr>
              <w:t>Telephone House,104 Newhall Street</w:t>
            </w:r>
            <w:r>
              <w:rPr>
                <w:rFonts w:ascii="Arial" w:eastAsia="Helvetica Neue" w:hAnsi="Arial" w:cs="Arial"/>
                <w:sz w:val="18"/>
                <w:szCs w:val="18"/>
              </w:rPr>
              <w:t xml:space="preserve">, </w:t>
            </w:r>
            <w:r w:rsidRPr="00F87DB0">
              <w:rPr>
                <w:rFonts w:ascii="Arial" w:eastAsia="Helvetica Neue" w:hAnsi="Arial" w:cs="Arial"/>
                <w:sz w:val="18"/>
                <w:szCs w:val="18"/>
              </w:rPr>
              <w:t>Birmingham</w:t>
            </w:r>
            <w:r>
              <w:rPr>
                <w:rFonts w:ascii="Arial" w:eastAsia="Helvetica Neue" w:hAnsi="Arial" w:cs="Arial"/>
                <w:sz w:val="18"/>
                <w:szCs w:val="18"/>
              </w:rPr>
              <w:t xml:space="preserve">, </w:t>
            </w:r>
            <w:r w:rsidRPr="00F87DB0">
              <w:rPr>
                <w:rFonts w:ascii="Arial" w:eastAsia="Helvetica Neue" w:hAnsi="Arial" w:cs="Arial"/>
                <w:sz w:val="18"/>
                <w:szCs w:val="18"/>
              </w:rPr>
              <w:t>B3 1JX</w:t>
            </w:r>
          </w:p>
        </w:tc>
        <w:tc>
          <w:tcPr>
            <w:tcW w:w="1275" w:type="dxa"/>
          </w:tcPr>
          <w:p w:rsidR="00624065" w:rsidRPr="0043774B" w:rsidRDefault="00624065" w:rsidP="00B95918">
            <w:pPr>
              <w:pStyle w:val="TableParagraph"/>
              <w:spacing w:after="100" w:afterAutospacing="1" w:line="240" w:lineRule="auto"/>
              <w:ind w:left="141"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Yes</w:t>
            </w:r>
          </w:p>
        </w:tc>
        <w:tc>
          <w:tcPr>
            <w:tcW w:w="994" w:type="dxa"/>
          </w:tcPr>
          <w:p w:rsidR="00624065" w:rsidRPr="0043774B" w:rsidRDefault="00624065" w:rsidP="00B95918">
            <w:pPr>
              <w:pStyle w:val="TableParagraph"/>
              <w:spacing w:after="100" w:afterAutospacing="1" w:line="240" w:lineRule="auto"/>
              <w:jc w:val="center"/>
              <w:rPr>
                <w:rFonts w:asciiTheme="minorHAnsi" w:hAnsiTheme="minorHAnsi" w:cstheme="minorHAnsi"/>
                <w:sz w:val="18"/>
                <w:szCs w:val="18"/>
              </w:rPr>
            </w:pPr>
            <w:r>
              <w:rPr>
                <w:rFonts w:asciiTheme="minorHAnsi" w:hAnsiTheme="minorHAnsi" w:cstheme="minorHAnsi"/>
                <w:sz w:val="18"/>
                <w:szCs w:val="18"/>
              </w:rPr>
              <w:t xml:space="preserve">Y </w:t>
            </w:r>
          </w:p>
        </w:tc>
      </w:tr>
      <w:tr w:rsidR="00624065" w:rsidRPr="00375F11" w:rsidTr="00B95918">
        <w:trPr>
          <w:trHeight w:val="302"/>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84(1)(a)</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Subject-matter and value of the contract</w:t>
            </w:r>
            <w:r>
              <w:rPr>
                <w:color w:val="858589"/>
                <w:sz w:val="18"/>
                <w:szCs w:val="18"/>
              </w:rPr>
              <w:br/>
            </w:r>
            <w:r>
              <w:rPr>
                <w:sz w:val="18"/>
                <w:szCs w:val="18"/>
              </w:rPr>
              <w:t xml:space="preserve">Mobile Application Support Platform - Pronto Licencing and Support – </w:t>
            </w:r>
            <w:r w:rsidRPr="00E407C6">
              <w:rPr>
                <w:sz w:val="18"/>
                <w:szCs w:val="18"/>
              </w:rPr>
              <w:t>£5,034,929.90</w:t>
            </w:r>
          </w:p>
        </w:tc>
        <w:tc>
          <w:tcPr>
            <w:tcW w:w="1275" w:type="dxa"/>
          </w:tcPr>
          <w:p w:rsidR="00624065" w:rsidRPr="0043774B" w:rsidRDefault="00624065" w:rsidP="00B95918">
            <w:pPr>
              <w:pStyle w:val="TableParagraph"/>
              <w:spacing w:after="100" w:afterAutospacing="1" w:line="240" w:lineRule="auto"/>
              <w:ind w:left="141"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Yes</w:t>
            </w:r>
          </w:p>
        </w:tc>
        <w:tc>
          <w:tcPr>
            <w:tcW w:w="994" w:type="dxa"/>
          </w:tcPr>
          <w:p w:rsidR="00624065" w:rsidRDefault="00624065" w:rsidP="00B95918">
            <w:pPr>
              <w:jc w:val="center"/>
            </w:pPr>
            <w:r>
              <w:rPr>
                <w:rFonts w:cstheme="minorHAnsi"/>
                <w:sz w:val="18"/>
                <w:szCs w:val="18"/>
              </w:rPr>
              <w:t xml:space="preserve">Y </w:t>
            </w:r>
          </w:p>
        </w:tc>
      </w:tr>
      <w:tr w:rsidR="00624065" w:rsidRPr="00375F11" w:rsidTr="00B95918">
        <w:trPr>
          <w:trHeight w:val="507"/>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84(1)(b)</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Names of candidates/t</w:t>
            </w:r>
            <w:r>
              <w:rPr>
                <w:color w:val="858589"/>
                <w:sz w:val="18"/>
                <w:szCs w:val="18"/>
              </w:rPr>
              <w:t xml:space="preserve">enderers passing any selection </w:t>
            </w:r>
            <w:r w:rsidRPr="0043774B">
              <w:rPr>
                <w:color w:val="858589"/>
                <w:sz w:val="18"/>
                <w:szCs w:val="18"/>
              </w:rPr>
              <w:t>stage and the reasons for their selection</w:t>
            </w:r>
            <w:r>
              <w:rPr>
                <w:color w:val="858589"/>
                <w:sz w:val="18"/>
                <w:szCs w:val="18"/>
              </w:rPr>
              <w:t>.</w:t>
            </w:r>
            <w:r>
              <w:rPr>
                <w:color w:val="858589"/>
                <w:sz w:val="18"/>
                <w:szCs w:val="18"/>
              </w:rPr>
              <w:br/>
            </w:r>
            <w:r w:rsidRPr="00F87DB0">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Pr>
                <w:rFonts w:cstheme="minorHAnsi"/>
                <w:sz w:val="18"/>
                <w:szCs w:val="18"/>
              </w:rPr>
              <w:t>N</w:t>
            </w:r>
          </w:p>
        </w:tc>
      </w:tr>
      <w:tr w:rsidR="00624065" w:rsidRPr="00375F11" w:rsidTr="00B95918">
        <w:trPr>
          <w:trHeight w:val="542"/>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84(1)(b)</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Names of candidates deselect</w:t>
            </w:r>
            <w:r>
              <w:rPr>
                <w:color w:val="858589"/>
                <w:sz w:val="18"/>
                <w:szCs w:val="18"/>
              </w:rPr>
              <w:t xml:space="preserve">ed following any selection </w:t>
            </w:r>
            <w:r w:rsidRPr="0043774B">
              <w:rPr>
                <w:color w:val="858589"/>
                <w:sz w:val="18"/>
                <w:szCs w:val="18"/>
              </w:rPr>
              <w:t>stage and the reasons for their deselection.</w:t>
            </w:r>
            <w:r>
              <w:rPr>
                <w:color w:val="858589"/>
                <w:sz w:val="18"/>
                <w:szCs w:val="18"/>
              </w:rPr>
              <w:br/>
            </w:r>
            <w:r w:rsidRPr="00F87DB0">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720"/>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84(1)(b)</w:t>
            </w:r>
          </w:p>
        </w:tc>
        <w:tc>
          <w:tcPr>
            <w:tcW w:w="7797" w:type="dxa"/>
          </w:tcPr>
          <w:p w:rsidR="00624065" w:rsidRPr="00F87DB0" w:rsidRDefault="00624065" w:rsidP="00B95918">
            <w:pPr>
              <w:pStyle w:val="TableParagraph"/>
              <w:spacing w:after="100" w:afterAutospacing="1" w:line="240" w:lineRule="auto"/>
              <w:ind w:right="209"/>
              <w:rPr>
                <w:sz w:val="18"/>
                <w:szCs w:val="18"/>
              </w:rPr>
            </w:pPr>
            <w:r w:rsidRPr="00F87DB0">
              <w:rPr>
                <w:color w:val="858589"/>
                <w:sz w:val="18"/>
                <w:szCs w:val="18"/>
              </w:rPr>
              <w:t>Names of bidders selected (following a “reduction of numbers” under Regulation 66), to continue to take part in a competitive with negotiation or competitive dialogue process, and the reasons for their selection.</w:t>
            </w:r>
            <w:r w:rsidRPr="00F87DB0">
              <w:rPr>
                <w:color w:val="858589"/>
                <w:sz w:val="18"/>
                <w:szCs w:val="18"/>
              </w:rPr>
              <w:br/>
            </w:r>
            <w:r w:rsidRPr="00F87DB0">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689"/>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84(1)(b)</w:t>
            </w:r>
          </w:p>
        </w:tc>
        <w:tc>
          <w:tcPr>
            <w:tcW w:w="7797" w:type="dxa"/>
          </w:tcPr>
          <w:p w:rsidR="00624065" w:rsidRPr="0043774B" w:rsidRDefault="00624065" w:rsidP="00B95918">
            <w:pPr>
              <w:pStyle w:val="TableParagraph"/>
              <w:spacing w:after="100" w:afterAutospacing="1" w:line="240" w:lineRule="auto"/>
              <w:ind w:right="311"/>
              <w:rPr>
                <w:sz w:val="18"/>
                <w:szCs w:val="18"/>
              </w:rPr>
            </w:pPr>
            <w:r w:rsidRPr="0043774B">
              <w:rPr>
                <w:color w:val="858589"/>
                <w:sz w:val="18"/>
                <w:szCs w:val="18"/>
              </w:rPr>
              <w:t>Names of bidders deselected (following a “reduction of numbers” under Regulation 66) from a competitive with negotiation or competitive dialogue process, and the reasons for their deselection</w:t>
            </w:r>
            <w:r>
              <w:rPr>
                <w:color w:val="858589"/>
                <w:sz w:val="18"/>
                <w:szCs w:val="18"/>
              </w:rPr>
              <w:t>.</w:t>
            </w:r>
            <w:r>
              <w:rPr>
                <w:color w:val="858589"/>
                <w:sz w:val="18"/>
                <w:szCs w:val="18"/>
              </w:rPr>
              <w:br/>
            </w:r>
            <w:r w:rsidRPr="00F87DB0">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304"/>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84(1)(c)</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Reasons for rejection of any tender found to be abnormally low</w:t>
            </w:r>
            <w:r>
              <w:rPr>
                <w:color w:val="858589"/>
                <w:sz w:val="18"/>
                <w:szCs w:val="18"/>
              </w:rPr>
              <w:br/>
            </w:r>
            <w:r w:rsidRPr="00F87DB0">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302"/>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84(1)(d)</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Name(s) of successful bidder(s)</w:t>
            </w:r>
            <w:r>
              <w:rPr>
                <w:color w:val="858589"/>
                <w:sz w:val="18"/>
                <w:szCs w:val="18"/>
              </w:rPr>
              <w:br/>
              <w:t xml:space="preserve">Bidder Name(s) </w:t>
            </w:r>
            <w:r>
              <w:rPr>
                <w:sz w:val="18"/>
                <w:szCs w:val="18"/>
              </w:rPr>
              <w:t>British Telecom PLC</w:t>
            </w:r>
          </w:p>
        </w:tc>
        <w:tc>
          <w:tcPr>
            <w:tcW w:w="1275" w:type="dxa"/>
          </w:tcPr>
          <w:p w:rsidR="00624065" w:rsidRPr="0043774B" w:rsidRDefault="00624065" w:rsidP="00B95918">
            <w:pPr>
              <w:pStyle w:val="TableParagraph"/>
              <w:spacing w:after="100" w:afterAutospacing="1" w:line="240" w:lineRule="auto"/>
              <w:ind w:left="141"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Yes</w:t>
            </w:r>
          </w:p>
        </w:tc>
        <w:tc>
          <w:tcPr>
            <w:tcW w:w="994" w:type="dxa"/>
          </w:tcPr>
          <w:p w:rsidR="00624065" w:rsidRDefault="00624065" w:rsidP="00B95918">
            <w:pPr>
              <w:jc w:val="center"/>
            </w:pPr>
            <w:r>
              <w:rPr>
                <w:rFonts w:cstheme="minorHAnsi"/>
                <w:sz w:val="18"/>
                <w:szCs w:val="18"/>
              </w:rPr>
              <w:t>Y</w:t>
            </w:r>
          </w:p>
        </w:tc>
      </w:tr>
      <w:tr w:rsidR="00624065" w:rsidRPr="00375F11" w:rsidTr="00B95918">
        <w:trPr>
          <w:trHeight w:val="304"/>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84(1)(d)</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Reasons why successful bid(s) was/were selected</w:t>
            </w:r>
            <w:r>
              <w:rPr>
                <w:color w:val="858589"/>
                <w:sz w:val="18"/>
                <w:szCs w:val="18"/>
              </w:rPr>
              <w:br/>
            </w:r>
            <w:r w:rsidRPr="0090596C">
              <w:rPr>
                <w:sz w:val="18"/>
                <w:szCs w:val="18"/>
              </w:rPr>
              <w:t>Reasons Proven to be the most economic</w:t>
            </w:r>
            <w:r>
              <w:rPr>
                <w:sz w:val="18"/>
                <w:szCs w:val="18"/>
              </w:rPr>
              <w:t>ally advantageous after evaluation</w:t>
            </w:r>
          </w:p>
        </w:tc>
        <w:tc>
          <w:tcPr>
            <w:tcW w:w="1275" w:type="dxa"/>
          </w:tcPr>
          <w:p w:rsidR="00624065" w:rsidRPr="0043774B" w:rsidRDefault="00624065" w:rsidP="00B95918">
            <w:pPr>
              <w:pStyle w:val="TableParagraph"/>
              <w:spacing w:after="100" w:afterAutospacing="1" w:line="240" w:lineRule="auto"/>
              <w:ind w:left="141"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Yes</w:t>
            </w:r>
          </w:p>
        </w:tc>
        <w:tc>
          <w:tcPr>
            <w:tcW w:w="994" w:type="dxa"/>
          </w:tcPr>
          <w:p w:rsidR="00624065" w:rsidRDefault="00624065" w:rsidP="00B95918">
            <w:pPr>
              <w:jc w:val="center"/>
            </w:pPr>
            <w:r>
              <w:rPr>
                <w:rFonts w:cstheme="minorHAnsi"/>
                <w:sz w:val="18"/>
                <w:szCs w:val="18"/>
              </w:rPr>
              <w:t>Y</w:t>
            </w:r>
          </w:p>
        </w:tc>
      </w:tr>
      <w:tr w:rsidR="00624065" w:rsidRPr="00375F11" w:rsidTr="00B95918">
        <w:trPr>
          <w:trHeight w:val="471"/>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84(1)(d)</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Share of the contract/framework agreement that the successful bidder intends to sub-contract</w:t>
            </w:r>
            <w:r>
              <w:rPr>
                <w:color w:val="858589"/>
                <w:sz w:val="18"/>
                <w:szCs w:val="18"/>
              </w:rPr>
              <w:br/>
              <w:t xml:space="preserve">Percentage of contract sub-contracted - </w:t>
            </w:r>
            <w:r w:rsidRPr="0090596C">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304"/>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84(1)(d)</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Names of the main sub-contractors</w:t>
            </w:r>
            <w:r>
              <w:rPr>
                <w:color w:val="858589"/>
                <w:sz w:val="18"/>
                <w:szCs w:val="18"/>
              </w:rPr>
              <w:br/>
              <w:t>Names of Sub-Contractors</w:t>
            </w:r>
            <w:r w:rsidRPr="0090596C">
              <w:rPr>
                <w:sz w:val="18"/>
                <w:szCs w:val="18"/>
              </w:rPr>
              <w:t xml:space="preserve"> 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525"/>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84(1)(e)</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Justification for use of competition with negotiation process or competitive dialogue process (see Regulation 26)</w:t>
            </w:r>
            <w:r>
              <w:rPr>
                <w:color w:val="858589"/>
                <w:sz w:val="18"/>
                <w:szCs w:val="18"/>
              </w:rPr>
              <w:t xml:space="preserve"> Justification  </w:t>
            </w:r>
            <w:r w:rsidRPr="0090596C">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277"/>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84(1)(f)</w:t>
            </w:r>
          </w:p>
        </w:tc>
        <w:tc>
          <w:tcPr>
            <w:tcW w:w="7797" w:type="dxa"/>
          </w:tcPr>
          <w:p w:rsidR="00624065" w:rsidRPr="00F819E2" w:rsidRDefault="00624065" w:rsidP="00B95918">
            <w:pPr>
              <w:pStyle w:val="TableParagraph"/>
              <w:spacing w:after="100" w:afterAutospacing="1" w:line="240" w:lineRule="auto"/>
              <w:rPr>
                <w:color w:val="858589"/>
                <w:sz w:val="18"/>
                <w:szCs w:val="18"/>
              </w:rPr>
            </w:pPr>
            <w:r w:rsidRPr="0043774B">
              <w:rPr>
                <w:color w:val="858589"/>
                <w:sz w:val="18"/>
                <w:szCs w:val="18"/>
              </w:rPr>
              <w:t>Justification for use of negotiated procedure without a notice (see Regulation 32)</w:t>
            </w:r>
            <w:r>
              <w:rPr>
                <w:color w:val="858589"/>
                <w:sz w:val="18"/>
                <w:szCs w:val="18"/>
              </w:rPr>
              <w:br/>
              <w:t xml:space="preserve">Justification </w:t>
            </w:r>
            <w:r w:rsidRPr="00A9371A">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606"/>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84(1)(g)</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Reasons why the contracting authority decided not to award the contract/framework agreement</w:t>
            </w:r>
            <w:r>
              <w:rPr>
                <w:color w:val="858589"/>
                <w:sz w:val="18"/>
                <w:szCs w:val="18"/>
              </w:rPr>
              <w:t>.</w:t>
            </w:r>
            <w:r>
              <w:rPr>
                <w:color w:val="858589"/>
                <w:sz w:val="18"/>
                <w:szCs w:val="18"/>
              </w:rPr>
              <w:br/>
              <w:t xml:space="preserve">Reason </w:t>
            </w:r>
            <w:r w:rsidRPr="00A9371A">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361"/>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84(1)(h)</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Reasons why non-electronic means was used for submission of tenders</w:t>
            </w:r>
            <w:r>
              <w:rPr>
                <w:color w:val="858589"/>
                <w:sz w:val="18"/>
                <w:szCs w:val="18"/>
              </w:rPr>
              <w:t>.</w:t>
            </w:r>
            <w:r>
              <w:rPr>
                <w:color w:val="858589"/>
                <w:sz w:val="18"/>
                <w:szCs w:val="18"/>
              </w:rPr>
              <w:br/>
              <w:t xml:space="preserve">Reason </w:t>
            </w:r>
            <w:r w:rsidRPr="00A9371A">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409"/>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84(1)(</w:t>
            </w:r>
            <w:proofErr w:type="spellStart"/>
            <w:r w:rsidRPr="0043774B">
              <w:rPr>
                <w:color w:val="858589"/>
                <w:sz w:val="18"/>
                <w:szCs w:val="18"/>
              </w:rPr>
              <w:t>i</w:t>
            </w:r>
            <w:proofErr w:type="spellEnd"/>
            <w:r w:rsidRPr="0043774B">
              <w:rPr>
                <w:color w:val="858589"/>
                <w:sz w:val="18"/>
                <w:szCs w:val="18"/>
              </w:rPr>
              <w:t>)</w:t>
            </w:r>
          </w:p>
        </w:tc>
        <w:tc>
          <w:tcPr>
            <w:tcW w:w="7797" w:type="dxa"/>
          </w:tcPr>
          <w:p w:rsidR="00624065" w:rsidRPr="0043774B" w:rsidRDefault="00624065" w:rsidP="00B95918">
            <w:pPr>
              <w:pStyle w:val="TableParagraph"/>
              <w:spacing w:after="100" w:afterAutospacing="1" w:line="240" w:lineRule="auto"/>
              <w:rPr>
                <w:sz w:val="18"/>
                <w:szCs w:val="18"/>
              </w:rPr>
            </w:pPr>
            <w:r w:rsidRPr="0043774B">
              <w:rPr>
                <w:color w:val="858589"/>
                <w:sz w:val="18"/>
                <w:szCs w:val="18"/>
              </w:rPr>
              <w:t>Details of conflicts of interest detected and measures taken to nullify these</w:t>
            </w:r>
            <w:r>
              <w:rPr>
                <w:color w:val="858589"/>
                <w:sz w:val="18"/>
                <w:szCs w:val="18"/>
              </w:rPr>
              <w:t>.</w:t>
            </w:r>
            <w:r>
              <w:rPr>
                <w:color w:val="858589"/>
                <w:sz w:val="18"/>
                <w:szCs w:val="18"/>
              </w:rPr>
              <w:br/>
              <w:t xml:space="preserve">Details </w:t>
            </w:r>
            <w:r w:rsidRPr="00A9371A">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1123"/>
          <w:jc w:val="center"/>
        </w:trPr>
        <w:tc>
          <w:tcPr>
            <w:tcW w:w="1129" w:type="dxa"/>
          </w:tcPr>
          <w:p w:rsidR="00624065" w:rsidRPr="0043774B" w:rsidRDefault="00624065" w:rsidP="00B95918">
            <w:pPr>
              <w:pStyle w:val="TableParagraph"/>
              <w:spacing w:after="100" w:afterAutospacing="1" w:line="240" w:lineRule="auto"/>
              <w:ind w:left="110"/>
              <w:rPr>
                <w:sz w:val="18"/>
                <w:szCs w:val="18"/>
              </w:rPr>
            </w:pPr>
            <w:r w:rsidRPr="0043774B">
              <w:rPr>
                <w:color w:val="858589"/>
                <w:sz w:val="18"/>
                <w:szCs w:val="18"/>
              </w:rPr>
              <w:t>76(4)(b)(iii)</w:t>
            </w:r>
          </w:p>
        </w:tc>
        <w:tc>
          <w:tcPr>
            <w:tcW w:w="7797" w:type="dxa"/>
          </w:tcPr>
          <w:p w:rsidR="00624065" w:rsidRPr="0043774B" w:rsidRDefault="00624065" w:rsidP="00B95918">
            <w:pPr>
              <w:pStyle w:val="TableParagraph"/>
              <w:spacing w:after="100" w:afterAutospacing="1" w:line="240" w:lineRule="auto"/>
              <w:ind w:right="250"/>
              <w:rPr>
                <w:sz w:val="18"/>
                <w:szCs w:val="18"/>
              </w:rPr>
            </w:pPr>
            <w:r w:rsidRPr="0043774B">
              <w:rPr>
                <w:color w:val="858589"/>
                <w:sz w:val="18"/>
                <w:szCs w:val="18"/>
              </w:rPr>
              <w:t>In a Light Touch regime process, where the contracting authority has chosen to depart from the process as originally stated in the procurement documents (in accordance with the conditions permitting this at Regulation 76(4)), this decision and the reasons behind it must be documented in compliance with Regulations 84(7) and (8)</w:t>
            </w:r>
            <w:r>
              <w:rPr>
                <w:color w:val="858589"/>
                <w:sz w:val="18"/>
                <w:szCs w:val="18"/>
              </w:rPr>
              <w:t>.</w:t>
            </w:r>
            <w:r>
              <w:rPr>
                <w:color w:val="858589"/>
                <w:sz w:val="18"/>
                <w:szCs w:val="18"/>
              </w:rPr>
              <w:br/>
              <w:t xml:space="preserve">Reasons </w:t>
            </w:r>
            <w:r w:rsidRPr="00A9371A">
              <w:rPr>
                <w:sz w:val="18"/>
                <w:szCs w:val="18"/>
              </w:rPr>
              <w:t>N/A</w:t>
            </w:r>
          </w:p>
        </w:tc>
        <w:tc>
          <w:tcPr>
            <w:tcW w:w="1275" w:type="dxa"/>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sz w:val="18"/>
                <w:szCs w:val="18"/>
              </w:rPr>
            </w:pPr>
            <w:r w:rsidRPr="0043774B">
              <w:rPr>
                <w:rFonts w:asciiTheme="minorHAnsi" w:hAnsiTheme="minorHAnsi" w:cstheme="minorHAnsi"/>
                <w:color w:val="858589"/>
                <w:sz w:val="18"/>
                <w:szCs w:val="18"/>
              </w:rPr>
              <w:t>If relevant</w:t>
            </w:r>
          </w:p>
        </w:tc>
        <w:tc>
          <w:tcPr>
            <w:tcW w:w="994" w:type="dxa"/>
          </w:tcPr>
          <w:p w:rsidR="00624065" w:rsidRDefault="00624065" w:rsidP="00B95918">
            <w:pPr>
              <w:jc w:val="center"/>
            </w:pPr>
            <w:r w:rsidRPr="00BF4C95">
              <w:rPr>
                <w:rFonts w:cstheme="minorHAnsi"/>
                <w:sz w:val="18"/>
                <w:szCs w:val="18"/>
              </w:rPr>
              <w:t>N</w:t>
            </w:r>
          </w:p>
        </w:tc>
      </w:tr>
      <w:tr w:rsidR="00624065" w:rsidRPr="00375F11" w:rsidTr="00B95918">
        <w:trPr>
          <w:trHeight w:val="1139"/>
          <w:jc w:val="center"/>
        </w:trPr>
        <w:tc>
          <w:tcPr>
            <w:tcW w:w="1129" w:type="dxa"/>
            <w:tcBorders>
              <w:bottom w:val="single" w:sz="4" w:space="0" w:color="000000"/>
            </w:tcBorders>
          </w:tcPr>
          <w:p w:rsidR="00624065" w:rsidRPr="0043774B" w:rsidRDefault="00624065" w:rsidP="00B95918">
            <w:pPr>
              <w:pStyle w:val="TableParagraph"/>
              <w:spacing w:after="100" w:afterAutospacing="1" w:line="240" w:lineRule="auto"/>
              <w:ind w:left="110"/>
              <w:rPr>
                <w:color w:val="858589"/>
                <w:sz w:val="18"/>
                <w:szCs w:val="18"/>
              </w:rPr>
            </w:pPr>
            <w:r w:rsidRPr="0043774B">
              <w:rPr>
                <w:color w:val="858589"/>
                <w:sz w:val="18"/>
                <w:szCs w:val="18"/>
              </w:rPr>
              <w:t>58(9)</w:t>
            </w:r>
          </w:p>
        </w:tc>
        <w:tc>
          <w:tcPr>
            <w:tcW w:w="7797" w:type="dxa"/>
            <w:tcBorders>
              <w:bottom w:val="single" w:sz="4" w:space="0" w:color="000000"/>
            </w:tcBorders>
          </w:tcPr>
          <w:p w:rsidR="00624065" w:rsidRPr="0043774B" w:rsidRDefault="00624065" w:rsidP="00B95918">
            <w:pPr>
              <w:pStyle w:val="TableParagraph"/>
              <w:spacing w:after="100" w:afterAutospacing="1" w:line="240" w:lineRule="auto"/>
              <w:ind w:right="250"/>
              <w:rPr>
                <w:color w:val="858589"/>
                <w:sz w:val="18"/>
                <w:szCs w:val="18"/>
              </w:rPr>
            </w:pPr>
            <w:r w:rsidRPr="0043774B">
              <w:rPr>
                <w:color w:val="858589"/>
                <w:sz w:val="18"/>
                <w:szCs w:val="18"/>
              </w:rPr>
              <w:t>If not recorded elsewhere in the procurement documentation, an indication of the main reasons why the contracting authority considers there to be a justified case for requiring bidders to evidence turnover that is greater than the standard permitted maximum of twice the estimated contract value (for example, due to special risks attached to the nature of the works, services or supplies)</w:t>
            </w:r>
            <w:r>
              <w:rPr>
                <w:color w:val="858589"/>
                <w:sz w:val="18"/>
                <w:szCs w:val="18"/>
              </w:rPr>
              <w:t>.</w:t>
            </w:r>
            <w:r>
              <w:rPr>
                <w:color w:val="858589"/>
                <w:sz w:val="18"/>
                <w:szCs w:val="18"/>
              </w:rPr>
              <w:br/>
              <w:t xml:space="preserve">Reasons for evidencing turnover </w:t>
            </w:r>
            <w:r w:rsidRPr="00A9371A">
              <w:rPr>
                <w:sz w:val="18"/>
                <w:szCs w:val="18"/>
              </w:rPr>
              <w:t>N/A</w:t>
            </w:r>
          </w:p>
        </w:tc>
        <w:tc>
          <w:tcPr>
            <w:tcW w:w="1275" w:type="dxa"/>
            <w:tcBorders>
              <w:bottom w:val="single" w:sz="4" w:space="0" w:color="000000"/>
            </w:tcBorders>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color w:val="858589"/>
                <w:sz w:val="18"/>
                <w:szCs w:val="18"/>
              </w:rPr>
            </w:pPr>
            <w:r w:rsidRPr="0043774B">
              <w:rPr>
                <w:rFonts w:asciiTheme="minorHAnsi" w:hAnsiTheme="minorHAnsi" w:cstheme="minorHAnsi"/>
                <w:color w:val="858589"/>
                <w:sz w:val="18"/>
                <w:szCs w:val="18"/>
              </w:rPr>
              <w:t>If relevant</w:t>
            </w:r>
          </w:p>
        </w:tc>
        <w:tc>
          <w:tcPr>
            <w:tcW w:w="994" w:type="dxa"/>
            <w:tcBorders>
              <w:bottom w:val="single" w:sz="4" w:space="0" w:color="000000"/>
            </w:tcBorders>
          </w:tcPr>
          <w:p w:rsidR="00624065" w:rsidRDefault="00624065" w:rsidP="00B95918">
            <w:pPr>
              <w:jc w:val="center"/>
            </w:pPr>
            <w:r w:rsidRPr="00BF4C95">
              <w:rPr>
                <w:rFonts w:cstheme="minorHAnsi"/>
                <w:sz w:val="18"/>
                <w:szCs w:val="18"/>
              </w:rPr>
              <w:t>N</w:t>
            </w:r>
          </w:p>
        </w:tc>
      </w:tr>
      <w:tr w:rsidR="00624065" w:rsidRPr="00375F11" w:rsidTr="00B95918">
        <w:trPr>
          <w:trHeight w:val="547"/>
          <w:jc w:val="center"/>
        </w:trPr>
        <w:tc>
          <w:tcPr>
            <w:tcW w:w="1129" w:type="dxa"/>
            <w:tcBorders>
              <w:bottom w:val="single" w:sz="4" w:space="0" w:color="auto"/>
            </w:tcBorders>
          </w:tcPr>
          <w:p w:rsidR="00624065" w:rsidRPr="0043774B" w:rsidRDefault="00624065" w:rsidP="00B95918">
            <w:pPr>
              <w:pStyle w:val="TableParagraph"/>
              <w:spacing w:after="100" w:afterAutospacing="1" w:line="240" w:lineRule="auto"/>
              <w:ind w:left="110"/>
              <w:rPr>
                <w:color w:val="858589"/>
                <w:sz w:val="18"/>
                <w:szCs w:val="18"/>
              </w:rPr>
            </w:pPr>
            <w:r w:rsidRPr="0043774B">
              <w:rPr>
                <w:color w:val="858589"/>
                <w:sz w:val="18"/>
                <w:szCs w:val="18"/>
              </w:rPr>
              <w:t>46(2)</w:t>
            </w:r>
          </w:p>
        </w:tc>
        <w:tc>
          <w:tcPr>
            <w:tcW w:w="7797" w:type="dxa"/>
            <w:tcBorders>
              <w:bottom w:val="single" w:sz="4" w:space="0" w:color="auto"/>
            </w:tcBorders>
          </w:tcPr>
          <w:p w:rsidR="00624065" w:rsidRPr="0043774B" w:rsidRDefault="00624065" w:rsidP="00B95918">
            <w:pPr>
              <w:pStyle w:val="TableParagraph"/>
              <w:spacing w:after="100" w:afterAutospacing="1" w:line="240" w:lineRule="auto"/>
              <w:ind w:right="250"/>
              <w:rPr>
                <w:color w:val="858589"/>
                <w:sz w:val="18"/>
                <w:szCs w:val="18"/>
              </w:rPr>
            </w:pPr>
            <w:r w:rsidRPr="0043774B">
              <w:rPr>
                <w:color w:val="858589"/>
                <w:sz w:val="18"/>
                <w:szCs w:val="18"/>
              </w:rPr>
              <w:t>If not recorded elsewhere in the procurement documentation, the main reasons for decision of the contracting authority not to subdivide the requirement into lots</w:t>
            </w:r>
            <w:r>
              <w:rPr>
                <w:color w:val="858589"/>
                <w:sz w:val="18"/>
                <w:szCs w:val="18"/>
              </w:rPr>
              <w:t>.</w:t>
            </w:r>
            <w:r>
              <w:rPr>
                <w:color w:val="858589"/>
                <w:sz w:val="18"/>
                <w:szCs w:val="18"/>
              </w:rPr>
              <w:br/>
              <w:t xml:space="preserve">Reasons for not </w:t>
            </w:r>
            <w:proofErr w:type="spellStart"/>
            <w:r>
              <w:rPr>
                <w:color w:val="858589"/>
                <w:sz w:val="18"/>
                <w:szCs w:val="18"/>
              </w:rPr>
              <w:t>Loting</w:t>
            </w:r>
            <w:proofErr w:type="spellEnd"/>
            <w:r>
              <w:rPr>
                <w:color w:val="858589"/>
                <w:sz w:val="18"/>
                <w:szCs w:val="18"/>
              </w:rPr>
              <w:t xml:space="preserve"> </w:t>
            </w:r>
            <w:r w:rsidRPr="00A9371A">
              <w:rPr>
                <w:sz w:val="18"/>
                <w:szCs w:val="18"/>
              </w:rPr>
              <w:t>N/A</w:t>
            </w:r>
          </w:p>
        </w:tc>
        <w:tc>
          <w:tcPr>
            <w:tcW w:w="1275" w:type="dxa"/>
            <w:tcBorders>
              <w:bottom w:val="single" w:sz="4" w:space="0" w:color="auto"/>
            </w:tcBorders>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color w:val="858589"/>
                <w:sz w:val="18"/>
                <w:szCs w:val="18"/>
              </w:rPr>
            </w:pPr>
            <w:r w:rsidRPr="0043774B">
              <w:rPr>
                <w:rFonts w:asciiTheme="minorHAnsi" w:hAnsiTheme="minorHAnsi" w:cstheme="minorHAnsi"/>
                <w:color w:val="858589"/>
                <w:sz w:val="18"/>
                <w:szCs w:val="18"/>
              </w:rPr>
              <w:t>If relevant</w:t>
            </w:r>
          </w:p>
        </w:tc>
        <w:tc>
          <w:tcPr>
            <w:tcW w:w="994" w:type="dxa"/>
            <w:tcBorders>
              <w:bottom w:val="single" w:sz="4" w:space="0" w:color="auto"/>
            </w:tcBorders>
          </w:tcPr>
          <w:p w:rsidR="00624065" w:rsidRDefault="00624065" w:rsidP="00B95918">
            <w:pPr>
              <w:jc w:val="center"/>
            </w:pPr>
            <w:r w:rsidRPr="00BF4C95">
              <w:rPr>
                <w:rFonts w:cstheme="minorHAnsi"/>
                <w:sz w:val="18"/>
                <w:szCs w:val="18"/>
              </w:rPr>
              <w:t>N</w:t>
            </w:r>
          </w:p>
        </w:tc>
      </w:tr>
      <w:tr w:rsidR="00624065" w:rsidRPr="00375F11" w:rsidTr="00B95918">
        <w:trPr>
          <w:trHeight w:val="547"/>
          <w:jc w:val="center"/>
        </w:trPr>
        <w:tc>
          <w:tcPr>
            <w:tcW w:w="1129" w:type="dxa"/>
            <w:tcBorders>
              <w:top w:val="single" w:sz="4" w:space="0" w:color="auto"/>
              <w:left w:val="nil"/>
              <w:bottom w:val="nil"/>
              <w:right w:val="nil"/>
            </w:tcBorders>
          </w:tcPr>
          <w:p w:rsidR="00624065" w:rsidRPr="0043774B" w:rsidRDefault="00624065" w:rsidP="00B95918">
            <w:pPr>
              <w:pStyle w:val="TableParagraph"/>
              <w:spacing w:after="100" w:afterAutospacing="1" w:line="240" w:lineRule="auto"/>
              <w:ind w:left="110"/>
              <w:rPr>
                <w:color w:val="858589"/>
                <w:sz w:val="18"/>
                <w:szCs w:val="18"/>
              </w:rPr>
            </w:pPr>
          </w:p>
        </w:tc>
        <w:tc>
          <w:tcPr>
            <w:tcW w:w="7797" w:type="dxa"/>
            <w:tcBorders>
              <w:top w:val="single" w:sz="4" w:space="0" w:color="auto"/>
              <w:left w:val="nil"/>
              <w:bottom w:val="nil"/>
              <w:right w:val="nil"/>
            </w:tcBorders>
          </w:tcPr>
          <w:p w:rsidR="00624065" w:rsidRPr="0043774B" w:rsidRDefault="00624065" w:rsidP="00B95918">
            <w:pPr>
              <w:pStyle w:val="TableParagraph"/>
              <w:spacing w:after="100" w:afterAutospacing="1" w:line="240" w:lineRule="auto"/>
              <w:ind w:right="250"/>
              <w:rPr>
                <w:color w:val="858589"/>
                <w:sz w:val="18"/>
                <w:szCs w:val="18"/>
              </w:rPr>
            </w:pPr>
          </w:p>
        </w:tc>
        <w:tc>
          <w:tcPr>
            <w:tcW w:w="1275" w:type="dxa"/>
            <w:tcBorders>
              <w:top w:val="single" w:sz="4" w:space="0" w:color="auto"/>
              <w:left w:val="nil"/>
              <w:bottom w:val="nil"/>
              <w:right w:val="nil"/>
            </w:tcBorders>
          </w:tcPr>
          <w:p w:rsidR="00624065" w:rsidRPr="0043774B" w:rsidRDefault="00624065" w:rsidP="00B95918">
            <w:pPr>
              <w:pStyle w:val="TableParagraph"/>
              <w:spacing w:after="100" w:afterAutospacing="1" w:line="240" w:lineRule="auto"/>
              <w:ind w:left="142" w:right="132"/>
              <w:jc w:val="center"/>
              <w:rPr>
                <w:rFonts w:asciiTheme="minorHAnsi" w:hAnsiTheme="minorHAnsi" w:cstheme="minorHAnsi"/>
                <w:color w:val="858589"/>
                <w:sz w:val="18"/>
                <w:szCs w:val="18"/>
              </w:rPr>
            </w:pPr>
          </w:p>
        </w:tc>
        <w:tc>
          <w:tcPr>
            <w:tcW w:w="994" w:type="dxa"/>
            <w:tcBorders>
              <w:top w:val="single" w:sz="4" w:space="0" w:color="auto"/>
              <w:left w:val="nil"/>
              <w:bottom w:val="nil"/>
              <w:right w:val="nil"/>
            </w:tcBorders>
          </w:tcPr>
          <w:p w:rsidR="00624065" w:rsidRPr="00BF4C95" w:rsidRDefault="00624065" w:rsidP="00B95918">
            <w:pPr>
              <w:jc w:val="center"/>
              <w:rPr>
                <w:rFonts w:cstheme="minorHAnsi"/>
                <w:sz w:val="18"/>
                <w:szCs w:val="18"/>
              </w:rPr>
            </w:pPr>
          </w:p>
        </w:tc>
      </w:tr>
      <w:bookmarkEnd w:id="0"/>
    </w:tbl>
    <w:p w:rsidR="002303E3" w:rsidRDefault="00624065"/>
    <w:sectPr w:rsidR="002303E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065" w:rsidRDefault="00624065" w:rsidP="00624065">
      <w:pPr>
        <w:spacing w:after="0" w:line="240" w:lineRule="auto"/>
      </w:pPr>
      <w:r>
        <w:separator/>
      </w:r>
    </w:p>
  </w:endnote>
  <w:endnote w:type="continuationSeparator" w:id="0">
    <w:p w:rsidR="00624065" w:rsidRDefault="00624065" w:rsidP="0062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205B" w:usb2="0000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065" w:rsidRDefault="00624065" w:rsidP="00624065">
      <w:pPr>
        <w:spacing w:after="0" w:line="240" w:lineRule="auto"/>
      </w:pPr>
      <w:r>
        <w:separator/>
      </w:r>
    </w:p>
  </w:footnote>
  <w:footnote w:type="continuationSeparator" w:id="0">
    <w:p w:rsidR="00624065" w:rsidRDefault="00624065" w:rsidP="0062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065" w:rsidRDefault="00624065" w:rsidP="00624065">
    <w:pPr>
      <w:spacing w:line="240" w:lineRule="auto"/>
      <w:ind w:left="-1134"/>
      <w:rPr>
        <w:sz w:val="24"/>
      </w:rPr>
    </w:pPr>
    <w:r w:rsidRPr="00F20F16">
      <w:rPr>
        <w:noProof/>
        <w:lang w:eastAsia="en-GB"/>
      </w:rPr>
      <w:drawing>
        <wp:anchor distT="0" distB="0" distL="114300" distR="114300" simplePos="0" relativeHeight="251659264" behindDoc="0" locked="0" layoutInCell="1" allowOverlap="1" wp14:anchorId="0C265A6D" wp14:editId="3667B275">
          <wp:simplePos x="0" y="0"/>
          <wp:positionH relativeFrom="column">
            <wp:posOffset>4762500</wp:posOffset>
          </wp:positionH>
          <wp:positionV relativeFrom="page">
            <wp:posOffset>220345</wp:posOffset>
          </wp:positionV>
          <wp:extent cx="1476375" cy="401046"/>
          <wp:effectExtent l="0" t="0" r="0" b="0"/>
          <wp:wrapNone/>
          <wp:docPr id="2" name="Picture 13" descr="land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nd4col"/>
                  <pic:cNvPicPr>
                    <a:picLocks noChangeAspect="1" noChangeArrowheads="1"/>
                  </pic:cNvPicPr>
                </pic:nvPicPr>
                <pic:blipFill>
                  <a:blip r:embed="rId1" cstate="print"/>
                  <a:srcRect/>
                  <a:stretch>
                    <a:fillRect/>
                  </a:stretch>
                </pic:blipFill>
                <pic:spPr bwMode="auto">
                  <a:xfrm>
                    <a:off x="0" y="0"/>
                    <a:ext cx="1476375" cy="4010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97869">
      <w:rPr>
        <w:sz w:val="24"/>
      </w:rPr>
      <w:t>REGULATION 84 REPORT</w:t>
    </w:r>
    <w:r w:rsidRPr="005D73F6">
      <w:rPr>
        <w:color w:val="FFFFFF" w:themeColor="background1"/>
        <w:sz w:val="24"/>
      </w:rPr>
      <w:t xml:space="preserve"> </w:t>
    </w:r>
  </w:p>
  <w:p w:rsidR="00624065" w:rsidRDefault="006240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65"/>
    <w:rsid w:val="00624065"/>
    <w:rsid w:val="009255E6"/>
    <w:rsid w:val="00944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445F5-C7AC-4458-A4FC-F550A1A2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24065"/>
    <w:pPr>
      <w:widowControl w:val="0"/>
      <w:autoSpaceDE w:val="0"/>
      <w:autoSpaceDN w:val="0"/>
      <w:spacing w:after="0" w:line="250" w:lineRule="exact"/>
      <w:ind w:left="107"/>
    </w:pPr>
    <w:rPr>
      <w:rFonts w:ascii="Arial" w:eastAsia="Arial" w:hAnsi="Arial" w:cs="Arial"/>
      <w:lang w:eastAsia="en-GB" w:bidi="en-GB"/>
    </w:rPr>
  </w:style>
  <w:style w:type="paragraph" w:styleId="Header">
    <w:name w:val="header"/>
    <w:basedOn w:val="Normal"/>
    <w:link w:val="HeaderChar"/>
    <w:uiPriority w:val="99"/>
    <w:unhideWhenUsed/>
    <w:rsid w:val="00624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065"/>
  </w:style>
  <w:style w:type="paragraph" w:styleId="Footer">
    <w:name w:val="footer"/>
    <w:basedOn w:val="Normal"/>
    <w:link w:val="FooterChar"/>
    <w:uiPriority w:val="99"/>
    <w:unhideWhenUsed/>
    <w:rsid w:val="00624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Sowden, Natalie (C3240)</dc:creator>
  <cp:keywords/>
  <dc:description/>
  <cp:lastModifiedBy>Sowden, Natalie (C3240)</cp:lastModifiedBy>
  <cp:revision>1</cp:revision>
  <dcterms:created xsi:type="dcterms:W3CDTF">2021-03-29T09:15:00Z</dcterms:created>
  <dcterms:modified xsi:type="dcterms:W3CDTF">2021-03-29T09:20:00Z</dcterms:modified>
</cp:coreProperties>
</file>