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5F" w:rsidRPr="00276C73" w:rsidRDefault="007F675F">
      <w:pPr>
        <w:rPr>
          <w:b/>
          <w:sz w:val="28"/>
          <w:szCs w:val="28"/>
        </w:rPr>
      </w:pPr>
      <w:bookmarkStart w:id="0" w:name="_GoBack"/>
      <w:bookmarkEnd w:id="0"/>
      <w:r w:rsidRPr="00276C73">
        <w:rPr>
          <w:b/>
          <w:sz w:val="28"/>
          <w:szCs w:val="28"/>
        </w:rPr>
        <w:t xml:space="preserve">RSSB2616 - Identifying best practices in how public procurement can support the uptake of innovation in risk averse industries </w:t>
      </w:r>
    </w:p>
    <w:p w:rsidR="00946481" w:rsidRDefault="00C93221">
      <w:r>
        <w:t>Tender Question and Answer</w:t>
      </w:r>
      <w:r w:rsidR="00946481">
        <w:t xml:space="preserve">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7F675F" w:rsidRDefault="00946481" w:rsidP="009464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Supplier Question 1</w:t>
            </w:r>
          </w:p>
          <w:p w:rsidR="009F3A5C" w:rsidRPr="007F675F" w:rsidRDefault="009F3A5C" w:rsidP="009F3A5C">
            <w:pPr>
              <w:spacing w:after="24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F675F" w:rsidRPr="006A0372" w:rsidRDefault="007F675F" w:rsidP="007F675F">
            <w:pPr>
              <w:rPr>
                <w:rFonts w:eastAsia="Times New Roman"/>
              </w:rPr>
            </w:pPr>
            <w:r w:rsidRPr="006A0372">
              <w:rPr>
                <w:rFonts w:eastAsia="Times New Roman"/>
              </w:rPr>
              <w:t>In Section 6, WP1,</w:t>
            </w:r>
          </w:p>
          <w:p w:rsidR="00946481" w:rsidRDefault="007F675F" w:rsidP="006A0372">
            <w:pPr>
              <w:rPr>
                <w:rFonts w:eastAsia="Times New Roman"/>
              </w:rPr>
            </w:pPr>
            <w:r w:rsidRPr="006A0372">
              <w:rPr>
                <w:rFonts w:eastAsia="Times New Roman"/>
              </w:rPr>
              <w:t>When you wrote “Austria” did you intend “Australia”?</w:t>
            </w:r>
          </w:p>
          <w:p w:rsidR="006A0372" w:rsidRPr="006A0372" w:rsidRDefault="006A0372" w:rsidP="006A0372">
            <w:pPr>
              <w:rPr>
                <w:rFonts w:eastAsia="Times New Roman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7F675F" w:rsidRDefault="0094648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RSSB Answer 1</w:t>
            </w:r>
          </w:p>
          <w:p w:rsidR="00F137F3" w:rsidRPr="007F675F" w:rsidRDefault="00F137F3" w:rsidP="00F137F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46481" w:rsidRPr="007F675F" w:rsidRDefault="007F675F" w:rsidP="00B7385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0372">
              <w:rPr>
                <w:rFonts w:eastAsia="Times New Roman"/>
              </w:rPr>
              <w:t>Where RSSB has written “Austria” this is correct and “Austria” is the term that is intended.</w:t>
            </w:r>
            <w:r w:rsidR="00A2599A" w:rsidRPr="007F675F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6A0372" w:rsidTr="00946481">
        <w:tc>
          <w:tcPr>
            <w:tcW w:w="9016" w:type="dxa"/>
          </w:tcPr>
          <w:p w:rsidR="006A0372" w:rsidRDefault="006A0372" w:rsidP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Supplier Question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  <w:p w:rsidR="006A0372" w:rsidRPr="007F675F" w:rsidRDefault="006A0372" w:rsidP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A0372" w:rsidRDefault="006A03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Should we consider potential changes to UK procurement rules </w:t>
            </w:r>
            <w:proofErr w:type="gramStart"/>
            <w:r>
              <w:rPr>
                <w:rFonts w:eastAsia="Times New Roman"/>
              </w:rPr>
              <w:t>as a result of</w:t>
            </w:r>
            <w:proofErr w:type="gramEnd"/>
            <w:r>
              <w:rPr>
                <w:rFonts w:eastAsia="Times New Roman"/>
              </w:rPr>
              <w:t xml:space="preserve"> Brexit?  If we are no longer under the OJEU public procurement directives post 2019</w:t>
            </w:r>
          </w:p>
          <w:p w:rsidR="006A0372" w:rsidRPr="007F675F" w:rsidRDefault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A0372" w:rsidTr="00946481">
        <w:tc>
          <w:tcPr>
            <w:tcW w:w="9016" w:type="dxa"/>
          </w:tcPr>
          <w:p w:rsidR="006A0372" w:rsidRPr="007F675F" w:rsidRDefault="006A0372" w:rsidP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  <w:p w:rsidR="006A0372" w:rsidRDefault="006A037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252CD" w:rsidRDefault="004252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is not a requirement to consider potential changes to UK procurement rules </w:t>
            </w:r>
            <w:proofErr w:type="gramStart"/>
            <w:r>
              <w:rPr>
                <w:rFonts w:eastAsia="Times New Roman"/>
              </w:rPr>
              <w:t>as a result of</w:t>
            </w:r>
            <w:proofErr w:type="gramEnd"/>
            <w:r>
              <w:rPr>
                <w:rFonts w:eastAsia="Times New Roman"/>
              </w:rPr>
              <w:t xml:space="preserve"> Brexit.</w:t>
            </w:r>
          </w:p>
          <w:p w:rsidR="006A0372" w:rsidRPr="007F675F" w:rsidRDefault="004252C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0F4F" w:rsidTr="00946481">
        <w:tc>
          <w:tcPr>
            <w:tcW w:w="9016" w:type="dxa"/>
          </w:tcPr>
          <w:p w:rsidR="00A30F4F" w:rsidRPr="00EB3B33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B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Supplier Question 3</w:t>
            </w:r>
          </w:p>
          <w:p w:rsidR="00A30F4F" w:rsidRPr="00EB3B33" w:rsidRDefault="00A30F4F" w:rsidP="00A30F4F">
            <w:pPr>
              <w:rPr>
                <w:rFonts w:eastAsia="Times New Roman"/>
              </w:rPr>
            </w:pPr>
          </w:p>
          <w:p w:rsidR="00AE0A1D" w:rsidRDefault="00AE0A1D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What support will RSSB provide on identifying the interviewees/selected representatives as part of the WP1?  Will we be provided with any introductions into the agreed organisations/representatives to ensure access and responsiveness to our interview requests?</w:t>
            </w:r>
          </w:p>
          <w:p w:rsidR="00A30F4F" w:rsidRPr="00EB3B33" w:rsidRDefault="00A30F4F" w:rsidP="00A30F4F">
            <w:pPr>
              <w:rPr>
                <w:rFonts w:eastAsia="Times New Roman"/>
              </w:rPr>
            </w:pPr>
          </w:p>
        </w:tc>
      </w:tr>
      <w:tr w:rsidR="00A30F4F" w:rsidTr="00946481">
        <w:tc>
          <w:tcPr>
            <w:tcW w:w="9016" w:type="dxa"/>
          </w:tcPr>
          <w:p w:rsidR="00A30F4F" w:rsidRPr="007F675F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  <w:p w:rsidR="00A30F4F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A30F4F" w:rsidRDefault="00374205" w:rsidP="00A30F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RSSB cannot identify potential interviewees</w:t>
            </w:r>
            <w:r w:rsidR="00EB3B3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In order to support the contractor in scheduling interviews RSSB can provide the contractor with an introductory</w:t>
            </w:r>
            <w:r w:rsidR="00A2794B">
              <w:rPr>
                <w:rFonts w:eastAsia="Times New Roman"/>
              </w:rPr>
              <w:t xml:space="preserve"> and presentation</w:t>
            </w:r>
            <w:r>
              <w:rPr>
                <w:rFonts w:eastAsia="Times New Roman"/>
              </w:rPr>
              <w:t xml:space="preserve"> letter which can accompany any interview requests the contractor will send.</w:t>
            </w:r>
          </w:p>
          <w:p w:rsidR="00A30F4F" w:rsidRPr="007F675F" w:rsidRDefault="00A30F4F" w:rsidP="00A30F4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3B33" w:rsidTr="00946481">
        <w:tc>
          <w:tcPr>
            <w:tcW w:w="9016" w:type="dxa"/>
          </w:tcPr>
          <w:p w:rsidR="00EB3B33" w:rsidRP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B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Supplier Question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  <w:p w:rsidR="00EB3B33" w:rsidRDefault="00EB3B33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can we clarify what is out scope when you refer to grants and competitions (page 26 of ITT). Does this exclude initiatives such </w:t>
            </w:r>
            <w:proofErr w:type="gramStart"/>
            <w:r>
              <w:rPr>
                <w:rFonts w:eastAsia="Times New Roman"/>
              </w:rPr>
              <w:t>as: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RRUKA (University Rail Research Association)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The new (UK) University Centres of Excellence (Rolling Stock, Digital, Infrastructure)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RSSB Research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Catapult Centres (such as Transport Systems Catapult)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InnovateUK</w:t>
            </w:r>
            <w:proofErr w:type="spellEnd"/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European Horizon 2020 i.e. Shift2Rail</w:t>
            </w:r>
          </w:p>
          <w:p w:rsidR="00EB3B33" w:rsidRDefault="00EB3B33" w:rsidP="00EB3B33">
            <w:pPr>
              <w:numPr>
                <w:ilvl w:val="1"/>
                <w:numId w:val="2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Other European national initiatives and centres</w:t>
            </w:r>
          </w:p>
          <w:p w:rsidR="00EB3B33" w:rsidRDefault="00EB3B33" w:rsidP="00EB3B33">
            <w:pPr>
              <w:ind w:left="720"/>
            </w:pPr>
            <w:r>
              <w:t> 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</w:tc>
      </w:tr>
      <w:tr w:rsidR="00EB3B33" w:rsidTr="00946481">
        <w:tc>
          <w:tcPr>
            <w:tcW w:w="9016" w:type="dxa"/>
          </w:tcPr>
          <w:p w:rsidR="00EB3B33" w:rsidRPr="007F675F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  <w:p w:rsid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B3B33" w:rsidRDefault="00374205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definition covers any public funding programme aimed at supporting successful applicants in developing and/or putting on the market innovative products and solutions via a grant. The scope of the research is restricted to public procurement procedures.</w:t>
            </w:r>
          </w:p>
          <w:p w:rsidR="00EB3B33" w:rsidRPr="007F675F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B3B33" w:rsidTr="00946481">
        <w:tc>
          <w:tcPr>
            <w:tcW w:w="9016" w:type="dxa"/>
          </w:tcPr>
          <w:p w:rsidR="00EB3B33" w:rsidRP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3B3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Supplier Question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  <w:p w:rsidR="00EB3B33" w:rsidRDefault="00EB3B33" w:rsidP="00EB3B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 is not clear how the formatting for the tender submission need to be. Can you clarify where Section 7 of the ITT should be sequence</w:t>
            </w:r>
            <w:r w:rsidR="00A664FD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 xml:space="preserve"> in the respon</w:t>
            </w:r>
            <w:r w:rsidR="00A664FD">
              <w:rPr>
                <w:rFonts w:eastAsia="Times New Roman"/>
              </w:rPr>
              <w:t>se?</w:t>
            </w:r>
          </w:p>
          <w:p w:rsidR="00EB3B33" w:rsidRPr="00EB3B33" w:rsidRDefault="00EB3B33" w:rsidP="00EB3B33">
            <w:pPr>
              <w:rPr>
                <w:rFonts w:eastAsia="Times New Roman"/>
              </w:rPr>
            </w:pPr>
          </w:p>
        </w:tc>
      </w:tr>
      <w:tr w:rsidR="00EB3B33" w:rsidTr="00946481">
        <w:tc>
          <w:tcPr>
            <w:tcW w:w="9016" w:type="dxa"/>
          </w:tcPr>
          <w:p w:rsidR="00EB3B33" w:rsidRPr="007F675F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EB3B33" w:rsidRDefault="00EB3B3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B3B33" w:rsidRDefault="00A664FD" w:rsidP="00A664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Please ensure you answer the selection criteria questions in Section 7 in full, explaining how you meet the criteria and provide evidence to support your response, answers can be provided in A4 page format.</w:t>
            </w:r>
          </w:p>
          <w:p w:rsidR="00A664FD" w:rsidRPr="007F675F" w:rsidRDefault="00A664FD" w:rsidP="00A664F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EB3B33" w:rsidTr="00946481">
        <w:tc>
          <w:tcPr>
            <w:tcW w:w="9016" w:type="dxa"/>
          </w:tcPr>
          <w:p w:rsidR="00276C73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Supplier Question</w:t>
            </w: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  <w:p w:rsidR="00276C73" w:rsidRPr="007F675F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EB3B33" w:rsidRPr="007F675F" w:rsidRDefault="00276C73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6C73">
              <w:rPr>
                <w:rFonts w:eastAsia="Times New Roman"/>
              </w:rPr>
              <w:t>Regarding</w:t>
            </w:r>
            <w:r>
              <w:rPr>
                <w:rFonts w:eastAsia="Times New Roman"/>
              </w:rPr>
              <w:t xml:space="preserve"> the below deliverable, will RSSB accept interview write ups captured in a database format such as excel?</w:t>
            </w:r>
          </w:p>
        </w:tc>
      </w:tr>
      <w:tr w:rsidR="00A664FD" w:rsidTr="00946481">
        <w:tc>
          <w:tcPr>
            <w:tcW w:w="9016" w:type="dxa"/>
          </w:tcPr>
          <w:p w:rsidR="00276C73" w:rsidRPr="00C07C26" w:rsidRDefault="00276C73" w:rsidP="00276C73">
            <w:pPr>
              <w:pStyle w:val="Body"/>
            </w:pPr>
          </w:p>
          <w:tbl>
            <w:tblPr>
              <w:tblW w:w="10314" w:type="dxa"/>
              <w:tblLook w:val="00A0" w:firstRow="1" w:lastRow="0" w:firstColumn="1" w:lastColumn="0" w:noHBand="0" w:noVBand="0"/>
            </w:tblPr>
            <w:tblGrid>
              <w:gridCol w:w="250"/>
              <w:gridCol w:w="10064"/>
            </w:tblGrid>
            <w:tr w:rsidR="00276C73" w:rsidTr="004B4AE8">
              <w:tc>
                <w:tcPr>
                  <w:tcW w:w="250" w:type="dxa"/>
                </w:tcPr>
                <w:p w:rsidR="00276C73" w:rsidRDefault="00276C73" w:rsidP="00276C73">
                  <w:pPr>
                    <w:pStyle w:val="TableText"/>
                  </w:pPr>
                </w:p>
              </w:tc>
              <w:tc>
                <w:tcPr>
                  <w:tcW w:w="10064" w:type="dxa"/>
                </w:tcPr>
                <w:tbl>
                  <w:tblPr>
                    <w:tblW w:w="80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307"/>
                    <w:gridCol w:w="2694"/>
                  </w:tblGrid>
                  <w:tr w:rsidR="00276C73" w:rsidTr="004B4AE8">
                    <w:trPr>
                      <w:cantSplit/>
                    </w:trPr>
                    <w:tc>
                      <w:tcPr>
                        <w:tcW w:w="5307" w:type="dxa"/>
                        <w:shd w:val="clear" w:color="auto" w:fill="99CC00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Deliverable Name</w:t>
                        </w:r>
                      </w:p>
                    </w:tc>
                    <w:tc>
                      <w:tcPr>
                        <w:tcW w:w="2694" w:type="dxa"/>
                        <w:shd w:val="clear" w:color="auto" w:fill="99CC00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Type</w:t>
                        </w:r>
                      </w:p>
                    </w:tc>
                  </w:tr>
                  <w:tr w:rsidR="00276C73" w:rsidTr="004B4AE8">
                    <w:trPr>
                      <w:cantSplit/>
                      <w:tblHeader/>
                    </w:trPr>
                    <w:tc>
                      <w:tcPr>
                        <w:tcW w:w="5307" w:type="dxa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</w:pPr>
                        <w:r>
                          <w:t xml:space="preserve">Source data </w:t>
                        </w:r>
                      </w:p>
                    </w:tc>
                    <w:tc>
                      <w:tcPr>
                        <w:tcW w:w="2694" w:type="dxa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</w:pPr>
                        <w:r>
                          <w:t>Database</w:t>
                        </w:r>
                      </w:p>
                    </w:tc>
                  </w:tr>
                  <w:tr w:rsidR="00276C73" w:rsidTr="004B4AE8">
                    <w:trPr>
                      <w:cantSplit/>
                      <w:tblHeader/>
                    </w:trPr>
                    <w:tc>
                      <w:tcPr>
                        <w:tcW w:w="8001" w:type="dxa"/>
                        <w:gridSpan w:val="2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t>Description</w:t>
                        </w:r>
                      </w:p>
                    </w:tc>
                  </w:tr>
                  <w:tr w:rsidR="00276C73" w:rsidTr="004B4AE8">
                    <w:trPr>
                      <w:cantSplit/>
                      <w:tblHeader/>
                    </w:trPr>
                    <w:tc>
                      <w:tcPr>
                        <w:tcW w:w="8001" w:type="dxa"/>
                        <w:gridSpan w:val="2"/>
                        <w:shd w:val="clear" w:color="auto" w:fill="FFFFFF"/>
                      </w:tcPr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This report will capture the write-ups of the interview performed used to conduct the analysis</w:t>
                        </w:r>
                      </w:p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Implementation Action Needed</w:t>
                        </w:r>
                        <w:r>
                          <w:t>: N/A</w:t>
                        </w:r>
                      </w:p>
                      <w:p w:rsidR="00276C73" w:rsidRDefault="00276C73" w:rsidP="00276C73">
                        <w:pPr>
                          <w:pStyle w:val="BodyIndent1"/>
                          <w:rPr>
                            <w:b/>
                          </w:rPr>
                        </w:pPr>
                        <w:r w:rsidRPr="00C07C26">
                          <w:rPr>
                            <w:b/>
                          </w:rPr>
                          <w:t>Publication Stream</w:t>
                        </w:r>
                        <w:r>
                          <w:t>: confidential</w:t>
                        </w:r>
                      </w:p>
                    </w:tc>
                  </w:tr>
                </w:tbl>
                <w:p w:rsidR="00276C73" w:rsidRDefault="00276C73" w:rsidP="00276C73">
                  <w:pPr>
                    <w:pStyle w:val="BodyIndent1"/>
                  </w:pPr>
                </w:p>
              </w:tc>
            </w:tr>
          </w:tbl>
          <w:p w:rsidR="00A664FD" w:rsidRPr="007F675F" w:rsidRDefault="00A664FD" w:rsidP="00EB3B3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A664FD" w:rsidTr="00946481">
        <w:tc>
          <w:tcPr>
            <w:tcW w:w="9016" w:type="dxa"/>
          </w:tcPr>
          <w:p w:rsidR="00276C73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675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RSSB Answer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  <w:p w:rsidR="00276C73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276C73" w:rsidRPr="007F675F" w:rsidRDefault="00276C73" w:rsidP="00276C7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76C73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>, we will accept interview write ups in an excel format.</w:t>
            </w:r>
          </w:p>
        </w:tc>
      </w:tr>
    </w:tbl>
    <w:p w:rsidR="00A2599A" w:rsidRDefault="00946481">
      <w:r>
        <w:t xml:space="preserve"> </w:t>
      </w:r>
    </w:p>
    <w:p w:rsidR="00140BFB" w:rsidRPr="006D1D57" w:rsidRDefault="006D1D57" w:rsidP="00140BFB">
      <w:pPr>
        <w:pStyle w:val="Body"/>
        <w:rPr>
          <w:b/>
        </w:rPr>
      </w:pPr>
      <w:r>
        <w:rPr>
          <w:b/>
        </w:rPr>
        <w:t>Please note that the deadline for tender submission has been extended to 05 January 2018 at 15:00.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250"/>
        <w:gridCol w:w="10064"/>
      </w:tblGrid>
      <w:tr w:rsidR="00140BFB" w:rsidTr="004B4AE8">
        <w:tc>
          <w:tcPr>
            <w:tcW w:w="250" w:type="dxa"/>
          </w:tcPr>
          <w:p w:rsidR="00140BFB" w:rsidRDefault="00140BFB" w:rsidP="004B4AE8">
            <w:pPr>
              <w:pStyle w:val="TableText"/>
            </w:pPr>
          </w:p>
        </w:tc>
        <w:tc>
          <w:tcPr>
            <w:tcW w:w="10064" w:type="dxa"/>
          </w:tcPr>
          <w:p w:rsidR="00140BFB" w:rsidRDefault="00140BFB" w:rsidP="004B4AE8">
            <w:pPr>
              <w:pStyle w:val="BodyIndent1"/>
            </w:pPr>
          </w:p>
        </w:tc>
      </w:tr>
    </w:tbl>
    <w:p w:rsidR="00946481" w:rsidRDefault="00946481"/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9AE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4A2819"/>
    <w:multiLevelType w:val="hybridMultilevel"/>
    <w:tmpl w:val="81D4333E"/>
    <w:lvl w:ilvl="0" w:tplc="C63688EE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ED7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19120D1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149A10DF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31EC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6" w15:restartNumberingAfterBreak="0">
    <w:nsid w:val="1C871C3A"/>
    <w:multiLevelType w:val="hybridMultilevel"/>
    <w:tmpl w:val="16040C90"/>
    <w:lvl w:ilvl="0" w:tplc="418E5B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DB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103218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" w15:restartNumberingAfterBreak="0">
    <w:nsid w:val="2A4B37E4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A548A"/>
    <w:multiLevelType w:val="hybridMultilevel"/>
    <w:tmpl w:val="EF0E9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35454"/>
    <w:multiLevelType w:val="multilevel"/>
    <w:tmpl w:val="A54C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B56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46B958E1"/>
    <w:multiLevelType w:val="hybridMultilevel"/>
    <w:tmpl w:val="F6C817C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8749A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316A52"/>
    <w:multiLevelType w:val="hybridMultilevel"/>
    <w:tmpl w:val="2D58E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43CF2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67D1DA8"/>
    <w:multiLevelType w:val="hybridMultilevel"/>
    <w:tmpl w:val="168E88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2D28"/>
    <w:multiLevelType w:val="hybridMultilevel"/>
    <w:tmpl w:val="9FC828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D25C7"/>
    <w:multiLevelType w:val="multilevel"/>
    <w:tmpl w:val="582E4C0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2" w15:restartNumberingAfterBreak="0">
    <w:nsid w:val="6E8666F8"/>
    <w:multiLevelType w:val="hybridMultilevel"/>
    <w:tmpl w:val="80C6A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9516A"/>
    <w:multiLevelType w:val="multilevel"/>
    <w:tmpl w:val="EBD62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78A2F4F"/>
    <w:multiLevelType w:val="hybridMultilevel"/>
    <w:tmpl w:val="A386B3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C3488F"/>
    <w:multiLevelType w:val="hybridMultilevel"/>
    <w:tmpl w:val="C248C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21"/>
  </w:num>
  <w:num w:numId="17">
    <w:abstractNumId w:val="23"/>
  </w:num>
  <w:num w:numId="18">
    <w:abstractNumId w:val="18"/>
  </w:num>
  <w:num w:numId="19">
    <w:abstractNumId w:val="0"/>
  </w:num>
  <w:num w:numId="20">
    <w:abstractNumId w:val="2"/>
  </w:num>
  <w:num w:numId="21">
    <w:abstractNumId w:val="14"/>
  </w:num>
  <w:num w:numId="22">
    <w:abstractNumId w:val="9"/>
  </w:num>
  <w:num w:numId="23">
    <w:abstractNumId w:val="7"/>
  </w:num>
  <w:num w:numId="24">
    <w:abstractNumId w:val="12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81"/>
    <w:rsid w:val="00021472"/>
    <w:rsid w:val="00140BFB"/>
    <w:rsid w:val="0017132A"/>
    <w:rsid w:val="00276C73"/>
    <w:rsid w:val="00374205"/>
    <w:rsid w:val="0039370C"/>
    <w:rsid w:val="004252CD"/>
    <w:rsid w:val="00561C5C"/>
    <w:rsid w:val="006A0372"/>
    <w:rsid w:val="006D1D57"/>
    <w:rsid w:val="007F675F"/>
    <w:rsid w:val="007F70D9"/>
    <w:rsid w:val="00946481"/>
    <w:rsid w:val="009F3A5C"/>
    <w:rsid w:val="00A2599A"/>
    <w:rsid w:val="00A26BA4"/>
    <w:rsid w:val="00A2794B"/>
    <w:rsid w:val="00A30F4F"/>
    <w:rsid w:val="00A65249"/>
    <w:rsid w:val="00A664FD"/>
    <w:rsid w:val="00A83354"/>
    <w:rsid w:val="00AE0A1D"/>
    <w:rsid w:val="00B73850"/>
    <w:rsid w:val="00C075C1"/>
    <w:rsid w:val="00C93221"/>
    <w:rsid w:val="00C94CB5"/>
    <w:rsid w:val="00E743BE"/>
    <w:rsid w:val="00E902BB"/>
    <w:rsid w:val="00EA08D0"/>
    <w:rsid w:val="00EB3B33"/>
    <w:rsid w:val="00EF373F"/>
    <w:rsid w:val="00F137F3"/>
    <w:rsid w:val="00F344DD"/>
    <w:rsid w:val="00F4221B"/>
    <w:rsid w:val="00F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eader Table Grid"/>
    <w:basedOn w:val="TableNormal"/>
    <w:uiPriority w:val="5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6B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850"/>
    <w:rPr>
      <w:i/>
      <w:iCs/>
    </w:rPr>
  </w:style>
  <w:style w:type="paragraph" w:customStyle="1" w:styleId="Body">
    <w:name w:val="Body"/>
    <w:link w:val="BodyChar"/>
    <w:qFormat/>
    <w:rsid w:val="009F3A5C"/>
    <w:pPr>
      <w:spacing w:after="120" w:line="300" w:lineRule="exact"/>
    </w:pPr>
  </w:style>
  <w:style w:type="character" w:customStyle="1" w:styleId="BodyChar">
    <w:name w:val="Body Char"/>
    <w:link w:val="Body"/>
    <w:rsid w:val="009F3A5C"/>
  </w:style>
  <w:style w:type="paragraph" w:customStyle="1" w:styleId="TableText">
    <w:name w:val="TableText"/>
    <w:uiPriority w:val="99"/>
    <w:rsid w:val="00140BFB"/>
    <w:pPr>
      <w:spacing w:before="40" w:after="40" w:line="260" w:lineRule="exact"/>
      <w:ind w:left="113"/>
    </w:pPr>
    <w:rPr>
      <w:rFonts w:ascii="Arial" w:eastAsia="Times New Roman" w:hAnsi="Arial" w:cs="Times New Roman"/>
      <w:szCs w:val="20"/>
    </w:rPr>
  </w:style>
  <w:style w:type="paragraph" w:customStyle="1" w:styleId="BodyIndent1">
    <w:name w:val="BodyIndent1"/>
    <w:basedOn w:val="Body"/>
    <w:next w:val="Body"/>
    <w:link w:val="BodyIndent1Char"/>
    <w:qFormat/>
    <w:rsid w:val="00140BFB"/>
    <w:pPr>
      <w:ind w:left="227"/>
    </w:pPr>
    <w:rPr>
      <w:rFonts w:ascii="Calibri" w:eastAsia="Times New Roman" w:hAnsi="Calibri" w:cs="Arial"/>
      <w:lang w:eastAsia="en-GB"/>
    </w:rPr>
  </w:style>
  <w:style w:type="character" w:customStyle="1" w:styleId="BodyIndent1Char">
    <w:name w:val="BodyIndent1 Char"/>
    <w:basedOn w:val="DefaultParagraphFont"/>
    <w:link w:val="BodyIndent1"/>
    <w:rsid w:val="00140BFB"/>
    <w:rPr>
      <w:rFonts w:ascii="Calibri" w:eastAsia="Times New Roman" w:hAnsi="Calibri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BAB2-5556-42F8-889C-CFFBACC4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2018-01-03T13:53:00Z</dcterms:created>
  <dcterms:modified xsi:type="dcterms:W3CDTF">2018-01-03T13:53:00Z</dcterms:modified>
</cp:coreProperties>
</file>