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33D96" w14:textId="77777777"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14:paraId="6ECA2439" w14:textId="77777777" w:rsidTr="00971BA8">
        <w:trPr>
          <w:jc w:val="center"/>
        </w:trPr>
        <w:tc>
          <w:tcPr>
            <w:tcW w:w="9709" w:type="dxa"/>
            <w:shd w:val="clear" w:color="auto" w:fill="006D68"/>
          </w:tcPr>
          <w:p w14:paraId="7BFE8891" w14:textId="77777777" w:rsidR="00AF4C0F" w:rsidRPr="002C62C2" w:rsidRDefault="00AF4C0F" w:rsidP="00CD3027">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w:t>
            </w:r>
            <w:r w:rsidR="0065737C">
              <w:rPr>
                <w:rFonts w:asciiTheme="minorHAnsi" w:hAnsiTheme="minorHAnsi" w:cstheme="minorHAnsi"/>
                <w:b/>
                <w:iCs/>
                <w:color w:val="FFFFFF" w:themeColor="background1"/>
                <w:sz w:val="24"/>
              </w:rPr>
              <w:t>Further Development of the UK-EPR ATHLET Model and Confirmatory Analysis to Inform  Assessment of the Fault Studies Aspects of Hinkley Point C Safety Submissions</w:t>
            </w:r>
            <w:r w:rsidR="00855CE6">
              <w:rPr>
                <w:rFonts w:asciiTheme="minorHAnsi" w:hAnsiTheme="minorHAnsi" w:cstheme="minorHAnsi"/>
                <w:b/>
                <w:iCs/>
                <w:color w:val="FFFFFF" w:themeColor="background1"/>
                <w:sz w:val="24"/>
              </w:rPr>
              <w:t xml:space="preserve"> </w:t>
            </w:r>
          </w:p>
        </w:tc>
      </w:tr>
      <w:tr w:rsidR="00AF4C0F" w14:paraId="047E215F" w14:textId="77777777" w:rsidTr="00971BA8">
        <w:trPr>
          <w:jc w:val="center"/>
        </w:trPr>
        <w:tc>
          <w:tcPr>
            <w:tcW w:w="9709" w:type="dxa"/>
          </w:tcPr>
          <w:p w14:paraId="5BDCA128"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14:paraId="3A1F5E83" w14:textId="77777777" w:rsidR="00AC3B66" w:rsidRPr="00AC3B66" w:rsidRDefault="00AC3B66" w:rsidP="00B767F7">
            <w:pPr>
              <w:pStyle w:val="TSNumberedParagraph11"/>
              <w:spacing w:after="120"/>
              <w:rPr>
                <w:rFonts w:asciiTheme="minorHAnsi" w:hAnsiTheme="minorHAnsi" w:cstheme="minorHAnsi"/>
              </w:rPr>
            </w:pPr>
            <w:r w:rsidRPr="00AC3B66">
              <w:rPr>
                <w:rFonts w:asciiTheme="minorHAnsi" w:hAnsiTheme="minorHAnsi" w:cstheme="minorHAnsi"/>
              </w:rPr>
              <w:t xml:space="preserve">The Hinkley Point C (HPC) site has been licensed by ONR to allow NNB </w:t>
            </w:r>
            <w:proofErr w:type="spellStart"/>
            <w:r w:rsidRPr="00AC3B66">
              <w:rPr>
                <w:rFonts w:asciiTheme="minorHAnsi" w:hAnsiTheme="minorHAnsi" w:cstheme="minorHAnsi"/>
              </w:rPr>
              <w:t>GenCo</w:t>
            </w:r>
            <w:proofErr w:type="spellEnd"/>
            <w:r w:rsidRPr="00AC3B66">
              <w:rPr>
                <w:rFonts w:asciiTheme="minorHAnsi" w:hAnsiTheme="minorHAnsi" w:cstheme="minorHAnsi"/>
              </w:rPr>
              <w:t xml:space="preserve"> to construct and operate two EPR plants.  Nuclear safety aspects of the construction, commissioning and operation of the site will be regulated by ONR via a series of regulatory </w:t>
            </w:r>
            <w:proofErr w:type="spellStart"/>
            <w:r w:rsidRPr="00AC3B66">
              <w:rPr>
                <w:rFonts w:asciiTheme="minorHAnsi" w:hAnsiTheme="minorHAnsi" w:cstheme="minorHAnsi"/>
              </w:rPr>
              <w:t>permissioning</w:t>
            </w:r>
            <w:proofErr w:type="spellEnd"/>
            <w:r w:rsidRPr="00AC3B66">
              <w:rPr>
                <w:rFonts w:asciiTheme="minorHAnsi" w:hAnsiTheme="minorHAnsi" w:cstheme="minorHAnsi"/>
              </w:rPr>
              <w:t xml:space="preserve"> hold points under Licence Conditions 19 and 21, attached to the</w:t>
            </w:r>
            <w:r w:rsidR="00F9776B">
              <w:rPr>
                <w:rFonts w:asciiTheme="minorHAnsi" w:hAnsiTheme="minorHAnsi" w:cstheme="minorHAnsi"/>
              </w:rPr>
              <w:t xml:space="preserve"> HPC site licence. </w:t>
            </w:r>
          </w:p>
          <w:p w14:paraId="60799F67" w14:textId="77777777" w:rsidR="00AC3B66" w:rsidRPr="00AC3B66" w:rsidRDefault="00AC3B66" w:rsidP="00B767F7">
            <w:pPr>
              <w:pStyle w:val="TSNumberedParagraph11"/>
              <w:spacing w:after="120"/>
              <w:rPr>
                <w:rFonts w:asciiTheme="minorHAnsi" w:hAnsiTheme="minorHAnsi" w:cstheme="minorHAnsi"/>
              </w:rPr>
            </w:pPr>
            <w:r w:rsidRPr="00AC3B66">
              <w:rPr>
                <w:rFonts w:asciiTheme="minorHAnsi" w:hAnsiTheme="minorHAnsi" w:cstheme="minorHAnsi"/>
              </w:rPr>
              <w:t>The HPC Safety Case documentation produced to support these activities is complex and a full assessment by ONR of Fault Studies aspects requires input from a number of specialists and skill areas.</w:t>
            </w:r>
          </w:p>
          <w:p w14:paraId="34E52E20" w14:textId="77777777" w:rsidR="00AC3B66" w:rsidRPr="00AC3B66" w:rsidRDefault="00AC3B66" w:rsidP="00B767F7">
            <w:pPr>
              <w:pStyle w:val="TSNumberedParagraph11"/>
              <w:spacing w:after="120"/>
              <w:rPr>
                <w:rFonts w:asciiTheme="minorHAnsi" w:hAnsiTheme="minorHAnsi" w:cstheme="minorHAnsi"/>
              </w:rPr>
            </w:pPr>
            <w:r w:rsidRPr="00AC3B66">
              <w:rPr>
                <w:rFonts w:asciiTheme="minorHAnsi" w:hAnsiTheme="minorHAnsi" w:cstheme="minorHAnsi"/>
              </w:rPr>
              <w:t xml:space="preserve">During Step 4 of the </w:t>
            </w:r>
            <w:r w:rsidR="007F2358">
              <w:rPr>
                <w:rFonts w:asciiTheme="minorHAnsi" w:hAnsiTheme="minorHAnsi" w:cstheme="minorHAnsi"/>
              </w:rPr>
              <w:t xml:space="preserve">EPR </w:t>
            </w:r>
            <w:r w:rsidRPr="00AC3B66">
              <w:rPr>
                <w:rFonts w:asciiTheme="minorHAnsi" w:hAnsiTheme="minorHAnsi" w:cstheme="minorHAnsi"/>
              </w:rPr>
              <w:t>GDA process, ONR commissioned confirmatory analysis to provide confidence in the evidence provided by the Requesting Party.  This involved the development of a thermal hydraulics model of the UK-EPR using the ATHLET plant performance code.</w:t>
            </w:r>
          </w:p>
          <w:p w14:paraId="57275731" w14:textId="77777777" w:rsidR="00AC3B66" w:rsidRPr="00AC3B66" w:rsidRDefault="00AC3B66" w:rsidP="00B767F7">
            <w:pPr>
              <w:pStyle w:val="TSNumberedParagraph11"/>
              <w:spacing w:after="120"/>
              <w:rPr>
                <w:rFonts w:asciiTheme="minorHAnsi" w:hAnsiTheme="minorHAnsi" w:cstheme="minorHAnsi"/>
              </w:rPr>
            </w:pPr>
            <w:r w:rsidRPr="00AC3B66">
              <w:rPr>
                <w:rFonts w:asciiTheme="minorHAnsi" w:hAnsiTheme="minorHAnsi" w:cstheme="minorHAnsi"/>
              </w:rPr>
              <w:t xml:space="preserve">Following GDA, the licensee (NNB </w:t>
            </w:r>
            <w:proofErr w:type="spellStart"/>
            <w:r w:rsidRPr="00AC3B66">
              <w:rPr>
                <w:rFonts w:asciiTheme="minorHAnsi" w:hAnsiTheme="minorHAnsi" w:cstheme="minorHAnsi"/>
              </w:rPr>
              <w:t>GenCo</w:t>
            </w:r>
            <w:proofErr w:type="spellEnd"/>
            <w:r w:rsidRPr="00AC3B66">
              <w:rPr>
                <w:rFonts w:asciiTheme="minorHAnsi" w:hAnsiTheme="minorHAnsi" w:cstheme="minorHAnsi"/>
              </w:rPr>
              <w:t>) has adopted the French practice for new nuclear projects which is to progress fault studies through ‘Adjusting’, ‘Realisation’ and ‘Reconciliation’ phases.  ONR has maintained oversight of developments throughout the ‘Adjusting Phase’ and is currently engaged with NNB with regards to the production of ‘Realisation Phase’ studies.  The Realisation Phase studies incorporate the site specific parameters and assumptions, that have developed since the GDA, and will be based on the design reference configuration 2 (RC.2).  These studies will support the pre-commissioning safety report (</w:t>
            </w:r>
            <w:proofErr w:type="spellStart"/>
            <w:r w:rsidRPr="00AC3B66">
              <w:rPr>
                <w:rFonts w:asciiTheme="minorHAnsi" w:hAnsiTheme="minorHAnsi" w:cstheme="minorHAnsi"/>
              </w:rPr>
              <w:t>PCmSR</w:t>
            </w:r>
            <w:proofErr w:type="spellEnd"/>
            <w:r w:rsidRPr="00AC3B66">
              <w:rPr>
                <w:rFonts w:asciiTheme="minorHAnsi" w:hAnsiTheme="minorHAnsi" w:cstheme="minorHAnsi"/>
              </w:rPr>
              <w:t xml:space="preserve">). </w:t>
            </w:r>
          </w:p>
          <w:p w14:paraId="1B48DD47" w14:textId="77777777" w:rsidR="000C4D5C" w:rsidRDefault="00AC3B66" w:rsidP="00B767F7">
            <w:pPr>
              <w:pStyle w:val="TSNumberedParagraph11"/>
              <w:spacing w:after="120"/>
              <w:rPr>
                <w:rFonts w:asciiTheme="minorHAnsi" w:hAnsiTheme="minorHAnsi" w:cstheme="minorHAnsi"/>
              </w:rPr>
            </w:pPr>
            <w:r w:rsidRPr="00AC3B66">
              <w:rPr>
                <w:rFonts w:asciiTheme="minorHAnsi" w:hAnsiTheme="minorHAnsi" w:cstheme="minorHAnsi"/>
              </w:rPr>
              <w:t xml:space="preserve">To gain confidence that the proposed operation maintains adequate safety margins in light of the design evolution of the UK-EPR at HPC, ONR </w:t>
            </w:r>
            <w:r w:rsidR="000C4D5C">
              <w:rPr>
                <w:rFonts w:asciiTheme="minorHAnsi" w:hAnsiTheme="minorHAnsi" w:cstheme="minorHAnsi"/>
              </w:rPr>
              <w:t>commissioned contract number ONR-364 to perform</w:t>
            </w:r>
            <w:r w:rsidRPr="00AC3B66">
              <w:rPr>
                <w:rFonts w:asciiTheme="minorHAnsi" w:hAnsiTheme="minorHAnsi" w:cstheme="minorHAnsi"/>
              </w:rPr>
              <w:t xml:space="preserve"> confirmatory analyses to assess the response of the plant to certain operating transients and fault sequences. </w:t>
            </w:r>
            <w:r w:rsidR="000C4D5C">
              <w:rPr>
                <w:rFonts w:asciiTheme="minorHAnsi" w:hAnsiTheme="minorHAnsi" w:cstheme="minorHAnsi"/>
              </w:rPr>
              <w:t>At the time it was</w:t>
            </w:r>
            <w:r w:rsidRPr="00AC3B66">
              <w:rPr>
                <w:rFonts w:asciiTheme="minorHAnsi" w:hAnsiTheme="minorHAnsi" w:cstheme="minorHAnsi"/>
              </w:rPr>
              <w:t xml:space="preserve"> necessary to update the extant ATHLET UK-EPR model to enable further confirmatory analyses.</w:t>
            </w:r>
          </w:p>
          <w:p w14:paraId="555DA48A" w14:textId="77777777" w:rsidR="002C62C2" w:rsidRPr="00AC3B66" w:rsidRDefault="005C3596" w:rsidP="00B767F7">
            <w:pPr>
              <w:pStyle w:val="TSNumberedParagraph11"/>
              <w:spacing w:after="120"/>
            </w:pPr>
            <w:r>
              <w:rPr>
                <w:rFonts w:asciiTheme="minorHAnsi" w:hAnsiTheme="minorHAnsi" w:cstheme="minorHAnsi"/>
              </w:rPr>
              <w:t xml:space="preserve">This contract </w:t>
            </w:r>
            <w:r w:rsidR="000C4D5C">
              <w:rPr>
                <w:rFonts w:asciiTheme="minorHAnsi" w:hAnsiTheme="minorHAnsi" w:cstheme="minorHAnsi"/>
              </w:rPr>
              <w:t>commenced in 2018 and work is part complete, and</w:t>
            </w:r>
            <w:r w:rsidR="00861790">
              <w:rPr>
                <w:rFonts w:asciiTheme="minorHAnsi" w:hAnsiTheme="minorHAnsi" w:cstheme="minorHAnsi"/>
              </w:rPr>
              <w:t xml:space="preserve"> </w:t>
            </w:r>
            <w:r w:rsidR="000C4D5C">
              <w:rPr>
                <w:rFonts w:asciiTheme="minorHAnsi" w:hAnsiTheme="minorHAnsi" w:cstheme="minorHAnsi"/>
              </w:rPr>
              <w:t xml:space="preserve">needs to be aligned </w:t>
            </w:r>
            <w:r w:rsidR="00861790">
              <w:rPr>
                <w:rFonts w:asciiTheme="minorHAnsi" w:hAnsiTheme="minorHAnsi" w:cstheme="minorHAnsi"/>
              </w:rPr>
              <w:t>with</w:t>
            </w:r>
            <w:r w:rsidR="000C4D5C">
              <w:rPr>
                <w:rFonts w:asciiTheme="minorHAnsi" w:hAnsiTheme="minorHAnsi" w:cstheme="minorHAnsi"/>
              </w:rPr>
              <w:t xml:space="preserve"> the new ONR TSC framework.</w:t>
            </w:r>
            <w:r>
              <w:rPr>
                <w:rFonts w:asciiTheme="minorHAnsi" w:hAnsiTheme="minorHAnsi" w:cstheme="minorHAnsi"/>
              </w:rPr>
              <w:t xml:space="preserve"> </w:t>
            </w:r>
            <w:r w:rsidR="00B72F06">
              <w:rPr>
                <w:rFonts w:asciiTheme="minorHAnsi" w:hAnsiTheme="minorHAnsi" w:cstheme="minorHAnsi"/>
              </w:rPr>
              <w:t xml:space="preserve">This updated justification </w:t>
            </w:r>
            <w:r>
              <w:rPr>
                <w:rFonts w:asciiTheme="minorHAnsi" w:hAnsiTheme="minorHAnsi" w:cstheme="minorHAnsi"/>
              </w:rPr>
              <w:t>is therefore needed to reassign the remainder of the original specification (ONR-364</w:t>
            </w:r>
            <w:r w:rsidR="006B7D7E">
              <w:rPr>
                <w:rFonts w:asciiTheme="minorHAnsi" w:hAnsiTheme="minorHAnsi" w:cstheme="minorHAnsi"/>
              </w:rPr>
              <w:t xml:space="preserve"> – 2017/464232</w:t>
            </w:r>
            <w:r>
              <w:rPr>
                <w:rFonts w:asciiTheme="minorHAnsi" w:hAnsiTheme="minorHAnsi" w:cstheme="minorHAnsi"/>
              </w:rPr>
              <w:t>)</w:t>
            </w:r>
            <w:r w:rsidR="00B72F06">
              <w:rPr>
                <w:rFonts w:asciiTheme="minorHAnsi" w:hAnsiTheme="minorHAnsi" w:cstheme="minorHAnsi"/>
              </w:rPr>
              <w:t xml:space="preserve"> to the new ONR TSC framework</w:t>
            </w:r>
            <w:r>
              <w:rPr>
                <w:rFonts w:asciiTheme="minorHAnsi" w:hAnsiTheme="minorHAnsi" w:cstheme="minorHAnsi"/>
              </w:rPr>
              <w:t xml:space="preserve">. It is expected that </w:t>
            </w:r>
            <w:r w:rsidR="000944B0">
              <w:rPr>
                <w:rFonts w:asciiTheme="minorHAnsi" w:hAnsiTheme="minorHAnsi" w:cstheme="minorHAnsi"/>
              </w:rPr>
              <w:t xml:space="preserve">the </w:t>
            </w:r>
            <w:r>
              <w:rPr>
                <w:rFonts w:asciiTheme="minorHAnsi" w:hAnsiTheme="minorHAnsi" w:cstheme="minorHAnsi"/>
              </w:rPr>
              <w:t xml:space="preserve">revised tender shall consider the residual work and the remainder of the budget, based on the new TSC hourly rate card. </w:t>
            </w:r>
          </w:p>
        </w:tc>
      </w:tr>
      <w:tr w:rsidR="00AF4C0F" w14:paraId="3969C66C" w14:textId="77777777" w:rsidTr="00971BA8">
        <w:trPr>
          <w:jc w:val="center"/>
        </w:trPr>
        <w:tc>
          <w:tcPr>
            <w:tcW w:w="9709" w:type="dxa"/>
          </w:tcPr>
          <w:p w14:paraId="75D2E7D0"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SCOPE OF THE SERVICES REQUIRED</w:t>
            </w:r>
          </w:p>
          <w:p w14:paraId="37142082" w14:textId="77777777" w:rsidR="00DD17B7" w:rsidRDefault="00DD17B7" w:rsidP="00DD17B7">
            <w:pPr>
              <w:pStyle w:val="TSNumberedParagraph11"/>
              <w:rPr>
                <w:rFonts w:asciiTheme="minorHAnsi" w:hAnsiTheme="minorHAnsi" w:cstheme="minorHAnsi"/>
              </w:rPr>
            </w:pPr>
            <w:r w:rsidRPr="00DD17B7">
              <w:rPr>
                <w:rFonts w:asciiTheme="minorHAnsi" w:hAnsiTheme="minorHAnsi" w:cstheme="minorHAnsi"/>
              </w:rPr>
              <w:t xml:space="preserve">The scope of the service requirement is for the provision of </w:t>
            </w:r>
            <w:r w:rsidR="00FA0538">
              <w:rPr>
                <w:rFonts w:asciiTheme="minorHAnsi" w:hAnsiTheme="minorHAnsi" w:cstheme="minorHAnsi"/>
              </w:rPr>
              <w:t>technical expertise to complete</w:t>
            </w:r>
            <w:r w:rsidR="00B6592F">
              <w:rPr>
                <w:rFonts w:asciiTheme="minorHAnsi" w:hAnsiTheme="minorHAnsi" w:cstheme="minorHAnsi"/>
              </w:rPr>
              <w:t xml:space="preserve"> the</w:t>
            </w:r>
            <w:r w:rsidR="00FA0538">
              <w:rPr>
                <w:rFonts w:asciiTheme="minorHAnsi" w:hAnsiTheme="minorHAnsi" w:cstheme="minorHAnsi"/>
              </w:rPr>
              <w:t xml:space="preserve"> remaining</w:t>
            </w:r>
            <w:r w:rsidRPr="00DD17B7">
              <w:rPr>
                <w:rFonts w:asciiTheme="minorHAnsi" w:hAnsiTheme="minorHAnsi" w:cstheme="minorHAnsi"/>
              </w:rPr>
              <w:t xml:space="preserve"> UK-EPR ATHLET model</w:t>
            </w:r>
            <w:r w:rsidR="00FA0538">
              <w:rPr>
                <w:rFonts w:asciiTheme="minorHAnsi" w:hAnsiTheme="minorHAnsi" w:cstheme="minorHAnsi"/>
              </w:rPr>
              <w:t xml:space="preserve"> updates</w:t>
            </w:r>
            <w:r w:rsidRPr="00DD17B7">
              <w:rPr>
                <w:rFonts w:asciiTheme="minorHAnsi" w:hAnsiTheme="minorHAnsi" w:cstheme="minorHAnsi"/>
              </w:rPr>
              <w:t>, and to perform confirmatory analyses to investigate the response of the plant to certain operating transients and fault sequences in support of the assessment of HPC Fault Studies submissions.</w:t>
            </w:r>
          </w:p>
          <w:p w14:paraId="1A2FDE24" w14:textId="77777777" w:rsidR="00AF4C0F" w:rsidRPr="002C62C2" w:rsidRDefault="00FA0538" w:rsidP="00A1457C">
            <w:pPr>
              <w:pStyle w:val="TSNumberedParagraph11"/>
              <w:rPr>
                <w:iCs/>
                <w:sz w:val="20"/>
                <w:szCs w:val="20"/>
              </w:rPr>
            </w:pPr>
            <w:r>
              <w:rPr>
                <w:rFonts w:asciiTheme="minorHAnsi" w:hAnsiTheme="minorHAnsi" w:cstheme="minorHAnsi"/>
              </w:rPr>
              <w:t>The original scope of ONR-364 is appended to this specification.</w:t>
            </w:r>
          </w:p>
        </w:tc>
      </w:tr>
      <w:tr w:rsidR="00AF4C0F" w:rsidRPr="002C62C2" w14:paraId="2C0C5860" w14:textId="77777777" w:rsidTr="00971BA8">
        <w:trPr>
          <w:jc w:val="center"/>
        </w:trPr>
        <w:tc>
          <w:tcPr>
            <w:tcW w:w="9709" w:type="dxa"/>
          </w:tcPr>
          <w:p w14:paraId="29EDF1AE"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14:paraId="285D6EE3" w14:textId="77777777" w:rsidR="00FA0538" w:rsidRDefault="006544EB">
            <w:pPr>
              <w:pStyle w:val="TSNumberedParagraph11"/>
              <w:rPr>
                <w:rFonts w:asciiTheme="minorHAnsi" w:hAnsiTheme="minorHAnsi" w:cstheme="minorHAnsi"/>
              </w:rPr>
            </w:pPr>
            <w:r w:rsidRPr="006544EB">
              <w:rPr>
                <w:rFonts w:asciiTheme="minorHAnsi" w:hAnsiTheme="minorHAnsi" w:cstheme="minorHAnsi"/>
              </w:rPr>
              <w:t>The proposed resource required to support the Project Officer, remains as per the original specification (ONR-364).</w:t>
            </w:r>
          </w:p>
          <w:p w14:paraId="2373C9AB" w14:textId="77777777" w:rsidR="00AF4C0F" w:rsidRPr="002C62C2" w:rsidRDefault="00DD17B7" w:rsidP="00A1457C">
            <w:pPr>
              <w:pStyle w:val="TSNumberedParagraph11"/>
            </w:pPr>
            <w:r w:rsidRPr="00DD17B7">
              <w:rPr>
                <w:rFonts w:asciiTheme="minorHAnsi" w:hAnsiTheme="minorHAnsi" w:cstheme="minorHAnsi"/>
              </w:rPr>
              <w:t xml:space="preserve">The final report </w:t>
            </w:r>
            <w:r w:rsidR="007162C5">
              <w:rPr>
                <w:rFonts w:asciiTheme="minorHAnsi" w:hAnsiTheme="minorHAnsi" w:cstheme="minorHAnsi"/>
              </w:rPr>
              <w:t>expectations</w:t>
            </w:r>
            <w:r w:rsidR="00FA0538">
              <w:rPr>
                <w:rFonts w:asciiTheme="minorHAnsi" w:hAnsiTheme="minorHAnsi" w:cstheme="minorHAnsi"/>
              </w:rPr>
              <w:t xml:space="preserve"> </w:t>
            </w:r>
            <w:r w:rsidR="007162C5">
              <w:rPr>
                <w:rFonts w:asciiTheme="minorHAnsi" w:hAnsiTheme="minorHAnsi" w:cstheme="minorHAnsi"/>
              </w:rPr>
              <w:t>remain</w:t>
            </w:r>
            <w:r w:rsidR="00FA0538">
              <w:rPr>
                <w:rFonts w:asciiTheme="minorHAnsi" w:hAnsiTheme="minorHAnsi" w:cstheme="minorHAnsi"/>
              </w:rPr>
              <w:t xml:space="preserve"> the same as the original specification ONR-364</w:t>
            </w:r>
            <w:r w:rsidRPr="00DD17B7">
              <w:rPr>
                <w:rFonts w:asciiTheme="minorHAnsi" w:hAnsiTheme="minorHAnsi" w:cstheme="minorHAnsi"/>
              </w:rPr>
              <w:t>.</w:t>
            </w:r>
          </w:p>
        </w:tc>
      </w:tr>
      <w:tr w:rsidR="00AF4C0F" w:rsidRPr="002C62C2" w14:paraId="2B30F4E4" w14:textId="77777777" w:rsidTr="00971BA8">
        <w:trPr>
          <w:jc w:val="center"/>
        </w:trPr>
        <w:tc>
          <w:tcPr>
            <w:tcW w:w="9709" w:type="dxa"/>
          </w:tcPr>
          <w:p w14:paraId="70A717A4"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t>CONSTRAINTS</w:t>
            </w:r>
            <w:r w:rsidRPr="002C62C2">
              <w:rPr>
                <w:rFonts w:asciiTheme="minorHAnsi" w:hAnsiTheme="minorHAnsi" w:cstheme="minorHAnsi"/>
              </w:rPr>
              <w:t xml:space="preserve"> </w:t>
            </w:r>
          </w:p>
          <w:p w14:paraId="5542D454" w14:textId="77777777" w:rsidR="00DD17B7" w:rsidRPr="00DD17B7" w:rsidRDefault="00FA0538" w:rsidP="00DD17B7">
            <w:pPr>
              <w:pStyle w:val="TSNumberedParagraph11"/>
              <w:rPr>
                <w:rFonts w:asciiTheme="minorHAnsi" w:hAnsiTheme="minorHAnsi" w:cstheme="minorHAnsi"/>
              </w:rPr>
            </w:pPr>
            <w:r>
              <w:rPr>
                <w:rFonts w:asciiTheme="minorHAnsi" w:hAnsiTheme="minorHAnsi" w:cstheme="minorHAnsi"/>
              </w:rPr>
              <w:t>The constraints remain the same as the original specification ONR-364</w:t>
            </w:r>
            <w:r w:rsidR="00DD17B7" w:rsidRPr="00DD17B7">
              <w:rPr>
                <w:rFonts w:asciiTheme="minorHAnsi" w:hAnsiTheme="minorHAnsi" w:cstheme="minorHAnsi"/>
              </w:rPr>
              <w:t>.</w:t>
            </w:r>
          </w:p>
          <w:p w14:paraId="7FD88E20" w14:textId="77777777" w:rsidR="00DD17B7" w:rsidRPr="00DD17B7" w:rsidRDefault="00DD17B7" w:rsidP="00DD17B7">
            <w:pPr>
              <w:pStyle w:val="TSNumberedParagraph11"/>
              <w:rPr>
                <w:rFonts w:asciiTheme="minorHAnsi" w:hAnsiTheme="minorHAnsi" w:cstheme="minorHAnsi"/>
              </w:rPr>
            </w:pPr>
            <w:r w:rsidRPr="00DD17B7">
              <w:rPr>
                <w:rFonts w:asciiTheme="minorHAnsi" w:hAnsiTheme="minorHAnsi" w:cstheme="minorHAnsi"/>
              </w:rPr>
              <w:t>Conflict of Interest Considerations</w:t>
            </w:r>
          </w:p>
          <w:p w14:paraId="31D16C3E" w14:textId="77777777" w:rsidR="00DD17B7" w:rsidRPr="00DD17B7" w:rsidRDefault="00DD17B7" w:rsidP="00A1457C">
            <w:pPr>
              <w:pStyle w:val="TSNumberedParagraph11"/>
              <w:numPr>
                <w:ilvl w:val="0"/>
                <w:numId w:val="0"/>
              </w:numPr>
              <w:rPr>
                <w:rFonts w:asciiTheme="minorHAnsi" w:hAnsiTheme="minorHAnsi" w:cstheme="minorHAnsi"/>
              </w:rPr>
            </w:pPr>
            <w:r w:rsidRPr="00DD17B7">
              <w:rPr>
                <w:rFonts w:asciiTheme="minorHAnsi" w:hAnsiTheme="minorHAnsi" w:cstheme="minorHAnsi"/>
              </w:rPr>
              <w:t xml:space="preserve">The potential risk of a conflict of interest for the individual(s) undertaking the work for ONR with regards to NNB </w:t>
            </w:r>
            <w:proofErr w:type="spellStart"/>
            <w:r w:rsidRPr="00DD17B7">
              <w:rPr>
                <w:rFonts w:asciiTheme="minorHAnsi" w:hAnsiTheme="minorHAnsi" w:cstheme="minorHAnsi"/>
              </w:rPr>
              <w:t>GenCo</w:t>
            </w:r>
            <w:proofErr w:type="spellEnd"/>
            <w:r w:rsidRPr="00DD17B7">
              <w:rPr>
                <w:rFonts w:asciiTheme="minorHAnsi" w:hAnsiTheme="minorHAnsi" w:cstheme="minorHAnsi"/>
              </w:rPr>
              <w:t xml:space="preserve"> should be avoided.  Any potential conflict of interest should be declared.</w:t>
            </w:r>
          </w:p>
          <w:p w14:paraId="4A3261DC" w14:textId="77777777" w:rsidR="00DD17B7" w:rsidRPr="00DD17B7" w:rsidRDefault="00DD17B7" w:rsidP="00DD17B7">
            <w:pPr>
              <w:pStyle w:val="TSNumberedParagraph11"/>
              <w:rPr>
                <w:rFonts w:asciiTheme="minorHAnsi" w:hAnsiTheme="minorHAnsi" w:cstheme="minorHAnsi"/>
              </w:rPr>
            </w:pPr>
            <w:r w:rsidRPr="00DD17B7">
              <w:rPr>
                <w:rFonts w:asciiTheme="minorHAnsi" w:hAnsiTheme="minorHAnsi" w:cstheme="minorHAnsi"/>
              </w:rPr>
              <w:t>Relevant Skills and Experience</w:t>
            </w:r>
          </w:p>
          <w:p w14:paraId="09E11EE0" w14:textId="77777777" w:rsidR="00DD17B7" w:rsidRPr="00DD17B7" w:rsidRDefault="00DD17B7" w:rsidP="00A1457C">
            <w:pPr>
              <w:pStyle w:val="TSNumberedParagraph11"/>
              <w:numPr>
                <w:ilvl w:val="0"/>
                <w:numId w:val="0"/>
              </w:numPr>
              <w:rPr>
                <w:rFonts w:asciiTheme="minorHAnsi" w:hAnsiTheme="minorHAnsi" w:cstheme="minorHAnsi"/>
              </w:rPr>
            </w:pPr>
            <w:r w:rsidRPr="00DD17B7">
              <w:rPr>
                <w:rFonts w:asciiTheme="minorHAnsi" w:hAnsiTheme="minorHAnsi" w:cstheme="minorHAnsi"/>
              </w:rPr>
              <w:t>The services required should be delivered by resource(s) with relevant knowledge and experience. In particular, the individual(s) should have a sound knowledge and understanding of the ATHLET code, PWR faults, transient analysis and the associated physical phenomena of significance.  Furthermore, familiarity with ONR and the UK regulatory environment would be highly beneficial.</w:t>
            </w:r>
          </w:p>
          <w:p w14:paraId="1C6A24B6" w14:textId="77777777" w:rsidR="00DD17B7" w:rsidRPr="00DD17B7" w:rsidRDefault="00DD17B7" w:rsidP="00DD17B7">
            <w:pPr>
              <w:pStyle w:val="TSNumberedParagraph11"/>
              <w:rPr>
                <w:rFonts w:asciiTheme="minorHAnsi" w:hAnsiTheme="minorHAnsi" w:cstheme="minorHAnsi"/>
              </w:rPr>
            </w:pPr>
            <w:r w:rsidRPr="00DD17B7">
              <w:rPr>
                <w:rFonts w:asciiTheme="minorHAnsi" w:hAnsiTheme="minorHAnsi" w:cstheme="minorHAnsi"/>
              </w:rPr>
              <w:t>Security Considerations</w:t>
            </w:r>
          </w:p>
          <w:p w14:paraId="2F0F0979" w14:textId="77777777" w:rsidR="00DD17B7" w:rsidRPr="00DD17B7" w:rsidRDefault="00DD17B7" w:rsidP="00A1457C">
            <w:pPr>
              <w:pStyle w:val="TSNumberedParagraph11"/>
              <w:numPr>
                <w:ilvl w:val="0"/>
                <w:numId w:val="0"/>
              </w:numPr>
              <w:rPr>
                <w:rFonts w:asciiTheme="minorHAnsi" w:hAnsiTheme="minorHAnsi" w:cstheme="minorHAnsi"/>
              </w:rPr>
            </w:pPr>
            <w:r w:rsidRPr="00DD17B7">
              <w:rPr>
                <w:rFonts w:asciiTheme="minorHAnsi" w:hAnsiTheme="minorHAnsi" w:cstheme="minorHAnsi"/>
              </w:rPr>
              <w:t xml:space="preserve">Relevant documentation provided by NNB </w:t>
            </w:r>
            <w:proofErr w:type="spellStart"/>
            <w:r w:rsidRPr="00DD17B7">
              <w:rPr>
                <w:rFonts w:asciiTheme="minorHAnsi" w:hAnsiTheme="minorHAnsi" w:cstheme="minorHAnsi"/>
              </w:rPr>
              <w:t>GenCo</w:t>
            </w:r>
            <w:proofErr w:type="spellEnd"/>
            <w:r w:rsidRPr="00DD17B7">
              <w:rPr>
                <w:rFonts w:asciiTheme="minorHAnsi" w:hAnsiTheme="minorHAnsi" w:cstheme="minorHAnsi"/>
              </w:rPr>
              <w:t xml:space="preserve">, the Responsible Designer, </w:t>
            </w:r>
            <w:proofErr w:type="spellStart"/>
            <w:r w:rsidR="00987B5B">
              <w:rPr>
                <w:rFonts w:asciiTheme="minorHAnsi" w:hAnsiTheme="minorHAnsi" w:cstheme="minorHAnsi"/>
              </w:rPr>
              <w:t>Framatome</w:t>
            </w:r>
            <w:proofErr w:type="spellEnd"/>
            <w:r w:rsidRPr="00DD17B7">
              <w:rPr>
                <w:rFonts w:asciiTheme="minorHAnsi" w:hAnsiTheme="minorHAnsi" w:cstheme="minorHAnsi"/>
              </w:rPr>
              <w:t xml:space="preserve"> and ONR must be handled in accordance with the relevant security markings.  These will be provided by ONR.</w:t>
            </w:r>
          </w:p>
          <w:p w14:paraId="6EEB3900" w14:textId="77777777" w:rsidR="00DD17B7" w:rsidRPr="00DD17B7" w:rsidRDefault="00DD17B7" w:rsidP="00DD17B7">
            <w:pPr>
              <w:pStyle w:val="TSNumberedParagraph11"/>
              <w:rPr>
                <w:rFonts w:asciiTheme="minorHAnsi" w:hAnsiTheme="minorHAnsi" w:cstheme="minorHAnsi"/>
              </w:rPr>
            </w:pPr>
            <w:r w:rsidRPr="00DD17B7">
              <w:rPr>
                <w:rFonts w:asciiTheme="minorHAnsi" w:hAnsiTheme="minorHAnsi" w:cstheme="minorHAnsi"/>
              </w:rPr>
              <w:t>Impact on, and Interface with, other Work or Systems</w:t>
            </w:r>
          </w:p>
          <w:p w14:paraId="50F6B13B" w14:textId="77777777" w:rsidR="00DD17B7" w:rsidRPr="00DD17B7" w:rsidRDefault="00DD17B7" w:rsidP="00A1457C">
            <w:pPr>
              <w:pStyle w:val="TSNumberedParagraph11"/>
              <w:numPr>
                <w:ilvl w:val="0"/>
                <w:numId w:val="0"/>
              </w:numPr>
              <w:ind w:left="720" w:hanging="720"/>
              <w:rPr>
                <w:rFonts w:asciiTheme="minorHAnsi" w:hAnsiTheme="minorHAnsi" w:cstheme="minorHAnsi"/>
              </w:rPr>
            </w:pPr>
            <w:r w:rsidRPr="00DD17B7">
              <w:rPr>
                <w:rFonts w:asciiTheme="minorHAnsi" w:hAnsiTheme="minorHAnsi" w:cstheme="minorHAnsi"/>
              </w:rPr>
              <w:t>There should be no impacts on ONR resulting from the work undertaken by the individual(s).</w:t>
            </w:r>
          </w:p>
          <w:p w14:paraId="22FA0492" w14:textId="77777777" w:rsidR="00DD17B7" w:rsidRPr="00DD17B7" w:rsidRDefault="00DD17B7" w:rsidP="00A1457C">
            <w:pPr>
              <w:pStyle w:val="TSNumberedParagraph11"/>
              <w:numPr>
                <w:ilvl w:val="0"/>
                <w:numId w:val="0"/>
              </w:numPr>
              <w:ind w:hanging="22"/>
              <w:rPr>
                <w:rFonts w:asciiTheme="minorHAnsi" w:hAnsiTheme="minorHAnsi" w:cstheme="minorHAnsi"/>
              </w:rPr>
            </w:pPr>
            <w:r w:rsidRPr="00DD17B7">
              <w:rPr>
                <w:rFonts w:asciiTheme="minorHAnsi" w:hAnsiTheme="minorHAnsi" w:cstheme="minorHAnsi"/>
              </w:rPr>
              <w:t>There may be elements of the Fault Studies work stream that may be performed by another Contractor; in any event the exchange of information and interface between the two organisations will be managed by ONR’s Project Officer.</w:t>
            </w:r>
          </w:p>
          <w:p w14:paraId="6C8E0A3C" w14:textId="77777777" w:rsidR="00DD17B7" w:rsidRPr="00DD17B7" w:rsidRDefault="00DD17B7" w:rsidP="00DD17B7">
            <w:pPr>
              <w:pStyle w:val="TSNumberedParagraph11"/>
              <w:rPr>
                <w:rFonts w:asciiTheme="minorHAnsi" w:hAnsiTheme="minorHAnsi" w:cstheme="minorHAnsi"/>
              </w:rPr>
            </w:pPr>
            <w:r w:rsidRPr="00DD17B7">
              <w:rPr>
                <w:rFonts w:asciiTheme="minorHAnsi" w:hAnsiTheme="minorHAnsi" w:cstheme="minorHAnsi"/>
              </w:rPr>
              <w:t xml:space="preserve">Confidentiality Considerations </w:t>
            </w:r>
          </w:p>
          <w:p w14:paraId="202B9EA7" w14:textId="77777777" w:rsidR="00DD17B7" w:rsidRPr="00DD17B7" w:rsidRDefault="00DD17B7" w:rsidP="00A1457C">
            <w:pPr>
              <w:pStyle w:val="TSNumberedParagraph11"/>
              <w:numPr>
                <w:ilvl w:val="0"/>
                <w:numId w:val="0"/>
              </w:numPr>
              <w:rPr>
                <w:rFonts w:asciiTheme="minorHAnsi" w:hAnsiTheme="minorHAnsi" w:cstheme="minorHAnsi"/>
              </w:rPr>
            </w:pPr>
            <w:r w:rsidRPr="00DD17B7">
              <w:rPr>
                <w:rFonts w:asciiTheme="minorHAnsi" w:hAnsiTheme="minorHAnsi" w:cstheme="minorHAnsi"/>
              </w:rPr>
              <w:t xml:space="preserve">A specific confidentiality agreement is not required, however, it is recognised that the output could be commercially sensitive. The appropriate security classification will be applied to documentation produced if required. </w:t>
            </w:r>
          </w:p>
          <w:p w14:paraId="44723413" w14:textId="77777777" w:rsidR="00DD17B7" w:rsidRPr="00DD17B7" w:rsidRDefault="00DD17B7" w:rsidP="00DD17B7">
            <w:pPr>
              <w:pStyle w:val="TSNumberedParagraph11"/>
              <w:rPr>
                <w:rFonts w:asciiTheme="minorHAnsi" w:hAnsiTheme="minorHAnsi" w:cstheme="minorHAnsi"/>
              </w:rPr>
            </w:pPr>
            <w:r w:rsidRPr="00DD17B7">
              <w:rPr>
                <w:rFonts w:asciiTheme="minorHAnsi" w:hAnsiTheme="minorHAnsi" w:cstheme="minorHAnsi"/>
              </w:rPr>
              <w:t>Working Arrangements</w:t>
            </w:r>
          </w:p>
          <w:p w14:paraId="6C449AB6" w14:textId="77777777" w:rsidR="00DD17B7" w:rsidRDefault="00DD17B7" w:rsidP="00A1457C">
            <w:pPr>
              <w:pStyle w:val="TSNumberedParagraph11"/>
              <w:numPr>
                <w:ilvl w:val="0"/>
                <w:numId w:val="0"/>
              </w:numPr>
              <w:rPr>
                <w:rFonts w:asciiTheme="minorHAnsi" w:hAnsiTheme="minorHAnsi" w:cstheme="minorHAnsi"/>
              </w:rPr>
            </w:pPr>
            <w:r w:rsidRPr="00DD17B7">
              <w:rPr>
                <w:rFonts w:asciiTheme="minorHAnsi" w:hAnsiTheme="minorHAnsi" w:cstheme="minorHAnsi"/>
              </w:rPr>
              <w:t xml:space="preserve">The individual(s) will need to work closely with the ONR Project Officer and provide regular feedback and updates on the work.  In the course of the work the individual(s) will also need to engage with other ONR inspectors involved in the assessment of the HPC safety submissions.  This may require interaction to be undertaken on a quarterly basis in ONR’s offices in Bootle, in order to facilitate close engagement with the </w:t>
            </w:r>
            <w:r w:rsidRPr="00DD17B7">
              <w:rPr>
                <w:rFonts w:asciiTheme="minorHAnsi" w:hAnsiTheme="minorHAnsi" w:cstheme="minorHAnsi"/>
              </w:rPr>
              <w:lastRenderedPageBreak/>
              <w:t xml:space="preserve">Project Officer and other specialist inspectors involved in the assessment of the HPC safety submissions.  Other project updates can be provided on a </w:t>
            </w:r>
            <w:r w:rsidR="00A1457C" w:rsidRPr="00DD17B7">
              <w:rPr>
                <w:rFonts w:asciiTheme="minorHAnsi" w:hAnsiTheme="minorHAnsi" w:cstheme="minorHAnsi"/>
              </w:rPr>
              <w:t>telecom</w:t>
            </w:r>
            <w:r w:rsidRPr="00DD17B7">
              <w:rPr>
                <w:rFonts w:asciiTheme="minorHAnsi" w:hAnsiTheme="minorHAnsi" w:cstheme="minorHAnsi"/>
              </w:rPr>
              <w:t>, as appropriate.</w:t>
            </w:r>
          </w:p>
          <w:p w14:paraId="7D4F1A55" w14:textId="77777777" w:rsidR="00DD17B7" w:rsidRPr="00DD17B7" w:rsidRDefault="00DD17B7" w:rsidP="00DD17B7">
            <w:pPr>
              <w:pStyle w:val="TSNumberedParagraph11"/>
              <w:rPr>
                <w:rFonts w:asciiTheme="minorHAnsi" w:hAnsiTheme="minorHAnsi" w:cstheme="minorHAnsi"/>
              </w:rPr>
            </w:pPr>
            <w:r w:rsidRPr="00DD17B7">
              <w:rPr>
                <w:rFonts w:asciiTheme="minorHAnsi" w:hAnsiTheme="minorHAnsi" w:cstheme="minorHAnsi"/>
              </w:rPr>
              <w:t xml:space="preserve">Timescales </w:t>
            </w:r>
          </w:p>
          <w:p w14:paraId="5EB217ED" w14:textId="77777777" w:rsidR="00506452" w:rsidRDefault="00DD17B7" w:rsidP="00A1457C">
            <w:pPr>
              <w:pStyle w:val="TSNumberedParagraph11"/>
              <w:numPr>
                <w:ilvl w:val="0"/>
                <w:numId w:val="0"/>
              </w:numPr>
              <w:rPr>
                <w:rFonts w:asciiTheme="minorHAnsi" w:hAnsiTheme="minorHAnsi" w:cstheme="minorHAnsi"/>
              </w:rPr>
            </w:pPr>
            <w:r w:rsidRPr="00DD17B7">
              <w:rPr>
                <w:rFonts w:asciiTheme="minorHAnsi" w:hAnsiTheme="minorHAnsi" w:cstheme="minorHAnsi"/>
              </w:rPr>
              <w:t>The provision of resource under this contract should last for the duration of contract.</w:t>
            </w:r>
          </w:p>
          <w:p w14:paraId="70255D39" w14:textId="77777777" w:rsidR="00AF4C0F" w:rsidRDefault="00506452" w:rsidP="00B767F7">
            <w:pPr>
              <w:pStyle w:val="TSNumberedParagraph11"/>
              <w:numPr>
                <w:ilvl w:val="0"/>
                <w:numId w:val="0"/>
              </w:numPr>
              <w:rPr>
                <w:rFonts w:asciiTheme="minorHAnsi" w:hAnsiTheme="minorHAnsi" w:cs="Arial"/>
              </w:rPr>
            </w:pPr>
            <w:r w:rsidRPr="00B767F7">
              <w:rPr>
                <w:rFonts w:asciiTheme="minorHAnsi" w:hAnsiTheme="minorHAnsi" w:cs="Arial"/>
              </w:rPr>
              <w:t xml:space="preserve">Completion of </w:t>
            </w:r>
            <w:r w:rsidR="00FA0538" w:rsidRPr="00B767F7">
              <w:rPr>
                <w:rFonts w:asciiTheme="minorHAnsi" w:hAnsiTheme="minorHAnsi" w:cs="Arial"/>
              </w:rPr>
              <w:t>residual elements of ONR-364 contract</w:t>
            </w:r>
            <w:r w:rsidRPr="00B767F7">
              <w:rPr>
                <w:rFonts w:asciiTheme="minorHAnsi" w:hAnsiTheme="minorHAnsi" w:cs="Arial"/>
              </w:rPr>
              <w:t xml:space="preserve">, to inform the assessment of NNB’s Realisation Phase </w:t>
            </w:r>
            <w:r w:rsidR="00265DF2" w:rsidRPr="00B767F7">
              <w:rPr>
                <w:rFonts w:asciiTheme="minorHAnsi" w:hAnsiTheme="minorHAnsi" w:cs="Arial"/>
              </w:rPr>
              <w:t xml:space="preserve">and Reconciliation phase </w:t>
            </w:r>
            <w:r w:rsidRPr="00B767F7">
              <w:rPr>
                <w:rFonts w:asciiTheme="minorHAnsi" w:hAnsiTheme="minorHAnsi" w:cs="Arial"/>
              </w:rPr>
              <w:t xml:space="preserve">Fault Studies </w:t>
            </w:r>
            <w:r w:rsidR="00B767F7">
              <w:rPr>
                <w:rFonts w:asciiTheme="minorHAnsi" w:hAnsiTheme="minorHAnsi" w:cs="Arial"/>
              </w:rPr>
              <w:t xml:space="preserve">and </w:t>
            </w:r>
            <w:proofErr w:type="spellStart"/>
            <w:r w:rsidR="00B767F7">
              <w:rPr>
                <w:rFonts w:asciiTheme="minorHAnsi" w:hAnsiTheme="minorHAnsi" w:cs="Arial"/>
              </w:rPr>
              <w:t>PCmSR</w:t>
            </w:r>
            <w:proofErr w:type="spellEnd"/>
            <w:r w:rsidR="00B767F7">
              <w:rPr>
                <w:rFonts w:asciiTheme="minorHAnsi" w:hAnsiTheme="minorHAnsi" w:cs="Arial"/>
              </w:rPr>
              <w:t xml:space="preserve"> </w:t>
            </w:r>
            <w:r w:rsidR="00B767F7" w:rsidRPr="00B767F7">
              <w:rPr>
                <w:rFonts w:asciiTheme="minorHAnsi" w:hAnsiTheme="minorHAnsi" w:cs="Arial"/>
              </w:rPr>
              <w:t>submissions</w:t>
            </w:r>
            <w:r w:rsidR="00265DF2" w:rsidRPr="00B767F7">
              <w:rPr>
                <w:rFonts w:asciiTheme="minorHAnsi" w:hAnsiTheme="minorHAnsi" w:cs="Arial"/>
              </w:rPr>
              <w:t xml:space="preserve"> is required by </w:t>
            </w:r>
            <w:r w:rsidR="009A6657" w:rsidRPr="00B767F7">
              <w:rPr>
                <w:rFonts w:asciiTheme="minorHAnsi" w:hAnsiTheme="minorHAnsi" w:cs="Arial"/>
              </w:rPr>
              <w:t>the end of Q1</w:t>
            </w:r>
            <w:r w:rsidR="00265DF2" w:rsidRPr="00B767F7">
              <w:rPr>
                <w:rFonts w:asciiTheme="minorHAnsi" w:hAnsiTheme="minorHAnsi" w:cs="Arial"/>
              </w:rPr>
              <w:t xml:space="preserve"> 202</w:t>
            </w:r>
            <w:r w:rsidR="009A6657" w:rsidRPr="00B767F7">
              <w:rPr>
                <w:rFonts w:asciiTheme="minorHAnsi" w:hAnsiTheme="minorHAnsi" w:cs="Arial"/>
              </w:rPr>
              <w:t>1</w:t>
            </w:r>
            <w:r w:rsidRPr="00B767F7">
              <w:rPr>
                <w:rFonts w:asciiTheme="minorHAnsi" w:hAnsiTheme="minorHAnsi" w:cs="Arial"/>
              </w:rPr>
              <w:t>.  This should be used to develop a proposal in response to the scope of work.</w:t>
            </w:r>
          </w:p>
          <w:p w14:paraId="714CD269" w14:textId="13C46362" w:rsidR="004B6EBD" w:rsidRPr="00B767F7" w:rsidRDefault="004B6EBD" w:rsidP="00B767F7">
            <w:pPr>
              <w:pStyle w:val="TSNumberedParagraph11"/>
              <w:numPr>
                <w:ilvl w:val="0"/>
                <w:numId w:val="0"/>
              </w:numPr>
              <w:rPr>
                <w:rFonts w:asciiTheme="minorHAnsi" w:hAnsiTheme="minorHAnsi" w:cs="Arial"/>
              </w:rPr>
            </w:pPr>
            <w:bookmarkStart w:id="0" w:name="_GoBack"/>
            <w:bookmarkEnd w:id="0"/>
          </w:p>
        </w:tc>
      </w:tr>
      <w:tr w:rsidR="00AF4C0F" w:rsidRPr="002C62C2" w14:paraId="09D1373F" w14:textId="77777777" w:rsidTr="00971BA8">
        <w:trPr>
          <w:jc w:val="center"/>
        </w:trPr>
        <w:tc>
          <w:tcPr>
            <w:tcW w:w="9709" w:type="dxa"/>
          </w:tcPr>
          <w:p w14:paraId="102F944A"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14:paraId="0F780129" w14:textId="5769E007" w:rsidR="00AF4C0F" w:rsidRPr="004B6EBD" w:rsidRDefault="00AF4C0F" w:rsidP="00A1457C">
            <w:pPr>
              <w:pStyle w:val="TSNumberedParagraph11"/>
              <w:tabs>
                <w:tab w:val="left" w:pos="0"/>
              </w:tabs>
              <w:ind w:left="0" w:firstLine="0"/>
              <w:jc w:val="both"/>
              <w:rPr>
                <w:rFonts w:asciiTheme="minorHAnsi" w:hAnsiTheme="minorHAnsi" w:cstheme="minorHAnsi"/>
              </w:rPr>
            </w:pPr>
            <w:r w:rsidRPr="002C62C2">
              <w:rPr>
                <w:rFonts w:asciiTheme="minorHAnsi" w:hAnsiTheme="minorHAnsi" w:cstheme="minorHAnsi"/>
              </w:rPr>
              <w:t>ONR will require to be kept updated about progress and delivery of the required work via monthly meetings. Subsequent progress meeting should be arranged with the ONR Project Office and can be held at ONR’s office in Bootle, or the contractor’s premises.</w:t>
            </w:r>
          </w:p>
        </w:tc>
      </w:tr>
      <w:tr w:rsidR="00863CDC" w:rsidRPr="002C62C2" w14:paraId="713FEEBA" w14:textId="77777777" w:rsidTr="00971BA8">
        <w:trPr>
          <w:jc w:val="center"/>
        </w:trPr>
        <w:tc>
          <w:tcPr>
            <w:tcW w:w="9709" w:type="dxa"/>
            <w:tcBorders>
              <w:bottom w:val="single" w:sz="4" w:space="0" w:color="auto"/>
            </w:tcBorders>
            <w:shd w:val="clear" w:color="auto" w:fill="006D68"/>
          </w:tcPr>
          <w:p w14:paraId="3A412BF3" w14:textId="77777777"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14:paraId="25447493" w14:textId="77777777" w:rsidTr="00971BA8">
        <w:trPr>
          <w:jc w:val="center"/>
        </w:trPr>
        <w:tc>
          <w:tcPr>
            <w:tcW w:w="9709" w:type="dxa"/>
            <w:shd w:val="clear" w:color="auto" w:fill="auto"/>
          </w:tcPr>
          <w:p w14:paraId="3CB65386" w14:textId="77777777"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14:paraId="39AF228F" w14:textId="77777777" w:rsidR="00506452" w:rsidRPr="00506452" w:rsidRDefault="00506452" w:rsidP="00285219">
            <w:pPr>
              <w:pStyle w:val="TSNumberedParagraph11"/>
              <w:spacing w:after="120"/>
              <w:rPr>
                <w:rFonts w:asciiTheme="minorHAnsi" w:hAnsiTheme="minorHAnsi" w:cstheme="minorHAnsi"/>
              </w:rPr>
            </w:pPr>
            <w:r w:rsidRPr="00506452">
              <w:rPr>
                <w:rFonts w:asciiTheme="minorHAnsi" w:hAnsiTheme="minorHAnsi" w:cstheme="minorHAnsi"/>
              </w:rPr>
              <w:t>To submit a compliant proposal in response to this specification bidders must:</w:t>
            </w:r>
          </w:p>
          <w:p w14:paraId="0ECD8A7D" w14:textId="77777777" w:rsidR="00506452" w:rsidRPr="00506452" w:rsidRDefault="00506452" w:rsidP="00285219">
            <w:pPr>
              <w:pStyle w:val="TSNumberedParagraph11"/>
              <w:numPr>
                <w:ilvl w:val="0"/>
                <w:numId w:val="35"/>
              </w:numPr>
              <w:spacing w:after="120"/>
              <w:rPr>
                <w:rFonts w:asciiTheme="minorHAnsi" w:hAnsiTheme="minorHAnsi" w:cstheme="minorHAnsi"/>
              </w:rPr>
            </w:pPr>
            <w:r w:rsidRPr="00506452">
              <w:rPr>
                <w:rFonts w:asciiTheme="minorHAnsi" w:hAnsiTheme="minorHAnsi" w:cstheme="minorHAnsi"/>
              </w:rPr>
              <w:t xml:space="preserve">Clearly address all aspects of the </w:t>
            </w:r>
            <w:r w:rsidR="00C17947">
              <w:rPr>
                <w:rFonts w:asciiTheme="minorHAnsi" w:hAnsiTheme="minorHAnsi" w:cstheme="minorHAnsi"/>
              </w:rPr>
              <w:t xml:space="preserve">original </w:t>
            </w:r>
            <w:r w:rsidRPr="00506452">
              <w:rPr>
                <w:rFonts w:asciiTheme="minorHAnsi" w:hAnsiTheme="minorHAnsi" w:cstheme="minorHAnsi"/>
              </w:rPr>
              <w:t>specification (including scope, objectives and constraints);</w:t>
            </w:r>
          </w:p>
          <w:p w14:paraId="7E469C46" w14:textId="77777777" w:rsidR="00506452" w:rsidRPr="00506452" w:rsidRDefault="00506452" w:rsidP="00285219">
            <w:pPr>
              <w:pStyle w:val="TSNumberedParagraph11"/>
              <w:numPr>
                <w:ilvl w:val="0"/>
                <w:numId w:val="35"/>
              </w:numPr>
              <w:spacing w:after="120"/>
              <w:rPr>
                <w:rFonts w:asciiTheme="minorHAnsi" w:hAnsiTheme="minorHAnsi" w:cstheme="minorHAnsi"/>
              </w:rPr>
            </w:pPr>
            <w:r w:rsidRPr="00506452">
              <w:rPr>
                <w:rFonts w:asciiTheme="minorHAnsi" w:hAnsiTheme="minorHAnsi" w:cstheme="minorHAnsi"/>
              </w:rPr>
              <w:t>Include a project plan and timetable covering each of the proposed tasks;</w:t>
            </w:r>
          </w:p>
          <w:p w14:paraId="75E6127A" w14:textId="77777777" w:rsidR="00506452" w:rsidRPr="00506452" w:rsidRDefault="00506452" w:rsidP="00285219">
            <w:pPr>
              <w:pStyle w:val="TSNumberedParagraph11"/>
              <w:numPr>
                <w:ilvl w:val="0"/>
                <w:numId w:val="35"/>
              </w:numPr>
              <w:spacing w:after="120"/>
              <w:rPr>
                <w:rFonts w:asciiTheme="minorHAnsi" w:hAnsiTheme="minorHAnsi" w:cstheme="minorHAnsi"/>
              </w:rPr>
            </w:pPr>
            <w:r w:rsidRPr="00506452">
              <w:rPr>
                <w:rFonts w:asciiTheme="minorHAnsi" w:hAnsiTheme="minorHAnsi" w:cstheme="minorHAnsi"/>
              </w:rPr>
              <w:t>Provide a description of the Technical Support Contractor team’s appropriate experience to undertake this work package, and how it will go about the task;</w:t>
            </w:r>
          </w:p>
          <w:p w14:paraId="165FC5A3" w14:textId="77777777" w:rsidR="00506452" w:rsidRPr="00506452" w:rsidRDefault="00594074" w:rsidP="00285219">
            <w:pPr>
              <w:pStyle w:val="TSNumberedParagraph11"/>
              <w:numPr>
                <w:ilvl w:val="0"/>
                <w:numId w:val="35"/>
              </w:numPr>
              <w:spacing w:after="120"/>
              <w:rPr>
                <w:rFonts w:asciiTheme="minorHAnsi" w:hAnsiTheme="minorHAnsi" w:cstheme="minorHAnsi"/>
              </w:rPr>
            </w:pPr>
            <w:r>
              <w:rPr>
                <w:rFonts w:asciiTheme="minorHAnsi" w:hAnsiTheme="minorHAnsi" w:cstheme="minorHAnsi"/>
              </w:rPr>
              <w:t xml:space="preserve">Provide an anticipated cost, </w:t>
            </w:r>
            <w:r w:rsidR="00506452" w:rsidRPr="00506452">
              <w:rPr>
                <w:rFonts w:asciiTheme="minorHAnsi" w:hAnsiTheme="minorHAnsi" w:cstheme="minorHAnsi"/>
              </w:rPr>
              <w:t xml:space="preserve">spend profile </w:t>
            </w:r>
            <w:r>
              <w:rPr>
                <w:rFonts w:asciiTheme="minorHAnsi" w:hAnsiTheme="minorHAnsi" w:cstheme="minorHAnsi"/>
              </w:rPr>
              <w:t>and planned invoice schedule</w:t>
            </w:r>
            <w:r w:rsidR="00506452" w:rsidRPr="00506452">
              <w:rPr>
                <w:rFonts w:asciiTheme="minorHAnsi" w:hAnsiTheme="minorHAnsi" w:cstheme="minorHAnsi"/>
              </w:rPr>
              <w:t xml:space="preserve">, </w:t>
            </w:r>
            <w:r w:rsidR="00506452" w:rsidRPr="00265DF2">
              <w:rPr>
                <w:rFonts w:asciiTheme="minorHAnsi" w:hAnsiTheme="minorHAnsi" w:cstheme="minorHAnsi"/>
              </w:rPr>
              <w:t>assuming Q</w:t>
            </w:r>
            <w:r w:rsidR="00265DF2" w:rsidRPr="00A1457C">
              <w:rPr>
                <w:rFonts w:asciiTheme="minorHAnsi" w:hAnsiTheme="minorHAnsi" w:cstheme="minorHAnsi"/>
              </w:rPr>
              <w:t>2 2019</w:t>
            </w:r>
            <w:r w:rsidR="00506452" w:rsidRPr="00265DF2">
              <w:rPr>
                <w:rFonts w:asciiTheme="minorHAnsi" w:hAnsiTheme="minorHAnsi" w:cstheme="minorHAnsi"/>
              </w:rPr>
              <w:t xml:space="preserve"> start date;</w:t>
            </w:r>
          </w:p>
          <w:p w14:paraId="732DC6AB" w14:textId="77777777" w:rsidR="00506452" w:rsidRPr="00506452" w:rsidRDefault="00506452" w:rsidP="00285219">
            <w:pPr>
              <w:pStyle w:val="TSNumberedParagraph11"/>
              <w:numPr>
                <w:ilvl w:val="0"/>
                <w:numId w:val="35"/>
              </w:numPr>
              <w:spacing w:after="120"/>
              <w:rPr>
                <w:rFonts w:asciiTheme="minorHAnsi" w:hAnsiTheme="minorHAnsi" w:cstheme="minorHAnsi"/>
              </w:rPr>
            </w:pPr>
            <w:r w:rsidRPr="00506452">
              <w:rPr>
                <w:rFonts w:asciiTheme="minorHAnsi" w:hAnsiTheme="minorHAnsi" w:cstheme="minorHAnsi"/>
              </w:rPr>
              <w:t xml:space="preserve">Provide confirmation of availability of the key staff for the period of proposal; </w:t>
            </w:r>
          </w:p>
          <w:p w14:paraId="3E2B80C3" w14:textId="77777777" w:rsidR="00506452" w:rsidRPr="00506452" w:rsidRDefault="00506452" w:rsidP="00285219">
            <w:pPr>
              <w:pStyle w:val="TSNumberedParagraph11"/>
              <w:numPr>
                <w:ilvl w:val="0"/>
                <w:numId w:val="35"/>
              </w:numPr>
              <w:spacing w:after="120"/>
              <w:rPr>
                <w:rFonts w:asciiTheme="minorHAnsi" w:hAnsiTheme="minorHAnsi" w:cstheme="minorHAnsi"/>
              </w:rPr>
            </w:pPr>
            <w:r w:rsidRPr="00506452">
              <w:rPr>
                <w:rFonts w:asciiTheme="minorHAnsi" w:hAnsiTheme="minorHAnsi" w:cstheme="minorHAnsi"/>
              </w:rPr>
              <w:t>Provide the names and contact details of the Project and Contract Managers proposed for this task;</w:t>
            </w:r>
          </w:p>
          <w:p w14:paraId="25F78F62" w14:textId="77777777" w:rsidR="00971BA8" w:rsidRPr="00285219" w:rsidRDefault="00506452" w:rsidP="00285219">
            <w:pPr>
              <w:pStyle w:val="TSNumberedParagraph11"/>
              <w:numPr>
                <w:ilvl w:val="0"/>
                <w:numId w:val="35"/>
              </w:numPr>
              <w:spacing w:after="120"/>
              <w:rPr>
                <w:rFonts w:asciiTheme="minorHAnsi" w:hAnsiTheme="minorHAnsi" w:cstheme="minorHAnsi"/>
              </w:rPr>
            </w:pPr>
            <w:r w:rsidRPr="00506452">
              <w:rPr>
                <w:rFonts w:asciiTheme="minorHAnsi" w:hAnsiTheme="minorHAnsi" w:cstheme="minorHAnsi"/>
              </w:rPr>
              <w:t>Identify the anticipated engagement with ONR, including any progress meetings.</w:t>
            </w:r>
          </w:p>
        </w:tc>
      </w:tr>
    </w:tbl>
    <w:p w14:paraId="4E38FA4D" w14:textId="77777777" w:rsidR="006B7D7E" w:rsidRDefault="006B7D7E" w:rsidP="00457068">
      <w:pPr>
        <w:ind w:left="567" w:hanging="567"/>
        <w:rPr>
          <w:ins w:id="1" w:author="Rachael Bridges" w:date="2019-04-29T11:55:00Z"/>
          <w:rFonts w:asciiTheme="minorHAnsi" w:hAnsiTheme="minorHAnsi" w:cstheme="minorHAnsi"/>
        </w:rPr>
      </w:pPr>
    </w:p>
    <w:p w14:paraId="7AE74013" w14:textId="7B80555E" w:rsidR="00D75DA2" w:rsidRPr="002C62C2" w:rsidRDefault="00D75DA2" w:rsidP="00285219">
      <w:pPr>
        <w:rPr>
          <w:rFonts w:asciiTheme="minorHAnsi" w:hAnsiTheme="minorHAnsi" w:cstheme="minorHAnsi"/>
        </w:rPr>
      </w:pPr>
    </w:p>
    <w:sectPr w:rsidR="00D75DA2" w:rsidRPr="002C62C2" w:rsidSect="00457068">
      <w:headerReference w:type="default" r:id="rId9"/>
      <w:footerReference w:type="default" r:id="rId10"/>
      <w:headerReference w:type="first" r:id="rId11"/>
      <w:footerReference w:type="first" r:id="rId12"/>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6D6B2" w14:textId="77777777" w:rsidR="00A77894" w:rsidRDefault="00A77894">
      <w:r>
        <w:separator/>
      </w:r>
    </w:p>
    <w:p w14:paraId="7097355D" w14:textId="77777777" w:rsidR="00A77894" w:rsidRDefault="00A77894"/>
  </w:endnote>
  <w:endnote w:type="continuationSeparator" w:id="0">
    <w:p w14:paraId="07DC0540" w14:textId="77777777" w:rsidR="00A77894" w:rsidRDefault="00A77894">
      <w:r>
        <w:continuationSeparator/>
      </w:r>
    </w:p>
    <w:p w14:paraId="1EC2113D" w14:textId="77777777" w:rsidR="00A77894" w:rsidRDefault="00A77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4C7D" w14:textId="77777777" w:rsidR="00D75DA2" w:rsidRDefault="00D75DA2" w:rsidP="007D545C">
    <w:pPr>
      <w:pStyle w:val="Header"/>
      <w:jc w:val="center"/>
      <w:rPr>
        <w:b/>
        <w:color w:val="006D68"/>
        <w:sz w:val="14"/>
        <w:szCs w:val="14"/>
      </w:rPr>
    </w:pPr>
  </w:p>
  <w:p w14:paraId="443F1C58" w14:textId="77777777" w:rsidR="00D75DA2" w:rsidRDefault="00D75DA2" w:rsidP="00BC5FC8">
    <w:pPr>
      <w:pStyle w:val="Header"/>
      <w:jc w:val="center"/>
      <w:rPr>
        <w:b/>
        <w:color w:val="006D68"/>
        <w:sz w:val="14"/>
        <w:szCs w:val="14"/>
      </w:rPr>
    </w:pPr>
  </w:p>
  <w:p w14:paraId="442F3A01" w14:textId="77777777" w:rsidR="00D75DA2" w:rsidRDefault="00D75DA2" w:rsidP="00BC5FC8">
    <w:pPr>
      <w:pStyle w:val="Footer"/>
      <w:tabs>
        <w:tab w:val="clear" w:pos="4153"/>
        <w:tab w:val="clear" w:pos="8306"/>
        <w:tab w:val="right" w:pos="9214"/>
      </w:tabs>
      <w:jc w:val="center"/>
      <w:rPr>
        <w:color w:val="006D68"/>
        <w:sz w:val="14"/>
        <w:szCs w:val="14"/>
      </w:rPr>
    </w:pPr>
  </w:p>
  <w:p w14:paraId="62D110A1" w14:textId="77777777"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186E7A">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186E7A">
      <w:rPr>
        <w:b/>
        <w:noProof/>
        <w:color w:val="006D68"/>
        <w:sz w:val="14"/>
        <w:szCs w:val="14"/>
      </w:rPr>
      <w:t>3</w:t>
    </w:r>
    <w:r w:rsidRPr="00487A22">
      <w:rPr>
        <w:b/>
        <w:color w:val="006D68"/>
        <w:sz w:val="14"/>
        <w:szCs w:val="14"/>
      </w:rPr>
      <w:fldChar w:fldCharType="end"/>
    </w:r>
  </w:p>
  <w:p w14:paraId="0977C948" w14:textId="77777777" w:rsidR="00082498" w:rsidRDefault="000824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4C14" w14:textId="77777777" w:rsidR="00D75DA2" w:rsidRDefault="00D75DA2" w:rsidP="00BC5FC8">
    <w:pPr>
      <w:pStyle w:val="Header"/>
      <w:jc w:val="center"/>
      <w:rPr>
        <w:b/>
        <w:color w:val="006D68"/>
        <w:sz w:val="14"/>
        <w:szCs w:val="14"/>
      </w:rPr>
    </w:pPr>
  </w:p>
  <w:p w14:paraId="3F6B8849" w14:textId="77777777" w:rsidR="00D75DA2" w:rsidRDefault="00D75DA2" w:rsidP="00BC5FC8">
    <w:pPr>
      <w:pStyle w:val="Footer"/>
      <w:tabs>
        <w:tab w:val="clear" w:pos="4153"/>
        <w:tab w:val="clear" w:pos="8306"/>
        <w:tab w:val="right" w:pos="9214"/>
      </w:tabs>
      <w:jc w:val="center"/>
      <w:rPr>
        <w:color w:val="006D68"/>
        <w:sz w:val="14"/>
        <w:szCs w:val="14"/>
      </w:rPr>
    </w:pPr>
  </w:p>
  <w:p w14:paraId="1B583D73" w14:textId="77777777"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186E7A">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186E7A">
      <w:rPr>
        <w:b/>
        <w:noProof/>
        <w:color w:val="006D68"/>
        <w:sz w:val="14"/>
        <w:szCs w:val="14"/>
      </w:rPr>
      <w:t>3</w:t>
    </w:r>
    <w:r w:rsidR="00D75DA2" w:rsidRPr="00B56CCE">
      <w:rPr>
        <w:b/>
        <w:color w:val="006D68"/>
        <w:sz w:val="14"/>
        <w:szCs w:val="14"/>
      </w:rPr>
      <w:fldChar w:fldCharType="end"/>
    </w:r>
  </w:p>
  <w:p w14:paraId="233A31F5" w14:textId="77777777" w:rsidR="00082498" w:rsidRDefault="000824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70848" w14:textId="77777777" w:rsidR="00A77894" w:rsidRDefault="00A77894">
      <w:r>
        <w:separator/>
      </w:r>
    </w:p>
    <w:p w14:paraId="3D059450" w14:textId="77777777" w:rsidR="00A77894" w:rsidRDefault="00A77894"/>
  </w:footnote>
  <w:footnote w:type="continuationSeparator" w:id="0">
    <w:p w14:paraId="1653A4F5" w14:textId="77777777" w:rsidR="00A77894" w:rsidRDefault="00A77894">
      <w:r>
        <w:continuationSeparator/>
      </w:r>
    </w:p>
    <w:p w14:paraId="21EBF617" w14:textId="77777777" w:rsidR="00A77894" w:rsidRDefault="00A778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8BB38" w14:textId="77777777" w:rsidR="00D75DA2" w:rsidRDefault="00A25EB0">
    <w:pPr>
      <w:pStyle w:val="Header"/>
      <w:rPr>
        <w:b/>
        <w:color w:val="006D68"/>
        <w:sz w:val="14"/>
        <w:szCs w:val="14"/>
      </w:rPr>
    </w:pPr>
    <w:r w:rsidRPr="00487A22">
      <w:rPr>
        <w:color w:val="006D68"/>
        <w:sz w:val="14"/>
        <w:szCs w:val="14"/>
      </w:rPr>
      <w:t>Office for Nuclear Regulation</w:t>
    </w:r>
  </w:p>
  <w:p w14:paraId="5A3339D8" w14:textId="77777777" w:rsidR="00D75DA2" w:rsidRDefault="00D75DA2">
    <w:pPr>
      <w:pStyle w:val="Header"/>
      <w:rPr>
        <w:b/>
        <w:color w:val="006D68"/>
        <w:sz w:val="14"/>
        <w:szCs w:val="14"/>
      </w:rPr>
    </w:pPr>
  </w:p>
  <w:p w14:paraId="7A3EFFE3" w14:textId="77777777" w:rsidR="00D75DA2" w:rsidRPr="00AF4C0F" w:rsidRDefault="00D75DA2" w:rsidP="007D545C">
    <w:pPr>
      <w:pStyle w:val="Header"/>
      <w:jc w:val="center"/>
      <w:rPr>
        <w:b/>
        <w:color w:val="006D68"/>
        <w:sz w:val="20"/>
        <w:szCs w:val="20"/>
      </w:rPr>
    </w:pPr>
  </w:p>
  <w:p w14:paraId="5DEBA14C" w14:textId="77777777" w:rsidR="00D75DA2" w:rsidRDefault="00D75DA2" w:rsidP="007D545C">
    <w:pPr>
      <w:pStyle w:val="Header"/>
      <w:jc w:val="center"/>
      <w:rPr>
        <w:b/>
        <w:color w:val="006D68"/>
        <w:sz w:val="14"/>
        <w:szCs w:val="14"/>
      </w:rPr>
    </w:pPr>
  </w:p>
  <w:p w14:paraId="3397C7F0" w14:textId="77777777" w:rsidR="00082498" w:rsidRDefault="000824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4A25C" w14:textId="77777777" w:rsidR="00EC5B8E" w:rsidRDefault="00EC5B8E">
    <w:pPr>
      <w:pStyle w:val="Header"/>
    </w:pPr>
    <w:r>
      <w:t>HSE/T3434</w:t>
    </w:r>
  </w:p>
  <w:p w14:paraId="20A56C67" w14:textId="77777777" w:rsidR="00082498" w:rsidRDefault="000824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15:restartNumberingAfterBreak="0">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09783E"/>
    <w:multiLevelType w:val="hybridMultilevel"/>
    <w:tmpl w:val="5298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0"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2"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5" w15:restartNumberingAfterBreak="0">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42DF1"/>
    <w:multiLevelType w:val="hybridMultilevel"/>
    <w:tmpl w:val="79D8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8" w15:restartNumberingAfterBreak="0">
    <w:nsid w:val="3E66012C"/>
    <w:multiLevelType w:val="hybridMultilevel"/>
    <w:tmpl w:val="5E1A9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2E74C5"/>
    <w:multiLevelType w:val="hybridMultilevel"/>
    <w:tmpl w:val="05F85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2"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3"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6" w15:restartNumberingAfterBreak="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8" w15:restartNumberingAfterBreak="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0"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2"/>
  </w:num>
  <w:num w:numId="3">
    <w:abstractNumId w:val="17"/>
  </w:num>
  <w:num w:numId="4">
    <w:abstractNumId w:val="0"/>
  </w:num>
  <w:num w:numId="5">
    <w:abstractNumId w:val="14"/>
  </w:num>
  <w:num w:numId="6">
    <w:abstractNumId w:val="30"/>
  </w:num>
  <w:num w:numId="7">
    <w:abstractNumId w:val="25"/>
  </w:num>
  <w:num w:numId="8">
    <w:abstractNumId w:val="22"/>
  </w:num>
  <w:num w:numId="9">
    <w:abstractNumId w:val="31"/>
  </w:num>
  <w:num w:numId="10">
    <w:abstractNumId w:val="2"/>
  </w:num>
  <w:num w:numId="11">
    <w:abstractNumId w:val="7"/>
  </w:num>
  <w:num w:numId="12">
    <w:abstractNumId w:val="10"/>
  </w:num>
  <w:num w:numId="13">
    <w:abstractNumId w:val="1"/>
  </w:num>
  <w:num w:numId="14">
    <w:abstractNumId w:val="23"/>
  </w:num>
  <w:num w:numId="15">
    <w:abstractNumId w:val="12"/>
  </w:num>
  <w:num w:numId="16">
    <w:abstractNumId w:val="28"/>
  </w:num>
  <w:num w:numId="17">
    <w:abstractNumId w:val="8"/>
  </w:num>
  <w:num w:numId="18">
    <w:abstractNumId w:val="19"/>
  </w:num>
  <w:num w:numId="19">
    <w:abstractNumId w:val="15"/>
  </w:num>
  <w:num w:numId="20">
    <w:abstractNumId w:val="3"/>
  </w:num>
  <w:num w:numId="21">
    <w:abstractNumId w:val="29"/>
  </w:num>
  <w:num w:numId="22">
    <w:abstractNumId w:val="4"/>
  </w:num>
  <w:num w:numId="23">
    <w:abstractNumId w:val="24"/>
  </w:num>
  <w:num w:numId="24">
    <w:abstractNumId w:val="26"/>
  </w:num>
  <w:num w:numId="25">
    <w:abstractNumId w:val="13"/>
  </w:num>
  <w:num w:numId="26">
    <w:abstractNumId w:val="6"/>
  </w:num>
  <w:num w:numId="27">
    <w:abstractNumId w:val="11"/>
  </w:num>
  <w:num w:numId="28">
    <w:abstractNumId w:val="27"/>
  </w:num>
  <w:num w:numId="29">
    <w:abstractNumId w:val="21"/>
  </w:num>
  <w:num w:numId="30">
    <w:abstractNumId w:val="28"/>
  </w:num>
  <w:num w:numId="31">
    <w:abstractNumId w:val="10"/>
  </w:num>
  <w:num w:numId="32">
    <w:abstractNumId w:val="18"/>
  </w:num>
  <w:num w:numId="33">
    <w:abstractNumId w:val="16"/>
  </w:num>
  <w:num w:numId="34">
    <w:abstractNumId w:val="20"/>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ael Bridges">
    <w15:presenceInfo w15:providerId="AD" w15:userId="S-1-5-21-6776287-1468165037-2079600828-77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30D3C"/>
    <w:rsid w:val="000312D3"/>
    <w:rsid w:val="000375D1"/>
    <w:rsid w:val="000715BD"/>
    <w:rsid w:val="00082498"/>
    <w:rsid w:val="000944B0"/>
    <w:rsid w:val="00096F71"/>
    <w:rsid w:val="000B1830"/>
    <w:rsid w:val="000B4E40"/>
    <w:rsid w:val="000C4D5C"/>
    <w:rsid w:val="000D6244"/>
    <w:rsid w:val="00121C8F"/>
    <w:rsid w:val="00131ECC"/>
    <w:rsid w:val="00144CEA"/>
    <w:rsid w:val="00164F4F"/>
    <w:rsid w:val="00186E7A"/>
    <w:rsid w:val="00193C9A"/>
    <w:rsid w:val="001A58B1"/>
    <w:rsid w:val="001C3DB8"/>
    <w:rsid w:val="001D78A1"/>
    <w:rsid w:val="00200CB7"/>
    <w:rsid w:val="0021074A"/>
    <w:rsid w:val="00216018"/>
    <w:rsid w:val="00265DF2"/>
    <w:rsid w:val="0028011F"/>
    <w:rsid w:val="0028356A"/>
    <w:rsid w:val="00285219"/>
    <w:rsid w:val="00297401"/>
    <w:rsid w:val="002C187F"/>
    <w:rsid w:val="002C62C2"/>
    <w:rsid w:val="0031706E"/>
    <w:rsid w:val="003B4AA2"/>
    <w:rsid w:val="003D005E"/>
    <w:rsid w:val="003E2CA6"/>
    <w:rsid w:val="003E452E"/>
    <w:rsid w:val="003F167D"/>
    <w:rsid w:val="00457068"/>
    <w:rsid w:val="004750A2"/>
    <w:rsid w:val="00475FF9"/>
    <w:rsid w:val="00487A22"/>
    <w:rsid w:val="004A7B1B"/>
    <w:rsid w:val="004B4392"/>
    <w:rsid w:val="004B6361"/>
    <w:rsid w:val="004B6EBD"/>
    <w:rsid w:val="004F24BC"/>
    <w:rsid w:val="00505F6E"/>
    <w:rsid w:val="00506452"/>
    <w:rsid w:val="005322E6"/>
    <w:rsid w:val="005556C6"/>
    <w:rsid w:val="00562F2F"/>
    <w:rsid w:val="00594074"/>
    <w:rsid w:val="005A0A8A"/>
    <w:rsid w:val="005A1570"/>
    <w:rsid w:val="005A5A87"/>
    <w:rsid w:val="005C3596"/>
    <w:rsid w:val="005F03B7"/>
    <w:rsid w:val="005F0722"/>
    <w:rsid w:val="00604F23"/>
    <w:rsid w:val="006544EB"/>
    <w:rsid w:val="0065737C"/>
    <w:rsid w:val="006A667F"/>
    <w:rsid w:val="006B2DA6"/>
    <w:rsid w:val="006B7D7E"/>
    <w:rsid w:val="006C519A"/>
    <w:rsid w:val="006F1199"/>
    <w:rsid w:val="006F5420"/>
    <w:rsid w:val="00715C62"/>
    <w:rsid w:val="007162C5"/>
    <w:rsid w:val="0072164C"/>
    <w:rsid w:val="00726445"/>
    <w:rsid w:val="007318D1"/>
    <w:rsid w:val="007A0770"/>
    <w:rsid w:val="007B4EE0"/>
    <w:rsid w:val="007D545C"/>
    <w:rsid w:val="007E4CA5"/>
    <w:rsid w:val="007F2358"/>
    <w:rsid w:val="007F7246"/>
    <w:rsid w:val="00842FD6"/>
    <w:rsid w:val="00855CE6"/>
    <w:rsid w:val="008566FE"/>
    <w:rsid w:val="00857645"/>
    <w:rsid w:val="00861790"/>
    <w:rsid w:val="00863CDC"/>
    <w:rsid w:val="00891423"/>
    <w:rsid w:val="008A7BDD"/>
    <w:rsid w:val="008D71E9"/>
    <w:rsid w:val="008E67CB"/>
    <w:rsid w:val="0091041C"/>
    <w:rsid w:val="00932851"/>
    <w:rsid w:val="009678DE"/>
    <w:rsid w:val="00971BA8"/>
    <w:rsid w:val="009765DB"/>
    <w:rsid w:val="00987AA6"/>
    <w:rsid w:val="00987B5B"/>
    <w:rsid w:val="009962B1"/>
    <w:rsid w:val="009A6657"/>
    <w:rsid w:val="009B5159"/>
    <w:rsid w:val="009D3CD0"/>
    <w:rsid w:val="009F1B6F"/>
    <w:rsid w:val="00A1457C"/>
    <w:rsid w:val="00A25EB0"/>
    <w:rsid w:val="00A41FDA"/>
    <w:rsid w:val="00A442D1"/>
    <w:rsid w:val="00A505DA"/>
    <w:rsid w:val="00A77894"/>
    <w:rsid w:val="00AB2BB0"/>
    <w:rsid w:val="00AB6F61"/>
    <w:rsid w:val="00AB7147"/>
    <w:rsid w:val="00AC3B66"/>
    <w:rsid w:val="00AD5635"/>
    <w:rsid w:val="00AE199F"/>
    <w:rsid w:val="00AF4C0F"/>
    <w:rsid w:val="00B255B3"/>
    <w:rsid w:val="00B43C54"/>
    <w:rsid w:val="00B504F7"/>
    <w:rsid w:val="00B56CCE"/>
    <w:rsid w:val="00B6592F"/>
    <w:rsid w:val="00B72F06"/>
    <w:rsid w:val="00B74A66"/>
    <w:rsid w:val="00B767F7"/>
    <w:rsid w:val="00B81B18"/>
    <w:rsid w:val="00B85247"/>
    <w:rsid w:val="00BC24ED"/>
    <w:rsid w:val="00BC5FC8"/>
    <w:rsid w:val="00C17947"/>
    <w:rsid w:val="00C25583"/>
    <w:rsid w:val="00C75298"/>
    <w:rsid w:val="00C75A1C"/>
    <w:rsid w:val="00C92FD6"/>
    <w:rsid w:val="00CA3B14"/>
    <w:rsid w:val="00CD3027"/>
    <w:rsid w:val="00CD7B5F"/>
    <w:rsid w:val="00CE5958"/>
    <w:rsid w:val="00CE6571"/>
    <w:rsid w:val="00D3061A"/>
    <w:rsid w:val="00D55197"/>
    <w:rsid w:val="00D55FE7"/>
    <w:rsid w:val="00D75DA2"/>
    <w:rsid w:val="00D7747E"/>
    <w:rsid w:val="00D942CE"/>
    <w:rsid w:val="00DC6611"/>
    <w:rsid w:val="00DD17B7"/>
    <w:rsid w:val="00DE4417"/>
    <w:rsid w:val="00DE45FF"/>
    <w:rsid w:val="00DF3697"/>
    <w:rsid w:val="00E01751"/>
    <w:rsid w:val="00E12A39"/>
    <w:rsid w:val="00E32F3B"/>
    <w:rsid w:val="00E71B0C"/>
    <w:rsid w:val="00E87C8C"/>
    <w:rsid w:val="00E9478E"/>
    <w:rsid w:val="00E97293"/>
    <w:rsid w:val="00E97ADF"/>
    <w:rsid w:val="00EA5EB4"/>
    <w:rsid w:val="00EB16D2"/>
    <w:rsid w:val="00EB2B71"/>
    <w:rsid w:val="00EC5B8E"/>
    <w:rsid w:val="00ED5F2B"/>
    <w:rsid w:val="00F66FE7"/>
    <w:rsid w:val="00F90D3A"/>
    <w:rsid w:val="00F9776B"/>
    <w:rsid w:val="00FA0538"/>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A4D254"/>
  <w15:docId w15:val="{71B08B6E-1E3B-43A0-87C0-AEFED3B5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uiPriority w:val="99"/>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1320-81A6-4D9D-BCAF-F402CFE6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1055</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3</cp:revision>
  <cp:lastPrinted>2019-05-21T15:25:00Z</cp:lastPrinted>
  <dcterms:created xsi:type="dcterms:W3CDTF">2020-07-23T13:00:00Z</dcterms:created>
  <dcterms:modified xsi:type="dcterms:W3CDTF">2020-07-23T13:04:00Z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