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715"/>
        </w:tabs>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715"/>
        </w:tabs>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Call-Off Schedule 1 (Transparency Reports)</w:t>
      </w:r>
    </w:p>
    <w:p w:rsidR="00000000" w:rsidDel="00000000" w:rsidP="00000000" w:rsidRDefault="00000000" w:rsidRPr="00000000" w14:paraId="00000003">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The Supplier recognises that the Buyer is subject to PPN 01/17 (Updates to transparency principles v1.1 (</w:t>
      </w:r>
      <w:hyperlink r:id="rId7">
        <w:r w:rsidDel="00000000" w:rsidR="00000000" w:rsidRPr="00000000">
          <w:rPr>
            <w:rFonts w:ascii="Arial" w:cs="Arial" w:eastAsia="Arial" w:hAnsi="Arial"/>
            <w:color w:val="0000ff"/>
            <w:sz w:val="24"/>
            <w:szCs w:val="24"/>
            <w:u w:val="single"/>
            <w:rtl w:val="0"/>
          </w:rPr>
          <w:t xml:space="preserve">https://www.gov.uk/government/publications/procurement-policy-note-0117-update-to-transparency-principles</w:t>
        </w:r>
      </w:hyperlink>
      <w:r w:rsidDel="00000000" w:rsidR="00000000" w:rsidRPr="00000000">
        <w:rPr>
          <w:rFonts w:ascii="Arial" w:cs="Arial" w:eastAsia="Arial" w:hAnsi="Arial"/>
          <w:color w:val="000000"/>
          <w:sz w:val="24"/>
          <w:szCs w:val="24"/>
          <w:rtl w:val="0"/>
        </w:rPr>
        <w:t xml:space="preserve">). The Supplier shall comply with the provisions of this Schedule in order to assist the Buyer with its compliance with its obligations under that PPN.</w:t>
      </w:r>
    </w:p>
    <w:p w:rsidR="00000000" w:rsidDel="00000000" w:rsidP="00000000" w:rsidRDefault="00000000" w:rsidRPr="00000000" w14:paraId="00000004">
      <w:pPr>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tab/>
        <w:t xml:space="preserve">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000000" w:rsidDel="00000000" w:rsidP="00000000" w:rsidRDefault="00000000" w:rsidRPr="00000000" w14:paraId="0000000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000000" w:rsidDel="00000000" w:rsidP="00000000" w:rsidRDefault="00000000" w:rsidRPr="00000000" w14:paraId="00000008">
      <w:pPr>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 The Supplier shall provide accurate and up-to-date versions of each Transparency Report to the Buyer at the frequency referred to in the Annex of this Schedule.</w:t>
      </w:r>
    </w:p>
    <w:p w:rsidR="00000000" w:rsidDel="00000000" w:rsidP="00000000" w:rsidRDefault="00000000" w:rsidRPr="00000000" w14:paraId="0000000A">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Annex A: List of Transparency Reports</w:t>
      </w:r>
    </w:p>
    <w:tbl>
      <w:tblPr>
        <w:tblStyle w:val="Table1"/>
        <w:tblW w:w="8985.0" w:type="dxa"/>
        <w:jc w:val="left"/>
        <w:tblLayout w:type="fixed"/>
        <w:tblLook w:val="0400"/>
      </w:tblPr>
      <w:tblGrid>
        <w:gridCol w:w="3182"/>
        <w:gridCol w:w="1836"/>
        <w:gridCol w:w="2036"/>
        <w:gridCol w:w="1931"/>
        <w:tblGridChange w:id="0">
          <w:tblGrid>
            <w:gridCol w:w="3182"/>
            <w:gridCol w:w="1836"/>
            <w:gridCol w:w="2036"/>
            <w:gridCol w:w="1931"/>
          </w:tblGrid>
        </w:tblGridChange>
      </w:tblGrid>
      <w:tr>
        <w:trPr>
          <w:cantSplit w:val="0"/>
          <w:trHeight w:val="12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3.0" w:type="dxa"/>
              <w:bottom w:w="0.0" w:type="dxa"/>
              <w:right w:w="108.0" w:type="dxa"/>
            </w:tcMar>
          </w:tcPr>
          <w:bookmarkStart w:colFirst="0" w:colLast="0" w:name="bookmark=id.gjdgxs" w:id="0"/>
          <w:bookmarkEnd w:id="0"/>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Title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Content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Format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Frequency</w:t>
            </w:r>
            <w:r w:rsidDel="00000000" w:rsidR="00000000" w:rsidRPr="00000000">
              <w:rPr>
                <w:rtl w:val="0"/>
              </w:rPr>
            </w:r>
          </w:p>
        </w:tc>
      </w:tr>
      <w:tr>
        <w:trPr>
          <w:cantSplit w:val="0"/>
          <w:trHeight w:val="214" w:hRule="atLeast"/>
          <w:tblHeader w:val="0"/>
        </w:trPr>
        <w:tc>
          <w:tcPr>
            <w:tcBorders>
              <w:top w:color="000000" w:space="0" w:sz="0" w:val="nil"/>
              <w:left w:color="000000" w:space="0" w:sz="8" w:val="single"/>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Performance Levels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Accurate management information on Supplier Service Level Performance, including delivery of Social Value priorities.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respond to requests for the provision of information in response to the Buyer’s disclosure obligations under Government Transparency Standards and Parliamentary Questions.</w:t>
            </w:r>
          </w:p>
          <w:p w:rsidR="00000000" w:rsidDel="00000000" w:rsidP="00000000" w:rsidRDefault="00000000" w:rsidRPr="00000000" w14:paraId="0000001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Reports to be submitted in Microsoft Word or Excel format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At the Buyer’s request.</w:t>
            </w:r>
            <w:r w:rsidDel="00000000" w:rsidR="00000000" w:rsidRPr="00000000">
              <w:rPr>
                <w:rtl w:val="0"/>
              </w:rPr>
            </w:r>
          </w:p>
        </w:tc>
      </w:tr>
      <w:tr>
        <w:trPr>
          <w:cantSplit w:val="0"/>
          <w:trHeight w:val="155" w:hRule="atLeast"/>
          <w:tblHeader w:val="0"/>
        </w:trPr>
        <w:tc>
          <w:tcPr>
            <w:tcBorders>
              <w:top w:color="000000" w:space="0" w:sz="0" w:val="nil"/>
              <w:left w:color="000000" w:space="0" w:sz="8" w:val="single"/>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Call-Off Contract Charges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Contract prices.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respond to requests for the provision of information in response to the Buyer’s disclosure obligations under Government Transparency Standards and Parliamentary Questions.</w:t>
            </w:r>
          </w:p>
          <w:p w:rsidR="00000000" w:rsidDel="00000000" w:rsidP="00000000" w:rsidRDefault="00000000" w:rsidRPr="00000000" w14:paraId="000000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Reports to be submitted in Microsoft Word or Excel format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At the Buyer’s request.</w:t>
            </w:r>
            <w:r w:rsidDel="00000000" w:rsidR="00000000" w:rsidRPr="00000000">
              <w:rPr>
                <w:rtl w:val="0"/>
              </w:rPr>
            </w:r>
          </w:p>
        </w:tc>
      </w:tr>
      <w:tr>
        <w:trPr>
          <w:cantSplit w:val="0"/>
          <w:trHeight w:val="155" w:hRule="atLeast"/>
          <w:tblHeader w:val="0"/>
        </w:trPr>
        <w:tc>
          <w:tcPr>
            <w:tcBorders>
              <w:top w:color="000000" w:space="0" w:sz="0" w:val="nil"/>
              <w:left w:color="000000" w:space="0" w:sz="8" w:val="single"/>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Key Subcontractors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Accurate management information on any Key Subcontractors who deliver services for the Supplier to the Buyer.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2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respond to requests for the provision of information in response to the Buyer’s disclosure obligations under Government Transparency Standards and Parliamentary Questions.</w:t>
            </w:r>
          </w:p>
          <w:p w:rsidR="00000000" w:rsidDel="00000000" w:rsidP="00000000" w:rsidRDefault="00000000" w:rsidRPr="00000000" w14:paraId="0000002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Reports to be submitted in Microsoft Word or Excel format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13.0" w:type="dxa"/>
              <w:bottom w:w="0.0" w:type="dxa"/>
              <w:right w:w="108.0" w:type="dxa"/>
            </w:tcMar>
          </w:tcPr>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At the Buyer’s request.</w:t>
            </w:r>
            <w:r w:rsidDel="00000000" w:rsidR="00000000" w:rsidRPr="00000000">
              <w:rPr>
                <w:rtl w:val="0"/>
              </w:rPr>
            </w:r>
          </w:p>
        </w:tc>
      </w:tr>
    </w:tbl>
    <w:p w:rsidR="00000000" w:rsidDel="00000000" w:rsidP="00000000" w:rsidRDefault="00000000" w:rsidRPr="00000000" w14:paraId="00000024">
      <w:pPr>
        <w:tabs>
          <w:tab w:val="left" w:leader="none" w:pos="1251"/>
        </w:tabs>
        <w:rPr>
          <w:rFonts w:ascii="Arial" w:cs="Arial" w:eastAsia="Arial" w:hAnsi="Arial"/>
          <w:sz w:val="24"/>
          <w:szCs w:val="24"/>
        </w:rPr>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25">
      <w:pPr>
        <w:tabs>
          <w:tab w:val="left" w:leader="none" w:pos="1251"/>
        </w:tabs>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30">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34">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tab/>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 xml:space="preserve">Model Version: v3.0</w:t>
      <w:tab/>
    </w:r>
    <w:r w:rsidDel="00000000" w:rsidR="00000000" w:rsidRPr="00000000">
      <w:rPr>
        <w:rFonts w:ascii="Arial" w:cs="Arial" w:eastAsia="Arial" w:hAnsi="Arial"/>
        <w:color w:val="a6a6a6"/>
        <w:sz w:val="20"/>
        <w:szCs w:val="20"/>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 (Transparency Reports)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Call-Off Schedule 1 (Transparency Reports)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2018</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policy-note-0117-update-to-transparency-principle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GSvJGEb+WN6ekf+Bqs7baizdw==">CgMxLjAyCWlkLmdqZGd4czgAciExRkV3SUpCTGw5SlNHRnJXdXUxaHo4Y1l5SEJNWnRGMFo=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