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85.0" w:type="dxa"/>
        <w:jc w:val="left"/>
        <w:tblLayout w:type="fixed"/>
        <w:tblLook w:val="0400"/>
      </w:tblPr>
      <w:tblGrid>
        <w:gridCol w:w="3182"/>
        <w:gridCol w:w="1836"/>
        <w:gridCol w:w="2036"/>
        <w:gridCol w:w="1931"/>
        <w:tblGridChange w:id="0">
          <w:tblGrid>
            <w:gridCol w:w="3182"/>
            <w:gridCol w:w="1836"/>
            <w:gridCol w:w="2036"/>
            <w:gridCol w:w="1931"/>
          </w:tblGrid>
        </w:tblGridChange>
      </w:tblGrid>
      <w:tr>
        <w:trPr>
          <w:cantSplit w:val="0"/>
          <w:trHeight w:val="12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3.0" w:type="dxa"/>
              <w:bottom w:w="0.0" w:type="dxa"/>
              <w:right w:w="108.0" w:type="dxa"/>
            </w:tcMar>
          </w:tcPr>
          <w:bookmarkStart w:colFirst="0" w:colLast="0" w:name="bookmark=id.gjdgxs" w:id="0"/>
          <w:bookmarkEnd w:id="0"/>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Title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Content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Format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Frequency</w:t>
            </w:r>
            <w:r w:rsidDel="00000000" w:rsidR="00000000" w:rsidRPr="00000000">
              <w:rPr>
                <w:rtl w:val="0"/>
              </w:rPr>
            </w:r>
          </w:p>
        </w:tc>
      </w:tr>
      <w:tr>
        <w:trPr>
          <w:cantSplit w:val="0"/>
          <w:trHeight w:val="214" w:hRule="atLeast"/>
          <w:tblHeader w:val="0"/>
        </w:trPr>
        <w:tc>
          <w:tcPr>
            <w:tcBorders>
              <w:top w:color="000000" w:space="0" w:sz="0" w:val="nil"/>
              <w:left w:color="000000" w:space="0" w:sz="8" w:val="single"/>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Performance Levels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Accurate management information on Supplier Service Level Performance, including delivery of Social Value priorities.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respond to requests for the provision of information in response to the Buyer’s disclosure obligations under Government Transparency Standards and Parliamentary Questions.</w:t>
            </w:r>
          </w:p>
          <w:p w:rsidR="00000000" w:rsidDel="00000000" w:rsidP="00000000" w:rsidRDefault="00000000" w:rsidRPr="00000000" w14:paraId="0000001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Reports to be submitted in Microsoft Word or Excel format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At the Buyer’s request.</w:t>
            </w:r>
            <w:r w:rsidDel="00000000" w:rsidR="00000000" w:rsidRPr="00000000">
              <w:rPr>
                <w:rtl w:val="0"/>
              </w:rPr>
            </w:r>
          </w:p>
        </w:tc>
      </w:tr>
      <w:tr>
        <w:trPr>
          <w:cantSplit w:val="0"/>
          <w:trHeight w:val="155" w:hRule="atLeast"/>
          <w:tblHeader w:val="0"/>
        </w:trPr>
        <w:tc>
          <w:tcPr>
            <w:tcBorders>
              <w:top w:color="000000" w:space="0" w:sz="0" w:val="nil"/>
              <w:left w:color="000000" w:space="0" w:sz="8" w:val="single"/>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Call-Off Contract Charges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Contract prices.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respond to requests for the provision of information in response to the Buyer’s disclosure obligations under Government Transparency Standards and Parliamentary Questions.</w:t>
            </w:r>
          </w:p>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Reports to be submitted in Microsoft Word or Excel format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At the Buyer’s request.</w:t>
            </w:r>
            <w:r w:rsidDel="00000000" w:rsidR="00000000" w:rsidRPr="00000000">
              <w:rPr>
                <w:rtl w:val="0"/>
              </w:rPr>
            </w:r>
          </w:p>
        </w:tc>
      </w:tr>
      <w:tr>
        <w:trPr>
          <w:cantSplit w:val="0"/>
          <w:trHeight w:val="155" w:hRule="atLeast"/>
          <w:tblHeader w:val="0"/>
        </w:trPr>
        <w:tc>
          <w:tcPr>
            <w:tcBorders>
              <w:top w:color="000000" w:space="0" w:sz="0" w:val="nil"/>
              <w:left w:color="000000" w:space="0" w:sz="8" w:val="single"/>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Key Subcontractors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Accurate management information on any Key Subcontractors who deliver services for the Supplier to the Buyer.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2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respond to requests for the provision of information in response to the Buyer’s disclosure obligations under Government Transparency Standards and Parliamentary Questions.</w:t>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Reports to be submitted in Microsoft Word or Excel format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3.0" w:type="dxa"/>
              <w:bottom w:w="0.0" w:type="dxa"/>
              <w:right w:w="108.0" w:type="dxa"/>
            </w:tcMar>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At the Buyer’s request.</w:t>
            </w:r>
            <w:r w:rsidDel="00000000" w:rsidR="00000000" w:rsidRPr="00000000">
              <w:rPr>
                <w:rtl w:val="0"/>
              </w:rPr>
            </w:r>
          </w:p>
        </w:tc>
      </w:tr>
    </w:tbl>
    <w:p w:rsidR="00000000" w:rsidDel="00000000" w:rsidP="00000000" w:rsidRDefault="00000000" w:rsidRPr="00000000" w14:paraId="00000024">
      <w:pPr>
        <w:tabs>
          <w:tab w:val="left" w:leader="none" w:pos="1251"/>
        </w:tabs>
        <w:rPr>
          <w:rFonts w:ascii="Arial" w:cs="Arial" w:eastAsia="Arial" w:hAnsi="Arial"/>
          <w:sz w:val="24"/>
          <w:szCs w:val="24"/>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25">
      <w:pPr>
        <w:tabs>
          <w:tab w:val="left" w:leader="none" w:pos="1251"/>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30">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34">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2018</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GSvJGEb+WN6ekf+Bqs7baizdw==">CgMxLjAyCWlkLmdqZGd4czgAciExRkV3SUpCTGw5SlNHRnJXdXUxaHo4Y1l5SEJNWnRGMFo=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