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E7536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East </w:t>
      </w:r>
      <w:r w:rsidR="00971087">
        <w:rPr>
          <w:rFonts w:cstheme="minorHAnsi"/>
          <w:b/>
          <w:color w:val="000000"/>
          <w:sz w:val="56"/>
          <w:szCs w:val="56"/>
        </w:rPr>
        <w:t>of England</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Needs Assessment</w:t>
      </w:r>
      <w:r w:rsidR="00800746" w:rsidRPr="00D95205">
        <w:rPr>
          <w:rFonts w:cstheme="minorHAnsi"/>
          <w:b/>
          <w:color w:val="000000"/>
          <w:sz w:val="56"/>
          <w:szCs w:val="56"/>
        </w:rPr>
        <w:t xml:space="preserve"> Specification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800746" w:rsidRPr="00D95205" w:rsidRDefault="00EB15DE" w:rsidP="00971087">
          <w:pPr>
            <w:pStyle w:val="TOC1"/>
            <w:tabs>
              <w:tab w:val="right" w:leader="dot" w:pos="9016"/>
            </w:tabs>
            <w:spacing w:after="0" w:line="240" w:lineRule="auto"/>
            <w:rPr>
              <w:rFonts w:eastAsiaTheme="minorEastAsia" w:cstheme="minorHAnsi"/>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392156210" w:history="1">
            <w:r w:rsidR="00800746" w:rsidRPr="00D95205">
              <w:rPr>
                <w:rStyle w:val="Hyperlink"/>
                <w:rFonts w:cstheme="minorHAnsi"/>
                <w:noProof/>
              </w:rPr>
              <w:t>Introduction</w:t>
            </w:r>
            <w:r w:rsidR="00800746" w:rsidRPr="00D95205">
              <w:rPr>
                <w:rFonts w:cstheme="minorHAnsi"/>
                <w:noProof/>
                <w:webHidden/>
              </w:rPr>
              <w:tab/>
            </w:r>
            <w:r w:rsidR="00800746" w:rsidRPr="00D95205">
              <w:rPr>
                <w:rFonts w:cstheme="minorHAnsi"/>
                <w:noProof/>
                <w:webHidden/>
              </w:rPr>
              <w:fldChar w:fldCharType="begin"/>
            </w:r>
            <w:r w:rsidR="00800746" w:rsidRPr="00D95205">
              <w:rPr>
                <w:rFonts w:cstheme="minorHAnsi"/>
                <w:noProof/>
                <w:webHidden/>
              </w:rPr>
              <w:instrText xml:space="preserve"> PAGEREF _Toc392156210 \h </w:instrText>
            </w:r>
            <w:r w:rsidR="00800746" w:rsidRPr="00D95205">
              <w:rPr>
                <w:rFonts w:cstheme="minorHAnsi"/>
                <w:noProof/>
                <w:webHidden/>
              </w:rPr>
            </w:r>
            <w:r w:rsidR="00800746" w:rsidRPr="00D95205">
              <w:rPr>
                <w:rFonts w:cstheme="minorHAnsi"/>
                <w:noProof/>
                <w:webHidden/>
              </w:rPr>
              <w:fldChar w:fldCharType="separate"/>
            </w:r>
            <w:r w:rsidR="0002635B">
              <w:rPr>
                <w:rFonts w:cstheme="minorHAnsi"/>
                <w:noProof/>
                <w:webHidden/>
              </w:rPr>
              <w:t>2</w:t>
            </w:r>
            <w:r w:rsidR="00800746" w:rsidRPr="00D95205">
              <w:rPr>
                <w:rFonts w:cstheme="minorHAnsi"/>
                <w:noProof/>
                <w:webHidden/>
              </w:rPr>
              <w:fldChar w:fldCharType="end"/>
            </w:r>
          </w:hyperlink>
        </w:p>
        <w:p w:rsidR="00800746" w:rsidRPr="00D95205" w:rsidRDefault="00580E78" w:rsidP="00971087">
          <w:pPr>
            <w:pStyle w:val="TOC1"/>
            <w:tabs>
              <w:tab w:val="right" w:leader="dot" w:pos="9016"/>
            </w:tabs>
            <w:spacing w:after="0" w:line="240" w:lineRule="auto"/>
            <w:rPr>
              <w:rFonts w:eastAsiaTheme="minorEastAsia" w:cstheme="minorHAnsi"/>
              <w:noProof/>
              <w:lang w:eastAsia="en-GB"/>
            </w:rPr>
          </w:pPr>
          <w:hyperlink w:anchor="_Toc392156211" w:history="1">
            <w:r w:rsidR="00800746" w:rsidRPr="00D95205">
              <w:rPr>
                <w:rStyle w:val="Hyperlink"/>
                <w:rFonts w:cstheme="minorHAnsi"/>
                <w:noProof/>
              </w:rPr>
              <w:t>Background</w:t>
            </w:r>
            <w:r w:rsidR="00800746" w:rsidRPr="00D95205">
              <w:rPr>
                <w:rFonts w:cstheme="minorHAnsi"/>
                <w:noProof/>
                <w:webHidden/>
              </w:rPr>
              <w:tab/>
            </w:r>
            <w:r w:rsidR="00800746" w:rsidRPr="00D95205">
              <w:rPr>
                <w:rFonts w:cstheme="minorHAnsi"/>
                <w:noProof/>
                <w:webHidden/>
              </w:rPr>
              <w:fldChar w:fldCharType="begin"/>
            </w:r>
            <w:r w:rsidR="00800746" w:rsidRPr="00D95205">
              <w:rPr>
                <w:rFonts w:cstheme="minorHAnsi"/>
                <w:noProof/>
                <w:webHidden/>
              </w:rPr>
              <w:instrText xml:space="preserve"> PAGEREF _Toc392156211 \h </w:instrText>
            </w:r>
            <w:r w:rsidR="00800746" w:rsidRPr="00D95205">
              <w:rPr>
                <w:rFonts w:cstheme="minorHAnsi"/>
                <w:noProof/>
                <w:webHidden/>
              </w:rPr>
            </w:r>
            <w:r w:rsidR="00800746" w:rsidRPr="00D95205">
              <w:rPr>
                <w:rFonts w:cstheme="minorHAnsi"/>
                <w:noProof/>
                <w:webHidden/>
              </w:rPr>
              <w:fldChar w:fldCharType="separate"/>
            </w:r>
            <w:r w:rsidR="0002635B">
              <w:rPr>
                <w:rFonts w:cstheme="minorHAnsi"/>
                <w:noProof/>
                <w:webHidden/>
              </w:rPr>
              <w:t>2</w:t>
            </w:r>
            <w:r w:rsidR="00800746" w:rsidRPr="00D95205">
              <w:rPr>
                <w:rFonts w:cstheme="minorHAnsi"/>
                <w:noProof/>
                <w:webHidden/>
              </w:rPr>
              <w:fldChar w:fldCharType="end"/>
            </w:r>
          </w:hyperlink>
        </w:p>
        <w:p w:rsidR="00800746" w:rsidRPr="00D95205" w:rsidRDefault="00580E78" w:rsidP="00971087">
          <w:pPr>
            <w:pStyle w:val="TOC1"/>
            <w:tabs>
              <w:tab w:val="right" w:leader="dot" w:pos="9016"/>
            </w:tabs>
            <w:spacing w:after="0" w:line="240" w:lineRule="auto"/>
            <w:rPr>
              <w:rFonts w:eastAsiaTheme="minorEastAsia" w:cstheme="minorHAnsi"/>
              <w:noProof/>
              <w:lang w:eastAsia="en-GB"/>
            </w:rPr>
          </w:pPr>
          <w:hyperlink w:anchor="_Toc392156212" w:history="1">
            <w:r w:rsidR="00971087">
              <w:rPr>
                <w:rStyle w:val="Hyperlink"/>
                <w:rFonts w:cstheme="minorHAnsi"/>
                <w:noProof/>
              </w:rPr>
              <w:t>Objectives</w:t>
            </w:r>
            <w:r w:rsidR="00800746" w:rsidRPr="00D95205">
              <w:rPr>
                <w:rFonts w:cstheme="minorHAnsi"/>
                <w:noProof/>
                <w:webHidden/>
              </w:rPr>
              <w:tab/>
            </w:r>
            <w:r w:rsidR="00800746" w:rsidRPr="00D95205">
              <w:rPr>
                <w:rFonts w:cstheme="minorHAnsi"/>
                <w:noProof/>
                <w:webHidden/>
              </w:rPr>
              <w:fldChar w:fldCharType="begin"/>
            </w:r>
            <w:r w:rsidR="00800746" w:rsidRPr="00D95205">
              <w:rPr>
                <w:rFonts w:cstheme="minorHAnsi"/>
                <w:noProof/>
                <w:webHidden/>
              </w:rPr>
              <w:instrText xml:space="preserve"> PAGEREF _Toc392156212 \h </w:instrText>
            </w:r>
            <w:r w:rsidR="00800746" w:rsidRPr="00D95205">
              <w:rPr>
                <w:rFonts w:cstheme="minorHAnsi"/>
                <w:noProof/>
                <w:webHidden/>
              </w:rPr>
            </w:r>
            <w:r w:rsidR="00800746" w:rsidRPr="00D95205">
              <w:rPr>
                <w:rFonts w:cstheme="minorHAnsi"/>
                <w:noProof/>
                <w:webHidden/>
              </w:rPr>
              <w:fldChar w:fldCharType="separate"/>
            </w:r>
            <w:r w:rsidR="0002635B">
              <w:rPr>
                <w:rFonts w:cstheme="minorHAnsi"/>
                <w:b/>
                <w:bCs/>
                <w:noProof/>
                <w:webHidden/>
                <w:lang w:val="en-US"/>
              </w:rPr>
              <w:t>Error! Bookmark not defined.</w:t>
            </w:r>
            <w:r w:rsidR="00800746" w:rsidRPr="00D95205">
              <w:rPr>
                <w:rFonts w:cstheme="minorHAnsi"/>
                <w:noProof/>
                <w:webHidden/>
              </w:rPr>
              <w:fldChar w:fldCharType="end"/>
            </w:r>
          </w:hyperlink>
        </w:p>
        <w:p w:rsidR="00800746" w:rsidRPr="00D95205" w:rsidRDefault="00580E78" w:rsidP="00971087">
          <w:pPr>
            <w:pStyle w:val="TOC1"/>
            <w:tabs>
              <w:tab w:val="right" w:leader="dot" w:pos="9016"/>
            </w:tabs>
            <w:spacing w:after="0" w:line="240" w:lineRule="auto"/>
            <w:rPr>
              <w:rFonts w:eastAsiaTheme="minorEastAsia" w:cstheme="minorHAnsi"/>
              <w:noProof/>
              <w:lang w:eastAsia="en-GB"/>
            </w:rPr>
          </w:pPr>
          <w:hyperlink w:anchor="_Toc392156214" w:history="1">
            <w:r w:rsidR="00800746" w:rsidRPr="00D95205">
              <w:rPr>
                <w:rStyle w:val="Hyperlink"/>
                <w:rFonts w:cstheme="minorHAnsi"/>
                <w:noProof/>
              </w:rPr>
              <w:t>Timetable</w:t>
            </w:r>
            <w:r w:rsidR="00800746" w:rsidRPr="00D95205">
              <w:rPr>
                <w:rFonts w:cstheme="minorHAnsi"/>
                <w:noProof/>
                <w:webHidden/>
              </w:rPr>
              <w:tab/>
            </w:r>
            <w:r w:rsidR="00800746" w:rsidRPr="00D95205">
              <w:rPr>
                <w:rFonts w:cstheme="minorHAnsi"/>
                <w:noProof/>
                <w:webHidden/>
              </w:rPr>
              <w:fldChar w:fldCharType="begin"/>
            </w:r>
            <w:r w:rsidR="00800746" w:rsidRPr="00D95205">
              <w:rPr>
                <w:rFonts w:cstheme="minorHAnsi"/>
                <w:noProof/>
                <w:webHidden/>
              </w:rPr>
              <w:instrText xml:space="preserve"> PAGEREF _Toc392156214 \h </w:instrText>
            </w:r>
            <w:r w:rsidR="00800746" w:rsidRPr="00D95205">
              <w:rPr>
                <w:rFonts w:cstheme="minorHAnsi"/>
                <w:noProof/>
                <w:webHidden/>
              </w:rPr>
            </w:r>
            <w:r w:rsidR="00800746" w:rsidRPr="00D95205">
              <w:rPr>
                <w:rFonts w:cstheme="minorHAnsi"/>
                <w:noProof/>
                <w:webHidden/>
              </w:rPr>
              <w:fldChar w:fldCharType="separate"/>
            </w:r>
            <w:r w:rsidR="0002635B">
              <w:rPr>
                <w:rFonts w:cstheme="minorHAnsi"/>
                <w:noProof/>
                <w:webHidden/>
              </w:rPr>
              <w:t>3</w:t>
            </w:r>
            <w:r w:rsidR="00800746" w:rsidRPr="00D95205">
              <w:rPr>
                <w:rFonts w:cstheme="minorHAnsi"/>
                <w:noProof/>
                <w:webHidden/>
              </w:rPr>
              <w:fldChar w:fldCharType="end"/>
            </w:r>
          </w:hyperlink>
        </w:p>
        <w:p w:rsidR="00800746" w:rsidRPr="00D95205" w:rsidRDefault="00580E78" w:rsidP="00971087">
          <w:pPr>
            <w:pStyle w:val="TOC1"/>
            <w:tabs>
              <w:tab w:val="right" w:leader="dot" w:pos="9016"/>
            </w:tabs>
            <w:spacing w:after="0" w:line="240" w:lineRule="auto"/>
            <w:rPr>
              <w:rFonts w:eastAsiaTheme="minorEastAsia" w:cstheme="minorHAnsi"/>
              <w:noProof/>
              <w:lang w:eastAsia="en-GB"/>
            </w:rPr>
          </w:pPr>
          <w:hyperlink w:anchor="_Toc392156215" w:history="1">
            <w:r w:rsidR="00800746" w:rsidRPr="00D95205">
              <w:rPr>
                <w:rStyle w:val="Hyperlink"/>
                <w:rFonts w:eastAsiaTheme="majorEastAsia" w:cstheme="minorHAnsi"/>
                <w:bCs/>
                <w:noProof/>
                <w:lang w:eastAsia="en-GB"/>
              </w:rPr>
              <w:t>Cost and Payment Terms</w:t>
            </w:r>
            <w:r w:rsidR="00800746" w:rsidRPr="00D95205">
              <w:rPr>
                <w:rFonts w:cstheme="minorHAnsi"/>
                <w:noProof/>
                <w:webHidden/>
              </w:rPr>
              <w:tab/>
            </w:r>
            <w:r w:rsidR="00800746" w:rsidRPr="00D95205">
              <w:rPr>
                <w:rFonts w:cstheme="minorHAnsi"/>
                <w:noProof/>
                <w:webHidden/>
              </w:rPr>
              <w:fldChar w:fldCharType="begin"/>
            </w:r>
            <w:r w:rsidR="00800746" w:rsidRPr="00D95205">
              <w:rPr>
                <w:rFonts w:cstheme="minorHAnsi"/>
                <w:noProof/>
                <w:webHidden/>
              </w:rPr>
              <w:instrText xml:space="preserve"> PAGEREF _Toc392156215 \h </w:instrText>
            </w:r>
            <w:r w:rsidR="00800746" w:rsidRPr="00D95205">
              <w:rPr>
                <w:rFonts w:cstheme="minorHAnsi"/>
                <w:noProof/>
                <w:webHidden/>
              </w:rPr>
            </w:r>
            <w:r w:rsidR="00800746" w:rsidRPr="00D95205">
              <w:rPr>
                <w:rFonts w:cstheme="minorHAnsi"/>
                <w:noProof/>
                <w:webHidden/>
              </w:rPr>
              <w:fldChar w:fldCharType="separate"/>
            </w:r>
            <w:r w:rsidR="0002635B">
              <w:rPr>
                <w:rFonts w:cstheme="minorHAnsi"/>
                <w:noProof/>
                <w:webHidden/>
              </w:rPr>
              <w:t>3</w:t>
            </w:r>
            <w:r w:rsidR="00800746" w:rsidRPr="00D95205">
              <w:rPr>
                <w:rFonts w:cstheme="minorHAnsi"/>
                <w:noProof/>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392156210"/>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needs assessments for the healthcare service in some prisons, in police custody, and for </w:t>
      </w:r>
      <w:r w:rsidR="004A0461">
        <w:rPr>
          <w:rFonts w:cstheme="minorHAnsi"/>
          <w:color w:val="000000"/>
        </w:rPr>
        <w:t>an immigration removal centre.</w:t>
      </w:r>
    </w:p>
    <w:p w:rsidR="00971087" w:rsidRDefault="00971087" w:rsidP="00971087">
      <w:pPr>
        <w:pStyle w:val="Heading1"/>
        <w:spacing w:before="0" w:line="240" w:lineRule="auto"/>
        <w:rPr>
          <w:rFonts w:asciiTheme="minorHAnsi" w:hAnsiTheme="minorHAnsi" w:cstheme="minorHAnsi"/>
          <w:sz w:val="24"/>
          <w:szCs w:val="24"/>
        </w:rPr>
      </w:pPr>
      <w:bookmarkStart w:id="1" w:name="_Toc392156211"/>
    </w:p>
    <w:p w:rsidR="00D46179" w:rsidRPr="00D95205" w:rsidRDefault="00630E06"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Background</w:t>
      </w:r>
      <w:bookmarkEnd w:id="1"/>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April 2015, local authorities will assume responsibility for social care needs in prison. The HNAs must include a section on social care needs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The HNAs required are as follows:</w:t>
      </w:r>
    </w:p>
    <w:p w:rsidR="00CC120E" w:rsidRPr="00D95205" w:rsidRDefault="00CC120E" w:rsidP="00971087">
      <w:pPr>
        <w:autoSpaceDE w:val="0"/>
        <w:autoSpaceDN w:val="0"/>
        <w:adjustRightInd w:val="0"/>
        <w:spacing w:after="0" w:line="240" w:lineRule="auto"/>
        <w:jc w:val="both"/>
        <w:rPr>
          <w:rFonts w:cstheme="minorHAnsi"/>
          <w:color w:val="000000"/>
        </w:rPr>
      </w:pPr>
    </w:p>
    <w:p w:rsidR="002C53CA" w:rsidRPr="002F6B28" w:rsidRDefault="002C53CA" w:rsidP="002C53CA">
      <w:r w:rsidRPr="002F6B28">
        <w:t>1.</w:t>
      </w:r>
      <w:r w:rsidRPr="002F6B28">
        <w:tab/>
        <w:t>One report covering the health and social care needs of two local prisons, being HMP Chelmsford and HMP Bedford</w:t>
      </w:r>
    </w:p>
    <w:p w:rsidR="002C53CA" w:rsidRPr="002F6B28" w:rsidRDefault="002C53CA" w:rsidP="002C53CA">
      <w:r w:rsidRPr="002F6B28">
        <w:t xml:space="preserve"> 2.</w:t>
      </w:r>
      <w:r w:rsidRPr="002F6B28">
        <w:tab/>
        <w:t>One report covering the health and social care needs of a recently re-rolled prison (HMP Littlehey</w:t>
      </w:r>
      <w:r w:rsidRPr="002F6B28" w:rsidDel="00234269">
        <w:t xml:space="preserve"> </w:t>
      </w:r>
      <w:r w:rsidRPr="002F6B28">
        <w:t>)</w:t>
      </w:r>
    </w:p>
    <w:p w:rsidR="002C53CA" w:rsidRPr="002F6B28" w:rsidRDefault="002C53CA" w:rsidP="002C53CA">
      <w:r w:rsidRPr="002F6B28">
        <w:t xml:space="preserve">3. </w:t>
      </w:r>
      <w:r w:rsidRPr="002F6B28">
        <w:tab/>
        <w:t xml:space="preserve">One report covering the health and social care needs of </w:t>
      </w:r>
      <w:r>
        <w:t xml:space="preserve">a recently re-rolled </w:t>
      </w:r>
      <w:r w:rsidRPr="002F6B28">
        <w:t xml:space="preserve"> </w:t>
      </w:r>
      <w:r>
        <w:t>(</w:t>
      </w:r>
      <w:r w:rsidRPr="002F6B28">
        <w:t>expanded</w:t>
      </w:r>
      <w:r>
        <w:t>)</w:t>
      </w:r>
      <w:r w:rsidRPr="002F6B28">
        <w:t xml:space="preserve"> prison  (HMP The Mount)</w:t>
      </w:r>
    </w:p>
    <w:p w:rsidR="002C53CA" w:rsidRDefault="002C53CA" w:rsidP="002C53CA">
      <w:r w:rsidRPr="002F6B28">
        <w:t>4.</w:t>
      </w:r>
      <w:r w:rsidRPr="002F6B28">
        <w:tab/>
        <w:t>One report covering the characteristics and health needs of detainees in police custody suites in Cambridgeshire, Hertfordshire, Essex and Bedfordshire. It is believed that this is the first time such an assessment has been undertaken.</w:t>
      </w:r>
    </w:p>
    <w:p w:rsidR="00C724C0" w:rsidRPr="002F6B28" w:rsidRDefault="00C724C0" w:rsidP="002C53CA">
      <w:r>
        <w:t xml:space="preserve">5. </w:t>
      </w:r>
      <w:r w:rsidR="002968CD">
        <w:tab/>
      </w:r>
      <w:r>
        <w:t xml:space="preserve">One report covering the health and social care needs of detainees held at the </w:t>
      </w:r>
      <w:r w:rsidR="002968CD">
        <w:t>Yarl’s Wood Immigration Removal Centre</w:t>
      </w:r>
    </w:p>
    <w:p w:rsidR="00BF51C3" w:rsidRPr="00D95205" w:rsidRDefault="00BF51C3" w:rsidP="00971087">
      <w:pPr>
        <w:autoSpaceDE w:val="0"/>
        <w:autoSpaceDN w:val="0"/>
        <w:adjustRightInd w:val="0"/>
        <w:spacing w:after="0" w:line="240" w:lineRule="auto"/>
        <w:jc w:val="both"/>
        <w:rPr>
          <w:rFonts w:cstheme="minorHAnsi"/>
          <w:color w:val="000000"/>
        </w:rPr>
      </w:pPr>
    </w:p>
    <w:p w:rsidR="00CC120E" w:rsidRPr="00D95205" w:rsidRDefault="00BF51C3" w:rsidP="00971087">
      <w:pPr>
        <w:autoSpaceDE w:val="0"/>
        <w:autoSpaceDN w:val="0"/>
        <w:adjustRightInd w:val="0"/>
        <w:spacing w:after="0" w:line="240" w:lineRule="auto"/>
        <w:jc w:val="both"/>
        <w:rPr>
          <w:rFonts w:cstheme="minorHAnsi"/>
          <w:color w:val="000000"/>
        </w:rPr>
      </w:pPr>
      <w:r w:rsidRPr="00D95205">
        <w:rPr>
          <w:rFonts w:cstheme="minorHAnsi"/>
          <w:color w:val="000000"/>
        </w:rPr>
        <w:t>Providers may submit quotes for the provision of one of more reports.</w:t>
      </w:r>
    </w:p>
    <w:p w:rsidR="00971087" w:rsidRDefault="00971087" w:rsidP="00971087">
      <w:pPr>
        <w:pStyle w:val="Heading1"/>
        <w:spacing w:before="0" w:line="240" w:lineRule="auto"/>
        <w:rPr>
          <w:rFonts w:asciiTheme="minorHAnsi" w:hAnsiTheme="minorHAnsi" w:cstheme="minorHAnsi"/>
          <w:sz w:val="24"/>
          <w:szCs w:val="24"/>
        </w:rPr>
      </w:pPr>
    </w:p>
    <w:p w:rsidR="00194788" w:rsidRPr="00D95205" w:rsidRDefault="00584175"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Content and scope of reports</w:t>
      </w:r>
    </w:p>
    <w:p w:rsidR="00907148" w:rsidRDefault="00907148"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D95205" w:rsidRPr="00D95205">
        <w:rPr>
          <w:rFonts w:cstheme="minorHAnsi"/>
        </w:rPr>
        <w:t>, which must be used for these reports</w:t>
      </w:r>
      <w:r w:rsidR="004A0461">
        <w:rPr>
          <w:rFonts w:cstheme="minorHAnsi"/>
        </w:rPr>
        <w:t xml:space="preserve"> including the immigration removal centre</w:t>
      </w:r>
      <w:r w:rsidR="00D95205" w:rsidRPr="00D95205">
        <w:rPr>
          <w:rFonts w:cstheme="minorHAnsi"/>
        </w:rPr>
        <w:t>.  The assessments for police custody and for the needs of children requiring forensic medical examination will be adapte</w:t>
      </w:r>
      <w:r>
        <w:rPr>
          <w:rFonts w:cstheme="minorHAnsi"/>
        </w:rPr>
        <w:t>d from the adult prison</w:t>
      </w:r>
      <w:r w:rsidR="00D95205" w:rsidRPr="00D95205">
        <w:rPr>
          <w:rFonts w:cstheme="minorHAnsi"/>
        </w:rPr>
        <w:t xml:space="preserve"> template</w:t>
      </w:r>
      <w:r>
        <w:rPr>
          <w:rFonts w:cstheme="minorHAnsi"/>
        </w:rPr>
        <w:t>,</w:t>
      </w:r>
      <w:r w:rsidR="00D95205" w:rsidRPr="00D95205">
        <w:rPr>
          <w:rFonts w:cstheme="minorHAnsi"/>
        </w:rPr>
        <w:t xml:space="preserve"> and potential providers should outline in their response for reports 3, 4 or 5 (above) how they  how they will develop the report and present their findings.</w:t>
      </w:r>
      <w:r>
        <w:rPr>
          <w:rFonts w:cstheme="minorHAnsi"/>
        </w:rPr>
        <w:t xml:space="preserve"> 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B332F6" w:rsidRDefault="00B332F6" w:rsidP="00971087">
      <w:pPr>
        <w:spacing w:after="0" w:line="240" w:lineRule="auto"/>
        <w:rPr>
          <w:rStyle w:val="Hyperlink"/>
          <w:rFonts w:cstheme="minorHAnsi"/>
        </w:rPr>
      </w:pPr>
    </w:p>
    <w:p w:rsidR="00B332F6" w:rsidRPr="00B332F6" w:rsidRDefault="00B332F6" w:rsidP="00971087">
      <w:pPr>
        <w:spacing w:after="0" w:line="240" w:lineRule="auto"/>
        <w:rPr>
          <w:rStyle w:val="Hyperlink"/>
          <w:rFonts w:cstheme="minorHAnsi"/>
          <w:u w:val="none"/>
        </w:rPr>
      </w:pPr>
      <w:r w:rsidRPr="00B332F6">
        <w:rPr>
          <w:rStyle w:val="Hyperlink"/>
          <w:rFonts w:cstheme="minorHAnsi"/>
          <w:color w:val="000000" w:themeColor="text1"/>
          <w:u w:val="none"/>
        </w:rPr>
        <w:t>For the reports relating to detainees in police custody, the following areas must be covered:</w:t>
      </w:r>
    </w:p>
    <w:p w:rsidR="00B332F6" w:rsidRDefault="00B332F6" w:rsidP="00971087">
      <w:pPr>
        <w:spacing w:after="0" w:line="240" w:lineRule="auto"/>
        <w:rPr>
          <w:rStyle w:val="Hyperlink"/>
          <w:rFonts w:cstheme="minorHAnsi"/>
        </w:rPr>
      </w:pPr>
    </w:p>
    <w:p w:rsidR="00B332F6" w:rsidRPr="00482C57" w:rsidRDefault="00B332F6" w:rsidP="00B332F6">
      <w:pPr>
        <w:numPr>
          <w:ilvl w:val="0"/>
          <w:numId w:val="7"/>
        </w:numPr>
        <w:spacing w:after="0" w:line="240" w:lineRule="auto"/>
        <w:jc w:val="both"/>
        <w:rPr>
          <w:b/>
        </w:rPr>
      </w:pPr>
      <w:r>
        <w:t>To investigate onward referral of those with identified alcohol problems in the Police Investigation Centres</w:t>
      </w:r>
    </w:p>
    <w:p w:rsidR="00B332F6" w:rsidRPr="00482C57" w:rsidRDefault="00B332F6" w:rsidP="00B332F6">
      <w:pPr>
        <w:numPr>
          <w:ilvl w:val="0"/>
          <w:numId w:val="7"/>
        </w:numPr>
        <w:spacing w:after="0" w:line="240" w:lineRule="auto"/>
        <w:jc w:val="both"/>
        <w:rPr>
          <w:b/>
        </w:rPr>
      </w:pPr>
      <w:r>
        <w:t>To re-investigate Criminal Justice Mental Health team (CJMHT) referral in both Norfolk and Suffolk</w:t>
      </w:r>
    </w:p>
    <w:p w:rsidR="00B332F6" w:rsidRPr="00482C57" w:rsidRDefault="00B332F6" w:rsidP="00B332F6">
      <w:pPr>
        <w:numPr>
          <w:ilvl w:val="0"/>
          <w:numId w:val="7"/>
        </w:numPr>
        <w:spacing w:after="0" w:line="240" w:lineRule="auto"/>
        <w:jc w:val="both"/>
        <w:rPr>
          <w:b/>
        </w:rPr>
      </w:pPr>
      <w:r>
        <w:t>To re-investigate time to review by Forensic medical examiner (FME)</w:t>
      </w:r>
    </w:p>
    <w:p w:rsidR="00B332F6" w:rsidRPr="004B0D99" w:rsidRDefault="00B332F6" w:rsidP="00B332F6">
      <w:pPr>
        <w:numPr>
          <w:ilvl w:val="0"/>
          <w:numId w:val="7"/>
        </w:numPr>
        <w:spacing w:after="0" w:line="240" w:lineRule="auto"/>
        <w:jc w:val="both"/>
        <w:rPr>
          <w:b/>
        </w:rPr>
      </w:pPr>
      <w:r>
        <w:t>To establish if formal protocols exist for management of those on Opiate substitution treatment (OST) or those withdrawing from benzodiazepines, and audit the use of those protocols</w:t>
      </w:r>
    </w:p>
    <w:p w:rsidR="00B332F6" w:rsidRPr="00482C57" w:rsidRDefault="00B332F6" w:rsidP="00B332F6">
      <w:pPr>
        <w:numPr>
          <w:ilvl w:val="0"/>
          <w:numId w:val="7"/>
        </w:numPr>
        <w:spacing w:after="0" w:line="240" w:lineRule="auto"/>
        <w:jc w:val="both"/>
        <w:rPr>
          <w:b/>
        </w:rPr>
      </w:pPr>
      <w:r>
        <w:t>To audit use of the head injury protocol</w:t>
      </w:r>
    </w:p>
    <w:p w:rsidR="00B332F6" w:rsidRPr="00482C57" w:rsidRDefault="00B332F6" w:rsidP="00B332F6">
      <w:pPr>
        <w:numPr>
          <w:ilvl w:val="0"/>
          <w:numId w:val="7"/>
        </w:numPr>
        <w:spacing w:after="0" w:line="240" w:lineRule="auto"/>
        <w:jc w:val="both"/>
        <w:rPr>
          <w:b/>
        </w:rPr>
      </w:pPr>
      <w:r>
        <w:t>To review all Serious Untoward Incidents (SUI) over the last 12 months and establish if there are common areas of impact/learning from those incidents</w:t>
      </w:r>
    </w:p>
    <w:p w:rsidR="00B332F6" w:rsidRPr="00482C57" w:rsidRDefault="00B332F6" w:rsidP="00B332F6">
      <w:pPr>
        <w:numPr>
          <w:ilvl w:val="0"/>
          <w:numId w:val="7"/>
        </w:numPr>
        <w:spacing w:after="0" w:line="240" w:lineRule="auto"/>
        <w:jc w:val="both"/>
        <w:rPr>
          <w:b/>
        </w:rPr>
      </w:pPr>
      <w:r>
        <w:t>To re-investigate rate of use of ambulance services by PIC</w:t>
      </w:r>
    </w:p>
    <w:p w:rsidR="00B332F6" w:rsidRPr="003F4B24" w:rsidRDefault="00B332F6" w:rsidP="00B332F6">
      <w:pPr>
        <w:numPr>
          <w:ilvl w:val="0"/>
          <w:numId w:val="7"/>
        </w:numPr>
        <w:spacing w:after="0" w:line="240" w:lineRule="auto"/>
        <w:jc w:val="both"/>
        <w:rPr>
          <w:b/>
        </w:rPr>
      </w:pPr>
      <w:r>
        <w:t xml:space="preserve">To re-investigate use of Mental Health Act sections within prison </w:t>
      </w:r>
    </w:p>
    <w:p w:rsidR="00B332F6" w:rsidRPr="003F4B24" w:rsidRDefault="00B332F6" w:rsidP="00B332F6">
      <w:pPr>
        <w:numPr>
          <w:ilvl w:val="0"/>
          <w:numId w:val="7"/>
        </w:numPr>
        <w:spacing w:after="0" w:line="240" w:lineRule="auto"/>
        <w:jc w:val="both"/>
        <w:rPr>
          <w:b/>
        </w:rPr>
      </w:pPr>
      <w:r>
        <w:t>To conduct a brief needs assessment of the health of children in custody (i.e. those under age 18).</w:t>
      </w:r>
    </w:p>
    <w:p w:rsidR="00B332F6" w:rsidRDefault="00B332F6" w:rsidP="00B332F6"/>
    <w:p w:rsidR="00B332F6" w:rsidRDefault="00B332F6" w:rsidP="00B332F6">
      <w:pPr>
        <w:rPr>
          <w:rFonts w:cstheme="minorHAnsi"/>
        </w:rPr>
      </w:pPr>
      <w:r>
        <w:t xml:space="preserve">For item </w:t>
      </w:r>
      <w:r w:rsidR="004100F7">
        <w:t>4</w:t>
      </w:r>
      <w:r>
        <w:t xml:space="preserve">. above, the provider must propose an appropriate methodology and structure for the report. It is recognised that this report is relatively novel and therefore the </w:t>
      </w:r>
      <w:r w:rsidR="00FD41C7">
        <w:t>provider may propose a reporting framework and outcomes to the commissioner..</w:t>
      </w:r>
    </w:p>
    <w:p w:rsidR="00B332F6" w:rsidRDefault="00B332F6" w:rsidP="00971087">
      <w:pPr>
        <w:pStyle w:val="Heading1"/>
        <w:spacing w:before="0" w:line="240" w:lineRule="auto"/>
        <w:rPr>
          <w:rFonts w:asciiTheme="minorHAnsi" w:hAnsiTheme="minorHAnsi" w:cstheme="minorHAnsi"/>
          <w:sz w:val="24"/>
          <w:szCs w:val="24"/>
        </w:rPr>
      </w:pPr>
      <w:bookmarkStart w:id="2" w:name="_Toc392156214"/>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2"/>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52503E" w:rsidRPr="00D95205"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bidder </w:t>
      </w:r>
      <w:r w:rsidR="00CC120E" w:rsidRPr="00D95205">
        <w:rPr>
          <w:rFonts w:cstheme="minorHAnsi"/>
          <w:color w:val="000000"/>
        </w:rPr>
        <w:t>must be in a positi</w:t>
      </w:r>
      <w:r w:rsidR="00BF51C3" w:rsidRPr="00D95205">
        <w:rPr>
          <w:rFonts w:cstheme="minorHAnsi"/>
          <w:color w:val="000000"/>
        </w:rPr>
        <w:t>on to provide a 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2C53CA">
        <w:rPr>
          <w:rFonts w:cstheme="minorHAnsi"/>
          <w:b/>
          <w:color w:val="000000"/>
        </w:rPr>
        <w:t>9</w:t>
      </w:r>
      <w:r w:rsidR="002C53CA" w:rsidRPr="002C53CA">
        <w:rPr>
          <w:rFonts w:cstheme="minorHAnsi"/>
          <w:b/>
          <w:color w:val="000000"/>
          <w:vertAlign w:val="superscript"/>
        </w:rPr>
        <w:t>th</w:t>
      </w:r>
      <w:r w:rsidR="002C53CA">
        <w:rPr>
          <w:rFonts w:cstheme="minorHAnsi"/>
          <w:b/>
          <w:color w:val="000000"/>
        </w:rPr>
        <w:t xml:space="preserve"> September</w:t>
      </w:r>
      <w:r w:rsidR="00865422">
        <w:rPr>
          <w:rFonts w:cstheme="minorHAnsi"/>
          <w:b/>
          <w:color w:val="000000"/>
        </w:rPr>
        <w:t>, or an interim report by agreement with NHS England regarding the delivery of the full and final draft after this date</w:t>
      </w:r>
      <w:r w:rsidR="00CC120E" w:rsidRPr="00D95205">
        <w:rPr>
          <w:rFonts w:cstheme="minorHAnsi"/>
          <w:color w:val="000000"/>
        </w:rPr>
        <w:t>.</w:t>
      </w:r>
      <w:r w:rsidR="00971087">
        <w:rPr>
          <w:rFonts w:cstheme="minorHAnsi"/>
          <w:color w:val="000000"/>
        </w:rPr>
        <w:t xml:space="preserve"> T</w:t>
      </w:r>
      <w:r w:rsidR="00B332F6">
        <w:rPr>
          <w:rFonts w:cstheme="minorHAnsi"/>
          <w:color w:val="000000"/>
        </w:rPr>
        <w:t xml:space="preserve">he report(s) must be delivered </w:t>
      </w:r>
      <w:r w:rsidR="00FD41C7">
        <w:rPr>
          <w:rFonts w:cstheme="minorHAnsi"/>
          <w:color w:val="000000"/>
        </w:rPr>
        <w:t xml:space="preserve">as a </w:t>
      </w:r>
      <w:r w:rsidR="00971087">
        <w:rPr>
          <w:rFonts w:cstheme="minorHAnsi"/>
          <w:color w:val="000000"/>
        </w:rPr>
        <w:t xml:space="preserve">Word document to </w:t>
      </w:r>
      <w:hyperlink r:id="rId10" w:history="1">
        <w:r w:rsidR="00177294" w:rsidRPr="006427BA">
          <w:rPr>
            <w:rStyle w:val="Hyperlink"/>
            <w:rFonts w:cstheme="minorHAnsi"/>
          </w:rPr>
          <w:t>claire.weston2@nhs.net</w:t>
        </w:r>
      </w:hyperlink>
      <w:r w:rsidR="00865422">
        <w:rPr>
          <w:rFonts w:cstheme="minorHAnsi"/>
          <w:color w:val="000000"/>
        </w:rPr>
        <w:t xml:space="preserve"> </w:t>
      </w:r>
      <w:r w:rsidR="00971087">
        <w:rPr>
          <w:rFonts w:cstheme="minorHAnsi"/>
          <w:color w:val="000000"/>
        </w:rPr>
        <w:t>.</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3" w:name="_Toc392156215"/>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3"/>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Up to </w:t>
      </w:r>
      <w:r w:rsidR="00D95205" w:rsidRPr="00D95205">
        <w:rPr>
          <w:rFonts w:eastAsia="Times New Roman" w:cstheme="minorHAnsi"/>
        </w:rPr>
        <w:t>50</w:t>
      </w:r>
      <w:r w:rsidRPr="00D95205">
        <w:rPr>
          <w:rFonts w:eastAsia="Times New Roman" w:cstheme="minorHAnsi"/>
        </w:rPr>
        <w:t>% of the project costs will be paid at the start of the project to support impl</w:t>
      </w:r>
      <w:r w:rsidR="00CC120E" w:rsidRPr="00D95205">
        <w:rPr>
          <w:rFonts w:eastAsia="Times New Roman" w:cstheme="minorHAnsi"/>
        </w:rPr>
        <w:t xml:space="preserve">ementation.   The final </w:t>
      </w:r>
      <w:r w:rsidR="00D95205" w:rsidRPr="00D95205">
        <w:rPr>
          <w:rFonts w:eastAsia="Times New Roman" w:cstheme="minorHAnsi"/>
        </w:rPr>
        <w:t>50</w:t>
      </w:r>
      <w:r w:rsidRPr="00D95205">
        <w:rPr>
          <w:rFonts w:eastAsia="Times New Roman" w:cstheme="minorHAnsi"/>
        </w:rPr>
        <w:t xml:space="preserve">% will be paid only on completion of the project. Should the review fail to fully meet the requirements of the service specification or deadline (unless due to factors outside of the Provider’s control) NHS England reserves the right to withhold up to 10% of the total contract value. </w:t>
      </w:r>
    </w:p>
    <w:p w:rsidR="00B1186D" w:rsidRDefault="00B1186D" w:rsidP="00971087">
      <w:pPr>
        <w:spacing w:after="0" w:line="240" w:lineRule="auto"/>
        <w:jc w:val="both"/>
        <w:rPr>
          <w:rFonts w:eastAsia="Times New Roman" w:cstheme="minorHAnsi"/>
        </w:rPr>
      </w:pPr>
    </w:p>
    <w:p w:rsidR="00B1186D" w:rsidRPr="00731105" w:rsidRDefault="00B1186D" w:rsidP="00B1186D">
      <w:pPr>
        <w:keepNext/>
        <w:keepLines/>
        <w:spacing w:before="200" w:after="0"/>
        <w:outlineLvl w:val="1"/>
        <w:rPr>
          <w:rFonts w:ascii="Arial" w:eastAsia="Times New Roman" w:hAnsi="Arial" w:cs="Arial"/>
          <w:b/>
          <w:bCs/>
          <w:color w:val="4F81BD" w:themeColor="accent1"/>
          <w:sz w:val="24"/>
          <w:szCs w:val="24"/>
          <w:lang w:eastAsia="en-GB"/>
        </w:rPr>
      </w:pPr>
      <w:r w:rsidRPr="00731105">
        <w:rPr>
          <w:rFonts w:ascii="Arial" w:eastAsia="Times New Roman" w:hAnsi="Arial" w:cs="Arial"/>
          <w:b/>
          <w:bCs/>
          <w:color w:val="4F81BD" w:themeColor="accent1"/>
          <w:sz w:val="24"/>
          <w:szCs w:val="24"/>
          <w:lang w:eastAsia="en-GB"/>
        </w:rPr>
        <w:t>Evaluation and Scoring</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731105" w:rsidRDefault="00B1186D" w:rsidP="00B1186D">
      <w:pPr>
        <w:spacing w:after="0" w:line="240" w:lineRule="auto"/>
        <w:rPr>
          <w:rFonts w:ascii="Arial" w:eastAsia="Times New Roman" w:hAnsi="Arial" w:cs="Arial"/>
          <w:b/>
          <w:sz w:val="24"/>
          <w:szCs w:val="24"/>
          <w:lang w:eastAsia="en-GB"/>
        </w:rPr>
      </w:pPr>
      <w:r w:rsidRPr="00731105">
        <w:rPr>
          <w:rFonts w:ascii="Arial" w:eastAsia="Times New Roman" w:hAnsi="Arial" w:cs="Arial"/>
          <w:b/>
          <w:sz w:val="24"/>
          <w:szCs w:val="24"/>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p w:rsidR="00B1186D" w:rsidRDefault="00B1186D" w:rsidP="00B1186D">
      <w:pPr>
        <w:spacing w:after="0" w:line="240" w:lineRule="auto"/>
        <w:rPr>
          <w:rFonts w:ascii="Arial" w:eastAsia="Times New Roman" w:hAnsi="Arial" w:cs="Arial"/>
          <w:sz w:val="24"/>
          <w:szCs w:val="24"/>
          <w:lang w:eastAsia="en-GB"/>
        </w:rPr>
      </w:pPr>
    </w:p>
    <w:p w:rsidR="00B1186D" w:rsidRPr="00731105"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731105" w:rsidRDefault="00B1186D" w:rsidP="00C724C0">
            <w:pPr>
              <w:spacing w:after="0" w:line="240" w:lineRule="auto"/>
              <w:rPr>
                <w:rFonts w:ascii="Arial" w:eastAsia="Times New Roman" w:hAnsi="Arial" w:cs="Arial"/>
                <w:b/>
                <w:lang w:eastAsia="en-GB"/>
              </w:rPr>
            </w:pPr>
            <w:r w:rsidRPr="00731105">
              <w:rPr>
                <w:rFonts w:ascii="Arial" w:eastAsia="Times New Roman" w:hAnsi="Arial" w:cs="Arial"/>
                <w:b/>
                <w:lang w:eastAsia="en-GB"/>
              </w:rPr>
              <w:t>Quality – weighted at 60% of total score</w:t>
            </w:r>
          </w:p>
          <w:p w:rsidR="00B1186D" w:rsidRPr="00731105" w:rsidRDefault="00B1186D" w:rsidP="00C724C0">
            <w:pPr>
              <w:spacing w:after="0" w:line="240" w:lineRule="auto"/>
              <w:rPr>
                <w:rFonts w:ascii="Arial" w:eastAsia="Times New Roman" w:hAnsi="Arial" w:cs="Arial"/>
                <w:b/>
                <w:lang w:eastAsia="en-GB"/>
              </w:rPr>
            </w:pPr>
          </w:p>
        </w:tc>
      </w:tr>
      <w:tr w:rsidR="00B1186D" w:rsidRPr="00731105" w:rsidTr="00C724C0">
        <w:tc>
          <w:tcPr>
            <w:tcW w:w="9242" w:type="dxa"/>
            <w:gridSpan w:val="3"/>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Review Deliverables</w:t>
            </w: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 xml:space="preserve">A comprehensive and suitable methodology will be used to collect/obtain the data required. </w:t>
            </w:r>
          </w:p>
          <w:p w:rsidR="00B1186D" w:rsidRPr="00731105" w:rsidRDefault="00B1186D" w:rsidP="00C724C0">
            <w:pPr>
              <w:spacing w:after="0" w:line="240" w:lineRule="auto"/>
              <w:ind w:left="720"/>
              <w:rPr>
                <w:rFonts w:ascii="Arial" w:eastAsia="Times New Roman" w:hAnsi="Arial" w:cs="Arial"/>
                <w:lang w:eastAsia="en-GB"/>
              </w:rPr>
            </w:pPr>
          </w:p>
        </w:tc>
      </w:tr>
      <w:tr w:rsidR="00B1186D" w:rsidRPr="00731105" w:rsidTr="00C724C0">
        <w:trPr>
          <w:trHeight w:val="645"/>
        </w:trPr>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A suitable methodology and rationale will be adopted to collect the full range of stakeholder feedback.</w:t>
            </w:r>
          </w:p>
          <w:p w:rsidR="00B1186D" w:rsidRPr="00731105" w:rsidRDefault="00B1186D" w:rsidP="00C724C0">
            <w:pPr>
              <w:spacing w:after="0" w:line="240" w:lineRule="auto"/>
              <w:ind w:left="720"/>
              <w:rPr>
                <w:rFonts w:ascii="Arial" w:eastAsia="Times New Roman" w:hAnsi="Arial" w:cs="Arial"/>
                <w:lang w:eastAsia="en-GB"/>
              </w:rPr>
            </w:pPr>
          </w:p>
        </w:tc>
      </w:tr>
      <w:tr w:rsidR="00B1186D" w:rsidRPr="00731105" w:rsidTr="00C724C0">
        <w:trPr>
          <w:trHeight w:val="645"/>
        </w:trPr>
        <w:tc>
          <w:tcPr>
            <w:tcW w:w="1427"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Capability</w:t>
            </w: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Experience of undertaking a similar piece of work, delivered to timescale.</w:t>
            </w:r>
          </w:p>
          <w:p w:rsidR="00B1186D" w:rsidRPr="00731105" w:rsidRDefault="00B1186D" w:rsidP="00C724C0">
            <w:pPr>
              <w:spacing w:after="0" w:line="240" w:lineRule="auto"/>
              <w:ind w:left="720"/>
              <w:rPr>
                <w:rFonts w:ascii="Arial" w:eastAsia="Times New Roman" w:hAnsi="Arial" w:cs="Arial"/>
                <w:lang w:eastAsia="en-GB"/>
              </w:rPr>
            </w:pPr>
          </w:p>
        </w:tc>
      </w:tr>
      <w:tr w:rsidR="00B1186D" w:rsidRPr="00731105" w:rsidTr="00C724C0">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The availability of ex</w:t>
            </w:r>
            <w:r>
              <w:rPr>
                <w:rFonts w:ascii="Arial" w:eastAsia="Times New Roman" w:hAnsi="Arial" w:cs="Arial"/>
                <w:lang w:eastAsia="en-GB"/>
              </w:rPr>
              <w:t>perienced and suitably competent</w:t>
            </w:r>
            <w:r w:rsidRPr="00731105">
              <w:rPr>
                <w:rFonts w:ascii="Arial" w:eastAsia="Times New Roman" w:hAnsi="Arial" w:cs="Arial"/>
                <w:lang w:eastAsia="en-GB"/>
              </w:rPr>
              <w:t xml:space="preserve"> staff.</w:t>
            </w:r>
          </w:p>
          <w:p w:rsidR="00B1186D" w:rsidRPr="00731105" w:rsidRDefault="00B1186D" w:rsidP="00C724C0">
            <w:pPr>
              <w:spacing w:after="0" w:line="240" w:lineRule="auto"/>
              <w:rPr>
                <w:rFonts w:ascii="Arial" w:eastAsia="Times New Roman" w:hAnsi="Arial" w:cs="Arial"/>
                <w:lang w:eastAsia="en-GB"/>
              </w:rPr>
            </w:pPr>
          </w:p>
        </w:tc>
      </w:tr>
      <w:tr w:rsidR="00B1186D" w:rsidRPr="00731105" w:rsidTr="00C724C0">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sidRPr="00731105">
              <w:rPr>
                <w:rFonts w:ascii="Arial" w:eastAsia="Times New Roman" w:hAnsi="Arial" w:cs="Arial"/>
                <w:lang w:eastAsia="en-GB"/>
              </w:rPr>
              <w:t>An understanding and application of, data confidentiality and information governance issues.</w:t>
            </w:r>
          </w:p>
          <w:p w:rsidR="00B1186D" w:rsidRPr="00731105" w:rsidRDefault="00B1186D" w:rsidP="00C724C0">
            <w:pPr>
              <w:spacing w:after="0" w:line="240" w:lineRule="auto"/>
              <w:rPr>
                <w:rFonts w:ascii="Arial" w:eastAsia="Times New Roman" w:hAnsi="Arial" w:cs="Arial"/>
                <w:lang w:eastAsia="en-GB"/>
              </w:rPr>
            </w:pPr>
          </w:p>
        </w:tc>
      </w:tr>
      <w:tr w:rsidR="00B1186D" w:rsidRPr="00731105" w:rsidTr="00C724C0">
        <w:tc>
          <w:tcPr>
            <w:tcW w:w="1427" w:type="dxa"/>
            <w:vMerge/>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7815" w:type="dxa"/>
            <w:gridSpan w:val="2"/>
            <w:shd w:val="clear" w:color="auto" w:fill="auto"/>
          </w:tcPr>
          <w:p w:rsidR="00B1186D" w:rsidRPr="00731105" w:rsidRDefault="00B1186D" w:rsidP="00B1186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They can deliver the report</w:t>
            </w:r>
            <w:r w:rsidRPr="00731105">
              <w:rPr>
                <w:rFonts w:ascii="Arial" w:eastAsia="Times New Roman" w:hAnsi="Arial" w:cs="Arial"/>
                <w:lang w:eastAsia="en-GB"/>
              </w:rPr>
              <w:t xml:space="preserve"> within the project deadline with a realistic timetable.</w:t>
            </w:r>
          </w:p>
          <w:p w:rsidR="00B1186D" w:rsidRPr="00731105" w:rsidRDefault="00B1186D" w:rsidP="00C724C0">
            <w:pPr>
              <w:spacing w:after="0" w:line="240" w:lineRule="auto"/>
              <w:ind w:left="360"/>
              <w:rPr>
                <w:rFonts w:ascii="Arial" w:eastAsia="Times New Roman" w:hAnsi="Arial" w:cs="Arial"/>
                <w:lang w:eastAsia="en-GB"/>
              </w:rPr>
            </w:pPr>
          </w:p>
        </w:tc>
      </w:tr>
      <w:tr w:rsidR="00B1186D" w:rsidRPr="00731105" w:rsidTr="00C724C0">
        <w:tc>
          <w:tcPr>
            <w:tcW w:w="9242" w:type="dxa"/>
            <w:gridSpan w:val="3"/>
            <w:shd w:val="clear" w:color="auto" w:fill="auto"/>
          </w:tcPr>
          <w:p w:rsidR="00B1186D" w:rsidRPr="00731105" w:rsidRDefault="00B1186D" w:rsidP="00C724C0">
            <w:pPr>
              <w:spacing w:after="0" w:line="240" w:lineRule="auto"/>
              <w:rPr>
                <w:rFonts w:ascii="Arial" w:eastAsia="Times New Roman" w:hAnsi="Arial" w:cs="Arial"/>
                <w:b/>
                <w:lang w:eastAsia="en-GB"/>
              </w:rPr>
            </w:pPr>
            <w:r w:rsidRPr="00731105">
              <w:rPr>
                <w:rFonts w:ascii="Arial" w:eastAsia="Times New Roman" w:hAnsi="Arial" w:cs="Arial"/>
                <w:b/>
                <w:lang w:eastAsia="en-GB"/>
              </w:rPr>
              <w:t>Cost – Weighted at 40% of total score</w:t>
            </w:r>
          </w:p>
          <w:p w:rsidR="00B1186D" w:rsidRPr="00731105" w:rsidRDefault="00B1186D" w:rsidP="00C724C0">
            <w:pPr>
              <w:spacing w:after="0" w:line="240" w:lineRule="auto"/>
              <w:rPr>
                <w:rFonts w:ascii="Arial" w:eastAsia="Times New Roman" w:hAnsi="Arial" w:cs="Arial"/>
                <w:b/>
                <w:lang w:eastAsia="en-GB"/>
              </w:rPr>
            </w:pPr>
          </w:p>
        </w:tc>
      </w:tr>
      <w:tr w:rsidR="00B1186D" w:rsidRPr="00731105" w:rsidTr="00C724C0">
        <w:tc>
          <w:tcPr>
            <w:tcW w:w="2077" w:type="dxa"/>
            <w:gridSpan w:val="2"/>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Cost</w:t>
            </w:r>
          </w:p>
        </w:tc>
        <w:tc>
          <w:tcPr>
            <w:tcW w:w="7165"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Cost will be evaluated by the bid with the lowest score scoring 100 and all other bidder prices being expressed as an inverse proportion.</w:t>
            </w:r>
          </w:p>
          <w:p w:rsidR="00B1186D" w:rsidRDefault="00B1186D" w:rsidP="00C724C0">
            <w:pPr>
              <w:spacing w:after="0" w:line="240" w:lineRule="auto"/>
              <w:rPr>
                <w:rFonts w:ascii="Arial" w:eastAsia="Times New Roman" w:hAnsi="Arial" w:cs="Arial"/>
                <w:lang w:eastAsia="en-GB"/>
              </w:rPr>
            </w:pPr>
          </w:p>
          <w:p w:rsidR="00B1186D" w:rsidRPr="00503A5C" w:rsidRDefault="00B1186D" w:rsidP="00C724C0">
            <w:pPr>
              <w:spacing w:after="0" w:line="240" w:lineRule="auto"/>
              <w:rPr>
                <w:rFonts w:ascii="Arial" w:eastAsia="Times New Roman" w:hAnsi="Arial" w:cs="Arial"/>
                <w:i/>
                <w:lang w:eastAsia="en-GB"/>
              </w:rPr>
            </w:pPr>
            <w:r>
              <w:rPr>
                <w:rFonts w:ascii="Arial" w:eastAsia="Times New Roman" w:hAnsi="Arial" w:cs="Arial"/>
                <w:i/>
                <w:lang w:eastAsia="en-GB"/>
              </w:rPr>
              <w:t>For example</w:t>
            </w:r>
            <w:r w:rsidRPr="00503A5C">
              <w:rPr>
                <w:rFonts w:ascii="Arial" w:eastAsia="Times New Roman" w:hAnsi="Arial" w:cs="Arial"/>
                <w:i/>
                <w:lang w:eastAsia="en-GB"/>
              </w:rPr>
              <w:t>.</w:t>
            </w:r>
          </w:p>
          <w:p w:rsidR="00B1186D" w:rsidRPr="00503A5C" w:rsidRDefault="00B1186D" w:rsidP="00C724C0">
            <w:pPr>
              <w:spacing w:after="0" w:line="240" w:lineRule="auto"/>
              <w:rPr>
                <w:rFonts w:ascii="Arial" w:eastAsia="Times New Roman" w:hAnsi="Arial" w:cs="Arial"/>
                <w:i/>
                <w:lang w:eastAsia="en-GB"/>
              </w:rPr>
            </w:pPr>
            <w:r>
              <w:rPr>
                <w:rFonts w:ascii="Arial" w:eastAsia="Times New Roman" w:hAnsi="Arial" w:cs="Arial"/>
                <w:i/>
                <w:lang w:eastAsia="en-GB"/>
              </w:rPr>
              <w:t xml:space="preserve">Bid A – Cost  £30,000 = </w:t>
            </w:r>
            <w:r w:rsidRPr="00503A5C">
              <w:rPr>
                <w:rFonts w:ascii="Arial" w:eastAsia="Times New Roman" w:hAnsi="Arial" w:cs="Arial"/>
                <w:i/>
                <w:lang w:eastAsia="en-GB"/>
              </w:rPr>
              <w:t>scores 100</w:t>
            </w:r>
          </w:p>
          <w:p w:rsidR="00B1186D" w:rsidRPr="00503A5C" w:rsidRDefault="00B1186D" w:rsidP="00C724C0">
            <w:pPr>
              <w:spacing w:after="0" w:line="240" w:lineRule="auto"/>
              <w:rPr>
                <w:rFonts w:ascii="Arial" w:eastAsia="Times New Roman" w:hAnsi="Arial" w:cs="Arial"/>
                <w:i/>
                <w:lang w:eastAsia="en-GB"/>
              </w:rPr>
            </w:pPr>
            <w:r w:rsidRPr="00503A5C">
              <w:rPr>
                <w:rFonts w:ascii="Arial" w:eastAsia="Times New Roman" w:hAnsi="Arial" w:cs="Arial"/>
                <w:i/>
                <w:lang w:eastAsia="en-GB"/>
              </w:rPr>
              <w:t xml:space="preserve">Bid B – Cost </w:t>
            </w:r>
            <w:r>
              <w:rPr>
                <w:rFonts w:ascii="Arial" w:eastAsia="Times New Roman" w:hAnsi="Arial" w:cs="Arial"/>
                <w:i/>
                <w:lang w:eastAsia="en-GB"/>
              </w:rPr>
              <w:t xml:space="preserve"> £</w:t>
            </w:r>
            <w:r w:rsidRPr="00503A5C">
              <w:rPr>
                <w:rFonts w:ascii="Arial" w:eastAsia="Times New Roman" w:hAnsi="Arial" w:cs="Arial"/>
                <w:i/>
                <w:lang w:eastAsia="en-GB"/>
              </w:rPr>
              <w:t>40,000 = scores 75</w:t>
            </w:r>
          </w:p>
          <w:p w:rsidR="00B1186D" w:rsidRPr="00503A5C" w:rsidRDefault="00B1186D" w:rsidP="00C724C0">
            <w:pPr>
              <w:spacing w:after="0" w:line="240" w:lineRule="auto"/>
              <w:rPr>
                <w:rFonts w:ascii="Arial" w:eastAsia="Times New Roman" w:hAnsi="Arial" w:cs="Arial"/>
                <w:i/>
                <w:lang w:eastAsia="en-GB"/>
              </w:rPr>
            </w:pPr>
            <w:r w:rsidRPr="00503A5C">
              <w:rPr>
                <w:rFonts w:ascii="Arial" w:eastAsia="Times New Roman" w:hAnsi="Arial" w:cs="Arial"/>
                <w:i/>
                <w:lang w:eastAsia="en-GB"/>
              </w:rPr>
              <w:t xml:space="preserve">Bid C  - Cost </w:t>
            </w:r>
            <w:r>
              <w:rPr>
                <w:rFonts w:ascii="Arial" w:eastAsia="Times New Roman" w:hAnsi="Arial" w:cs="Arial"/>
                <w:i/>
                <w:lang w:eastAsia="en-GB"/>
              </w:rPr>
              <w:t xml:space="preserve"> </w:t>
            </w:r>
            <w:r w:rsidRPr="00503A5C">
              <w:rPr>
                <w:rFonts w:ascii="Arial" w:eastAsia="Times New Roman" w:hAnsi="Arial" w:cs="Arial"/>
                <w:i/>
                <w:lang w:eastAsia="en-GB"/>
              </w:rPr>
              <w:t>£50,000 = scores 60</w:t>
            </w:r>
          </w:p>
          <w:p w:rsidR="00B1186D" w:rsidRPr="00731105" w:rsidRDefault="00B1186D" w:rsidP="00C724C0">
            <w:pPr>
              <w:spacing w:after="0" w:line="240" w:lineRule="auto"/>
              <w:rPr>
                <w:rFonts w:ascii="Arial" w:eastAsia="Times New Roman" w:hAnsi="Arial" w:cs="Arial"/>
                <w:lang w:eastAsia="en-GB"/>
              </w:rPr>
            </w:pPr>
            <w:r>
              <w:rPr>
                <w:rFonts w:ascii="Arial" w:eastAsia="Times New Roman" w:hAnsi="Arial" w:cs="Arial"/>
                <w:i/>
                <w:lang w:eastAsia="en-GB"/>
              </w:rPr>
              <w:t>Bid D – Cost  £60,000</w:t>
            </w:r>
            <w:r w:rsidRPr="00503A5C">
              <w:rPr>
                <w:rFonts w:ascii="Arial" w:eastAsia="Times New Roman" w:hAnsi="Arial" w:cs="Arial"/>
                <w:i/>
                <w:lang w:eastAsia="en-GB"/>
              </w:rPr>
              <w:t xml:space="preserve">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971087" w:rsidRPr="00D95205" w:rsidRDefault="00971087" w:rsidP="00971087">
      <w:pPr>
        <w:spacing w:after="0" w:line="240" w:lineRule="auto"/>
        <w:jc w:val="both"/>
        <w:rPr>
          <w:rFonts w:eastAsia="Times New Roman" w:cstheme="minorHAnsi"/>
        </w:rPr>
      </w:pP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78" w:rsidRDefault="00580E78" w:rsidP="00E1169C">
      <w:pPr>
        <w:spacing w:after="0" w:line="240" w:lineRule="auto"/>
      </w:pPr>
      <w:r>
        <w:separator/>
      </w:r>
    </w:p>
  </w:endnote>
  <w:endnote w:type="continuationSeparator" w:id="0">
    <w:p w:rsidR="00580E78" w:rsidRDefault="00580E78"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4E197C">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78" w:rsidRDefault="00580E78" w:rsidP="00E1169C">
      <w:pPr>
        <w:spacing w:after="0" w:line="240" w:lineRule="auto"/>
      </w:pPr>
      <w:r>
        <w:separator/>
      </w:r>
    </w:p>
  </w:footnote>
  <w:footnote w:type="continuationSeparator" w:id="0">
    <w:p w:rsidR="00580E78" w:rsidRDefault="00580E78"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580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580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713DE"/>
    <w:rsid w:val="00177294"/>
    <w:rsid w:val="00194788"/>
    <w:rsid w:val="002100C9"/>
    <w:rsid w:val="00230EDE"/>
    <w:rsid w:val="00237DFD"/>
    <w:rsid w:val="00250D9B"/>
    <w:rsid w:val="002968CD"/>
    <w:rsid w:val="002A0C26"/>
    <w:rsid w:val="002C53CA"/>
    <w:rsid w:val="002E5045"/>
    <w:rsid w:val="003F2BAC"/>
    <w:rsid w:val="004100F7"/>
    <w:rsid w:val="0041509F"/>
    <w:rsid w:val="004367DA"/>
    <w:rsid w:val="00451E47"/>
    <w:rsid w:val="004A0461"/>
    <w:rsid w:val="004E197C"/>
    <w:rsid w:val="0052503E"/>
    <w:rsid w:val="00580E78"/>
    <w:rsid w:val="00584175"/>
    <w:rsid w:val="00630E06"/>
    <w:rsid w:val="00637FC0"/>
    <w:rsid w:val="007463E1"/>
    <w:rsid w:val="00791CB5"/>
    <w:rsid w:val="007A56C1"/>
    <w:rsid w:val="00800746"/>
    <w:rsid w:val="008562DF"/>
    <w:rsid w:val="00865422"/>
    <w:rsid w:val="008D6297"/>
    <w:rsid w:val="00907148"/>
    <w:rsid w:val="00971087"/>
    <w:rsid w:val="00A804A5"/>
    <w:rsid w:val="00AD24FA"/>
    <w:rsid w:val="00B1186D"/>
    <w:rsid w:val="00B332F6"/>
    <w:rsid w:val="00B3708E"/>
    <w:rsid w:val="00B45612"/>
    <w:rsid w:val="00BF51C3"/>
    <w:rsid w:val="00C01516"/>
    <w:rsid w:val="00C3422F"/>
    <w:rsid w:val="00C724C0"/>
    <w:rsid w:val="00C810CD"/>
    <w:rsid w:val="00C8492F"/>
    <w:rsid w:val="00C963DB"/>
    <w:rsid w:val="00CC120E"/>
    <w:rsid w:val="00CC3015"/>
    <w:rsid w:val="00D46179"/>
    <w:rsid w:val="00D95205"/>
    <w:rsid w:val="00E00EAE"/>
    <w:rsid w:val="00E1169C"/>
    <w:rsid w:val="00E42F28"/>
    <w:rsid w:val="00E71F67"/>
    <w:rsid w:val="00E75366"/>
    <w:rsid w:val="00EB15DE"/>
    <w:rsid w:val="00EC44D3"/>
    <w:rsid w:val="00EC7572"/>
    <w:rsid w:val="00F62C56"/>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EB15DE"/>
    <w:pPr>
      <w:spacing w:after="100"/>
      <w:ind w:left="220"/>
    </w:p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EB15DE"/>
    <w:pPr>
      <w:spacing w:after="100"/>
      <w:ind w:left="220"/>
    </w:p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aire.weston2@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2015-40E7-470E-AFE4-8246A485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(0AK) GEM CSU</cp:lastModifiedBy>
  <cp:revision>1</cp:revision>
  <cp:lastPrinted>2014-11-24T14:25:00Z</cp:lastPrinted>
  <dcterms:created xsi:type="dcterms:W3CDTF">2015-05-20T13:42:00Z</dcterms:created>
  <dcterms:modified xsi:type="dcterms:W3CDTF">2015-05-20T13:42:00Z</dcterms:modified>
</cp:coreProperties>
</file>