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01FC9" w14:textId="1B9B4047" w:rsidR="00D671F9" w:rsidRPr="001F2956" w:rsidRDefault="00D671F9" w:rsidP="003D7458">
      <w:pPr>
        <w:pStyle w:val="CoversheetStaticText"/>
        <w:rPr>
          <w:b/>
        </w:rPr>
      </w:pPr>
    </w:p>
    <w:p w14:paraId="03102C47" w14:textId="315C6D32" w:rsidR="00D671F9" w:rsidRPr="003D7458" w:rsidRDefault="00A1162D" w:rsidP="003D7458">
      <w:pPr>
        <w:pStyle w:val="CoversheetTitle"/>
      </w:pPr>
      <w:r w:rsidRPr="003D7458">
        <w:t xml:space="preserve">Consultancy </w:t>
      </w:r>
      <w:r w:rsidR="001F2956" w:rsidRPr="003D7458">
        <w:t>A</w:t>
      </w:r>
      <w:r w:rsidRPr="003D7458">
        <w:t xml:space="preserve">greement </w:t>
      </w:r>
    </w:p>
    <w:p w14:paraId="1E7F537F" w14:textId="5D49DE46" w:rsidR="00D671F9" w:rsidRPr="003D7458" w:rsidRDefault="00A1162D" w:rsidP="003D7458">
      <w:pPr>
        <w:pStyle w:val="CoversheetStaticText"/>
        <w:rPr>
          <w:sz w:val="24"/>
          <w:szCs w:val="24"/>
        </w:rPr>
      </w:pPr>
      <w:r w:rsidRPr="003D7458">
        <w:rPr>
          <w:sz w:val="24"/>
          <w:szCs w:val="24"/>
        </w:rPr>
        <w:t>between</w:t>
      </w:r>
    </w:p>
    <w:p w14:paraId="15B2EF5B" w14:textId="16F1B0A3" w:rsidR="00D671F9" w:rsidRPr="003D7458" w:rsidRDefault="001F2956" w:rsidP="003D7458">
      <w:pPr>
        <w:pStyle w:val="CoversheetParty"/>
        <w:rPr>
          <w:sz w:val="24"/>
          <w:szCs w:val="24"/>
        </w:rPr>
      </w:pPr>
      <w:r w:rsidRPr="003D7458">
        <w:rPr>
          <w:sz w:val="24"/>
          <w:szCs w:val="24"/>
        </w:rPr>
        <w:t>NORTH NORTHAMPTONSHIRE COUNCIL</w:t>
      </w:r>
    </w:p>
    <w:p w14:paraId="0C9533BA" w14:textId="77777777" w:rsidR="00D671F9" w:rsidRPr="003D7458" w:rsidRDefault="00A1162D" w:rsidP="003D7458">
      <w:pPr>
        <w:pStyle w:val="CoversheetStaticText"/>
        <w:rPr>
          <w:sz w:val="24"/>
          <w:szCs w:val="24"/>
        </w:rPr>
      </w:pPr>
      <w:r w:rsidRPr="003D7458">
        <w:rPr>
          <w:sz w:val="24"/>
          <w:szCs w:val="24"/>
        </w:rPr>
        <w:t>and</w:t>
      </w:r>
    </w:p>
    <w:p w14:paraId="52EE2CDA" w14:textId="33037987" w:rsidR="00D671F9" w:rsidRPr="003D7458" w:rsidRDefault="00A1162D" w:rsidP="003D7458">
      <w:pPr>
        <w:pStyle w:val="CoversheetParty"/>
        <w:rPr>
          <w:sz w:val="24"/>
          <w:szCs w:val="24"/>
        </w:rPr>
        <w:sectPr w:rsidR="00D671F9" w:rsidRPr="003D745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sectPr>
      </w:pPr>
      <w:r w:rsidRPr="003D7458">
        <w:rPr>
          <w:sz w:val="24"/>
          <w:szCs w:val="24"/>
        </w:rPr>
        <w:t>[</w:t>
      </w:r>
      <w:r w:rsidRPr="003D7458">
        <w:rPr>
          <w:sz w:val="24"/>
          <w:szCs w:val="24"/>
          <w:highlight w:val="yellow"/>
        </w:rPr>
        <w:t>NAME]</w:t>
      </w:r>
    </w:p>
    <w:p w14:paraId="163B8F93" w14:textId="77777777" w:rsidR="007E66D4" w:rsidRPr="001F2956" w:rsidRDefault="007E66D4">
      <w:pPr>
        <w:rPr>
          <w:rFonts w:ascii="Arial" w:hAnsi="Arial" w:cs="Arial"/>
        </w:rPr>
        <w:sectPr w:rsidR="007E66D4" w:rsidRPr="001F2956">
          <w:type w:val="continuous"/>
          <w:pgSz w:w="12240" w:h="15840"/>
          <w:pgMar w:top="1440" w:right="1440" w:bottom="1440" w:left="1440" w:header="720" w:footer="720" w:gutter="0"/>
          <w:cols w:space="720"/>
        </w:sectPr>
      </w:pPr>
    </w:p>
    <w:p w14:paraId="05FFAEDB" w14:textId="77777777" w:rsidR="00D671F9" w:rsidRPr="001F2956" w:rsidRDefault="00A1162D" w:rsidP="009B2B82">
      <w:pPr>
        <w:pStyle w:val="HeadingLevel2"/>
      </w:pPr>
      <w:r w:rsidRPr="001F2956">
        <w:lastRenderedPageBreak/>
        <w:t>CONTENTS</w:t>
      </w:r>
    </w:p>
    <w:p w14:paraId="3CE3C0BB" w14:textId="77777777" w:rsidR="00D671F9" w:rsidRPr="001F2956" w:rsidRDefault="00A1162D" w:rsidP="009B2B82">
      <w:pPr>
        <w:pStyle w:val="HeadingLevel2"/>
      </w:pPr>
      <w:r w:rsidRPr="001F2956">
        <w:t>____________________________________________________________</w:t>
      </w:r>
    </w:p>
    <w:p w14:paraId="0865901E" w14:textId="77777777" w:rsidR="00D671F9" w:rsidRPr="001F2956" w:rsidRDefault="00A1162D" w:rsidP="009B2B82">
      <w:pPr>
        <w:pStyle w:val="HeadingLevel2"/>
      </w:pPr>
      <w:r w:rsidRPr="001F2956">
        <w:t>CLAUSE</w:t>
      </w:r>
    </w:p>
    <w:p w14:paraId="3B567BA2" w14:textId="77777777" w:rsidR="007E66D4" w:rsidRPr="001F2956" w:rsidRDefault="00A1162D" w:rsidP="00395996">
      <w:pPr>
        <w:pStyle w:val="TOC1"/>
        <w:rPr>
          <w:noProof/>
        </w:rPr>
      </w:pPr>
      <w:r w:rsidRPr="001F2956">
        <w:rPr>
          <w:rFonts w:eastAsia="Arial"/>
          <w:lang w:eastAsia="en-GB"/>
        </w:rPr>
        <w:fldChar w:fldCharType="begin"/>
      </w:r>
      <w:r w:rsidRPr="001F2956">
        <w:instrText>TOC \t "Title Clause, 1" \h</w:instrText>
      </w:r>
      <w:r w:rsidRPr="001F2956">
        <w:rPr>
          <w:rFonts w:eastAsia="Arial"/>
          <w:lang w:eastAsia="en-GB"/>
        </w:rPr>
        <w:fldChar w:fldCharType="separate"/>
      </w:r>
      <w:hyperlink w:anchor="_Toc256000000" w:history="1">
        <w:r w:rsidRPr="001F2956">
          <w:rPr>
            <w:rStyle w:val="Hyperlink"/>
            <w:rFonts w:ascii="Arial" w:hAnsi="Arial" w:cs="Arial"/>
          </w:rPr>
          <w:t>1.</w:t>
        </w:r>
        <w:r w:rsidRPr="001F2956">
          <w:rPr>
            <w:rStyle w:val="Hyperlink"/>
            <w:rFonts w:ascii="Arial" w:hAnsi="Arial" w:cs="Arial"/>
            <w:noProof/>
          </w:rPr>
          <w:tab/>
        </w:r>
        <w:r w:rsidRPr="001F2956">
          <w:rPr>
            <w:rStyle w:val="Hyperlink"/>
            <w:rFonts w:ascii="Arial" w:hAnsi="Arial" w:cs="Arial"/>
          </w:rPr>
          <w:t>Interpretation</w:t>
        </w:r>
        <w:r w:rsidRPr="001F2956">
          <w:rPr>
            <w:rStyle w:val="Hyperlink"/>
            <w:rFonts w:ascii="Arial" w:hAnsi="Arial" w:cs="Arial"/>
          </w:rPr>
          <w:tab/>
        </w:r>
        <w:r w:rsidRPr="001F2956">
          <w:fldChar w:fldCharType="begin"/>
        </w:r>
        <w:r w:rsidRPr="001F2956">
          <w:rPr>
            <w:rStyle w:val="Hyperlink"/>
            <w:rFonts w:ascii="Arial" w:hAnsi="Arial" w:cs="Arial"/>
          </w:rPr>
          <w:instrText xml:space="preserve"> PAGEREF _Toc256000000 \h </w:instrText>
        </w:r>
        <w:r w:rsidRPr="001F2956">
          <w:fldChar w:fldCharType="separate"/>
        </w:r>
        <w:r w:rsidRPr="001F2956">
          <w:rPr>
            <w:rStyle w:val="Hyperlink"/>
            <w:rFonts w:ascii="Arial" w:hAnsi="Arial" w:cs="Arial"/>
          </w:rPr>
          <w:t>3</w:t>
        </w:r>
        <w:r w:rsidRPr="001F2956">
          <w:fldChar w:fldCharType="end"/>
        </w:r>
      </w:hyperlink>
    </w:p>
    <w:p w14:paraId="7FD1BA2F" w14:textId="77777777" w:rsidR="007E66D4" w:rsidRPr="001F2956" w:rsidRDefault="00000000" w:rsidP="00395996">
      <w:pPr>
        <w:pStyle w:val="TOC1"/>
        <w:rPr>
          <w:noProof/>
        </w:rPr>
      </w:pPr>
      <w:hyperlink w:anchor="_Toc256000001" w:history="1">
        <w:r w:rsidR="00A1162D" w:rsidRPr="001F2956">
          <w:rPr>
            <w:rStyle w:val="Hyperlink"/>
            <w:rFonts w:ascii="Arial" w:hAnsi="Arial" w:cs="Arial"/>
          </w:rPr>
          <w:t>2.</w:t>
        </w:r>
        <w:r w:rsidR="00A1162D" w:rsidRPr="001F2956">
          <w:rPr>
            <w:rStyle w:val="Hyperlink"/>
            <w:rFonts w:ascii="Arial" w:hAnsi="Arial" w:cs="Arial"/>
            <w:noProof/>
          </w:rPr>
          <w:tab/>
        </w:r>
        <w:r w:rsidR="00A1162D" w:rsidRPr="001F2956">
          <w:rPr>
            <w:rStyle w:val="Hyperlink"/>
            <w:rFonts w:ascii="Arial" w:hAnsi="Arial" w:cs="Arial"/>
          </w:rPr>
          <w:t>Term of engagement</w:t>
        </w:r>
        <w:r w:rsidR="00A1162D" w:rsidRPr="001F2956">
          <w:rPr>
            <w:rStyle w:val="Hyperlink"/>
            <w:rFonts w:ascii="Arial" w:hAnsi="Arial" w:cs="Arial"/>
          </w:rPr>
          <w:tab/>
        </w:r>
        <w:r w:rsidR="00A1162D" w:rsidRPr="001F2956">
          <w:fldChar w:fldCharType="begin"/>
        </w:r>
        <w:r w:rsidR="00A1162D" w:rsidRPr="001F2956">
          <w:rPr>
            <w:rStyle w:val="Hyperlink"/>
            <w:rFonts w:ascii="Arial" w:hAnsi="Arial" w:cs="Arial"/>
          </w:rPr>
          <w:instrText xml:space="preserve"> PAGEREF _Toc256000001 \h </w:instrText>
        </w:r>
        <w:r w:rsidR="00A1162D" w:rsidRPr="001F2956">
          <w:fldChar w:fldCharType="separate"/>
        </w:r>
        <w:r w:rsidR="00A1162D" w:rsidRPr="001F2956">
          <w:rPr>
            <w:rStyle w:val="Hyperlink"/>
            <w:rFonts w:ascii="Arial" w:hAnsi="Arial" w:cs="Arial"/>
          </w:rPr>
          <w:t>6</w:t>
        </w:r>
        <w:r w:rsidR="00A1162D" w:rsidRPr="001F2956">
          <w:fldChar w:fldCharType="end"/>
        </w:r>
      </w:hyperlink>
    </w:p>
    <w:p w14:paraId="2BE09017" w14:textId="77777777" w:rsidR="007E66D4" w:rsidRPr="001F2956" w:rsidRDefault="00000000" w:rsidP="00395996">
      <w:pPr>
        <w:pStyle w:val="TOC1"/>
        <w:rPr>
          <w:noProof/>
        </w:rPr>
      </w:pPr>
      <w:hyperlink w:anchor="_Toc256000002" w:history="1">
        <w:r w:rsidR="00A1162D" w:rsidRPr="001F2956">
          <w:rPr>
            <w:rStyle w:val="Hyperlink"/>
            <w:rFonts w:ascii="Arial" w:hAnsi="Arial" w:cs="Arial"/>
          </w:rPr>
          <w:t>3.</w:t>
        </w:r>
        <w:r w:rsidR="00A1162D" w:rsidRPr="001F2956">
          <w:rPr>
            <w:rStyle w:val="Hyperlink"/>
            <w:rFonts w:ascii="Arial" w:hAnsi="Arial" w:cs="Arial"/>
            <w:noProof/>
          </w:rPr>
          <w:tab/>
        </w:r>
        <w:r w:rsidR="00A1162D" w:rsidRPr="001F2956">
          <w:rPr>
            <w:rStyle w:val="Hyperlink"/>
            <w:rFonts w:ascii="Arial" w:hAnsi="Arial" w:cs="Arial"/>
          </w:rPr>
          <w:t>Duties and obligations</w:t>
        </w:r>
        <w:r w:rsidR="00A1162D" w:rsidRPr="001F2956">
          <w:rPr>
            <w:rStyle w:val="Hyperlink"/>
            <w:rFonts w:ascii="Arial" w:hAnsi="Arial" w:cs="Arial"/>
          </w:rPr>
          <w:tab/>
        </w:r>
        <w:r w:rsidR="00A1162D" w:rsidRPr="001F2956">
          <w:fldChar w:fldCharType="begin"/>
        </w:r>
        <w:r w:rsidR="00A1162D" w:rsidRPr="001F2956">
          <w:rPr>
            <w:rStyle w:val="Hyperlink"/>
            <w:rFonts w:ascii="Arial" w:hAnsi="Arial" w:cs="Arial"/>
          </w:rPr>
          <w:instrText xml:space="preserve"> PAGEREF _Toc256000002 \h </w:instrText>
        </w:r>
        <w:r w:rsidR="00A1162D" w:rsidRPr="001F2956">
          <w:fldChar w:fldCharType="separate"/>
        </w:r>
        <w:r w:rsidR="00A1162D" w:rsidRPr="001F2956">
          <w:rPr>
            <w:rStyle w:val="Hyperlink"/>
            <w:rFonts w:ascii="Arial" w:hAnsi="Arial" w:cs="Arial"/>
          </w:rPr>
          <w:t>6</w:t>
        </w:r>
        <w:r w:rsidR="00A1162D" w:rsidRPr="001F2956">
          <w:fldChar w:fldCharType="end"/>
        </w:r>
      </w:hyperlink>
    </w:p>
    <w:p w14:paraId="6104954D" w14:textId="77777777" w:rsidR="007E66D4" w:rsidRPr="001F2956" w:rsidRDefault="00000000" w:rsidP="00395996">
      <w:pPr>
        <w:pStyle w:val="TOC1"/>
        <w:rPr>
          <w:noProof/>
        </w:rPr>
      </w:pPr>
      <w:hyperlink w:anchor="_Toc256000003" w:history="1">
        <w:r w:rsidR="00A1162D" w:rsidRPr="001F2956">
          <w:rPr>
            <w:rStyle w:val="Hyperlink"/>
            <w:rFonts w:ascii="Arial" w:hAnsi="Arial" w:cs="Arial"/>
          </w:rPr>
          <w:t>4.</w:t>
        </w:r>
        <w:r w:rsidR="00A1162D" w:rsidRPr="001F2956">
          <w:rPr>
            <w:rStyle w:val="Hyperlink"/>
            <w:rFonts w:ascii="Arial" w:hAnsi="Arial" w:cs="Arial"/>
            <w:noProof/>
          </w:rPr>
          <w:tab/>
        </w:r>
        <w:r w:rsidR="00A1162D" w:rsidRPr="001F2956">
          <w:rPr>
            <w:rStyle w:val="Hyperlink"/>
            <w:rFonts w:ascii="Arial" w:hAnsi="Arial" w:cs="Arial"/>
          </w:rPr>
          <w:t>Fees</w:t>
        </w:r>
        <w:r w:rsidR="00A1162D" w:rsidRPr="001F2956">
          <w:rPr>
            <w:rStyle w:val="Hyperlink"/>
            <w:rFonts w:ascii="Arial" w:hAnsi="Arial" w:cs="Arial"/>
          </w:rPr>
          <w:tab/>
        </w:r>
        <w:r w:rsidR="00A1162D" w:rsidRPr="001F2956">
          <w:fldChar w:fldCharType="begin"/>
        </w:r>
        <w:r w:rsidR="00A1162D" w:rsidRPr="001F2956">
          <w:rPr>
            <w:rStyle w:val="Hyperlink"/>
            <w:rFonts w:ascii="Arial" w:hAnsi="Arial" w:cs="Arial"/>
          </w:rPr>
          <w:instrText xml:space="preserve"> PAGEREF _Toc256000003 \h </w:instrText>
        </w:r>
        <w:r w:rsidR="00A1162D" w:rsidRPr="001F2956">
          <w:fldChar w:fldCharType="separate"/>
        </w:r>
        <w:r w:rsidR="00A1162D" w:rsidRPr="001F2956">
          <w:rPr>
            <w:rStyle w:val="Hyperlink"/>
            <w:rFonts w:ascii="Arial" w:hAnsi="Arial" w:cs="Arial"/>
          </w:rPr>
          <w:t>11</w:t>
        </w:r>
        <w:r w:rsidR="00A1162D" w:rsidRPr="001F2956">
          <w:fldChar w:fldCharType="end"/>
        </w:r>
      </w:hyperlink>
    </w:p>
    <w:p w14:paraId="07E087BD" w14:textId="47C121BF" w:rsidR="007E66D4" w:rsidRPr="001F2956" w:rsidRDefault="00000000" w:rsidP="00395996">
      <w:pPr>
        <w:pStyle w:val="TOC1"/>
        <w:rPr>
          <w:noProof/>
        </w:rPr>
      </w:pPr>
      <w:hyperlink w:anchor="_Toc256000004" w:history="1">
        <w:r w:rsidR="00A1162D" w:rsidRPr="001F2956">
          <w:rPr>
            <w:rStyle w:val="Hyperlink"/>
            <w:rFonts w:ascii="Arial" w:hAnsi="Arial" w:cs="Arial"/>
          </w:rPr>
          <w:t>5.</w:t>
        </w:r>
        <w:r w:rsidR="00A1162D" w:rsidRPr="001F2956">
          <w:rPr>
            <w:rStyle w:val="Hyperlink"/>
            <w:rFonts w:ascii="Arial" w:hAnsi="Arial" w:cs="Arial"/>
            <w:noProof/>
          </w:rPr>
          <w:tab/>
        </w:r>
        <w:r w:rsidR="003D7458">
          <w:rPr>
            <w:rStyle w:val="Hyperlink"/>
            <w:rFonts w:ascii="Arial" w:hAnsi="Arial" w:cs="Arial"/>
            <w:i w:val="0"/>
            <w:iCs/>
            <w:noProof/>
            <w:u w:val="none"/>
          </w:rPr>
          <w:t>NOT USED</w:t>
        </w:r>
        <w:r w:rsidR="00A1162D" w:rsidRPr="001F2956">
          <w:rPr>
            <w:rStyle w:val="Hyperlink"/>
            <w:rFonts w:ascii="Arial" w:hAnsi="Arial" w:cs="Arial"/>
          </w:rPr>
          <w:tab/>
        </w:r>
        <w:r w:rsidR="00A1162D" w:rsidRPr="001F2956">
          <w:fldChar w:fldCharType="begin"/>
        </w:r>
        <w:r w:rsidR="00A1162D" w:rsidRPr="001F2956">
          <w:rPr>
            <w:rStyle w:val="Hyperlink"/>
            <w:rFonts w:ascii="Arial" w:hAnsi="Arial" w:cs="Arial"/>
          </w:rPr>
          <w:instrText xml:space="preserve"> PAGEREF _Toc256000004 \h </w:instrText>
        </w:r>
        <w:r w:rsidR="00A1162D" w:rsidRPr="001F2956">
          <w:fldChar w:fldCharType="separate"/>
        </w:r>
        <w:r w:rsidR="00A1162D" w:rsidRPr="001F2956">
          <w:rPr>
            <w:rStyle w:val="Hyperlink"/>
            <w:rFonts w:ascii="Arial" w:hAnsi="Arial" w:cs="Arial"/>
          </w:rPr>
          <w:t>12</w:t>
        </w:r>
        <w:r w:rsidR="00A1162D" w:rsidRPr="001F2956">
          <w:fldChar w:fldCharType="end"/>
        </w:r>
      </w:hyperlink>
    </w:p>
    <w:p w14:paraId="4BC40C31" w14:textId="77777777" w:rsidR="007E66D4" w:rsidRPr="001F2956" w:rsidRDefault="00000000" w:rsidP="00395996">
      <w:pPr>
        <w:pStyle w:val="TOC1"/>
        <w:rPr>
          <w:noProof/>
        </w:rPr>
      </w:pPr>
      <w:hyperlink w:anchor="_Toc256000005" w:history="1">
        <w:r w:rsidR="00A1162D" w:rsidRPr="001F2956">
          <w:rPr>
            <w:rStyle w:val="Hyperlink"/>
            <w:rFonts w:ascii="Arial" w:hAnsi="Arial" w:cs="Arial"/>
          </w:rPr>
          <w:t>6.</w:t>
        </w:r>
        <w:r w:rsidR="00A1162D" w:rsidRPr="001F2956">
          <w:rPr>
            <w:rStyle w:val="Hyperlink"/>
            <w:rFonts w:ascii="Arial" w:hAnsi="Arial" w:cs="Arial"/>
            <w:noProof/>
          </w:rPr>
          <w:tab/>
        </w:r>
        <w:r w:rsidR="00A1162D" w:rsidRPr="001F2956">
          <w:rPr>
            <w:rStyle w:val="Hyperlink"/>
            <w:rFonts w:ascii="Arial" w:hAnsi="Arial" w:cs="Arial"/>
          </w:rPr>
          <w:t>Other activities</w:t>
        </w:r>
        <w:r w:rsidR="00A1162D" w:rsidRPr="001F2956">
          <w:rPr>
            <w:rStyle w:val="Hyperlink"/>
            <w:rFonts w:ascii="Arial" w:hAnsi="Arial" w:cs="Arial"/>
          </w:rPr>
          <w:tab/>
        </w:r>
        <w:r w:rsidR="00A1162D" w:rsidRPr="001F2956">
          <w:fldChar w:fldCharType="begin"/>
        </w:r>
        <w:r w:rsidR="00A1162D" w:rsidRPr="001F2956">
          <w:rPr>
            <w:rStyle w:val="Hyperlink"/>
            <w:rFonts w:ascii="Arial" w:hAnsi="Arial" w:cs="Arial"/>
          </w:rPr>
          <w:instrText xml:space="preserve"> PAGEREF _Toc256000005 \h </w:instrText>
        </w:r>
        <w:r w:rsidR="00A1162D" w:rsidRPr="001F2956">
          <w:fldChar w:fldCharType="separate"/>
        </w:r>
        <w:r w:rsidR="00A1162D" w:rsidRPr="001F2956">
          <w:rPr>
            <w:rStyle w:val="Hyperlink"/>
            <w:rFonts w:ascii="Arial" w:hAnsi="Arial" w:cs="Arial"/>
          </w:rPr>
          <w:t>12</w:t>
        </w:r>
        <w:r w:rsidR="00A1162D" w:rsidRPr="001F2956">
          <w:fldChar w:fldCharType="end"/>
        </w:r>
      </w:hyperlink>
    </w:p>
    <w:p w14:paraId="3B1485EC" w14:textId="77777777" w:rsidR="007E66D4" w:rsidRPr="001F2956" w:rsidRDefault="00000000" w:rsidP="00395996">
      <w:pPr>
        <w:pStyle w:val="TOC1"/>
        <w:rPr>
          <w:noProof/>
        </w:rPr>
      </w:pPr>
      <w:hyperlink w:anchor="_Toc256000006" w:history="1">
        <w:r w:rsidR="00A1162D" w:rsidRPr="001F2956">
          <w:rPr>
            <w:rStyle w:val="Hyperlink"/>
            <w:rFonts w:ascii="Arial" w:hAnsi="Arial" w:cs="Arial"/>
          </w:rPr>
          <w:t>7.</w:t>
        </w:r>
        <w:r w:rsidR="00A1162D" w:rsidRPr="001F2956">
          <w:rPr>
            <w:rStyle w:val="Hyperlink"/>
            <w:rFonts w:ascii="Arial" w:hAnsi="Arial" w:cs="Arial"/>
            <w:noProof/>
          </w:rPr>
          <w:tab/>
        </w:r>
        <w:r w:rsidR="00A1162D" w:rsidRPr="001F2956">
          <w:rPr>
            <w:rStyle w:val="Hyperlink"/>
            <w:rFonts w:ascii="Arial" w:hAnsi="Arial" w:cs="Arial"/>
          </w:rPr>
          <w:t>Confidential information and Client property</w:t>
        </w:r>
        <w:r w:rsidR="00A1162D" w:rsidRPr="001F2956">
          <w:rPr>
            <w:rStyle w:val="Hyperlink"/>
            <w:rFonts w:ascii="Arial" w:hAnsi="Arial" w:cs="Arial"/>
          </w:rPr>
          <w:tab/>
        </w:r>
        <w:r w:rsidR="00A1162D" w:rsidRPr="001F2956">
          <w:fldChar w:fldCharType="begin"/>
        </w:r>
        <w:r w:rsidR="00A1162D" w:rsidRPr="001F2956">
          <w:rPr>
            <w:rStyle w:val="Hyperlink"/>
            <w:rFonts w:ascii="Arial" w:hAnsi="Arial" w:cs="Arial"/>
          </w:rPr>
          <w:instrText xml:space="preserve"> PAGEREF _Toc256000006 \h </w:instrText>
        </w:r>
        <w:r w:rsidR="00A1162D" w:rsidRPr="001F2956">
          <w:fldChar w:fldCharType="separate"/>
        </w:r>
        <w:r w:rsidR="00A1162D" w:rsidRPr="001F2956">
          <w:rPr>
            <w:rStyle w:val="Hyperlink"/>
            <w:rFonts w:ascii="Arial" w:hAnsi="Arial" w:cs="Arial"/>
          </w:rPr>
          <w:t>13</w:t>
        </w:r>
        <w:r w:rsidR="00A1162D" w:rsidRPr="001F2956">
          <w:fldChar w:fldCharType="end"/>
        </w:r>
      </w:hyperlink>
    </w:p>
    <w:p w14:paraId="1D628B93" w14:textId="77777777" w:rsidR="007E66D4" w:rsidRPr="001F2956" w:rsidRDefault="00000000" w:rsidP="00395996">
      <w:pPr>
        <w:pStyle w:val="TOC1"/>
        <w:rPr>
          <w:noProof/>
        </w:rPr>
      </w:pPr>
      <w:hyperlink w:anchor="_Toc256000007" w:history="1">
        <w:r w:rsidR="00A1162D" w:rsidRPr="001F2956">
          <w:rPr>
            <w:rStyle w:val="Hyperlink"/>
            <w:rFonts w:ascii="Arial" w:hAnsi="Arial" w:cs="Arial"/>
          </w:rPr>
          <w:t>8.</w:t>
        </w:r>
        <w:r w:rsidR="00A1162D" w:rsidRPr="001F2956">
          <w:rPr>
            <w:rStyle w:val="Hyperlink"/>
            <w:rFonts w:ascii="Arial" w:hAnsi="Arial" w:cs="Arial"/>
            <w:noProof/>
          </w:rPr>
          <w:tab/>
        </w:r>
        <w:r w:rsidR="00A1162D" w:rsidRPr="001F2956">
          <w:rPr>
            <w:rStyle w:val="Hyperlink"/>
            <w:rFonts w:ascii="Arial" w:hAnsi="Arial" w:cs="Arial"/>
          </w:rPr>
          <w:t>Data protection</w:t>
        </w:r>
        <w:r w:rsidR="00A1162D" w:rsidRPr="001F2956">
          <w:rPr>
            <w:rStyle w:val="Hyperlink"/>
            <w:rFonts w:ascii="Arial" w:hAnsi="Arial" w:cs="Arial"/>
          </w:rPr>
          <w:tab/>
        </w:r>
        <w:r w:rsidR="00A1162D" w:rsidRPr="001F2956">
          <w:fldChar w:fldCharType="begin"/>
        </w:r>
        <w:r w:rsidR="00A1162D" w:rsidRPr="001F2956">
          <w:rPr>
            <w:rStyle w:val="Hyperlink"/>
            <w:rFonts w:ascii="Arial" w:hAnsi="Arial" w:cs="Arial"/>
          </w:rPr>
          <w:instrText xml:space="preserve"> PAGEREF _Toc256000007 \h </w:instrText>
        </w:r>
        <w:r w:rsidR="00A1162D" w:rsidRPr="001F2956">
          <w:fldChar w:fldCharType="separate"/>
        </w:r>
        <w:r w:rsidR="00A1162D" w:rsidRPr="001F2956">
          <w:rPr>
            <w:rStyle w:val="Hyperlink"/>
            <w:rFonts w:ascii="Arial" w:hAnsi="Arial" w:cs="Arial"/>
          </w:rPr>
          <w:t>14</w:t>
        </w:r>
        <w:r w:rsidR="00A1162D" w:rsidRPr="001F2956">
          <w:fldChar w:fldCharType="end"/>
        </w:r>
      </w:hyperlink>
    </w:p>
    <w:p w14:paraId="68913BE6" w14:textId="77777777" w:rsidR="007E66D4" w:rsidRPr="001F2956" w:rsidRDefault="00000000" w:rsidP="00395996">
      <w:pPr>
        <w:pStyle w:val="TOC1"/>
        <w:rPr>
          <w:noProof/>
        </w:rPr>
      </w:pPr>
      <w:hyperlink w:anchor="_Toc256000008" w:history="1">
        <w:r w:rsidR="00A1162D" w:rsidRPr="001F2956">
          <w:rPr>
            <w:rStyle w:val="Hyperlink"/>
            <w:rFonts w:ascii="Arial" w:hAnsi="Arial" w:cs="Arial"/>
          </w:rPr>
          <w:t>9.</w:t>
        </w:r>
        <w:r w:rsidR="00A1162D" w:rsidRPr="001F2956">
          <w:rPr>
            <w:rStyle w:val="Hyperlink"/>
            <w:rFonts w:ascii="Arial" w:hAnsi="Arial" w:cs="Arial"/>
            <w:noProof/>
          </w:rPr>
          <w:tab/>
        </w:r>
        <w:r w:rsidR="00A1162D" w:rsidRPr="001F2956">
          <w:rPr>
            <w:rStyle w:val="Hyperlink"/>
            <w:rFonts w:ascii="Arial" w:hAnsi="Arial" w:cs="Arial"/>
          </w:rPr>
          <w:t>Intellectual property</w:t>
        </w:r>
        <w:r w:rsidR="00A1162D" w:rsidRPr="001F2956">
          <w:rPr>
            <w:rStyle w:val="Hyperlink"/>
            <w:rFonts w:ascii="Arial" w:hAnsi="Arial" w:cs="Arial"/>
          </w:rPr>
          <w:tab/>
        </w:r>
        <w:r w:rsidR="00A1162D" w:rsidRPr="001F2956">
          <w:fldChar w:fldCharType="begin"/>
        </w:r>
        <w:r w:rsidR="00A1162D" w:rsidRPr="001F2956">
          <w:rPr>
            <w:rStyle w:val="Hyperlink"/>
            <w:rFonts w:ascii="Arial" w:hAnsi="Arial" w:cs="Arial"/>
          </w:rPr>
          <w:instrText xml:space="preserve"> PAGEREF _Toc256000008 \h </w:instrText>
        </w:r>
        <w:r w:rsidR="00A1162D" w:rsidRPr="001F2956">
          <w:fldChar w:fldCharType="separate"/>
        </w:r>
        <w:r w:rsidR="00A1162D" w:rsidRPr="001F2956">
          <w:rPr>
            <w:rStyle w:val="Hyperlink"/>
            <w:rFonts w:ascii="Arial" w:hAnsi="Arial" w:cs="Arial"/>
          </w:rPr>
          <w:t>16</w:t>
        </w:r>
        <w:r w:rsidR="00A1162D" w:rsidRPr="001F2956">
          <w:fldChar w:fldCharType="end"/>
        </w:r>
      </w:hyperlink>
    </w:p>
    <w:p w14:paraId="26B3DAEC" w14:textId="77777777" w:rsidR="007E66D4" w:rsidRPr="001F2956" w:rsidRDefault="00000000" w:rsidP="00395996">
      <w:pPr>
        <w:pStyle w:val="TOC1"/>
        <w:rPr>
          <w:noProof/>
        </w:rPr>
      </w:pPr>
      <w:hyperlink w:anchor="_Toc256000009" w:history="1">
        <w:r w:rsidR="00A1162D" w:rsidRPr="001F2956">
          <w:rPr>
            <w:rStyle w:val="Hyperlink"/>
            <w:rFonts w:ascii="Arial" w:hAnsi="Arial" w:cs="Arial"/>
          </w:rPr>
          <w:t>10.</w:t>
        </w:r>
        <w:r w:rsidR="00A1162D" w:rsidRPr="001F2956">
          <w:rPr>
            <w:rStyle w:val="Hyperlink"/>
            <w:rFonts w:ascii="Arial" w:hAnsi="Arial" w:cs="Arial"/>
            <w:noProof/>
          </w:rPr>
          <w:tab/>
        </w:r>
        <w:r w:rsidR="00A1162D" w:rsidRPr="001F2956">
          <w:rPr>
            <w:rStyle w:val="Hyperlink"/>
            <w:rFonts w:ascii="Arial" w:hAnsi="Arial" w:cs="Arial"/>
          </w:rPr>
          <w:t>Insurance and liability</w:t>
        </w:r>
        <w:r w:rsidR="00A1162D" w:rsidRPr="001F2956">
          <w:rPr>
            <w:rStyle w:val="Hyperlink"/>
            <w:rFonts w:ascii="Arial" w:hAnsi="Arial" w:cs="Arial"/>
          </w:rPr>
          <w:tab/>
        </w:r>
        <w:r w:rsidR="00A1162D" w:rsidRPr="001F2956">
          <w:fldChar w:fldCharType="begin"/>
        </w:r>
        <w:r w:rsidR="00A1162D" w:rsidRPr="001F2956">
          <w:rPr>
            <w:rStyle w:val="Hyperlink"/>
            <w:rFonts w:ascii="Arial" w:hAnsi="Arial" w:cs="Arial"/>
          </w:rPr>
          <w:instrText xml:space="preserve"> PAGEREF _Toc256000009 \h </w:instrText>
        </w:r>
        <w:r w:rsidR="00A1162D" w:rsidRPr="001F2956">
          <w:fldChar w:fldCharType="separate"/>
        </w:r>
        <w:r w:rsidR="00A1162D" w:rsidRPr="001F2956">
          <w:rPr>
            <w:rStyle w:val="Hyperlink"/>
            <w:rFonts w:ascii="Arial" w:hAnsi="Arial" w:cs="Arial"/>
          </w:rPr>
          <w:t>18</w:t>
        </w:r>
        <w:r w:rsidR="00A1162D" w:rsidRPr="001F2956">
          <w:fldChar w:fldCharType="end"/>
        </w:r>
      </w:hyperlink>
    </w:p>
    <w:p w14:paraId="5CE24695" w14:textId="77777777" w:rsidR="007E66D4" w:rsidRPr="001F2956" w:rsidRDefault="00000000" w:rsidP="00395996">
      <w:pPr>
        <w:pStyle w:val="TOC1"/>
        <w:rPr>
          <w:noProof/>
        </w:rPr>
      </w:pPr>
      <w:hyperlink w:anchor="_Toc256000010" w:history="1">
        <w:r w:rsidR="00A1162D" w:rsidRPr="001F2956">
          <w:rPr>
            <w:rStyle w:val="Hyperlink"/>
            <w:rFonts w:ascii="Arial" w:hAnsi="Arial" w:cs="Arial"/>
          </w:rPr>
          <w:t>11.</w:t>
        </w:r>
        <w:r w:rsidR="00A1162D" w:rsidRPr="001F2956">
          <w:rPr>
            <w:rStyle w:val="Hyperlink"/>
            <w:rFonts w:ascii="Arial" w:hAnsi="Arial" w:cs="Arial"/>
            <w:noProof/>
          </w:rPr>
          <w:tab/>
        </w:r>
        <w:r w:rsidR="00A1162D" w:rsidRPr="001F2956">
          <w:rPr>
            <w:rStyle w:val="Hyperlink"/>
            <w:rFonts w:ascii="Arial" w:hAnsi="Arial" w:cs="Arial"/>
          </w:rPr>
          <w:t>Termination</w:t>
        </w:r>
        <w:r w:rsidR="00A1162D" w:rsidRPr="001F2956">
          <w:rPr>
            <w:rStyle w:val="Hyperlink"/>
            <w:rFonts w:ascii="Arial" w:hAnsi="Arial" w:cs="Arial"/>
          </w:rPr>
          <w:tab/>
        </w:r>
        <w:r w:rsidR="00A1162D" w:rsidRPr="001F2956">
          <w:fldChar w:fldCharType="begin"/>
        </w:r>
        <w:r w:rsidR="00A1162D" w:rsidRPr="001F2956">
          <w:rPr>
            <w:rStyle w:val="Hyperlink"/>
            <w:rFonts w:ascii="Arial" w:hAnsi="Arial" w:cs="Arial"/>
          </w:rPr>
          <w:instrText xml:space="preserve"> PAGEREF _Toc256000010 \h </w:instrText>
        </w:r>
        <w:r w:rsidR="00A1162D" w:rsidRPr="001F2956">
          <w:fldChar w:fldCharType="separate"/>
        </w:r>
        <w:r w:rsidR="00A1162D" w:rsidRPr="001F2956">
          <w:rPr>
            <w:rStyle w:val="Hyperlink"/>
            <w:rFonts w:ascii="Arial" w:hAnsi="Arial" w:cs="Arial"/>
          </w:rPr>
          <w:t>19</w:t>
        </w:r>
        <w:r w:rsidR="00A1162D" w:rsidRPr="001F2956">
          <w:fldChar w:fldCharType="end"/>
        </w:r>
      </w:hyperlink>
    </w:p>
    <w:p w14:paraId="6FBA9A77" w14:textId="77777777" w:rsidR="007E66D4" w:rsidRPr="001F2956" w:rsidRDefault="00000000" w:rsidP="00395996">
      <w:pPr>
        <w:pStyle w:val="TOC1"/>
        <w:rPr>
          <w:noProof/>
        </w:rPr>
      </w:pPr>
      <w:hyperlink w:anchor="_Toc256000011" w:history="1">
        <w:r w:rsidR="00A1162D" w:rsidRPr="001F2956">
          <w:rPr>
            <w:rStyle w:val="Hyperlink"/>
            <w:rFonts w:ascii="Arial" w:hAnsi="Arial" w:cs="Arial"/>
          </w:rPr>
          <w:t>12.</w:t>
        </w:r>
        <w:r w:rsidR="00A1162D" w:rsidRPr="001F2956">
          <w:rPr>
            <w:rStyle w:val="Hyperlink"/>
            <w:rFonts w:ascii="Arial" w:hAnsi="Arial" w:cs="Arial"/>
            <w:noProof/>
          </w:rPr>
          <w:tab/>
        </w:r>
        <w:r w:rsidR="00A1162D" w:rsidRPr="001F2956">
          <w:rPr>
            <w:rStyle w:val="Hyperlink"/>
            <w:rFonts w:ascii="Arial" w:hAnsi="Arial" w:cs="Arial"/>
          </w:rPr>
          <w:t>Obligations on termination</w:t>
        </w:r>
        <w:r w:rsidR="00A1162D" w:rsidRPr="001F2956">
          <w:rPr>
            <w:rStyle w:val="Hyperlink"/>
            <w:rFonts w:ascii="Arial" w:hAnsi="Arial" w:cs="Arial"/>
          </w:rPr>
          <w:tab/>
        </w:r>
        <w:r w:rsidR="00A1162D" w:rsidRPr="001F2956">
          <w:fldChar w:fldCharType="begin"/>
        </w:r>
        <w:r w:rsidR="00A1162D" w:rsidRPr="001F2956">
          <w:rPr>
            <w:rStyle w:val="Hyperlink"/>
            <w:rFonts w:ascii="Arial" w:hAnsi="Arial" w:cs="Arial"/>
          </w:rPr>
          <w:instrText xml:space="preserve"> PAGEREF _Toc256000011 \h </w:instrText>
        </w:r>
        <w:r w:rsidR="00A1162D" w:rsidRPr="001F2956">
          <w:fldChar w:fldCharType="separate"/>
        </w:r>
        <w:r w:rsidR="00A1162D" w:rsidRPr="001F2956">
          <w:rPr>
            <w:rStyle w:val="Hyperlink"/>
            <w:rFonts w:ascii="Arial" w:hAnsi="Arial" w:cs="Arial"/>
          </w:rPr>
          <w:t>20</w:t>
        </w:r>
        <w:r w:rsidR="00A1162D" w:rsidRPr="001F2956">
          <w:fldChar w:fldCharType="end"/>
        </w:r>
      </w:hyperlink>
    </w:p>
    <w:p w14:paraId="64C4CD5A" w14:textId="77777777" w:rsidR="007E66D4" w:rsidRPr="001F2956" w:rsidRDefault="00000000" w:rsidP="00395996">
      <w:pPr>
        <w:pStyle w:val="TOC1"/>
        <w:rPr>
          <w:noProof/>
        </w:rPr>
      </w:pPr>
      <w:hyperlink w:anchor="_Toc256000012" w:history="1">
        <w:r w:rsidR="00A1162D" w:rsidRPr="001F2956">
          <w:rPr>
            <w:rStyle w:val="Hyperlink"/>
            <w:rFonts w:ascii="Arial" w:hAnsi="Arial" w:cs="Arial"/>
          </w:rPr>
          <w:t>13.</w:t>
        </w:r>
        <w:r w:rsidR="00A1162D" w:rsidRPr="001F2956">
          <w:rPr>
            <w:rStyle w:val="Hyperlink"/>
            <w:rFonts w:ascii="Arial" w:hAnsi="Arial" w:cs="Arial"/>
            <w:noProof/>
          </w:rPr>
          <w:tab/>
        </w:r>
        <w:r w:rsidR="00A1162D" w:rsidRPr="001F2956">
          <w:rPr>
            <w:rStyle w:val="Hyperlink"/>
            <w:rFonts w:ascii="Arial" w:hAnsi="Arial" w:cs="Arial"/>
          </w:rPr>
          <w:t>Status</w:t>
        </w:r>
        <w:r w:rsidR="00A1162D" w:rsidRPr="001F2956">
          <w:rPr>
            <w:rStyle w:val="Hyperlink"/>
            <w:rFonts w:ascii="Arial" w:hAnsi="Arial" w:cs="Arial"/>
          </w:rPr>
          <w:tab/>
        </w:r>
        <w:r w:rsidR="00A1162D" w:rsidRPr="001F2956">
          <w:fldChar w:fldCharType="begin"/>
        </w:r>
        <w:r w:rsidR="00A1162D" w:rsidRPr="001F2956">
          <w:rPr>
            <w:rStyle w:val="Hyperlink"/>
            <w:rFonts w:ascii="Arial" w:hAnsi="Arial" w:cs="Arial"/>
          </w:rPr>
          <w:instrText xml:space="preserve"> PAGEREF _Toc256000012 \h </w:instrText>
        </w:r>
        <w:r w:rsidR="00A1162D" w:rsidRPr="001F2956">
          <w:fldChar w:fldCharType="separate"/>
        </w:r>
        <w:r w:rsidR="00A1162D" w:rsidRPr="001F2956">
          <w:rPr>
            <w:rStyle w:val="Hyperlink"/>
            <w:rFonts w:ascii="Arial" w:hAnsi="Arial" w:cs="Arial"/>
          </w:rPr>
          <w:t>21</w:t>
        </w:r>
        <w:r w:rsidR="00A1162D" w:rsidRPr="001F2956">
          <w:fldChar w:fldCharType="end"/>
        </w:r>
      </w:hyperlink>
    </w:p>
    <w:p w14:paraId="6D06D4ED" w14:textId="77777777" w:rsidR="007E66D4" w:rsidRPr="001F2956" w:rsidRDefault="00000000" w:rsidP="00395996">
      <w:pPr>
        <w:pStyle w:val="TOC1"/>
        <w:rPr>
          <w:noProof/>
        </w:rPr>
      </w:pPr>
      <w:hyperlink w:anchor="_Toc256000013" w:history="1">
        <w:r w:rsidR="00A1162D" w:rsidRPr="001F2956">
          <w:rPr>
            <w:rStyle w:val="Hyperlink"/>
            <w:rFonts w:ascii="Arial" w:hAnsi="Arial" w:cs="Arial"/>
          </w:rPr>
          <w:t>14.</w:t>
        </w:r>
        <w:r w:rsidR="00A1162D" w:rsidRPr="001F2956">
          <w:rPr>
            <w:rStyle w:val="Hyperlink"/>
            <w:rFonts w:ascii="Arial" w:hAnsi="Arial" w:cs="Arial"/>
            <w:noProof/>
          </w:rPr>
          <w:tab/>
        </w:r>
        <w:r w:rsidR="00A1162D" w:rsidRPr="001F2956">
          <w:rPr>
            <w:rStyle w:val="Hyperlink"/>
            <w:rFonts w:ascii="Arial" w:hAnsi="Arial" w:cs="Arial"/>
          </w:rPr>
          <w:t>Notices</w:t>
        </w:r>
        <w:r w:rsidR="00A1162D" w:rsidRPr="001F2956">
          <w:rPr>
            <w:rStyle w:val="Hyperlink"/>
            <w:rFonts w:ascii="Arial" w:hAnsi="Arial" w:cs="Arial"/>
          </w:rPr>
          <w:tab/>
        </w:r>
        <w:r w:rsidR="00A1162D" w:rsidRPr="001F2956">
          <w:fldChar w:fldCharType="begin"/>
        </w:r>
        <w:r w:rsidR="00A1162D" w:rsidRPr="001F2956">
          <w:rPr>
            <w:rStyle w:val="Hyperlink"/>
            <w:rFonts w:ascii="Arial" w:hAnsi="Arial" w:cs="Arial"/>
          </w:rPr>
          <w:instrText xml:space="preserve"> PAGEREF _Toc256000013 \h </w:instrText>
        </w:r>
        <w:r w:rsidR="00A1162D" w:rsidRPr="001F2956">
          <w:fldChar w:fldCharType="separate"/>
        </w:r>
        <w:r w:rsidR="00A1162D" w:rsidRPr="001F2956">
          <w:rPr>
            <w:rStyle w:val="Hyperlink"/>
            <w:rFonts w:ascii="Arial" w:hAnsi="Arial" w:cs="Arial"/>
          </w:rPr>
          <w:t>22</w:t>
        </w:r>
        <w:r w:rsidR="00A1162D" w:rsidRPr="001F2956">
          <w:fldChar w:fldCharType="end"/>
        </w:r>
      </w:hyperlink>
    </w:p>
    <w:p w14:paraId="3A238321" w14:textId="77777777" w:rsidR="007E66D4" w:rsidRPr="001F2956" w:rsidRDefault="00000000" w:rsidP="00395996">
      <w:pPr>
        <w:pStyle w:val="TOC1"/>
        <w:rPr>
          <w:noProof/>
        </w:rPr>
      </w:pPr>
      <w:hyperlink w:anchor="_Toc256000014" w:history="1">
        <w:r w:rsidR="00A1162D" w:rsidRPr="001F2956">
          <w:rPr>
            <w:rStyle w:val="Hyperlink"/>
            <w:rFonts w:ascii="Arial" w:hAnsi="Arial" w:cs="Arial"/>
          </w:rPr>
          <w:t>15.</w:t>
        </w:r>
        <w:r w:rsidR="00A1162D" w:rsidRPr="001F2956">
          <w:rPr>
            <w:rStyle w:val="Hyperlink"/>
            <w:rFonts w:ascii="Arial" w:hAnsi="Arial" w:cs="Arial"/>
            <w:noProof/>
          </w:rPr>
          <w:tab/>
        </w:r>
        <w:r w:rsidR="00A1162D" w:rsidRPr="001F2956">
          <w:rPr>
            <w:rStyle w:val="Hyperlink"/>
            <w:rFonts w:ascii="Arial" w:hAnsi="Arial" w:cs="Arial"/>
          </w:rPr>
          <w:t>Entire agreement</w:t>
        </w:r>
        <w:r w:rsidR="00A1162D" w:rsidRPr="001F2956">
          <w:rPr>
            <w:rStyle w:val="Hyperlink"/>
            <w:rFonts w:ascii="Arial" w:hAnsi="Arial" w:cs="Arial"/>
          </w:rPr>
          <w:tab/>
        </w:r>
        <w:r w:rsidR="00A1162D" w:rsidRPr="001F2956">
          <w:fldChar w:fldCharType="begin"/>
        </w:r>
        <w:r w:rsidR="00A1162D" w:rsidRPr="001F2956">
          <w:rPr>
            <w:rStyle w:val="Hyperlink"/>
            <w:rFonts w:ascii="Arial" w:hAnsi="Arial" w:cs="Arial"/>
          </w:rPr>
          <w:instrText xml:space="preserve"> PAGEREF _Toc256000014 \h </w:instrText>
        </w:r>
        <w:r w:rsidR="00A1162D" w:rsidRPr="001F2956">
          <w:fldChar w:fldCharType="separate"/>
        </w:r>
        <w:r w:rsidR="00A1162D" w:rsidRPr="001F2956">
          <w:rPr>
            <w:rStyle w:val="Hyperlink"/>
            <w:rFonts w:ascii="Arial" w:hAnsi="Arial" w:cs="Arial"/>
          </w:rPr>
          <w:t>23</w:t>
        </w:r>
        <w:r w:rsidR="00A1162D" w:rsidRPr="001F2956">
          <w:fldChar w:fldCharType="end"/>
        </w:r>
      </w:hyperlink>
    </w:p>
    <w:p w14:paraId="7F6A6CB7" w14:textId="77777777" w:rsidR="007E66D4" w:rsidRPr="001F2956" w:rsidRDefault="00000000" w:rsidP="00395996">
      <w:pPr>
        <w:pStyle w:val="TOC1"/>
        <w:rPr>
          <w:noProof/>
        </w:rPr>
      </w:pPr>
      <w:hyperlink w:anchor="_Toc256000015" w:history="1">
        <w:r w:rsidR="00A1162D" w:rsidRPr="001F2956">
          <w:rPr>
            <w:rStyle w:val="Hyperlink"/>
            <w:rFonts w:ascii="Arial" w:hAnsi="Arial" w:cs="Arial"/>
          </w:rPr>
          <w:t>16.</w:t>
        </w:r>
        <w:r w:rsidR="00A1162D" w:rsidRPr="001F2956">
          <w:rPr>
            <w:rStyle w:val="Hyperlink"/>
            <w:rFonts w:ascii="Arial" w:hAnsi="Arial" w:cs="Arial"/>
            <w:noProof/>
          </w:rPr>
          <w:tab/>
        </w:r>
        <w:r w:rsidR="00A1162D" w:rsidRPr="001F2956">
          <w:rPr>
            <w:rStyle w:val="Hyperlink"/>
            <w:rFonts w:ascii="Arial" w:hAnsi="Arial" w:cs="Arial"/>
          </w:rPr>
          <w:t>Variation</w:t>
        </w:r>
        <w:r w:rsidR="00A1162D" w:rsidRPr="001F2956">
          <w:rPr>
            <w:rStyle w:val="Hyperlink"/>
            <w:rFonts w:ascii="Arial" w:hAnsi="Arial" w:cs="Arial"/>
          </w:rPr>
          <w:tab/>
        </w:r>
        <w:r w:rsidR="00A1162D" w:rsidRPr="001F2956">
          <w:fldChar w:fldCharType="begin"/>
        </w:r>
        <w:r w:rsidR="00A1162D" w:rsidRPr="001F2956">
          <w:rPr>
            <w:rStyle w:val="Hyperlink"/>
            <w:rFonts w:ascii="Arial" w:hAnsi="Arial" w:cs="Arial"/>
          </w:rPr>
          <w:instrText xml:space="preserve"> PAGEREF _Toc256000015 \h </w:instrText>
        </w:r>
        <w:r w:rsidR="00A1162D" w:rsidRPr="001F2956">
          <w:fldChar w:fldCharType="separate"/>
        </w:r>
        <w:r w:rsidR="00A1162D" w:rsidRPr="001F2956">
          <w:rPr>
            <w:rStyle w:val="Hyperlink"/>
            <w:rFonts w:ascii="Arial" w:hAnsi="Arial" w:cs="Arial"/>
          </w:rPr>
          <w:t>23</w:t>
        </w:r>
        <w:r w:rsidR="00A1162D" w:rsidRPr="001F2956">
          <w:fldChar w:fldCharType="end"/>
        </w:r>
      </w:hyperlink>
    </w:p>
    <w:p w14:paraId="30D99F9E" w14:textId="77777777" w:rsidR="007E66D4" w:rsidRPr="001F2956" w:rsidRDefault="00000000" w:rsidP="00395996">
      <w:pPr>
        <w:pStyle w:val="TOC1"/>
        <w:rPr>
          <w:noProof/>
        </w:rPr>
      </w:pPr>
      <w:hyperlink w:anchor="_Toc256000016" w:history="1">
        <w:r w:rsidR="00A1162D" w:rsidRPr="001F2956">
          <w:rPr>
            <w:rStyle w:val="Hyperlink"/>
            <w:rFonts w:ascii="Arial" w:hAnsi="Arial" w:cs="Arial"/>
          </w:rPr>
          <w:t>17.</w:t>
        </w:r>
        <w:r w:rsidR="00A1162D" w:rsidRPr="001F2956">
          <w:rPr>
            <w:rStyle w:val="Hyperlink"/>
            <w:rFonts w:ascii="Arial" w:hAnsi="Arial" w:cs="Arial"/>
            <w:noProof/>
          </w:rPr>
          <w:tab/>
        </w:r>
        <w:r w:rsidR="00A1162D" w:rsidRPr="001F2956">
          <w:rPr>
            <w:rStyle w:val="Hyperlink"/>
            <w:rFonts w:ascii="Arial" w:hAnsi="Arial" w:cs="Arial"/>
          </w:rPr>
          <w:t>Counterparts</w:t>
        </w:r>
        <w:r w:rsidR="00A1162D" w:rsidRPr="001F2956">
          <w:rPr>
            <w:rStyle w:val="Hyperlink"/>
            <w:rFonts w:ascii="Arial" w:hAnsi="Arial" w:cs="Arial"/>
          </w:rPr>
          <w:tab/>
        </w:r>
        <w:r w:rsidR="00A1162D" w:rsidRPr="001F2956">
          <w:fldChar w:fldCharType="begin"/>
        </w:r>
        <w:r w:rsidR="00A1162D" w:rsidRPr="001F2956">
          <w:rPr>
            <w:rStyle w:val="Hyperlink"/>
            <w:rFonts w:ascii="Arial" w:hAnsi="Arial" w:cs="Arial"/>
          </w:rPr>
          <w:instrText xml:space="preserve"> PAGEREF _Toc256000016 \h </w:instrText>
        </w:r>
        <w:r w:rsidR="00A1162D" w:rsidRPr="001F2956">
          <w:fldChar w:fldCharType="separate"/>
        </w:r>
        <w:r w:rsidR="00A1162D" w:rsidRPr="001F2956">
          <w:rPr>
            <w:rStyle w:val="Hyperlink"/>
            <w:rFonts w:ascii="Arial" w:hAnsi="Arial" w:cs="Arial"/>
          </w:rPr>
          <w:t>23</w:t>
        </w:r>
        <w:r w:rsidR="00A1162D" w:rsidRPr="001F2956">
          <w:fldChar w:fldCharType="end"/>
        </w:r>
      </w:hyperlink>
    </w:p>
    <w:p w14:paraId="27CD430C" w14:textId="77777777" w:rsidR="007E66D4" w:rsidRPr="001F2956" w:rsidRDefault="00000000" w:rsidP="00395996">
      <w:pPr>
        <w:pStyle w:val="TOC1"/>
        <w:rPr>
          <w:noProof/>
        </w:rPr>
      </w:pPr>
      <w:hyperlink w:anchor="_Toc256000017" w:history="1">
        <w:r w:rsidR="00A1162D" w:rsidRPr="001F2956">
          <w:rPr>
            <w:rStyle w:val="Hyperlink"/>
            <w:rFonts w:ascii="Arial" w:hAnsi="Arial" w:cs="Arial"/>
          </w:rPr>
          <w:t>18.</w:t>
        </w:r>
        <w:r w:rsidR="00A1162D" w:rsidRPr="001F2956">
          <w:rPr>
            <w:rStyle w:val="Hyperlink"/>
            <w:rFonts w:ascii="Arial" w:hAnsi="Arial" w:cs="Arial"/>
            <w:noProof/>
          </w:rPr>
          <w:tab/>
        </w:r>
        <w:r w:rsidR="00A1162D" w:rsidRPr="001F2956">
          <w:rPr>
            <w:rStyle w:val="Hyperlink"/>
            <w:rFonts w:ascii="Arial" w:hAnsi="Arial" w:cs="Arial"/>
          </w:rPr>
          <w:t>Third party rights</w:t>
        </w:r>
        <w:r w:rsidR="00A1162D" w:rsidRPr="001F2956">
          <w:rPr>
            <w:rStyle w:val="Hyperlink"/>
            <w:rFonts w:ascii="Arial" w:hAnsi="Arial" w:cs="Arial"/>
          </w:rPr>
          <w:tab/>
        </w:r>
        <w:r w:rsidR="00A1162D" w:rsidRPr="001F2956">
          <w:fldChar w:fldCharType="begin"/>
        </w:r>
        <w:r w:rsidR="00A1162D" w:rsidRPr="001F2956">
          <w:rPr>
            <w:rStyle w:val="Hyperlink"/>
            <w:rFonts w:ascii="Arial" w:hAnsi="Arial" w:cs="Arial"/>
          </w:rPr>
          <w:instrText xml:space="preserve"> PAGEREF _Toc256000017 \h </w:instrText>
        </w:r>
        <w:r w:rsidR="00A1162D" w:rsidRPr="001F2956">
          <w:fldChar w:fldCharType="separate"/>
        </w:r>
        <w:r w:rsidR="00A1162D" w:rsidRPr="001F2956">
          <w:rPr>
            <w:rStyle w:val="Hyperlink"/>
            <w:rFonts w:ascii="Arial" w:hAnsi="Arial" w:cs="Arial"/>
          </w:rPr>
          <w:t>23</w:t>
        </w:r>
        <w:r w:rsidR="00A1162D" w:rsidRPr="001F2956">
          <w:fldChar w:fldCharType="end"/>
        </w:r>
      </w:hyperlink>
    </w:p>
    <w:p w14:paraId="0891E440" w14:textId="77777777" w:rsidR="007E66D4" w:rsidRPr="001F2956" w:rsidRDefault="00000000" w:rsidP="00395996">
      <w:pPr>
        <w:pStyle w:val="TOC1"/>
        <w:rPr>
          <w:noProof/>
        </w:rPr>
      </w:pPr>
      <w:hyperlink w:anchor="_Toc256000018" w:history="1">
        <w:r w:rsidR="00A1162D" w:rsidRPr="001F2956">
          <w:rPr>
            <w:rStyle w:val="Hyperlink"/>
            <w:rFonts w:ascii="Arial" w:hAnsi="Arial" w:cs="Arial"/>
          </w:rPr>
          <w:t>19.</w:t>
        </w:r>
        <w:r w:rsidR="00A1162D" w:rsidRPr="001F2956">
          <w:rPr>
            <w:rStyle w:val="Hyperlink"/>
            <w:rFonts w:ascii="Arial" w:hAnsi="Arial" w:cs="Arial"/>
            <w:noProof/>
          </w:rPr>
          <w:tab/>
        </w:r>
        <w:r w:rsidR="00A1162D" w:rsidRPr="001F2956">
          <w:rPr>
            <w:rStyle w:val="Hyperlink"/>
            <w:rFonts w:ascii="Arial" w:hAnsi="Arial" w:cs="Arial"/>
          </w:rPr>
          <w:t>Governing law</w:t>
        </w:r>
        <w:r w:rsidR="00A1162D" w:rsidRPr="001F2956">
          <w:rPr>
            <w:rStyle w:val="Hyperlink"/>
            <w:rFonts w:ascii="Arial" w:hAnsi="Arial" w:cs="Arial"/>
          </w:rPr>
          <w:tab/>
        </w:r>
        <w:r w:rsidR="00A1162D" w:rsidRPr="001F2956">
          <w:fldChar w:fldCharType="begin"/>
        </w:r>
        <w:r w:rsidR="00A1162D" w:rsidRPr="001F2956">
          <w:rPr>
            <w:rStyle w:val="Hyperlink"/>
            <w:rFonts w:ascii="Arial" w:hAnsi="Arial" w:cs="Arial"/>
          </w:rPr>
          <w:instrText xml:space="preserve"> PAGEREF _Toc256000018 \h </w:instrText>
        </w:r>
        <w:r w:rsidR="00A1162D" w:rsidRPr="001F2956">
          <w:fldChar w:fldCharType="separate"/>
        </w:r>
        <w:r w:rsidR="00A1162D" w:rsidRPr="001F2956">
          <w:rPr>
            <w:rStyle w:val="Hyperlink"/>
            <w:rFonts w:ascii="Arial" w:hAnsi="Arial" w:cs="Arial"/>
          </w:rPr>
          <w:t>24</w:t>
        </w:r>
        <w:r w:rsidR="00A1162D" w:rsidRPr="001F2956">
          <w:fldChar w:fldCharType="end"/>
        </w:r>
      </w:hyperlink>
    </w:p>
    <w:p w14:paraId="5FEE2A43" w14:textId="77777777" w:rsidR="007E66D4" w:rsidRPr="001F2956" w:rsidRDefault="00000000" w:rsidP="00395996">
      <w:pPr>
        <w:pStyle w:val="TOC1"/>
        <w:rPr>
          <w:noProof/>
        </w:rPr>
      </w:pPr>
      <w:hyperlink w:anchor="_Toc256000019" w:history="1">
        <w:r w:rsidR="00A1162D" w:rsidRPr="001F2956">
          <w:rPr>
            <w:rStyle w:val="Hyperlink"/>
            <w:rFonts w:ascii="Arial" w:hAnsi="Arial" w:cs="Arial"/>
          </w:rPr>
          <w:t>20.</w:t>
        </w:r>
        <w:r w:rsidR="00A1162D" w:rsidRPr="001F2956">
          <w:rPr>
            <w:rStyle w:val="Hyperlink"/>
            <w:rFonts w:ascii="Arial" w:hAnsi="Arial" w:cs="Arial"/>
            <w:noProof/>
          </w:rPr>
          <w:tab/>
        </w:r>
        <w:r w:rsidR="00A1162D" w:rsidRPr="001F2956">
          <w:rPr>
            <w:rStyle w:val="Hyperlink"/>
            <w:rFonts w:ascii="Arial" w:hAnsi="Arial" w:cs="Arial"/>
          </w:rPr>
          <w:t>Jurisdiction</w:t>
        </w:r>
        <w:r w:rsidR="00A1162D" w:rsidRPr="001F2956">
          <w:rPr>
            <w:rStyle w:val="Hyperlink"/>
            <w:rFonts w:ascii="Arial" w:hAnsi="Arial" w:cs="Arial"/>
          </w:rPr>
          <w:tab/>
        </w:r>
        <w:r w:rsidR="00A1162D" w:rsidRPr="001F2956">
          <w:fldChar w:fldCharType="begin"/>
        </w:r>
        <w:r w:rsidR="00A1162D" w:rsidRPr="001F2956">
          <w:rPr>
            <w:rStyle w:val="Hyperlink"/>
            <w:rFonts w:ascii="Arial" w:hAnsi="Arial" w:cs="Arial"/>
          </w:rPr>
          <w:instrText xml:space="preserve"> PAGEREF _Toc256000019 \h </w:instrText>
        </w:r>
        <w:r w:rsidR="00A1162D" w:rsidRPr="001F2956">
          <w:fldChar w:fldCharType="separate"/>
        </w:r>
        <w:r w:rsidR="00A1162D" w:rsidRPr="001F2956">
          <w:rPr>
            <w:rStyle w:val="Hyperlink"/>
            <w:rFonts w:ascii="Arial" w:hAnsi="Arial" w:cs="Arial"/>
          </w:rPr>
          <w:t>24</w:t>
        </w:r>
        <w:r w:rsidR="00A1162D" w:rsidRPr="001F2956">
          <w:fldChar w:fldCharType="end"/>
        </w:r>
      </w:hyperlink>
    </w:p>
    <w:p w14:paraId="4ED84353" w14:textId="77777777" w:rsidR="00D671F9" w:rsidRPr="001F2956" w:rsidRDefault="00A1162D" w:rsidP="009B2B82">
      <w:pPr>
        <w:pStyle w:val="HeadingLevel2"/>
      </w:pPr>
      <w:r w:rsidRPr="001F2956">
        <w:fldChar w:fldCharType="end"/>
      </w:r>
    </w:p>
    <w:p w14:paraId="599BB213" w14:textId="77777777" w:rsidR="00D671F9" w:rsidRPr="001F2956" w:rsidRDefault="00A1162D" w:rsidP="009B2B82">
      <w:pPr>
        <w:pStyle w:val="HeadingLevel2"/>
      </w:pPr>
      <w:r w:rsidRPr="001F2956">
        <w:t>SCHEDULE</w:t>
      </w:r>
    </w:p>
    <w:p w14:paraId="450B6476" w14:textId="77777777" w:rsidR="007E66D4" w:rsidRPr="001F2956" w:rsidRDefault="00A1162D" w:rsidP="00395996">
      <w:pPr>
        <w:pStyle w:val="TOC1"/>
        <w:rPr>
          <w:noProof/>
        </w:rPr>
      </w:pPr>
      <w:r w:rsidRPr="001F2956">
        <w:rPr>
          <w:rFonts w:eastAsia="Arial"/>
          <w:lang w:eastAsia="en-GB"/>
        </w:rPr>
        <w:fldChar w:fldCharType="begin"/>
      </w:r>
      <w:r w:rsidRPr="001F2956">
        <w:instrText>TOC \t "Schedule Title Clause, 1, Schedule, 1, Part, 1, Part Title, 1" \h</w:instrText>
      </w:r>
      <w:r w:rsidRPr="001F2956">
        <w:rPr>
          <w:rFonts w:eastAsia="Arial"/>
          <w:lang w:eastAsia="en-GB"/>
        </w:rPr>
        <w:fldChar w:fldCharType="separate"/>
      </w:r>
      <w:hyperlink w:anchor="_Toc256000020" w:history="1">
        <w:r w:rsidRPr="001F2956">
          <w:rPr>
            <w:rStyle w:val="Hyperlink"/>
            <w:rFonts w:ascii="Arial" w:hAnsi="Arial" w:cs="Arial"/>
          </w:rPr>
          <w:t>Schedule 1</w:t>
        </w:r>
        <w:r w:rsidRPr="001F2956">
          <w:rPr>
            <w:rStyle w:val="Hyperlink"/>
            <w:rFonts w:ascii="Arial" w:hAnsi="Arial" w:cs="Arial"/>
            <w:noProof/>
          </w:rPr>
          <w:tab/>
        </w:r>
        <w:r w:rsidRPr="001F2956">
          <w:rPr>
            <w:rStyle w:val="Hyperlink"/>
            <w:rFonts w:ascii="Arial" w:hAnsi="Arial" w:cs="Arial"/>
          </w:rPr>
          <w:t>Services</w:t>
        </w:r>
        <w:r w:rsidRPr="001F2956">
          <w:rPr>
            <w:rStyle w:val="Hyperlink"/>
            <w:rFonts w:ascii="Arial" w:hAnsi="Arial" w:cs="Arial"/>
          </w:rPr>
          <w:tab/>
        </w:r>
        <w:r w:rsidRPr="001F2956">
          <w:fldChar w:fldCharType="begin"/>
        </w:r>
        <w:r w:rsidRPr="001F2956">
          <w:rPr>
            <w:rStyle w:val="Hyperlink"/>
            <w:rFonts w:ascii="Arial" w:hAnsi="Arial" w:cs="Arial"/>
          </w:rPr>
          <w:instrText xml:space="preserve"> PAGEREF _Toc256000020 \h </w:instrText>
        </w:r>
        <w:r w:rsidRPr="001F2956">
          <w:fldChar w:fldCharType="separate"/>
        </w:r>
        <w:r w:rsidRPr="001F2956">
          <w:rPr>
            <w:rStyle w:val="Hyperlink"/>
            <w:rFonts w:ascii="Arial" w:hAnsi="Arial" w:cs="Arial"/>
          </w:rPr>
          <w:t>25</w:t>
        </w:r>
        <w:r w:rsidRPr="001F2956">
          <w:fldChar w:fldCharType="end"/>
        </w:r>
      </w:hyperlink>
    </w:p>
    <w:p w14:paraId="6119C95F" w14:textId="3155C8AC" w:rsidR="007E66D4" w:rsidRPr="001F2956" w:rsidRDefault="00000000" w:rsidP="00395996">
      <w:pPr>
        <w:pStyle w:val="TOC1"/>
        <w:rPr>
          <w:noProof/>
        </w:rPr>
      </w:pPr>
      <w:hyperlink w:anchor="_Toc256000021" w:history="1">
        <w:r w:rsidR="00A1162D" w:rsidRPr="001F2956">
          <w:rPr>
            <w:rStyle w:val="Hyperlink"/>
            <w:rFonts w:ascii="Arial" w:hAnsi="Arial" w:cs="Arial"/>
          </w:rPr>
          <w:t>Schedule 2</w:t>
        </w:r>
        <w:r w:rsidR="00A1162D" w:rsidRPr="001F2956">
          <w:rPr>
            <w:rStyle w:val="Hyperlink"/>
            <w:rFonts w:ascii="Arial" w:hAnsi="Arial" w:cs="Arial"/>
            <w:noProof/>
          </w:rPr>
          <w:tab/>
        </w:r>
        <w:r w:rsidR="006B676C">
          <w:rPr>
            <w:rStyle w:val="Hyperlink"/>
            <w:rFonts w:ascii="Arial" w:hAnsi="Arial" w:cs="Arial"/>
            <w:i w:val="0"/>
            <w:iCs/>
            <w:noProof/>
            <w:u w:val="none"/>
          </w:rPr>
          <w:t>Consultant Response</w:t>
        </w:r>
        <w:r w:rsidR="00A1162D" w:rsidRPr="001F2956">
          <w:rPr>
            <w:rStyle w:val="Hyperlink"/>
            <w:rFonts w:ascii="Arial" w:hAnsi="Arial" w:cs="Arial"/>
          </w:rPr>
          <w:tab/>
        </w:r>
        <w:r w:rsidR="00A1162D" w:rsidRPr="001F2956">
          <w:fldChar w:fldCharType="begin"/>
        </w:r>
        <w:r w:rsidR="00A1162D" w:rsidRPr="001F2956">
          <w:rPr>
            <w:rStyle w:val="Hyperlink"/>
            <w:rFonts w:ascii="Arial" w:hAnsi="Arial" w:cs="Arial"/>
          </w:rPr>
          <w:instrText xml:space="preserve"> PAGEREF _Toc256000021 \h </w:instrText>
        </w:r>
        <w:r w:rsidR="00A1162D" w:rsidRPr="001F2956">
          <w:fldChar w:fldCharType="separate"/>
        </w:r>
        <w:r w:rsidR="00A1162D" w:rsidRPr="001F2956">
          <w:rPr>
            <w:rStyle w:val="Hyperlink"/>
            <w:rFonts w:ascii="Arial" w:hAnsi="Arial" w:cs="Arial"/>
          </w:rPr>
          <w:t>26</w:t>
        </w:r>
        <w:r w:rsidR="00A1162D" w:rsidRPr="001F2956">
          <w:fldChar w:fldCharType="end"/>
        </w:r>
      </w:hyperlink>
    </w:p>
    <w:p w14:paraId="5B2DC3F4" w14:textId="77777777" w:rsidR="00D671F9" w:rsidRPr="001F2956" w:rsidRDefault="00A1162D" w:rsidP="009B2B82">
      <w:pPr>
        <w:pStyle w:val="HeadingLevel2"/>
      </w:pPr>
      <w:r w:rsidRPr="001F2956">
        <w:fldChar w:fldCharType="end"/>
      </w:r>
    </w:p>
    <w:p w14:paraId="05C350FE" w14:textId="77777777" w:rsidR="00D671F9" w:rsidRPr="001F2956" w:rsidRDefault="00D671F9" w:rsidP="009B2B82">
      <w:pPr>
        <w:pStyle w:val="HeadingLevel2"/>
        <w:sectPr w:rsidR="00D671F9" w:rsidRPr="001F2956">
          <w:footerReference w:type="default" r:id="rId17"/>
          <w:pgSz w:w="12240" w:h="15840"/>
          <w:pgMar w:top="1440" w:right="1440" w:bottom="1440" w:left="1440" w:header="720" w:footer="720" w:gutter="0"/>
          <w:pgNumType w:start="1"/>
          <w:cols w:space="720"/>
        </w:sectPr>
      </w:pPr>
    </w:p>
    <w:p w14:paraId="3106E296" w14:textId="77777777" w:rsidR="00D671F9" w:rsidRPr="001F2956" w:rsidRDefault="00D671F9" w:rsidP="009B2B82">
      <w:pPr>
        <w:pStyle w:val="HeadingLevel2"/>
      </w:pPr>
    </w:p>
    <w:p w14:paraId="702F64D0" w14:textId="2A44DD3B" w:rsidR="00D671F9" w:rsidRPr="001F2956" w:rsidRDefault="00DD0184" w:rsidP="009B2B82">
      <w:pPr>
        <w:pStyle w:val="IntroDefault"/>
      </w:pPr>
      <w:r w:rsidRPr="00DD0184">
        <w:rPr>
          <w:b/>
          <w:bCs/>
        </w:rPr>
        <w:t>THIS AGREEMENT</w:t>
      </w:r>
      <w:r>
        <w:t xml:space="preserve"> </w:t>
      </w:r>
      <w:r w:rsidRPr="001F2956">
        <w:t xml:space="preserve">is dated </w:t>
      </w:r>
      <w:r w:rsidRPr="00B214BA">
        <w:rPr>
          <w:highlight w:val="yellow"/>
        </w:rPr>
        <w:t>[DATE</w:t>
      </w:r>
      <w:r w:rsidRPr="001F2956">
        <w:t>].</w:t>
      </w:r>
    </w:p>
    <w:p w14:paraId="653B74F9" w14:textId="77777777" w:rsidR="00D671F9" w:rsidRPr="001F2956" w:rsidRDefault="00A1162D" w:rsidP="009B2B82">
      <w:pPr>
        <w:pStyle w:val="DescriptiveHeading"/>
      </w:pPr>
      <w:r w:rsidRPr="001F2956">
        <w:t>Parties</w:t>
      </w:r>
    </w:p>
    <w:p w14:paraId="35036693" w14:textId="3377939A" w:rsidR="00D671F9" w:rsidRPr="001F2956" w:rsidRDefault="002C6819" w:rsidP="009B2B82">
      <w:pPr>
        <w:pStyle w:val="Parties"/>
      </w:pPr>
      <w:r w:rsidRPr="002C6819">
        <w:rPr>
          <w:b/>
          <w:bCs/>
        </w:rPr>
        <w:t>NORTH NORTHAMPTONSHIRE COUNCIL</w:t>
      </w:r>
      <w:r w:rsidRPr="002C6819">
        <w:t xml:space="preserve"> of Sheerness House, 41 Meadow Road, Kettering NN16 8TL </w:t>
      </w:r>
      <w:r w:rsidRPr="001F2956">
        <w:t>(</w:t>
      </w:r>
      <w:r w:rsidRPr="001F2956">
        <w:rPr>
          <w:rStyle w:val="DefTerm"/>
        </w:rPr>
        <w:t>C</w:t>
      </w:r>
      <w:r w:rsidR="00E95ECE">
        <w:rPr>
          <w:rStyle w:val="DefTerm"/>
        </w:rPr>
        <w:t>ouncil</w:t>
      </w:r>
      <w:r w:rsidRPr="001F2956">
        <w:t xml:space="preserve">) </w:t>
      </w:r>
    </w:p>
    <w:p w14:paraId="5E82E161" w14:textId="5CA088E2" w:rsidR="00D671F9" w:rsidRPr="001F2956" w:rsidRDefault="00A1162D" w:rsidP="009B2B82">
      <w:pPr>
        <w:pStyle w:val="Parties"/>
      </w:pPr>
      <w:r w:rsidRPr="001F2956">
        <w:t>[</w:t>
      </w:r>
      <w:r w:rsidRPr="00530659">
        <w:rPr>
          <w:highlight w:val="yellow"/>
        </w:rPr>
        <w:t>FULL COMPANY NAME</w:t>
      </w:r>
      <w:r w:rsidRPr="001F2956">
        <w:t>] incorporated and registered in England and Wales with company number [</w:t>
      </w:r>
      <w:r w:rsidRPr="00530659">
        <w:rPr>
          <w:highlight w:val="yellow"/>
        </w:rPr>
        <w:t>NUMBER</w:t>
      </w:r>
      <w:r w:rsidRPr="001F2956">
        <w:t>] whose registered office is at [</w:t>
      </w:r>
      <w:r w:rsidRPr="00530659">
        <w:rPr>
          <w:highlight w:val="yellow"/>
        </w:rPr>
        <w:t>REGISTERED OFFICE ADDRESS</w:t>
      </w:r>
      <w:r w:rsidRPr="001F2956">
        <w:t>] (</w:t>
      </w:r>
      <w:r w:rsidRPr="001F2956">
        <w:rPr>
          <w:rStyle w:val="DefTerm"/>
        </w:rPr>
        <w:t>Consultant</w:t>
      </w:r>
      <w:r w:rsidRPr="001F2956">
        <w:t xml:space="preserve">) </w:t>
      </w:r>
    </w:p>
    <w:p w14:paraId="1A37B1BE" w14:textId="77777777" w:rsidR="00D36E80" w:rsidRDefault="00D36E80" w:rsidP="00D36E80">
      <w:pPr>
        <w:pStyle w:val="paragraph0"/>
        <w:spacing w:before="0" w:beforeAutospacing="0" w:after="0" w:afterAutospacing="0"/>
        <w:jc w:val="both"/>
        <w:textAlignment w:val="baseline"/>
        <w:rPr>
          <w:rStyle w:val="normaltextrun"/>
          <w:rFonts w:ascii="Arial" w:hAnsi="Arial" w:cs="Arial"/>
          <w:sz w:val="22"/>
          <w:szCs w:val="22"/>
        </w:rPr>
      </w:pPr>
    </w:p>
    <w:p w14:paraId="65C31224" w14:textId="060F763D" w:rsidR="00D36E80" w:rsidRPr="00AB2CB1" w:rsidRDefault="00D36E80" w:rsidP="00D36E80">
      <w:pPr>
        <w:pStyle w:val="paragraph0"/>
        <w:spacing w:before="0" w:beforeAutospacing="0" w:after="0" w:afterAutospacing="0"/>
        <w:jc w:val="both"/>
        <w:textAlignment w:val="baseline"/>
        <w:rPr>
          <w:rFonts w:ascii="Arial" w:hAnsi="Arial" w:cs="Arial"/>
          <w:b/>
          <w:bCs/>
          <w:sz w:val="22"/>
          <w:szCs w:val="22"/>
        </w:rPr>
      </w:pPr>
      <w:r w:rsidRPr="00AB2CB1">
        <w:rPr>
          <w:rStyle w:val="normaltextrun"/>
          <w:rFonts w:ascii="Arial" w:hAnsi="Arial" w:cs="Arial"/>
          <w:b/>
          <w:bCs/>
          <w:sz w:val="22"/>
          <w:szCs w:val="22"/>
        </w:rPr>
        <w:t>BACKGROUND:</w:t>
      </w:r>
      <w:r w:rsidRPr="00AB2CB1">
        <w:rPr>
          <w:rStyle w:val="eop"/>
          <w:rFonts w:ascii="Arial" w:eastAsia="Arial Unicode MS" w:hAnsi="Arial" w:cs="Arial"/>
          <w:b/>
          <w:bCs/>
          <w:sz w:val="22"/>
          <w:szCs w:val="22"/>
        </w:rPr>
        <w:t> </w:t>
      </w:r>
    </w:p>
    <w:p w14:paraId="079BCE04" w14:textId="77777777" w:rsidR="00D36E80" w:rsidRPr="00D36E80" w:rsidRDefault="00D36E80" w:rsidP="00D36E80">
      <w:pPr>
        <w:pStyle w:val="paragraph0"/>
        <w:spacing w:before="0" w:beforeAutospacing="0" w:after="0" w:afterAutospacing="0"/>
        <w:jc w:val="both"/>
        <w:textAlignment w:val="baseline"/>
        <w:rPr>
          <w:rFonts w:ascii="Arial" w:hAnsi="Arial" w:cs="Arial"/>
          <w:sz w:val="22"/>
          <w:szCs w:val="22"/>
        </w:rPr>
      </w:pPr>
      <w:r w:rsidRPr="00D36E80">
        <w:rPr>
          <w:rStyle w:val="eop"/>
          <w:rFonts w:ascii="Arial" w:eastAsia="Arial Unicode MS" w:hAnsi="Arial" w:cs="Arial"/>
          <w:sz w:val="22"/>
          <w:szCs w:val="22"/>
        </w:rPr>
        <w:t> </w:t>
      </w:r>
    </w:p>
    <w:p w14:paraId="7F3B283F" w14:textId="519B65E9" w:rsidR="00D36E80" w:rsidRPr="00D36E80" w:rsidRDefault="00D36E80" w:rsidP="00234757">
      <w:pPr>
        <w:pStyle w:val="paragraph0"/>
        <w:numPr>
          <w:ilvl w:val="0"/>
          <w:numId w:val="33"/>
        </w:numPr>
        <w:tabs>
          <w:tab w:val="clear" w:pos="720"/>
          <w:tab w:val="num" w:pos="1134"/>
        </w:tabs>
        <w:spacing w:before="0" w:beforeAutospacing="0" w:after="0" w:afterAutospacing="0"/>
        <w:ind w:left="780" w:firstLine="0"/>
        <w:jc w:val="both"/>
        <w:textAlignment w:val="baseline"/>
        <w:rPr>
          <w:rFonts w:ascii="Arial" w:hAnsi="Arial" w:cs="Arial"/>
          <w:sz w:val="22"/>
          <w:szCs w:val="22"/>
        </w:rPr>
      </w:pPr>
      <w:r w:rsidRPr="00D36E80">
        <w:rPr>
          <w:rStyle w:val="normaltextrun"/>
          <w:rFonts w:ascii="Arial" w:hAnsi="Arial" w:cs="Arial"/>
          <w:sz w:val="22"/>
          <w:szCs w:val="22"/>
        </w:rPr>
        <w:t>The C</w:t>
      </w:r>
      <w:r w:rsidR="00E95ECE">
        <w:rPr>
          <w:rStyle w:val="normaltextrun"/>
          <w:rFonts w:ascii="Arial" w:hAnsi="Arial" w:cs="Arial"/>
          <w:sz w:val="22"/>
          <w:szCs w:val="22"/>
        </w:rPr>
        <w:t>ouncil</w:t>
      </w:r>
      <w:r w:rsidRPr="00D36E80">
        <w:rPr>
          <w:rStyle w:val="normaltextrun"/>
          <w:rFonts w:ascii="Arial" w:hAnsi="Arial" w:cs="Arial"/>
          <w:sz w:val="22"/>
          <w:szCs w:val="22"/>
        </w:rPr>
        <w:t xml:space="preserve"> has advertised for providers of the Services (as defined in Clause 1.1 (Definitions) below) and following a request for quotation process and the </w:t>
      </w:r>
      <w:r w:rsidR="00DE6D40">
        <w:rPr>
          <w:rStyle w:val="normaltextrun"/>
          <w:rFonts w:ascii="Arial" w:hAnsi="Arial" w:cs="Arial"/>
          <w:sz w:val="22"/>
          <w:szCs w:val="22"/>
        </w:rPr>
        <w:t>Consultant</w:t>
      </w:r>
      <w:r w:rsidRPr="00D36E80">
        <w:rPr>
          <w:rStyle w:val="normaltextrun"/>
          <w:rFonts w:ascii="Arial" w:hAnsi="Arial" w:cs="Arial"/>
          <w:sz w:val="22"/>
          <w:szCs w:val="22"/>
        </w:rPr>
        <w:t xml:space="preserve">’s Tender Response at Schedule 2, has selected the </w:t>
      </w:r>
      <w:r w:rsidR="00722D7C">
        <w:rPr>
          <w:rStyle w:val="normaltextrun"/>
          <w:rFonts w:ascii="Arial" w:hAnsi="Arial" w:cs="Arial"/>
          <w:sz w:val="22"/>
          <w:szCs w:val="22"/>
        </w:rPr>
        <w:t>Consultant</w:t>
      </w:r>
      <w:r w:rsidRPr="00D36E80">
        <w:rPr>
          <w:rStyle w:val="normaltextrun"/>
          <w:rFonts w:ascii="Arial" w:hAnsi="Arial" w:cs="Arial"/>
          <w:sz w:val="22"/>
          <w:szCs w:val="22"/>
        </w:rPr>
        <w:t xml:space="preserve"> to provide the Services to the </w:t>
      </w:r>
      <w:r w:rsidR="00A41BDC">
        <w:rPr>
          <w:rStyle w:val="eop"/>
          <w:rFonts w:ascii="Arial" w:eastAsia="Arial Unicode MS" w:hAnsi="Arial" w:cs="Arial"/>
          <w:sz w:val="22"/>
          <w:szCs w:val="22"/>
        </w:rPr>
        <w:t>C</w:t>
      </w:r>
      <w:r w:rsidR="00E95ECE">
        <w:rPr>
          <w:rStyle w:val="eop"/>
          <w:rFonts w:ascii="Arial" w:eastAsia="Arial Unicode MS" w:hAnsi="Arial" w:cs="Arial"/>
          <w:sz w:val="22"/>
          <w:szCs w:val="22"/>
        </w:rPr>
        <w:t>ouncil</w:t>
      </w:r>
      <w:r w:rsidR="00A41BDC">
        <w:rPr>
          <w:rStyle w:val="eop"/>
          <w:rFonts w:ascii="Arial" w:eastAsia="Arial Unicode MS" w:hAnsi="Arial" w:cs="Arial"/>
          <w:sz w:val="22"/>
          <w:szCs w:val="22"/>
        </w:rPr>
        <w:t xml:space="preserve">. </w:t>
      </w:r>
    </w:p>
    <w:p w14:paraId="1B83ECF4" w14:textId="77777777" w:rsidR="00D36E80" w:rsidRPr="00D36E80" w:rsidRDefault="00D36E80" w:rsidP="00D36E80">
      <w:pPr>
        <w:pStyle w:val="paragraph0"/>
        <w:spacing w:before="0" w:beforeAutospacing="0" w:after="0" w:afterAutospacing="0"/>
        <w:ind w:left="705"/>
        <w:jc w:val="both"/>
        <w:textAlignment w:val="baseline"/>
        <w:rPr>
          <w:rFonts w:ascii="Arial" w:hAnsi="Arial" w:cs="Arial"/>
          <w:sz w:val="22"/>
          <w:szCs w:val="22"/>
        </w:rPr>
      </w:pPr>
      <w:r w:rsidRPr="00D36E80">
        <w:rPr>
          <w:rStyle w:val="eop"/>
          <w:rFonts w:ascii="Arial" w:eastAsia="Arial Unicode MS" w:hAnsi="Arial" w:cs="Arial"/>
          <w:sz w:val="22"/>
          <w:szCs w:val="22"/>
        </w:rPr>
        <w:t> </w:t>
      </w:r>
    </w:p>
    <w:p w14:paraId="2F260E0E" w14:textId="17CC624E" w:rsidR="00D36E80" w:rsidRPr="00D36E80" w:rsidRDefault="00D36E80" w:rsidP="00234757">
      <w:pPr>
        <w:pStyle w:val="paragraph0"/>
        <w:numPr>
          <w:ilvl w:val="0"/>
          <w:numId w:val="34"/>
        </w:numPr>
        <w:tabs>
          <w:tab w:val="clear" w:pos="720"/>
          <w:tab w:val="num" w:pos="1134"/>
        </w:tabs>
        <w:spacing w:before="0" w:beforeAutospacing="0" w:after="0" w:afterAutospacing="0"/>
        <w:ind w:left="780" w:firstLine="0"/>
        <w:jc w:val="both"/>
        <w:textAlignment w:val="baseline"/>
        <w:rPr>
          <w:rFonts w:ascii="Arial" w:hAnsi="Arial" w:cs="Arial"/>
          <w:sz w:val="22"/>
          <w:szCs w:val="22"/>
        </w:rPr>
      </w:pPr>
      <w:r w:rsidRPr="00D36E80">
        <w:rPr>
          <w:rStyle w:val="normaltextrun"/>
          <w:rFonts w:ascii="Arial" w:hAnsi="Arial" w:cs="Arial"/>
          <w:sz w:val="22"/>
          <w:szCs w:val="22"/>
        </w:rPr>
        <w:t>In reliance upon the skill, knowledge and experience the Consultant has, the C</w:t>
      </w:r>
      <w:r w:rsidR="00E95ECE">
        <w:rPr>
          <w:rStyle w:val="normaltextrun"/>
          <w:rFonts w:ascii="Arial" w:hAnsi="Arial" w:cs="Arial"/>
          <w:sz w:val="22"/>
          <w:szCs w:val="22"/>
        </w:rPr>
        <w:t xml:space="preserve">ouncil </w:t>
      </w:r>
      <w:r w:rsidRPr="00D36E80">
        <w:rPr>
          <w:rStyle w:val="normaltextrun"/>
          <w:rFonts w:ascii="Arial" w:hAnsi="Arial" w:cs="Arial"/>
          <w:sz w:val="22"/>
          <w:szCs w:val="22"/>
        </w:rPr>
        <w:t>wishes to appoint the Consultant to provide the Services. </w:t>
      </w:r>
      <w:r w:rsidRPr="00D36E80">
        <w:rPr>
          <w:rStyle w:val="eop"/>
          <w:rFonts w:ascii="Arial" w:eastAsia="Arial Unicode MS" w:hAnsi="Arial" w:cs="Arial"/>
          <w:sz w:val="22"/>
          <w:szCs w:val="22"/>
        </w:rPr>
        <w:t> </w:t>
      </w:r>
    </w:p>
    <w:p w14:paraId="61F5F884" w14:textId="77777777" w:rsidR="00D36E80" w:rsidRPr="00D36E80" w:rsidRDefault="00D36E80" w:rsidP="00D36E80">
      <w:pPr>
        <w:pStyle w:val="paragraph0"/>
        <w:spacing w:before="0" w:beforeAutospacing="0" w:after="0" w:afterAutospacing="0"/>
        <w:ind w:left="720"/>
        <w:textAlignment w:val="baseline"/>
        <w:rPr>
          <w:rFonts w:ascii="Arial" w:hAnsi="Arial" w:cs="Arial"/>
          <w:sz w:val="22"/>
          <w:szCs w:val="22"/>
        </w:rPr>
      </w:pPr>
      <w:r w:rsidRPr="00D36E80">
        <w:rPr>
          <w:rStyle w:val="eop"/>
          <w:rFonts w:ascii="Arial" w:eastAsia="Arial Unicode MS" w:hAnsi="Arial" w:cs="Arial"/>
          <w:sz w:val="22"/>
          <w:szCs w:val="22"/>
        </w:rPr>
        <w:t> </w:t>
      </w:r>
    </w:p>
    <w:p w14:paraId="31F4C277" w14:textId="2711B9F7" w:rsidR="00AC17AE" w:rsidRPr="00D36E80" w:rsidRDefault="00D36E80" w:rsidP="00234757">
      <w:pPr>
        <w:pStyle w:val="paragraph0"/>
        <w:numPr>
          <w:ilvl w:val="0"/>
          <w:numId w:val="35"/>
        </w:numPr>
        <w:tabs>
          <w:tab w:val="clear" w:pos="720"/>
          <w:tab w:val="num" w:pos="1134"/>
        </w:tabs>
        <w:spacing w:before="0" w:beforeAutospacing="0" w:after="0" w:afterAutospacing="0"/>
        <w:ind w:left="780" w:firstLine="0"/>
        <w:jc w:val="both"/>
        <w:textAlignment w:val="baseline"/>
        <w:rPr>
          <w:rFonts w:ascii="Arial" w:hAnsi="Arial" w:cs="Arial"/>
          <w:sz w:val="22"/>
          <w:szCs w:val="22"/>
        </w:rPr>
      </w:pPr>
      <w:r w:rsidRPr="00D36E80">
        <w:rPr>
          <w:rStyle w:val="normaltextrun"/>
          <w:rFonts w:ascii="Arial" w:hAnsi="Arial" w:cs="Arial"/>
          <w:sz w:val="22"/>
          <w:szCs w:val="22"/>
        </w:rPr>
        <w:t xml:space="preserve">The Consultant agrees to accept the </w:t>
      </w:r>
      <w:r w:rsidR="00FD7F82">
        <w:rPr>
          <w:rStyle w:val="normaltextrun"/>
          <w:rFonts w:ascii="Arial" w:hAnsi="Arial" w:cs="Arial"/>
          <w:sz w:val="22"/>
          <w:szCs w:val="22"/>
        </w:rPr>
        <w:t>Engagement</w:t>
      </w:r>
      <w:r w:rsidRPr="00D36E80">
        <w:rPr>
          <w:rStyle w:val="normaltextrun"/>
          <w:rFonts w:ascii="Arial" w:hAnsi="Arial" w:cs="Arial"/>
          <w:sz w:val="22"/>
          <w:szCs w:val="22"/>
        </w:rPr>
        <w:t>.</w:t>
      </w:r>
      <w:r w:rsidRPr="00D36E80">
        <w:rPr>
          <w:rStyle w:val="eop"/>
          <w:rFonts w:ascii="Arial" w:eastAsia="Arial Unicode MS" w:hAnsi="Arial" w:cs="Arial"/>
          <w:sz w:val="22"/>
          <w:szCs w:val="22"/>
        </w:rPr>
        <w:t> </w:t>
      </w:r>
    </w:p>
    <w:p w14:paraId="5E0D271E" w14:textId="1632B274" w:rsidR="00D671F9" w:rsidRPr="001F2956" w:rsidRDefault="00A1162D" w:rsidP="009B2B82">
      <w:pPr>
        <w:pStyle w:val="DescriptiveHeading"/>
      </w:pPr>
      <w:r w:rsidRPr="001F2956">
        <w:t xml:space="preserve">Agreed </w:t>
      </w:r>
      <w:proofErr w:type="gramStart"/>
      <w:r w:rsidRPr="001F2956">
        <w:t>terms</w:t>
      </w:r>
      <w:proofErr w:type="gramEnd"/>
    </w:p>
    <w:p w14:paraId="39A2A4C8" w14:textId="77777777" w:rsidR="00D671F9" w:rsidRPr="001F2956" w:rsidRDefault="00A1162D" w:rsidP="009B2B82">
      <w:pPr>
        <w:pStyle w:val="TitleClause"/>
      </w:pPr>
      <w:r w:rsidRPr="001F2956">
        <w:fldChar w:fldCharType="begin"/>
      </w:r>
      <w:r w:rsidRPr="001F2956">
        <w:instrText>TC "1. Interpretation" \l 1</w:instrText>
      </w:r>
      <w:r w:rsidRPr="001F2956">
        <w:fldChar w:fldCharType="end"/>
      </w:r>
      <w:bookmarkStart w:id="0" w:name="_Toc256000000"/>
      <w:bookmarkStart w:id="1" w:name="a274564"/>
      <w:r w:rsidRPr="001F2956">
        <w:t>Interpretation</w:t>
      </w:r>
      <w:bookmarkEnd w:id="0"/>
      <w:bookmarkEnd w:id="1"/>
    </w:p>
    <w:p w14:paraId="2F98624D" w14:textId="77777777" w:rsidR="00D671F9" w:rsidRPr="001F2956" w:rsidRDefault="00A1162D" w:rsidP="009B2B82">
      <w:pPr>
        <w:pStyle w:val="Untitledsubclause1"/>
      </w:pPr>
      <w:bookmarkStart w:id="2" w:name="a1054300"/>
      <w:r w:rsidRPr="001F2956">
        <w:t>The following definitions and rules of interpretation apply in this agreement (unless the context requires otherwise).</w:t>
      </w:r>
      <w:bookmarkEnd w:id="2"/>
    </w:p>
    <w:p w14:paraId="0C829FB7" w14:textId="20209BA5" w:rsidR="00D671F9" w:rsidRPr="001F2956" w:rsidRDefault="00A1162D" w:rsidP="009B2B82">
      <w:pPr>
        <w:pStyle w:val="DefinedTermPara"/>
        <w:rPr>
          <w:rStyle w:val="DefTerm"/>
        </w:rPr>
      </w:pPr>
      <w:bookmarkStart w:id="3" w:name="a369898"/>
      <w:r w:rsidRPr="001F2956">
        <w:rPr>
          <w:rStyle w:val="DefTerm"/>
        </w:rPr>
        <w:t>Business of the C</w:t>
      </w:r>
      <w:r w:rsidR="00CD363C">
        <w:rPr>
          <w:rStyle w:val="DefTerm"/>
        </w:rPr>
        <w:t>ouncil</w:t>
      </w:r>
      <w:r w:rsidRPr="001F2956">
        <w:t xml:space="preserve">: </w:t>
      </w:r>
      <w:bookmarkEnd w:id="3"/>
      <w:r w:rsidR="00B679D2">
        <w:t xml:space="preserve">local government authority. </w:t>
      </w:r>
    </w:p>
    <w:p w14:paraId="0A35E8BB" w14:textId="3F2C2525" w:rsidR="00D671F9" w:rsidRPr="001F2956" w:rsidRDefault="00A1162D" w:rsidP="009B2B82">
      <w:pPr>
        <w:pStyle w:val="DefinedTermPara"/>
        <w:rPr>
          <w:b/>
        </w:rPr>
      </w:pPr>
      <w:bookmarkStart w:id="4" w:name="a514394"/>
      <w:r w:rsidRPr="001F2956">
        <w:rPr>
          <w:rStyle w:val="DefTerm"/>
        </w:rPr>
        <w:t>Business Opportunities</w:t>
      </w:r>
      <w:r w:rsidRPr="001F2956">
        <w:t>: any opportunities which the Consultant or the Individual becomes aware of during the Engagement which relate to the Business of the C</w:t>
      </w:r>
      <w:r w:rsidR="003B3E2D">
        <w:t>ouncil</w:t>
      </w:r>
      <w:r w:rsidR="00F26A8C">
        <w:t>’s</w:t>
      </w:r>
      <w:r w:rsidR="00BA3453">
        <w:t xml:space="preserve"> corporate plan to preserve and protect the local</w:t>
      </w:r>
      <w:r w:rsidR="00FB64BC">
        <w:t xml:space="preserve"> environment </w:t>
      </w:r>
      <w:r w:rsidR="00027B82">
        <w:t xml:space="preserve">and which might </w:t>
      </w:r>
      <w:proofErr w:type="gramStart"/>
      <w:r w:rsidRPr="001F2956">
        <w:t>benefit  the</w:t>
      </w:r>
      <w:proofErr w:type="gramEnd"/>
      <w:r w:rsidRPr="001F2956">
        <w:t xml:space="preserve"> C</w:t>
      </w:r>
      <w:r w:rsidR="00FB64BC">
        <w:t>ouncil</w:t>
      </w:r>
      <w:r w:rsidRPr="001F2956">
        <w:t>.</w:t>
      </w:r>
      <w:bookmarkEnd w:id="4"/>
    </w:p>
    <w:p w14:paraId="512DF8B8" w14:textId="77777777" w:rsidR="00D671F9" w:rsidRPr="001F2956" w:rsidRDefault="00A1162D" w:rsidP="009B2B82">
      <w:pPr>
        <w:pStyle w:val="DefinedTermPara"/>
      </w:pPr>
      <w:bookmarkStart w:id="5" w:name="a913334"/>
      <w:r w:rsidRPr="001F2956">
        <w:rPr>
          <w:rStyle w:val="DefTerm"/>
        </w:rPr>
        <w:t>Business Day</w:t>
      </w:r>
      <w:r w:rsidRPr="001F2956">
        <w:t xml:space="preserve">: a day, other than a Saturday, </w:t>
      </w:r>
      <w:proofErr w:type="gramStart"/>
      <w:r w:rsidRPr="001F2956">
        <w:t>Sunday</w:t>
      </w:r>
      <w:proofErr w:type="gramEnd"/>
      <w:r w:rsidRPr="001F2956">
        <w:t xml:space="preserve"> or public holiday in England, when banks in London are open for business.</w:t>
      </w:r>
      <w:bookmarkEnd w:id="5"/>
    </w:p>
    <w:p w14:paraId="6BAB79D1" w14:textId="77777777" w:rsidR="00D671F9" w:rsidRPr="001F2956" w:rsidRDefault="00A1162D" w:rsidP="009B2B82">
      <w:pPr>
        <w:pStyle w:val="DefinedTermPara"/>
        <w:rPr>
          <w:rStyle w:val="DefTerm"/>
        </w:rPr>
      </w:pPr>
      <w:bookmarkStart w:id="6" w:name="a304413"/>
      <w:r w:rsidRPr="001F2956">
        <w:rPr>
          <w:rStyle w:val="DefTerm"/>
        </w:rPr>
        <w:t>Capacity</w:t>
      </w:r>
      <w:r w:rsidRPr="001F2956">
        <w:t>: as agent, consultant, director, employee, owner, partner, shareholder or in any other capacity.</w:t>
      </w:r>
      <w:bookmarkEnd w:id="6"/>
    </w:p>
    <w:p w14:paraId="2C6D3200" w14:textId="6F471C4D" w:rsidR="00D671F9" w:rsidRPr="001F2956" w:rsidRDefault="00A1162D" w:rsidP="009B2B82">
      <w:pPr>
        <w:pStyle w:val="DefinedTermPara"/>
        <w:rPr>
          <w:rStyle w:val="DefTerm"/>
        </w:rPr>
      </w:pPr>
      <w:bookmarkStart w:id="7" w:name="a883626"/>
      <w:r w:rsidRPr="001F2956">
        <w:rPr>
          <w:rStyle w:val="DefTerm"/>
        </w:rPr>
        <w:t>C</w:t>
      </w:r>
      <w:r w:rsidR="00722D7C">
        <w:rPr>
          <w:rStyle w:val="DefTerm"/>
        </w:rPr>
        <w:t>ouncil</w:t>
      </w:r>
      <w:r w:rsidRPr="001F2956">
        <w:rPr>
          <w:rStyle w:val="DefTerm"/>
        </w:rPr>
        <w:t xml:space="preserve"> Property</w:t>
      </w:r>
      <w:r w:rsidRPr="001F2956">
        <w:t>: all documents, books, manuals, materials, records, correspondence, papers and information (on whatever media and wherever located) relating to the Business or affairs of the C</w:t>
      </w:r>
      <w:r w:rsidR="00C9429A">
        <w:t>ouncil</w:t>
      </w:r>
      <w:r w:rsidRPr="001F2956">
        <w:t xml:space="preserve"> or its customers and business contacts, and any </w:t>
      </w:r>
      <w:r w:rsidRPr="001F2956">
        <w:lastRenderedPageBreak/>
        <w:t>equipment, keys, hardware or software provided for the Consultant  or the Individual's use by the C</w:t>
      </w:r>
      <w:r w:rsidR="00CB08A4">
        <w:t>ouncil</w:t>
      </w:r>
      <w:r w:rsidRPr="001F2956">
        <w:t xml:space="preserve"> during the Engagement, and any data or documents (including copies) produced, maintained or stored by the Consultant or the Individual on the computer systems or other electronic equipment of the C</w:t>
      </w:r>
      <w:r w:rsidR="00CB08A4">
        <w:t>ouncil</w:t>
      </w:r>
      <w:r w:rsidRPr="001F2956">
        <w:t>, the Consultant or the Individual during the Engagement.</w:t>
      </w:r>
      <w:bookmarkEnd w:id="7"/>
    </w:p>
    <w:p w14:paraId="7423F334" w14:textId="5E99C33C" w:rsidR="00D671F9" w:rsidRPr="001F2956" w:rsidRDefault="00A1162D" w:rsidP="009B2B82">
      <w:pPr>
        <w:pStyle w:val="DefinedTermPara"/>
        <w:rPr>
          <w:b/>
        </w:rPr>
      </w:pPr>
      <w:bookmarkStart w:id="8" w:name="a656311"/>
      <w:r w:rsidRPr="001F2956">
        <w:rPr>
          <w:rStyle w:val="DefTerm"/>
        </w:rPr>
        <w:t>Confidential Information</w:t>
      </w:r>
      <w:r w:rsidRPr="001F2956">
        <w:t>: information in whatever form (including, without limitation, in written, oral, visual or electronic form or on any magnetic or optical disk or memory and wherever located) relating to the business, customers, clients, suppliers, products, affairs and finances of the C</w:t>
      </w:r>
      <w:r w:rsidR="00E737D1">
        <w:t>ouncil</w:t>
      </w:r>
      <w:r w:rsidRPr="001F2956">
        <w:t xml:space="preserve"> for the time being confidential to the C</w:t>
      </w:r>
      <w:r w:rsidR="00E737D1">
        <w:t>ouncil</w:t>
      </w:r>
      <w:r w:rsidRPr="001F2956">
        <w:t xml:space="preserve"> and trade secrets including, without limitation, technical data and know-how relating to the Business of the C</w:t>
      </w:r>
      <w:r w:rsidR="00E737D1">
        <w:t>ouncil</w:t>
      </w:r>
      <w:r w:rsidRPr="001F2956">
        <w:t xml:space="preserve"> or any of its  suppliers, customers, clients, agents, management or business contacts, and including (but not limited to) information that the Consultant  or the Individual creates, develops, receives or obtains in connection with this Engagement, whether or not such information (if in anything other than oral form) is marked confidential.</w:t>
      </w:r>
      <w:bookmarkEnd w:id="8"/>
    </w:p>
    <w:p w14:paraId="2235FD7D" w14:textId="77777777" w:rsidR="00D671F9" w:rsidRPr="001F2956" w:rsidRDefault="00A1162D" w:rsidP="009B2B82">
      <w:pPr>
        <w:pStyle w:val="DefinedTermPara"/>
        <w:rPr>
          <w:b/>
        </w:rPr>
      </w:pPr>
      <w:bookmarkStart w:id="9" w:name="a817217"/>
      <w:r w:rsidRPr="001F2956">
        <w:rPr>
          <w:rStyle w:val="DefTerm"/>
        </w:rPr>
        <w:t>Data Protection Legislation</w:t>
      </w:r>
      <w:r w:rsidRPr="001F2956">
        <w:t>:</w:t>
      </w:r>
      <w:r w:rsidRPr="001F2956">
        <w:rPr>
          <w:rFonts w:eastAsiaTheme="minorEastAsia"/>
          <w:szCs w:val="22"/>
          <w:lang w:eastAsia="en-GB"/>
        </w:rPr>
        <w:t xml:space="preserve"> </w:t>
      </w:r>
      <w:r w:rsidRPr="001F2956">
        <w:t>all applicable data protection and privacy legislation in force from time to time in the UK including the retained EU law version of the General Data Protection Regulation ((EU) 2016/679) (UK GDPR), the Data Protection Act 2018 (and regulations made thereunder)</w:t>
      </w:r>
      <w:r w:rsidRPr="001F2956">
        <w:rPr>
          <w:i/>
          <w:iCs/>
        </w:rPr>
        <w:t xml:space="preserve"> </w:t>
      </w:r>
      <w:r w:rsidRPr="001F2956">
        <w:t xml:space="preserve">or any successor legislation, and all other legislation and regulatory requirements in force from time to time which apply to a party relating to the use of personal data (including, without limitation, the privacy of electronic communications). </w:t>
      </w:r>
      <w:bookmarkEnd w:id="9"/>
    </w:p>
    <w:p w14:paraId="0C4A77F5" w14:textId="59BAFAC4" w:rsidR="00D671F9" w:rsidRPr="001F2956" w:rsidRDefault="00A1162D" w:rsidP="009B2B82">
      <w:pPr>
        <w:pStyle w:val="DefinedTermPara"/>
      </w:pPr>
      <w:bookmarkStart w:id="10" w:name="a745663"/>
      <w:r w:rsidRPr="001F2956">
        <w:rPr>
          <w:rStyle w:val="DefTerm"/>
        </w:rPr>
        <w:t>Deemed Employment</w:t>
      </w:r>
      <w:r w:rsidRPr="001F2956">
        <w:rPr>
          <w:rStyle w:val="DefTerm"/>
          <w:b w:val="0"/>
        </w:rPr>
        <w:t xml:space="preserve">: </w:t>
      </w:r>
      <w:r w:rsidRPr="001F2956">
        <w:t>an engagement to which section 61M(1)(d) of the Income Tax (Earnings and Pensions) Act 2003 applies.</w:t>
      </w:r>
      <w:bookmarkEnd w:id="10"/>
    </w:p>
    <w:p w14:paraId="04F5AE1B" w14:textId="6F554731" w:rsidR="00594721" w:rsidRDefault="00A1162D" w:rsidP="009B2B82">
      <w:pPr>
        <w:pStyle w:val="DefinedTermPara"/>
      </w:pPr>
      <w:bookmarkStart w:id="11" w:name="a682690"/>
      <w:r w:rsidRPr="001F2956">
        <w:rPr>
          <w:rStyle w:val="DefTerm"/>
        </w:rPr>
        <w:t>Deliverable</w:t>
      </w:r>
      <w:r w:rsidR="00977566">
        <w:rPr>
          <w:rStyle w:val="DefTerm"/>
        </w:rPr>
        <w:t>s</w:t>
      </w:r>
      <w:r w:rsidRPr="001F2956">
        <w:t>: any outputs of the Services and any other documents or materials provided by the Consultant to the C</w:t>
      </w:r>
      <w:r w:rsidR="006C59BE">
        <w:t>ouncil</w:t>
      </w:r>
      <w:r w:rsidRPr="001F2956">
        <w:t xml:space="preserve"> as specified in </w:t>
      </w:r>
      <w:r w:rsidRPr="001F2956">
        <w:fldChar w:fldCharType="begin"/>
      </w:r>
      <w:r w:rsidRPr="001F2956">
        <w:rPr>
          <w:highlight w:val="lightGray"/>
        </w:rPr>
        <w:instrText>REF a943751 \h \w</w:instrText>
      </w:r>
      <w:r w:rsidR="001F2956">
        <w:instrText xml:space="preserve"> \* MERGEFORMAT </w:instrText>
      </w:r>
      <w:r w:rsidRPr="001F2956">
        <w:fldChar w:fldCharType="separate"/>
      </w:r>
      <w:r w:rsidRPr="001F2956">
        <w:t>Schedule 1</w:t>
      </w:r>
      <w:r w:rsidRPr="001F2956">
        <w:fldChar w:fldCharType="end"/>
      </w:r>
      <w:r w:rsidRPr="001F2956">
        <w:t xml:space="preserve"> or in relation to the Services (excluding the Consultant's equipment).</w:t>
      </w:r>
      <w:bookmarkEnd w:id="11"/>
    </w:p>
    <w:p w14:paraId="7531E302" w14:textId="769033F1" w:rsidR="00F96049" w:rsidRPr="001F2956" w:rsidRDefault="006216A2" w:rsidP="009B2B82">
      <w:pPr>
        <w:pStyle w:val="DefinedTermPara"/>
      </w:pPr>
      <w:r>
        <w:rPr>
          <w:b/>
          <w:bCs/>
        </w:rPr>
        <w:t xml:space="preserve">End Date: </w:t>
      </w:r>
      <w:r w:rsidR="006C59BE">
        <w:t xml:space="preserve">23:59hrs on </w:t>
      </w:r>
      <w:r>
        <w:t>31</w:t>
      </w:r>
      <w:r w:rsidRPr="006216A2">
        <w:rPr>
          <w:vertAlign w:val="superscript"/>
        </w:rPr>
        <w:t>st</w:t>
      </w:r>
      <w:r>
        <w:t xml:space="preserve"> March 2024.</w:t>
      </w:r>
    </w:p>
    <w:p w14:paraId="3E2C2E4F" w14:textId="3A16894C" w:rsidR="00D671F9" w:rsidRPr="001F2956" w:rsidRDefault="00A1162D" w:rsidP="009B2B82">
      <w:pPr>
        <w:pStyle w:val="DefinedTermPara"/>
        <w:rPr>
          <w:rStyle w:val="DefTerm"/>
          <w:b w:val="0"/>
        </w:rPr>
      </w:pPr>
      <w:bookmarkStart w:id="12" w:name="a771544"/>
      <w:r w:rsidRPr="001F2956">
        <w:rPr>
          <w:rStyle w:val="DefTerm"/>
        </w:rPr>
        <w:t>Engagement</w:t>
      </w:r>
      <w:r w:rsidRPr="001F2956">
        <w:t>: the engagement of the Consultant by the C</w:t>
      </w:r>
      <w:r w:rsidR="00DA588A">
        <w:t>ouncil</w:t>
      </w:r>
      <w:r w:rsidRPr="001F2956">
        <w:t xml:space="preserve"> on the terms of this agreement</w:t>
      </w:r>
      <w:r w:rsidRPr="001F2956">
        <w:rPr>
          <w:b/>
        </w:rPr>
        <w:t>.</w:t>
      </w:r>
      <w:bookmarkEnd w:id="12"/>
    </w:p>
    <w:p w14:paraId="40FBE21D" w14:textId="77777777" w:rsidR="00D671F9" w:rsidRPr="001F2956" w:rsidRDefault="00A1162D" w:rsidP="009B2B82">
      <w:pPr>
        <w:pStyle w:val="DefinedTermPara"/>
        <w:rPr>
          <w:b/>
        </w:rPr>
      </w:pPr>
      <w:bookmarkStart w:id="13" w:name="a689395"/>
      <w:r w:rsidRPr="001F2956">
        <w:rPr>
          <w:rStyle w:val="DefTerm"/>
        </w:rPr>
        <w:t>Individual</w:t>
      </w:r>
      <w:r w:rsidRPr="001F2956">
        <w:t>: [</w:t>
      </w:r>
      <w:r w:rsidRPr="00A10303">
        <w:rPr>
          <w:highlight w:val="yellow"/>
        </w:rPr>
        <w:t>NAME</w:t>
      </w:r>
      <w:r w:rsidRPr="001F2956">
        <w:t>]</w:t>
      </w:r>
      <w:bookmarkEnd w:id="13"/>
    </w:p>
    <w:p w14:paraId="1A1E4F86" w14:textId="13191815" w:rsidR="00D671F9" w:rsidRPr="001F2956" w:rsidRDefault="00A1162D" w:rsidP="009B2B82">
      <w:pPr>
        <w:pStyle w:val="DefinedTermPara"/>
        <w:rPr>
          <w:rStyle w:val="DefTerm"/>
        </w:rPr>
      </w:pPr>
      <w:bookmarkStart w:id="14" w:name="a178558"/>
      <w:r w:rsidRPr="001F2956">
        <w:rPr>
          <w:rStyle w:val="DefTerm"/>
        </w:rPr>
        <w:t>Insurance Policies</w:t>
      </w:r>
      <w:r w:rsidRPr="001F2956">
        <w:t>: employer's liability insurance cover, professional indemnity insurance cover, and</w:t>
      </w:r>
      <w:r w:rsidR="00A10303">
        <w:t xml:space="preserve"> </w:t>
      </w:r>
      <w:r w:rsidRPr="001F2956">
        <w:t>public liability insurance cover.</w:t>
      </w:r>
      <w:bookmarkEnd w:id="14"/>
    </w:p>
    <w:p w14:paraId="17DD8B1E" w14:textId="4B92AA03" w:rsidR="00D671F9" w:rsidRPr="001F2956" w:rsidRDefault="00A1162D" w:rsidP="009B2B82">
      <w:pPr>
        <w:pStyle w:val="DefinedTermPara"/>
        <w:rPr>
          <w:rStyle w:val="DefTerm"/>
        </w:rPr>
      </w:pPr>
      <w:bookmarkStart w:id="15" w:name="a831268"/>
      <w:r w:rsidRPr="001F2956">
        <w:rPr>
          <w:rStyle w:val="DefTerm"/>
        </w:rPr>
        <w:t>Intellectual Property Rights</w:t>
      </w:r>
      <w:r w:rsidRPr="001F2956">
        <w:t xml:space="preserve">: patents, utility models, rights to Inventions, copyright and neighbouring and related rights, moral rights, </w:t>
      </w:r>
      <w:r w:rsidR="00710A42" w:rsidRPr="001F2956">
        <w:t>trademarks</w:t>
      </w:r>
      <w:r w:rsidR="00A87A7E">
        <w:t xml:space="preserve">  </w:t>
      </w:r>
      <w:r w:rsidRPr="001F2956">
        <w:t xml:space="preserve">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w:t>
      </w:r>
      <w:r w:rsidRPr="001F2956">
        <w:lastRenderedPageBreak/>
        <w:t>for and be granted, renewals or extensions of, and rights to claim priority from, such rights and all similar or equivalent rights or forms of protection which subsist or will subsist now or in the future in any part of the world.</w:t>
      </w:r>
      <w:bookmarkEnd w:id="15"/>
    </w:p>
    <w:p w14:paraId="292EC3A9" w14:textId="77777777" w:rsidR="00D671F9" w:rsidRPr="001F2956" w:rsidRDefault="00A1162D" w:rsidP="009B2B82">
      <w:pPr>
        <w:pStyle w:val="DefinedTermPara"/>
        <w:rPr>
          <w:b/>
        </w:rPr>
      </w:pPr>
      <w:bookmarkStart w:id="16" w:name="a488616"/>
      <w:r w:rsidRPr="001F2956">
        <w:rPr>
          <w:rStyle w:val="DefTerm"/>
        </w:rPr>
        <w:t>Invention</w:t>
      </w:r>
      <w:r w:rsidRPr="001F2956">
        <w:t xml:space="preserve">: any invention, idea, discovery, development, </w:t>
      </w:r>
      <w:proofErr w:type="gramStart"/>
      <w:r w:rsidRPr="001F2956">
        <w:t>improvement</w:t>
      </w:r>
      <w:proofErr w:type="gramEnd"/>
      <w:r w:rsidRPr="001F2956">
        <w:t xml:space="preserve"> or innovation made by the Consultant Company or by the Individual in connection with the provision of the Services, whether or not patentable or capable of registration, and whether or not recorded in any medium.</w:t>
      </w:r>
      <w:bookmarkEnd w:id="16"/>
    </w:p>
    <w:p w14:paraId="0214E1FF" w14:textId="5D97CA55" w:rsidR="00D671F9" w:rsidRPr="001F2956" w:rsidRDefault="00A1162D" w:rsidP="009B2B82">
      <w:pPr>
        <w:pStyle w:val="DefinedTermPara"/>
      </w:pPr>
      <w:bookmarkStart w:id="17" w:name="a863466"/>
      <w:r w:rsidRPr="001F2956">
        <w:rPr>
          <w:rStyle w:val="DefTerm"/>
        </w:rPr>
        <w:t>Off-payroll Working rules</w:t>
      </w:r>
      <w:r w:rsidRPr="001F2956">
        <w:t>: the rules in Chapter 10 of Part 2 of the Income Tax (Earnings and Pensions) Act 2003.</w:t>
      </w:r>
      <w:bookmarkEnd w:id="17"/>
    </w:p>
    <w:p w14:paraId="762E9E91" w14:textId="6395C271" w:rsidR="00D671F9" w:rsidRPr="001F2956" w:rsidRDefault="00A1162D" w:rsidP="009B2B82">
      <w:pPr>
        <w:pStyle w:val="DefinedTermPara"/>
        <w:rPr>
          <w:b/>
        </w:rPr>
      </w:pPr>
      <w:bookmarkStart w:id="18" w:name="a486162"/>
      <w:r w:rsidRPr="001F2956">
        <w:rPr>
          <w:rStyle w:val="DefTerm"/>
        </w:rPr>
        <w:t>Services</w:t>
      </w:r>
      <w:r w:rsidRPr="001F2956">
        <w:t xml:space="preserve">: the services described in the </w:t>
      </w:r>
      <w:r w:rsidRPr="001F2956">
        <w:fldChar w:fldCharType="begin"/>
      </w:r>
      <w:r w:rsidRPr="001F2956">
        <w:rPr>
          <w:highlight w:val="lightGray"/>
        </w:rPr>
        <w:instrText>REF a943751 \h \w</w:instrText>
      </w:r>
      <w:r w:rsidR="001F2956">
        <w:instrText xml:space="preserve"> \* MERGEFORMAT </w:instrText>
      </w:r>
      <w:r w:rsidRPr="001F2956">
        <w:fldChar w:fldCharType="separate"/>
      </w:r>
      <w:r w:rsidRPr="001F2956">
        <w:t>Schedule 1</w:t>
      </w:r>
      <w:r w:rsidRPr="001F2956">
        <w:fldChar w:fldCharType="end"/>
      </w:r>
      <w:r w:rsidRPr="001F2956">
        <w:t>.</w:t>
      </w:r>
      <w:bookmarkEnd w:id="18"/>
    </w:p>
    <w:p w14:paraId="758623F3" w14:textId="66272DB8" w:rsidR="00D671F9" w:rsidRPr="001F2956" w:rsidRDefault="00A1162D" w:rsidP="009B2B82">
      <w:pPr>
        <w:pStyle w:val="DefinedTermPara"/>
        <w:rPr>
          <w:rStyle w:val="DefTerm"/>
        </w:rPr>
      </w:pPr>
      <w:bookmarkStart w:id="19" w:name="a297798"/>
      <w:r w:rsidRPr="001F2956">
        <w:rPr>
          <w:rStyle w:val="DefTerm"/>
        </w:rPr>
        <w:t>Start Date</w:t>
      </w:r>
      <w:r w:rsidRPr="001F2956">
        <w:rPr>
          <w:rStyle w:val="DefTerm"/>
          <w:b w:val="0"/>
          <w:bCs/>
        </w:rPr>
        <w:t xml:space="preserve">: </w:t>
      </w:r>
      <w:r w:rsidR="00F96049">
        <w:rPr>
          <w:rStyle w:val="DefTerm"/>
          <w:b w:val="0"/>
          <w:bCs/>
        </w:rPr>
        <w:t>4</w:t>
      </w:r>
      <w:r w:rsidR="00F96049" w:rsidRPr="00F96049">
        <w:rPr>
          <w:rStyle w:val="DefTerm"/>
          <w:b w:val="0"/>
          <w:bCs/>
          <w:vertAlign w:val="superscript"/>
        </w:rPr>
        <w:t>th</w:t>
      </w:r>
      <w:r w:rsidR="00F96049">
        <w:rPr>
          <w:rStyle w:val="DefTerm"/>
          <w:b w:val="0"/>
          <w:bCs/>
        </w:rPr>
        <w:t xml:space="preserve"> December 2023</w:t>
      </w:r>
      <w:r w:rsidRPr="001F2956">
        <w:rPr>
          <w:rStyle w:val="DefTerm"/>
          <w:b w:val="0"/>
          <w:bCs/>
        </w:rPr>
        <w:t>.</w:t>
      </w:r>
      <w:bookmarkEnd w:id="19"/>
    </w:p>
    <w:p w14:paraId="3C05C84B" w14:textId="468B493B" w:rsidR="00D671F9" w:rsidRPr="001F2956" w:rsidRDefault="00A1162D" w:rsidP="009B2B82">
      <w:pPr>
        <w:pStyle w:val="DefinedTermPara"/>
        <w:rPr>
          <w:b/>
        </w:rPr>
      </w:pPr>
      <w:bookmarkStart w:id="20" w:name="a801427"/>
      <w:r w:rsidRPr="001F2956">
        <w:rPr>
          <w:rStyle w:val="DefTerm"/>
        </w:rPr>
        <w:t>Substitute</w:t>
      </w:r>
      <w:r w:rsidRPr="001F2956">
        <w:rPr>
          <w:rStyle w:val="DefTerm"/>
        </w:rPr>
        <w:fldChar w:fldCharType="begin"/>
      </w:r>
      <w:r w:rsidRPr="001F2956">
        <w:rPr>
          <w:rStyle w:val="DefTerm"/>
        </w:rPr>
        <w:instrText xml:space="preserve"> MACROBUTTON optional </w:instrText>
      </w:r>
      <w:r w:rsidRPr="001F2956">
        <w:rPr>
          <w:rStyle w:val="DefTerm"/>
        </w:rPr>
        <w:fldChar w:fldCharType="end"/>
      </w:r>
      <w:r w:rsidRPr="001F2956">
        <w:t xml:space="preserve">: a substitute for the Individual appointed under the terms of </w:t>
      </w:r>
      <w:bookmarkEnd w:id="20"/>
      <w:r w:rsidR="00F26D09">
        <w:t>th</w:t>
      </w:r>
      <w:r w:rsidR="00A031AE">
        <w:t>is</w:t>
      </w:r>
      <w:r w:rsidR="00F26D09">
        <w:t xml:space="preserve"> agreement. </w:t>
      </w:r>
    </w:p>
    <w:p w14:paraId="44E1C681" w14:textId="77777777" w:rsidR="00D671F9" w:rsidRPr="001F2956" w:rsidRDefault="00A1162D" w:rsidP="009B2B82">
      <w:pPr>
        <w:pStyle w:val="DefinedTermPara"/>
        <w:rPr>
          <w:b/>
        </w:rPr>
      </w:pPr>
      <w:bookmarkStart w:id="21" w:name="a104386"/>
      <w:r w:rsidRPr="001F2956">
        <w:rPr>
          <w:rStyle w:val="DefTerm"/>
        </w:rPr>
        <w:t>Termination Date</w:t>
      </w:r>
      <w:r w:rsidRPr="001F2956">
        <w:t>: the date of termination of this agreement, howsoever arising.</w:t>
      </w:r>
      <w:bookmarkEnd w:id="21"/>
    </w:p>
    <w:p w14:paraId="248913DD" w14:textId="77777777" w:rsidR="00D671F9" w:rsidRPr="001F2956" w:rsidRDefault="00A1162D" w:rsidP="009B2B82">
      <w:pPr>
        <w:pStyle w:val="DefinedTermPara"/>
        <w:rPr>
          <w:b/>
        </w:rPr>
      </w:pPr>
      <w:bookmarkStart w:id="22" w:name="a631467"/>
      <w:r w:rsidRPr="001F2956">
        <w:rPr>
          <w:rStyle w:val="DefTerm"/>
        </w:rPr>
        <w:t>Works</w:t>
      </w:r>
      <w:r w:rsidRPr="001F2956">
        <w:t>: all records, reports, documents, papers, drawings, designs, transparencies, photos, graphics, logos, typographical arrangements, software programs, inventions, ideas, discoveries, developments, improvements or innovations and all materials embodying them in whatever form, including but not limited to hard copy and electronic form, prepared by the Consultant Company or the Individual in connection with the provision of the Services.</w:t>
      </w:r>
      <w:bookmarkEnd w:id="22"/>
    </w:p>
    <w:p w14:paraId="39CBC653" w14:textId="77777777" w:rsidR="00D671F9" w:rsidRPr="001F2956" w:rsidRDefault="00A1162D" w:rsidP="009B2B82">
      <w:pPr>
        <w:pStyle w:val="Untitledsubclause1"/>
      </w:pPr>
      <w:bookmarkStart w:id="23" w:name="a915862"/>
      <w:r w:rsidRPr="001F2956">
        <w:t>The headings in this agreement are inserted for convenience only and shall not affect its construction.</w:t>
      </w:r>
      <w:bookmarkEnd w:id="23"/>
    </w:p>
    <w:p w14:paraId="59842B1A" w14:textId="77777777" w:rsidR="00D671F9" w:rsidRPr="001F2956" w:rsidRDefault="00A1162D" w:rsidP="009B2B82">
      <w:pPr>
        <w:pStyle w:val="Untitledsubclause1"/>
      </w:pPr>
      <w:bookmarkStart w:id="24" w:name="a242266"/>
      <w:r w:rsidRPr="001F2956">
        <w:t>A reference to a particular law is a reference to it as it is in force for the time being taking account of any amendment, extension, or re-enactment and includes any subordinate legislation for the time being in force made under it.</w:t>
      </w:r>
      <w:bookmarkEnd w:id="24"/>
    </w:p>
    <w:p w14:paraId="3E767331" w14:textId="77777777" w:rsidR="00D671F9" w:rsidRPr="001F2956" w:rsidRDefault="00A1162D" w:rsidP="009B2B82">
      <w:pPr>
        <w:pStyle w:val="Untitledsubclause1"/>
      </w:pPr>
      <w:bookmarkStart w:id="25" w:name="a809163"/>
      <w:r w:rsidRPr="001F2956">
        <w:t xml:space="preserve">Unless the context otherwise requires, words in the singular shall include the plural </w:t>
      </w:r>
      <w:proofErr w:type="gramStart"/>
      <w:r w:rsidRPr="001F2956">
        <w:t>and in the plural</w:t>
      </w:r>
      <w:proofErr w:type="gramEnd"/>
      <w:r w:rsidRPr="001F2956">
        <w:t xml:space="preserve"> shall include the singular.</w:t>
      </w:r>
      <w:bookmarkEnd w:id="25"/>
    </w:p>
    <w:p w14:paraId="612DE41C" w14:textId="77777777" w:rsidR="00D671F9" w:rsidRPr="001F2956" w:rsidRDefault="00A1162D" w:rsidP="009B2B82">
      <w:pPr>
        <w:pStyle w:val="Untitledsubclause1"/>
      </w:pPr>
      <w:bookmarkStart w:id="26" w:name="a332752"/>
      <w:r w:rsidRPr="001F2956">
        <w:t>The Schedules form part of this agreement and shall have effect as if set out in full in the body of this agreement. Any reference to this agreement includes the Schedules.</w:t>
      </w:r>
      <w:bookmarkEnd w:id="26"/>
    </w:p>
    <w:p w14:paraId="3894E0B0" w14:textId="6DC6C829" w:rsidR="00D671F9" w:rsidRPr="001F2956" w:rsidRDefault="00A1162D" w:rsidP="009B2B82">
      <w:pPr>
        <w:pStyle w:val="Untitledsubclause1"/>
      </w:pPr>
      <w:r w:rsidRPr="001F2956">
        <w:fldChar w:fldCharType="begin"/>
      </w:r>
      <w:r w:rsidRPr="001F2956">
        <w:fldChar w:fldCharType="end"/>
      </w:r>
      <w:bookmarkStart w:id="27" w:name="a122863"/>
      <w:r w:rsidR="00A031AE">
        <w:t xml:space="preserve"> </w:t>
      </w:r>
      <w:r w:rsidRPr="001F2956">
        <w:t xml:space="preserve">A reference to a </w:t>
      </w:r>
      <w:r w:rsidRPr="001F2956">
        <w:rPr>
          <w:b/>
        </w:rPr>
        <w:t>holding company</w:t>
      </w:r>
      <w:r w:rsidRPr="001F2956">
        <w:t xml:space="preserve"> or a </w:t>
      </w:r>
      <w:r w:rsidRPr="001F2956">
        <w:rPr>
          <w:b/>
        </w:rPr>
        <w:t>subsidiary</w:t>
      </w:r>
      <w:r w:rsidRPr="001F2956">
        <w:t xml:space="preserve"> means a holding company or a subsidiary (as the case may be) as defined in section 1159 of the Companies Act 2006 [and a company shall be treated, for the purposes only of the membership requirement contained in sections 1159(1)(b) and (c), as a member of another company even if its shares in that other company are registered in the name of (a) another person (or its nominee), whether by way of security or in connection with the taking of security, or (b) as a nominee.</w:t>
      </w:r>
      <w:bookmarkEnd w:id="27"/>
    </w:p>
    <w:p w14:paraId="427C8399" w14:textId="77777777" w:rsidR="00D671F9" w:rsidRPr="001F2956" w:rsidRDefault="00A1162D" w:rsidP="009B2B82">
      <w:pPr>
        <w:pStyle w:val="TitleClause"/>
      </w:pPr>
      <w:r w:rsidRPr="001F2956">
        <w:lastRenderedPageBreak/>
        <w:fldChar w:fldCharType="begin"/>
      </w:r>
      <w:r w:rsidRPr="001F2956">
        <w:instrText>TC "2. Term of engagement" \l 1</w:instrText>
      </w:r>
      <w:r w:rsidRPr="001F2956">
        <w:fldChar w:fldCharType="end"/>
      </w:r>
      <w:bookmarkStart w:id="28" w:name="_Toc256000001"/>
      <w:bookmarkStart w:id="29" w:name="a806145"/>
      <w:r w:rsidRPr="001F2956">
        <w:t>Term of engagement</w:t>
      </w:r>
      <w:bookmarkEnd w:id="28"/>
      <w:bookmarkEnd w:id="29"/>
    </w:p>
    <w:p w14:paraId="3DD15F3F" w14:textId="1A0B5F43" w:rsidR="00D671F9" w:rsidRPr="001F2956" w:rsidRDefault="00A1162D" w:rsidP="009B2B82">
      <w:pPr>
        <w:pStyle w:val="Untitledsubclause1"/>
      </w:pPr>
      <w:bookmarkStart w:id="30" w:name="a993567"/>
      <w:r w:rsidRPr="001F2956">
        <w:t>The C</w:t>
      </w:r>
      <w:r w:rsidR="00722D7C">
        <w:t>ouncil</w:t>
      </w:r>
      <w:r w:rsidRPr="001F2956">
        <w:t xml:space="preserve"> shall engage the Consultant and the Consultant shall make available to the C</w:t>
      </w:r>
      <w:r w:rsidR="00DC3912">
        <w:t>ouncil</w:t>
      </w:r>
      <w:r w:rsidRPr="001F2956">
        <w:t xml:space="preserve"> the Individual to provide the Services on the terms of this agreement.</w:t>
      </w:r>
      <w:bookmarkEnd w:id="30"/>
    </w:p>
    <w:p w14:paraId="243FC57C" w14:textId="664FEB36" w:rsidR="00D671F9" w:rsidRPr="001F2956" w:rsidRDefault="00A1162D" w:rsidP="009B2B82">
      <w:pPr>
        <w:pStyle w:val="Untitledsubclause1"/>
      </w:pPr>
      <w:bookmarkStart w:id="31" w:name="a721672"/>
      <w:r w:rsidRPr="001F2956">
        <w:t xml:space="preserve">The Engagement shall start on the Start Date and shall </w:t>
      </w:r>
      <w:r w:rsidR="001C42EF">
        <w:t xml:space="preserve">end on the End Date </w:t>
      </w:r>
      <w:r w:rsidR="005E4D72" w:rsidRPr="001F2956">
        <w:t>unless terminated</w:t>
      </w:r>
      <w:r w:rsidRPr="001F2956">
        <w:t>:</w:t>
      </w:r>
      <w:bookmarkEnd w:id="31"/>
    </w:p>
    <w:p w14:paraId="3D87F878" w14:textId="77777777" w:rsidR="00D671F9" w:rsidRPr="001F2956" w:rsidRDefault="00A1162D" w:rsidP="009B2B82">
      <w:pPr>
        <w:pStyle w:val="Untitledsubclause2"/>
      </w:pPr>
      <w:bookmarkStart w:id="32" w:name="a646896"/>
      <w:r w:rsidRPr="001F2956">
        <w:t>as provided by the terms of this agreement; or</w:t>
      </w:r>
      <w:bookmarkEnd w:id="32"/>
    </w:p>
    <w:p w14:paraId="2453E5F1" w14:textId="0ACD5EA9" w:rsidR="00D671F9" w:rsidRPr="001F2956" w:rsidRDefault="00A1162D" w:rsidP="009B2B82">
      <w:pPr>
        <w:pStyle w:val="Untitledsubclause2"/>
      </w:pPr>
      <w:bookmarkStart w:id="33" w:name="a910345"/>
      <w:r w:rsidRPr="001F2956">
        <w:t xml:space="preserve">by either party giving to the other not less than </w:t>
      </w:r>
      <w:r w:rsidR="003970AB" w:rsidRPr="00F84E20">
        <w:t>thirty (30)</w:t>
      </w:r>
      <w:r w:rsidR="003970AB">
        <w:t xml:space="preserve"> days</w:t>
      </w:r>
      <w:r w:rsidRPr="001F2956">
        <w:t xml:space="preserve"> prior written notice.</w:t>
      </w:r>
      <w:bookmarkEnd w:id="33"/>
    </w:p>
    <w:p w14:paraId="41A919EE" w14:textId="77777777" w:rsidR="00D671F9" w:rsidRPr="001F2956" w:rsidRDefault="00A1162D" w:rsidP="009B2B82">
      <w:pPr>
        <w:pStyle w:val="TitleClause"/>
      </w:pPr>
      <w:r w:rsidRPr="001F2956">
        <w:fldChar w:fldCharType="begin"/>
      </w:r>
      <w:r w:rsidRPr="001F2956">
        <w:instrText>TC "3. Duties and obligations" \l 1</w:instrText>
      </w:r>
      <w:r w:rsidRPr="001F2956">
        <w:fldChar w:fldCharType="end"/>
      </w:r>
      <w:bookmarkStart w:id="34" w:name="_Toc256000002"/>
      <w:bookmarkStart w:id="35" w:name="a842186"/>
      <w:r w:rsidRPr="001F2956">
        <w:t>Duties and obligations</w:t>
      </w:r>
      <w:bookmarkEnd w:id="34"/>
      <w:bookmarkEnd w:id="35"/>
    </w:p>
    <w:p w14:paraId="0F548EF7" w14:textId="640E82BB" w:rsidR="00D671F9" w:rsidRPr="001F2956" w:rsidRDefault="00A1162D" w:rsidP="009B2B82">
      <w:pPr>
        <w:pStyle w:val="Untitledsubclause1"/>
      </w:pPr>
      <w:bookmarkStart w:id="36" w:name="a291552"/>
      <w:r w:rsidRPr="001F2956">
        <w:t>During the Engagement the Consultant shall, and (where appropriate) shall procure that the Individual shall:</w:t>
      </w:r>
      <w:bookmarkEnd w:id="36"/>
    </w:p>
    <w:p w14:paraId="39FD427E" w14:textId="56B0E21A" w:rsidR="00D671F9" w:rsidRPr="001F2956" w:rsidRDefault="00A1162D" w:rsidP="009B2B82">
      <w:pPr>
        <w:pStyle w:val="Untitledsubclause2"/>
      </w:pPr>
      <w:bookmarkStart w:id="37" w:name="a420641"/>
      <w:r w:rsidRPr="001F2956">
        <w:t xml:space="preserve">provide the </w:t>
      </w:r>
      <w:r w:rsidRPr="00710A42">
        <w:t>Services,</w:t>
      </w:r>
      <w:r w:rsidR="00F84E20" w:rsidRPr="00710A42">
        <w:t xml:space="preserve"> </w:t>
      </w:r>
      <w:r w:rsidRPr="00710A42">
        <w:t>including the Deliverables, with all</w:t>
      </w:r>
      <w:r w:rsidRPr="001F2956">
        <w:t xml:space="preserve"> due care, skill and ability and use its or their best endeavours to promote the interests of the </w:t>
      </w:r>
      <w:proofErr w:type="gramStart"/>
      <w:r w:rsidRPr="001F2956">
        <w:t>C</w:t>
      </w:r>
      <w:r w:rsidR="00DC3912">
        <w:t>ouncil</w:t>
      </w:r>
      <w:r w:rsidRPr="001F2956">
        <w:t>;</w:t>
      </w:r>
      <w:bookmarkEnd w:id="37"/>
      <w:proofErr w:type="gramEnd"/>
    </w:p>
    <w:p w14:paraId="43ECAE6B" w14:textId="4B2A9397" w:rsidR="00D671F9" w:rsidRPr="001F2956" w:rsidRDefault="00A1162D" w:rsidP="009B2B82">
      <w:pPr>
        <w:pStyle w:val="Untitledsubclause2"/>
      </w:pPr>
      <w:bookmarkStart w:id="38" w:name="a441138"/>
      <w:r w:rsidRPr="001F2956">
        <w:t>unless the Individual is prevented by ill health</w:t>
      </w:r>
      <w:r w:rsidR="00CD0300">
        <w:t>,</w:t>
      </w:r>
      <w:r w:rsidRPr="001F2956">
        <w:t xml:space="preserve"> </w:t>
      </w:r>
      <w:r w:rsidR="00055E60">
        <w:t>injury</w:t>
      </w:r>
      <w:r w:rsidR="00212A54">
        <w:t xml:space="preserve"> and/or </w:t>
      </w:r>
      <w:r w:rsidRPr="001F2956">
        <w:t>accident</w:t>
      </w:r>
      <w:r w:rsidR="00171F01">
        <w:t xml:space="preserve"> they must </w:t>
      </w:r>
      <w:r w:rsidRPr="001F2956">
        <w:t>carry out the Services together with such additional time if any as may be necessary for their proper performance</w:t>
      </w:r>
      <w:r w:rsidR="007A4D26">
        <w:t xml:space="preserve"> of this Engagement</w:t>
      </w:r>
      <w:r w:rsidR="00BE08F2">
        <w:rPr>
          <w:b/>
          <w:bCs/>
        </w:rPr>
        <w:t xml:space="preserve"> </w:t>
      </w:r>
      <w:r w:rsidR="00BE08F2" w:rsidRPr="00640DE5">
        <w:t>and</w:t>
      </w:r>
      <w:r w:rsidRPr="00640DE5">
        <w:t xml:space="preserve"> ensure that the Deliverables conform in all respects with, and are achieved by any deadlines specified in, </w:t>
      </w:r>
      <w:r w:rsidRPr="00640DE5">
        <w:fldChar w:fldCharType="begin"/>
      </w:r>
      <w:r w:rsidRPr="00640DE5">
        <w:instrText>REF a943751 \h \w</w:instrText>
      </w:r>
      <w:r w:rsidR="001F2956" w:rsidRPr="00640DE5">
        <w:instrText xml:space="preserve"> \* MERGEFORMAT </w:instrText>
      </w:r>
      <w:r w:rsidRPr="00640DE5">
        <w:fldChar w:fldCharType="separate"/>
      </w:r>
      <w:r w:rsidRPr="00640DE5">
        <w:t>Schedule 1</w:t>
      </w:r>
      <w:r w:rsidRPr="00640DE5">
        <w:fldChar w:fldCharType="end"/>
      </w:r>
      <w:r w:rsidRPr="00640DE5">
        <w:t xml:space="preserve"> and that the Deliverables shall be fit for any purpose expressly or implicitly made known to the Consultant by the C</w:t>
      </w:r>
      <w:r w:rsidR="00D95D08" w:rsidRPr="00640DE5">
        <w:t>ouncil</w:t>
      </w:r>
      <w:r w:rsidRPr="001F2956">
        <w:t xml:space="preserve">; and </w:t>
      </w:r>
      <w:r w:rsidRPr="001F2956">
        <w:fldChar w:fldCharType="begin"/>
      </w:r>
      <w:r w:rsidRPr="001F2956">
        <w:fldChar w:fldCharType="end"/>
      </w:r>
      <w:bookmarkEnd w:id="38"/>
    </w:p>
    <w:p w14:paraId="69EC261F" w14:textId="79E73CE8" w:rsidR="00D671F9" w:rsidRPr="001F2956" w:rsidRDefault="00A1162D" w:rsidP="009B2B82">
      <w:pPr>
        <w:pStyle w:val="Untitledsubclause2"/>
      </w:pPr>
      <w:bookmarkStart w:id="39" w:name="a886062"/>
      <w:r w:rsidRPr="001F2956">
        <w:t xml:space="preserve">promptly give to the </w:t>
      </w:r>
      <w:r w:rsidR="00247D31">
        <w:t>C</w:t>
      </w:r>
      <w:r w:rsidR="00641B3F">
        <w:t>ouncil</w:t>
      </w:r>
      <w:r w:rsidR="00247D31">
        <w:t xml:space="preserve"> </w:t>
      </w:r>
      <w:r w:rsidRPr="001F2956">
        <w:t>all such information and reports as it may reasonably require in connection with matters relating to the provision of the Services</w:t>
      </w:r>
      <w:r w:rsidR="00640DE5">
        <w:t>,</w:t>
      </w:r>
      <w:r w:rsidRPr="001F2956">
        <w:t xml:space="preserve"> </w:t>
      </w:r>
      <w:r w:rsidRPr="00640DE5">
        <w:t>including the Deliverables,</w:t>
      </w:r>
      <w:r w:rsidRPr="001F2956">
        <w:t xml:space="preserve"> or the Business of the C</w:t>
      </w:r>
      <w:r w:rsidR="00641B3F">
        <w:t>ouncil</w:t>
      </w:r>
      <w:r w:rsidRPr="001F2956">
        <w:t xml:space="preserve"> or any Group Company.</w:t>
      </w:r>
      <w:bookmarkEnd w:id="39"/>
    </w:p>
    <w:p w14:paraId="237F58A4" w14:textId="11D71B98" w:rsidR="00D671F9" w:rsidRPr="001F2956" w:rsidRDefault="00A1162D" w:rsidP="009B2B82">
      <w:pPr>
        <w:pStyle w:val="Untitledsubclause1"/>
      </w:pPr>
      <w:bookmarkStart w:id="40" w:name="a520932"/>
      <w:r w:rsidRPr="001F2956">
        <w:t>If the Individual is unable to provide the Services due to illness</w:t>
      </w:r>
      <w:r w:rsidR="006D203D">
        <w:t>,</w:t>
      </w:r>
      <w:r w:rsidRPr="001F2956">
        <w:t xml:space="preserve"> injury</w:t>
      </w:r>
      <w:r w:rsidR="006D203D">
        <w:t xml:space="preserve"> and/or accident</w:t>
      </w:r>
      <w:r w:rsidRPr="001F2956">
        <w:t xml:space="preserve">, the </w:t>
      </w:r>
      <w:r w:rsidR="00E80556" w:rsidRPr="001F2956">
        <w:t>Consultant shall</w:t>
      </w:r>
      <w:r w:rsidR="00E80556">
        <w:t xml:space="preserve"> promptly</w:t>
      </w:r>
      <w:r w:rsidR="00E00913">
        <w:t xml:space="preserve"> and in any event within one (1) Business Day</w:t>
      </w:r>
      <w:r w:rsidRPr="001F2956">
        <w:t xml:space="preserve"> advise the C</w:t>
      </w:r>
      <w:r w:rsidR="00715936">
        <w:t>ouncil</w:t>
      </w:r>
      <w:r w:rsidRPr="001F2956">
        <w:t xml:space="preserve"> of that fact. For the avoidance of doubt, no fee shall be payable in accordance with </w:t>
      </w:r>
      <w:r w:rsidRPr="001F2956">
        <w:fldChar w:fldCharType="begin"/>
      </w:r>
      <w:r w:rsidRPr="001F2956">
        <w:instrText>PAGEREF a942940\# "'clause '"  \h</w:instrText>
      </w:r>
      <w:r w:rsidRPr="001F2956">
        <w:fldChar w:fldCharType="separate"/>
      </w:r>
      <w:r w:rsidRPr="001F2956">
        <w:t xml:space="preserve">clause </w:t>
      </w:r>
      <w:r w:rsidRPr="001F2956">
        <w:fldChar w:fldCharType="end"/>
      </w:r>
      <w:r w:rsidRPr="001F2956">
        <w:fldChar w:fldCharType="begin"/>
      </w:r>
      <w:r w:rsidRPr="001F2956">
        <w:rPr>
          <w:highlight w:val="lightGray"/>
        </w:rPr>
        <w:instrText>REF a942940 \h \w</w:instrText>
      </w:r>
      <w:r w:rsidR="001F2956">
        <w:instrText xml:space="preserve"> \* MERGEFORMAT </w:instrText>
      </w:r>
      <w:r w:rsidRPr="001F2956">
        <w:fldChar w:fldCharType="separate"/>
      </w:r>
      <w:r w:rsidRPr="001F2956">
        <w:t>4</w:t>
      </w:r>
      <w:r w:rsidRPr="001F2956">
        <w:fldChar w:fldCharType="end"/>
      </w:r>
      <w:r w:rsidRPr="001F2956">
        <w:t xml:space="preserve"> in respect of any period during which the Services are not provided [or if Services are provided to </w:t>
      </w:r>
      <w:r w:rsidR="00792E43">
        <w:t>an inadequate standard, or where the Services are provided to an inadequate standard the Services are provided to</w:t>
      </w:r>
      <w:r w:rsidRPr="001F2956">
        <w:t>.</w:t>
      </w:r>
      <w:bookmarkEnd w:id="40"/>
    </w:p>
    <w:p w14:paraId="67785C33" w14:textId="2BC53E3B" w:rsidR="00D671F9" w:rsidRPr="001F2956" w:rsidRDefault="00A1162D" w:rsidP="009B2B82">
      <w:pPr>
        <w:pStyle w:val="Untitledsubclause1"/>
      </w:pPr>
      <w:r w:rsidRPr="001F2956">
        <w:fldChar w:fldCharType="begin"/>
      </w:r>
      <w:r w:rsidRPr="001F2956">
        <w:fldChar w:fldCharType="end"/>
      </w:r>
      <w:bookmarkStart w:id="41" w:name="a998955"/>
      <w:r w:rsidRPr="001F2956">
        <w:t xml:space="preserve">The Consultant may, with the prior written approval of the </w:t>
      </w:r>
      <w:r w:rsidR="003F6DBB" w:rsidRPr="001F2956">
        <w:t>C</w:t>
      </w:r>
      <w:r w:rsidR="003F6DBB">
        <w:t xml:space="preserve">ouncil </w:t>
      </w:r>
      <w:r w:rsidR="003F6DBB" w:rsidRPr="001F2956">
        <w:t>and</w:t>
      </w:r>
      <w:r w:rsidRPr="001F2956">
        <w:t xml:space="preserve"> subject to the following proviso, appoint a suitably qualified and skilled Substitute to perform the Services instead of the Individual, provided that the Substitute shall be required to </w:t>
      </w:r>
      <w:proofErr w:type="gramStart"/>
      <w:r w:rsidRPr="001F2956">
        <w:t>enter into</w:t>
      </w:r>
      <w:proofErr w:type="gramEnd"/>
      <w:r w:rsidRPr="001F2956">
        <w:t xml:space="preserve"> direct undertakings with the C</w:t>
      </w:r>
      <w:r w:rsidR="00A05FB0">
        <w:t>ouncil</w:t>
      </w:r>
      <w:r w:rsidRPr="001F2956">
        <w:t>, including with regard to confidentiality. If the C</w:t>
      </w:r>
      <w:r w:rsidR="00715936">
        <w:t>ouncil</w:t>
      </w:r>
      <w:r w:rsidRPr="001F2956">
        <w:t xml:space="preserve"> accepts the Substitute,</w:t>
      </w:r>
      <w:r w:rsidR="00A05FB0">
        <w:t xml:space="preserve"> </w:t>
      </w:r>
      <w:r w:rsidRPr="001F2956">
        <w:t>the Consultant shall continue to invoice the C</w:t>
      </w:r>
      <w:r w:rsidR="00065338">
        <w:t>ouncil</w:t>
      </w:r>
      <w:r w:rsidRPr="001F2956">
        <w:t xml:space="preserve"> in accordance with </w:t>
      </w:r>
      <w:r w:rsidRPr="001F2956">
        <w:fldChar w:fldCharType="begin"/>
      </w:r>
      <w:r w:rsidRPr="001F2956">
        <w:instrText>PAGEREF a942940\# "'clause '"  \h</w:instrText>
      </w:r>
      <w:r w:rsidRPr="001F2956">
        <w:fldChar w:fldCharType="separate"/>
      </w:r>
      <w:r w:rsidRPr="001F2956">
        <w:t xml:space="preserve">clause </w:t>
      </w:r>
      <w:r w:rsidRPr="001F2956">
        <w:fldChar w:fldCharType="end"/>
      </w:r>
      <w:r w:rsidRPr="001F2956">
        <w:fldChar w:fldCharType="begin"/>
      </w:r>
      <w:r w:rsidRPr="001F2956">
        <w:rPr>
          <w:highlight w:val="lightGray"/>
        </w:rPr>
        <w:instrText>REF a942940 \h \w</w:instrText>
      </w:r>
      <w:r w:rsidR="001F2956">
        <w:instrText xml:space="preserve"> \* MERGEFORMAT </w:instrText>
      </w:r>
      <w:r w:rsidRPr="001F2956">
        <w:fldChar w:fldCharType="separate"/>
      </w:r>
      <w:r w:rsidRPr="001F2956">
        <w:t>4</w:t>
      </w:r>
      <w:r w:rsidRPr="001F2956">
        <w:fldChar w:fldCharType="end"/>
      </w:r>
      <w:r w:rsidRPr="001F2956">
        <w:t xml:space="preserve"> and shall be responsible for the remuneration of the Substitute. </w:t>
      </w:r>
      <w:bookmarkEnd w:id="41"/>
    </w:p>
    <w:p w14:paraId="7A0F79C4" w14:textId="77777777" w:rsidR="00FE690C" w:rsidRDefault="00A1162D" w:rsidP="009B2B82">
      <w:pPr>
        <w:pStyle w:val="Untitledsubclause1"/>
      </w:pPr>
      <w:bookmarkStart w:id="42" w:name="a237851"/>
      <w:r w:rsidRPr="001F2956">
        <w:t xml:space="preserve">If a Substitute is </w:t>
      </w:r>
      <w:proofErr w:type="gramStart"/>
      <w:r w:rsidRPr="001F2956">
        <w:t>appointed</w:t>
      </w:r>
      <w:r w:rsidR="00FE690C">
        <w:t>;</w:t>
      </w:r>
      <w:proofErr w:type="gramEnd"/>
    </w:p>
    <w:p w14:paraId="5D6F3468" w14:textId="0E3A5173" w:rsidR="00FE690C" w:rsidRDefault="00A1162D" w:rsidP="00FE690C">
      <w:pPr>
        <w:pStyle w:val="Untitledsubclause3"/>
      </w:pPr>
      <w:r w:rsidRPr="001F2956">
        <w:lastRenderedPageBreak/>
        <w:t xml:space="preserve">the provisions relating to sub-processor obligations in </w:t>
      </w:r>
      <w:r w:rsidRPr="001F2956">
        <w:fldChar w:fldCharType="begin"/>
      </w:r>
      <w:r w:rsidRPr="001F2956">
        <w:instrText>PAGEREF a876826\# "'clause '"  \h</w:instrText>
      </w:r>
      <w:r w:rsidRPr="001F2956">
        <w:fldChar w:fldCharType="separate"/>
      </w:r>
      <w:r w:rsidRPr="001F2956">
        <w:t xml:space="preserve">clause </w:t>
      </w:r>
      <w:r w:rsidRPr="001F2956">
        <w:fldChar w:fldCharType="end"/>
      </w:r>
      <w:r w:rsidRPr="001F2956">
        <w:fldChar w:fldCharType="begin"/>
      </w:r>
      <w:r w:rsidRPr="00FE690C">
        <w:rPr>
          <w:highlight w:val="lightGray"/>
        </w:rPr>
        <w:instrText>REF a876826 \h \w</w:instrText>
      </w:r>
      <w:r w:rsidR="001F2956">
        <w:instrText xml:space="preserve"> \* MERGEFORMAT </w:instrText>
      </w:r>
      <w:r w:rsidRPr="001F2956">
        <w:fldChar w:fldCharType="separate"/>
      </w:r>
      <w:r w:rsidRPr="001F2956">
        <w:t>8</w:t>
      </w:r>
      <w:r w:rsidRPr="001F2956">
        <w:fldChar w:fldCharType="end"/>
      </w:r>
      <w:r w:rsidRPr="001F2956">
        <w:t xml:space="preserve"> will apply</w:t>
      </w:r>
      <w:r w:rsidR="00FE690C">
        <w:t xml:space="preserve"> to the Substitute; and </w:t>
      </w:r>
    </w:p>
    <w:p w14:paraId="0F75FB74" w14:textId="09DC2474" w:rsidR="00D671F9" w:rsidRPr="001F2956" w:rsidRDefault="00A1162D" w:rsidP="00FE690C">
      <w:pPr>
        <w:pStyle w:val="Untitledsubclause3"/>
      </w:pPr>
      <w:r w:rsidRPr="001F2956">
        <w:t xml:space="preserve"> and references in this agreement to the Individual shall include references to the Substitute.</w:t>
      </w:r>
      <w:bookmarkEnd w:id="42"/>
    </w:p>
    <w:p w14:paraId="3C3C4C56" w14:textId="2F34116B" w:rsidR="00D671F9" w:rsidRPr="001F2956" w:rsidRDefault="00A1162D" w:rsidP="009B2B82">
      <w:pPr>
        <w:pStyle w:val="Untitledsubclause1"/>
      </w:pPr>
      <w:bookmarkStart w:id="43" w:name="a765295"/>
      <w:r w:rsidRPr="001F2956">
        <w:t>The Consultant shall use its reasonable endeavours to ensure that the Individual is available on reasonable notice to provide such assistance or information as the C</w:t>
      </w:r>
      <w:r w:rsidR="00775A68">
        <w:t>ouncil</w:t>
      </w:r>
      <w:r w:rsidRPr="001F2956">
        <w:t xml:space="preserve"> may require.</w:t>
      </w:r>
      <w:bookmarkEnd w:id="43"/>
    </w:p>
    <w:p w14:paraId="704945BF" w14:textId="76371773" w:rsidR="00D671F9" w:rsidRPr="001F2956" w:rsidRDefault="00A1162D" w:rsidP="009B2B82">
      <w:pPr>
        <w:pStyle w:val="Untitledsubclause1"/>
      </w:pPr>
      <w:bookmarkStart w:id="44" w:name="a928854"/>
      <w:r w:rsidRPr="001F2956">
        <w:t>Unless it or they have been specifically authorised to do so by the C</w:t>
      </w:r>
      <w:r w:rsidR="00775A68">
        <w:t>ouncil</w:t>
      </w:r>
      <w:r w:rsidRPr="001F2956">
        <w:t xml:space="preserve"> in</w:t>
      </w:r>
      <w:r w:rsidR="00566D0E">
        <w:t xml:space="preserve"> advance and in</w:t>
      </w:r>
      <w:r w:rsidRPr="001F2956">
        <w:t xml:space="preserve"> writing: </w:t>
      </w:r>
      <w:bookmarkEnd w:id="44"/>
    </w:p>
    <w:p w14:paraId="4605ADAB" w14:textId="4F369109" w:rsidR="00D671F9" w:rsidRPr="001F2956" w:rsidRDefault="00A1162D" w:rsidP="009B2B82">
      <w:pPr>
        <w:pStyle w:val="Untitledsubclause2"/>
      </w:pPr>
      <w:bookmarkStart w:id="45" w:name="a329674"/>
      <w:r w:rsidRPr="001F2956">
        <w:t>neither the Consultant nor the Individual shall have any authority to incur any expenditure in the name of or for the account of the C</w:t>
      </w:r>
      <w:r w:rsidR="00775A68">
        <w:t>ouncil</w:t>
      </w:r>
      <w:r w:rsidRPr="001F2956">
        <w:t>; and</w:t>
      </w:r>
      <w:bookmarkEnd w:id="45"/>
    </w:p>
    <w:p w14:paraId="62E44792" w14:textId="33AACF9D" w:rsidR="00D671F9" w:rsidRPr="001F2956" w:rsidRDefault="00A1162D" w:rsidP="009B2B82">
      <w:pPr>
        <w:pStyle w:val="Untitledsubclause2"/>
      </w:pPr>
      <w:bookmarkStart w:id="46" w:name="a464671"/>
      <w:r w:rsidRPr="001F2956">
        <w:t>the Consultant shall not, and shall procure that the Individual shall not, hold itself out as having authority to bind the C</w:t>
      </w:r>
      <w:r w:rsidR="00775A68">
        <w:t>ouncil</w:t>
      </w:r>
      <w:r w:rsidRPr="001F2956">
        <w:t>.</w:t>
      </w:r>
      <w:bookmarkEnd w:id="46"/>
    </w:p>
    <w:p w14:paraId="6A9A8CB2" w14:textId="09AEC035" w:rsidR="00D671F9" w:rsidRPr="001F2956" w:rsidRDefault="00A1162D" w:rsidP="009B2B82">
      <w:pPr>
        <w:pStyle w:val="Untitledsubclause1"/>
      </w:pPr>
      <w:bookmarkStart w:id="47" w:name="a547116"/>
      <w:r w:rsidRPr="001F2956">
        <w:t xml:space="preserve">The Consultant shall, and shall procure that the Individual shall, comply with all reasonable standards of </w:t>
      </w:r>
      <w:r w:rsidR="007453C3">
        <w:t xml:space="preserve">health and </w:t>
      </w:r>
      <w:r w:rsidRPr="001F2956">
        <w:t>safety and comply with the C</w:t>
      </w:r>
      <w:r w:rsidR="00775A68">
        <w:t>ouncil</w:t>
      </w:r>
      <w:r w:rsidR="00254C01">
        <w:t>’</w:t>
      </w:r>
      <w:r w:rsidRPr="001F2956">
        <w:t>s health and safety procedures from time to time in force at any of the C</w:t>
      </w:r>
      <w:r w:rsidR="000D73E3">
        <w:t>ouncil</w:t>
      </w:r>
      <w:r w:rsidRPr="001F2956">
        <w:t>'s premises at which the Services are provided and report to the C</w:t>
      </w:r>
      <w:r w:rsidR="000D73E3">
        <w:t>ouncil</w:t>
      </w:r>
      <w:r w:rsidRPr="001F2956">
        <w:t xml:space="preserve"> any unsafe working conditions or practices.</w:t>
      </w:r>
      <w:bookmarkEnd w:id="47"/>
    </w:p>
    <w:p w14:paraId="46146EA4" w14:textId="52DBC3E4" w:rsidR="00D671F9" w:rsidRPr="001F2956" w:rsidRDefault="00A1162D" w:rsidP="009B2B82">
      <w:pPr>
        <w:pStyle w:val="Untitledsubclause1"/>
      </w:pPr>
      <w:bookmarkStart w:id="48" w:name="a569849"/>
      <w:r w:rsidRPr="001F2956">
        <w:t>The Consultant shall procure that the Individual shall comply with the C</w:t>
      </w:r>
      <w:r w:rsidR="000D73E3">
        <w:t>ouncil</w:t>
      </w:r>
      <w:r w:rsidRPr="001F2956">
        <w:t>'s policies on</w:t>
      </w:r>
      <w:r w:rsidR="003D2C5D">
        <w:t>, inter alia,</w:t>
      </w:r>
      <w:r w:rsidRPr="001F2956">
        <w:t xml:space="preserve"> social media</w:t>
      </w:r>
      <w:r w:rsidR="002E48B5">
        <w:t xml:space="preserve">, </w:t>
      </w:r>
      <w:r w:rsidRPr="001F2956">
        <w:t>use of information and communication systems</w:t>
      </w:r>
      <w:r w:rsidR="002E48B5">
        <w:t xml:space="preserve">, </w:t>
      </w:r>
      <w:r w:rsidRPr="001F2956">
        <w:t>anti-harassment and bullying</w:t>
      </w:r>
      <w:r w:rsidR="002E48B5">
        <w:t xml:space="preserve">, </w:t>
      </w:r>
      <w:r w:rsidRPr="001F2956">
        <w:t>no smoking</w:t>
      </w:r>
      <w:r w:rsidR="002E48B5">
        <w:t xml:space="preserve">, </w:t>
      </w:r>
      <w:r w:rsidRPr="001F2956">
        <w:t>substance misuse</w:t>
      </w:r>
      <w:r w:rsidR="002E48B5">
        <w:t xml:space="preserve"> and </w:t>
      </w:r>
      <w:r w:rsidRPr="001F2956">
        <w:t>equal opportunities</w:t>
      </w:r>
      <w:r w:rsidR="004046E2">
        <w:t xml:space="preserve">. </w:t>
      </w:r>
      <w:bookmarkEnd w:id="48"/>
    </w:p>
    <w:p w14:paraId="18E56B96" w14:textId="4EC545C8" w:rsidR="00D671F9" w:rsidRPr="001F2956" w:rsidRDefault="00A1162D" w:rsidP="009B2B82">
      <w:pPr>
        <w:pStyle w:val="Untitledsubclause1"/>
      </w:pPr>
      <w:bookmarkStart w:id="49" w:name="a399361"/>
      <w:r w:rsidRPr="001F2956">
        <w:t>The Consultant undertakes to the C</w:t>
      </w:r>
      <w:r w:rsidR="001251CF">
        <w:t>ouncil</w:t>
      </w:r>
      <w:r w:rsidRPr="001F2956">
        <w:t xml:space="preserve"> that during the Engagement it shall, and shall procure that the Individual shall, take all reasonable steps to offer (or cause to be offered) to the C</w:t>
      </w:r>
      <w:r w:rsidR="001251CF">
        <w:t>ouncil</w:t>
      </w:r>
      <w:r w:rsidRPr="001F2956">
        <w:t xml:space="preserve"> any Business Opportunities as soon as practicable after the same shall have come to its or their knowledge and, in any event, before the same shall have been offered by the Consultant or the Individual (or caused by the Consultant or the Individual to be offered) to any other party provided that nothing in this clause shall require the Consultant or the Individual to disclose any Business Opportunities to the C</w:t>
      </w:r>
      <w:r w:rsidR="001251CF">
        <w:t>ouncil</w:t>
      </w:r>
      <w:r w:rsidRPr="001F2956">
        <w:t xml:space="preserve"> if to do so would result in a breach by the Consultant or the Individual of any obligation of confidentiality or of any fiduciary duty owed by it or them to any third party.</w:t>
      </w:r>
      <w:bookmarkEnd w:id="49"/>
    </w:p>
    <w:p w14:paraId="345D2373" w14:textId="0D77595D" w:rsidR="00D671F9" w:rsidRPr="001F2956" w:rsidRDefault="00A1162D" w:rsidP="009B2B82">
      <w:pPr>
        <w:pStyle w:val="Untitledsubclause1"/>
      </w:pPr>
      <w:bookmarkStart w:id="50" w:name="a151026"/>
      <w:r w:rsidRPr="001F2956">
        <w:t xml:space="preserve">The Consultant may use a third party to perform any administrative, </w:t>
      </w:r>
      <w:proofErr w:type="gramStart"/>
      <w:r w:rsidRPr="001F2956">
        <w:t>clerical</w:t>
      </w:r>
      <w:proofErr w:type="gramEnd"/>
      <w:r w:rsidRPr="001F2956">
        <w:t xml:space="preserve"> or secretarial functions which are reasonably incidental to the provision of the Services provided that: </w:t>
      </w:r>
      <w:bookmarkEnd w:id="50"/>
    </w:p>
    <w:p w14:paraId="7425B0F7" w14:textId="1C4175F8" w:rsidR="00D671F9" w:rsidRPr="001F2956" w:rsidRDefault="00A1162D" w:rsidP="009B2B82">
      <w:pPr>
        <w:pStyle w:val="Untitledsubclause2"/>
      </w:pPr>
      <w:bookmarkStart w:id="51" w:name="a666557"/>
      <w:r w:rsidRPr="001F2956">
        <w:t>the C</w:t>
      </w:r>
      <w:r w:rsidR="00144D7C">
        <w:t>ouncil</w:t>
      </w:r>
      <w:r w:rsidRPr="001F2956">
        <w:t xml:space="preserve"> will not be liable to bear the cost of such functions; and</w:t>
      </w:r>
      <w:bookmarkEnd w:id="51"/>
    </w:p>
    <w:p w14:paraId="6502EACA" w14:textId="590C8C9C" w:rsidR="00D671F9" w:rsidRPr="001F2956" w:rsidRDefault="00A1162D" w:rsidP="009B2B82">
      <w:pPr>
        <w:pStyle w:val="Untitledsubclause2"/>
      </w:pPr>
      <w:bookmarkStart w:id="52" w:name="a117139"/>
      <w:r w:rsidRPr="001F2956">
        <w:t>at the C</w:t>
      </w:r>
      <w:r w:rsidR="00144D7C">
        <w:t>ouncil</w:t>
      </w:r>
      <w:r w:rsidRPr="001F2956">
        <w:t xml:space="preserve">'s request the third party shall be required to </w:t>
      </w:r>
      <w:proofErr w:type="gramStart"/>
      <w:r w:rsidRPr="001F2956">
        <w:t>enter into</w:t>
      </w:r>
      <w:proofErr w:type="gramEnd"/>
      <w:r w:rsidRPr="001F2956">
        <w:t xml:space="preserve"> direct undertakings with the C</w:t>
      </w:r>
      <w:r w:rsidR="00144D7C">
        <w:t>ouncil</w:t>
      </w:r>
      <w:r w:rsidRPr="001F2956">
        <w:t>, including with regard to confidentiality.</w:t>
      </w:r>
      <w:bookmarkEnd w:id="52"/>
    </w:p>
    <w:p w14:paraId="3BF63959" w14:textId="3FF3569C" w:rsidR="00D671F9" w:rsidRPr="001F2956" w:rsidRDefault="00A1162D" w:rsidP="009B2B82">
      <w:pPr>
        <w:pStyle w:val="Untitledsubclause1"/>
      </w:pPr>
      <w:bookmarkStart w:id="53" w:name="a448054"/>
      <w:r w:rsidRPr="001F2956">
        <w:lastRenderedPageBreak/>
        <w:t xml:space="preserve">The Consultant shall, and shall procure that the Individual shall, promptly give to the </w:t>
      </w:r>
      <w:r w:rsidR="004E4ABE">
        <w:t>Council</w:t>
      </w:r>
      <w:r w:rsidRPr="001F2956">
        <w:t xml:space="preserve"> all such information and documentation as it may reasonably require from time to time in order for the C</w:t>
      </w:r>
      <w:r w:rsidR="004E4ABE">
        <w:t>ouncil</w:t>
      </w:r>
      <w:r w:rsidRPr="001F2956">
        <w:t xml:space="preserve"> to determine whether the Engagement is or will be within the Off-payroll Working rules and is or will be Deemed Employment and, if the C</w:t>
      </w:r>
      <w:r w:rsidR="004E4ABE">
        <w:t>ouncil</w:t>
      </w:r>
      <w:r w:rsidRPr="001F2956">
        <w:t xml:space="preserve"> determines the Engagement is Deemed Employment, in order to comply with any obligation on the C</w:t>
      </w:r>
      <w:r w:rsidR="00474828">
        <w:t>ouncil</w:t>
      </w:r>
      <w:r w:rsidRPr="001F2956">
        <w:t xml:space="preserve"> to deduct and account for tax or national insurance contributions from the fees due under </w:t>
      </w:r>
      <w:r w:rsidRPr="001F2956">
        <w:fldChar w:fldCharType="begin"/>
      </w:r>
      <w:r w:rsidRPr="001F2956">
        <w:instrText>PAGEREF a942940\# "'clause '"  \h</w:instrText>
      </w:r>
      <w:r w:rsidRPr="001F2956">
        <w:fldChar w:fldCharType="separate"/>
      </w:r>
      <w:r w:rsidRPr="001F2956">
        <w:t xml:space="preserve">clause </w:t>
      </w:r>
      <w:r w:rsidRPr="001F2956">
        <w:fldChar w:fldCharType="end"/>
      </w:r>
      <w:r w:rsidRPr="001F2956">
        <w:fldChar w:fldCharType="begin"/>
      </w:r>
      <w:r w:rsidRPr="001F2956">
        <w:rPr>
          <w:highlight w:val="lightGray"/>
        </w:rPr>
        <w:instrText>REF a942940 \h \w</w:instrText>
      </w:r>
      <w:r w:rsidR="001F2956">
        <w:instrText xml:space="preserve"> \* MERGEFORMAT </w:instrText>
      </w:r>
      <w:r w:rsidRPr="001F2956">
        <w:fldChar w:fldCharType="separate"/>
      </w:r>
      <w:r w:rsidRPr="001F2956">
        <w:t>4</w:t>
      </w:r>
      <w:r w:rsidRPr="001F2956">
        <w:fldChar w:fldCharType="end"/>
      </w:r>
      <w:r w:rsidRPr="001F2956">
        <w:t>. The Consultant</w:t>
      </w:r>
      <w:r w:rsidR="007206F4">
        <w:t xml:space="preserve"> </w:t>
      </w:r>
      <w:r w:rsidRPr="001F2956">
        <w:t xml:space="preserve">shall, and shall procure that the Individual shall, promptly inform the </w:t>
      </w:r>
      <w:r w:rsidR="00474828">
        <w:t>Council</w:t>
      </w:r>
      <w:r w:rsidRPr="001F2956">
        <w:t xml:space="preserve"> of any material change to any information or documentation previously provided in compliance with this clause and shall also promptly provide any other information or documentation that it considers (or ought reasonably to consider) to be materially relevant to determining whether the Engagement is Deemed Employment. Subject to clause 16, the C</w:t>
      </w:r>
      <w:r w:rsidR="00474828">
        <w:t>ouncil</w:t>
      </w:r>
      <w:r w:rsidRPr="001F2956">
        <w:t xml:space="preserve"> reserves the right to amend the terms of the Engagement, and this agreement, if the Engagement is determined to be Deemed Employment.</w:t>
      </w:r>
      <w:bookmarkEnd w:id="53"/>
    </w:p>
    <w:p w14:paraId="7002EFBC" w14:textId="2D9F9AD6" w:rsidR="00D671F9" w:rsidRPr="001F2956" w:rsidRDefault="00A1162D" w:rsidP="009B2B82">
      <w:pPr>
        <w:pStyle w:val="Untitledsubclause1"/>
      </w:pPr>
      <w:bookmarkStart w:id="54" w:name="a338894"/>
      <w:r w:rsidRPr="001F2956">
        <w:t>The Consultant shall, and shall procure that the Individual shall:</w:t>
      </w:r>
      <w:bookmarkEnd w:id="54"/>
    </w:p>
    <w:p w14:paraId="3BB3E86C" w14:textId="62946D1F" w:rsidR="00D671F9" w:rsidRPr="001F2956" w:rsidRDefault="00A1162D" w:rsidP="009B2B82">
      <w:pPr>
        <w:pStyle w:val="Untitledsubclause2"/>
      </w:pPr>
      <w:bookmarkStart w:id="55" w:name="a920922"/>
      <w:r w:rsidRPr="001F2956">
        <w:t>comply with all applicable laws, regulations, codes and sanctions relating to anti-bribery</w:t>
      </w:r>
      <w:r w:rsidR="009C3A28">
        <w:t>,</w:t>
      </w:r>
      <w:r w:rsidRPr="001F2956">
        <w:t xml:space="preserve"> anti-corruption</w:t>
      </w:r>
      <w:r w:rsidR="009C3A28">
        <w:t xml:space="preserve"> and anti-slavery</w:t>
      </w:r>
      <w:r w:rsidRPr="001F2956">
        <w:t xml:space="preserve"> including but not limited to the Bribery Act 2010 </w:t>
      </w:r>
      <w:r w:rsidR="00407494">
        <w:t xml:space="preserve">and </w:t>
      </w:r>
      <w:r w:rsidR="004B646A">
        <w:t xml:space="preserve">the </w:t>
      </w:r>
      <w:r w:rsidR="00407494" w:rsidRPr="008A2EB9">
        <w:rPr>
          <w:rStyle w:val="normaltextrun"/>
          <w:szCs w:val="22"/>
          <w:bdr w:val="none" w:sz="0" w:space="0" w:color="auto" w:frame="1"/>
        </w:rPr>
        <w:t xml:space="preserve">Modern Slavery Act </w:t>
      </w:r>
      <w:proofErr w:type="gramStart"/>
      <w:r w:rsidR="00407494" w:rsidRPr="008A2EB9">
        <w:rPr>
          <w:rStyle w:val="normaltextrun"/>
          <w:szCs w:val="22"/>
          <w:bdr w:val="none" w:sz="0" w:space="0" w:color="auto" w:frame="1"/>
        </w:rPr>
        <w:t>2015</w:t>
      </w:r>
      <w:r w:rsidRPr="001F2956">
        <w:t>;</w:t>
      </w:r>
      <w:bookmarkEnd w:id="55"/>
      <w:proofErr w:type="gramEnd"/>
    </w:p>
    <w:p w14:paraId="7FE84B13" w14:textId="002EAFF5" w:rsidR="00D671F9" w:rsidRPr="001F2956" w:rsidRDefault="00A1162D" w:rsidP="009B2B82">
      <w:pPr>
        <w:pStyle w:val="Untitledsubclause2"/>
      </w:pPr>
      <w:r w:rsidRPr="001F2956">
        <w:fldChar w:fldCharType="begin"/>
      </w:r>
      <w:r w:rsidRPr="001F2956">
        <w:fldChar w:fldCharType="end"/>
      </w:r>
      <w:bookmarkStart w:id="56" w:name="a758982"/>
      <w:r w:rsidRPr="001F2956">
        <w:t xml:space="preserve">not engage in any activity, practice or conduct which would constitute an offence under sections 1, 2 or 6 of the Bribery Act 2010 if such activity, practice or conduct had been carried out in the </w:t>
      </w:r>
      <w:proofErr w:type="gramStart"/>
      <w:r w:rsidRPr="001F2956">
        <w:t>UK;</w:t>
      </w:r>
      <w:bookmarkEnd w:id="56"/>
      <w:proofErr w:type="gramEnd"/>
    </w:p>
    <w:p w14:paraId="2D4324B1" w14:textId="78EA0E7D" w:rsidR="00D671F9" w:rsidRPr="001F2956" w:rsidRDefault="00A1162D" w:rsidP="009B2B82">
      <w:pPr>
        <w:pStyle w:val="Untitledsubclause2"/>
      </w:pPr>
      <w:bookmarkStart w:id="57" w:name="a671913"/>
      <w:r w:rsidRPr="001F2956">
        <w:t>have and shall maintain in place throughout the term of this agreement its own policies and procedures, including but not limited to adequate procedures under the Bribery Act 2010</w:t>
      </w:r>
      <w:r w:rsidR="00AD5F23">
        <w:t xml:space="preserve"> </w:t>
      </w:r>
      <w:r w:rsidR="00AD5F23" w:rsidRPr="005A35A7">
        <w:rPr>
          <w:szCs w:val="22"/>
        </w:rPr>
        <w:t xml:space="preserve">and </w:t>
      </w:r>
      <w:r w:rsidR="003C3AA7">
        <w:rPr>
          <w:szCs w:val="22"/>
        </w:rPr>
        <w:t xml:space="preserve">the </w:t>
      </w:r>
      <w:r w:rsidR="00AD5F23" w:rsidRPr="005A35A7">
        <w:rPr>
          <w:rStyle w:val="normaltextrun"/>
          <w:szCs w:val="22"/>
          <w:bdr w:val="none" w:sz="0" w:space="0" w:color="auto" w:frame="1"/>
        </w:rPr>
        <w:t>Modern Slavery Act 2015</w:t>
      </w:r>
      <w:r w:rsidRPr="001F2956">
        <w:t xml:space="preserve">, and will enforce them where </w:t>
      </w:r>
      <w:proofErr w:type="gramStart"/>
      <w:r w:rsidRPr="001F2956">
        <w:t>appropriate;</w:t>
      </w:r>
      <w:bookmarkEnd w:id="57"/>
      <w:proofErr w:type="gramEnd"/>
    </w:p>
    <w:p w14:paraId="03E3587F" w14:textId="534A0CAE" w:rsidR="00D671F9" w:rsidRPr="001F2956" w:rsidRDefault="00A1162D" w:rsidP="009B2B82">
      <w:pPr>
        <w:pStyle w:val="Untitledsubclause2"/>
      </w:pPr>
      <w:bookmarkStart w:id="58" w:name="a898106"/>
      <w:r w:rsidRPr="001F2956">
        <w:t>promptly report to the C</w:t>
      </w:r>
      <w:r w:rsidR="003A7D98">
        <w:t>ouncil</w:t>
      </w:r>
      <w:r w:rsidRPr="001F2956">
        <w:t xml:space="preserve"> any request or demand for any undue financial or other advantage of any kind received by the Consultant or the Individual in connection with the performance of this </w:t>
      </w:r>
      <w:proofErr w:type="gramStart"/>
      <w:r w:rsidRPr="001F2956">
        <w:t>agreement;</w:t>
      </w:r>
      <w:bookmarkEnd w:id="58"/>
      <w:proofErr w:type="gramEnd"/>
    </w:p>
    <w:p w14:paraId="43C6AA79" w14:textId="7A216E8E" w:rsidR="00D671F9" w:rsidRPr="001F2956" w:rsidRDefault="00A1162D" w:rsidP="009B2B82">
      <w:pPr>
        <w:pStyle w:val="Untitledsubclause2"/>
      </w:pPr>
      <w:bookmarkStart w:id="59" w:name="a145024"/>
      <w:r w:rsidRPr="001F2956">
        <w:t>immediately notify the C</w:t>
      </w:r>
      <w:r w:rsidR="003A7D98">
        <w:t>ouncil</w:t>
      </w:r>
      <w:r w:rsidRPr="001F2956">
        <w:t xml:space="preserve"> if a foreign public official becomes an officer or employee of the Consultant or acquires a direct or indirect interest in the Consultant (and the Consultant warrants that it has no foreign public officials as officers, employees or direct or indirect owners at the date of this agreement</w:t>
      </w:r>
      <w:proofErr w:type="gramStart"/>
      <w:r w:rsidRPr="001F2956">
        <w:t>);</w:t>
      </w:r>
      <w:bookmarkEnd w:id="59"/>
      <w:proofErr w:type="gramEnd"/>
    </w:p>
    <w:p w14:paraId="3786AF7C" w14:textId="6205A5C0" w:rsidR="00D671F9" w:rsidRPr="001F2956" w:rsidRDefault="00A1162D" w:rsidP="009B2B82">
      <w:pPr>
        <w:pStyle w:val="Untitledsubclause2"/>
      </w:pPr>
      <w:bookmarkStart w:id="60" w:name="a436315"/>
      <w:r w:rsidRPr="001F2956">
        <w:t xml:space="preserve">ensure that all persons associated with the Consultant or other persons who are performing services  in connection with this agreement comply with this </w:t>
      </w:r>
      <w:r w:rsidRPr="001F2956">
        <w:fldChar w:fldCharType="begin"/>
      </w:r>
      <w:r w:rsidRPr="001F2956">
        <w:instrText>PAGEREF a338894\# "'clause '"  \h</w:instrText>
      </w:r>
      <w:r w:rsidRPr="001F2956">
        <w:fldChar w:fldCharType="separate"/>
      </w:r>
      <w:r w:rsidRPr="001F2956">
        <w:t xml:space="preserve">clause </w:t>
      </w:r>
      <w:r w:rsidRPr="001F2956">
        <w:fldChar w:fldCharType="end"/>
      </w:r>
      <w:r w:rsidRPr="001F2956">
        <w:fldChar w:fldCharType="begin"/>
      </w:r>
      <w:r w:rsidRPr="001F2956">
        <w:rPr>
          <w:highlight w:val="lightGray"/>
        </w:rPr>
        <w:instrText>REF a338894 \h \w</w:instrText>
      </w:r>
      <w:r w:rsidR="001F2956">
        <w:instrText xml:space="preserve"> \* MERGEFORMAT </w:instrText>
      </w:r>
      <w:r w:rsidRPr="001F2956">
        <w:fldChar w:fldCharType="separate"/>
      </w:r>
      <w:r w:rsidRPr="001F2956">
        <w:t>3.12</w:t>
      </w:r>
      <w:r w:rsidRPr="001F2956">
        <w:fldChar w:fldCharType="end"/>
      </w:r>
      <w:r w:rsidRPr="001F2956">
        <w:t>; and</w:t>
      </w:r>
      <w:bookmarkEnd w:id="60"/>
    </w:p>
    <w:p w14:paraId="4507057C" w14:textId="63613D54" w:rsidR="00D671F9" w:rsidRPr="001F2956" w:rsidRDefault="00216E7E" w:rsidP="009B2B82">
      <w:pPr>
        <w:pStyle w:val="Untitledsubclause2"/>
      </w:pPr>
      <w:bookmarkStart w:id="61" w:name="a432943"/>
      <w:r>
        <w:t xml:space="preserve">on the Council’s written request, promptly and in any event within three (3) Business Days </w:t>
      </w:r>
      <w:r w:rsidR="00A1162D" w:rsidRPr="001F2956">
        <w:t>to the C</w:t>
      </w:r>
      <w:r w:rsidR="000B6FA0">
        <w:t>ouncil</w:t>
      </w:r>
      <w:r w:rsidR="00A1162D" w:rsidRPr="001F2956">
        <w:t xml:space="preserve"> in writing signed by an officer of the Consultant, compliance with this </w:t>
      </w:r>
      <w:r w:rsidR="00A1162D" w:rsidRPr="001F2956">
        <w:fldChar w:fldCharType="begin"/>
      </w:r>
      <w:r w:rsidR="00A1162D" w:rsidRPr="001F2956">
        <w:instrText>PAGEREF a338894\# "'clause '"  \h</w:instrText>
      </w:r>
      <w:r w:rsidR="00A1162D" w:rsidRPr="001F2956">
        <w:fldChar w:fldCharType="separate"/>
      </w:r>
      <w:r w:rsidR="00A1162D" w:rsidRPr="001F2956">
        <w:t xml:space="preserve">clause </w:t>
      </w:r>
      <w:r w:rsidR="00A1162D" w:rsidRPr="001F2956">
        <w:fldChar w:fldCharType="end"/>
      </w:r>
      <w:r w:rsidR="00A1162D" w:rsidRPr="001F2956">
        <w:fldChar w:fldCharType="begin"/>
      </w:r>
      <w:r w:rsidR="00A1162D" w:rsidRPr="001F2956">
        <w:rPr>
          <w:highlight w:val="lightGray"/>
        </w:rPr>
        <w:instrText>REF a338894 \h \w</w:instrText>
      </w:r>
      <w:r w:rsidR="001F2956">
        <w:instrText xml:space="preserve"> \* MERGEFORMAT </w:instrText>
      </w:r>
      <w:r w:rsidR="00A1162D" w:rsidRPr="001F2956">
        <w:fldChar w:fldCharType="separate"/>
      </w:r>
      <w:r w:rsidR="00A1162D" w:rsidRPr="001F2956">
        <w:t>3.12</w:t>
      </w:r>
      <w:r w:rsidR="00A1162D" w:rsidRPr="001F2956">
        <w:fldChar w:fldCharType="end"/>
      </w:r>
      <w:r w:rsidR="00A1162D" w:rsidRPr="001F2956">
        <w:t xml:space="preserve"> by the Consultant and all persons associated with it, including the Individual, and all other persons for whom the Consultant is </w:t>
      </w:r>
      <w:r w:rsidR="00A1162D" w:rsidRPr="001F2956">
        <w:lastRenderedPageBreak/>
        <w:t xml:space="preserve">responsible under </w:t>
      </w:r>
      <w:r w:rsidR="00A1162D" w:rsidRPr="001F2956">
        <w:fldChar w:fldCharType="begin"/>
      </w:r>
      <w:r w:rsidR="00A1162D" w:rsidRPr="001F2956">
        <w:instrText>PAGEREF a436315\# "'clause '"  \h</w:instrText>
      </w:r>
      <w:r w:rsidR="00A1162D" w:rsidRPr="001F2956">
        <w:fldChar w:fldCharType="separate"/>
      </w:r>
      <w:r w:rsidR="00A1162D" w:rsidRPr="001F2956">
        <w:t xml:space="preserve">clause </w:t>
      </w:r>
      <w:r w:rsidR="00A1162D" w:rsidRPr="001F2956">
        <w:fldChar w:fldCharType="end"/>
      </w:r>
      <w:r w:rsidR="00A1162D" w:rsidRPr="001F2956">
        <w:fldChar w:fldCharType="begin"/>
      </w:r>
      <w:r w:rsidR="00A1162D" w:rsidRPr="001F2956">
        <w:rPr>
          <w:highlight w:val="lightGray"/>
        </w:rPr>
        <w:instrText>REF a436315 \h \w</w:instrText>
      </w:r>
      <w:r w:rsidR="001F2956">
        <w:instrText xml:space="preserve"> \* MERGEFORMAT </w:instrText>
      </w:r>
      <w:r w:rsidR="00A1162D" w:rsidRPr="001F2956">
        <w:fldChar w:fldCharType="separate"/>
      </w:r>
      <w:r w:rsidR="00A1162D" w:rsidRPr="001F2956">
        <w:t>3.12(g)</w:t>
      </w:r>
      <w:r w:rsidR="00A1162D" w:rsidRPr="001F2956">
        <w:fldChar w:fldCharType="end"/>
      </w:r>
      <w:r w:rsidR="00A1162D" w:rsidRPr="001F2956">
        <w:t>. The Consultant shall provide such supporting evidence of compliance as the C</w:t>
      </w:r>
      <w:r w:rsidR="000B6FA0">
        <w:t>ouncil</w:t>
      </w:r>
      <w:r w:rsidR="00A1162D" w:rsidRPr="001F2956">
        <w:t xml:space="preserve"> may reasonably request.</w:t>
      </w:r>
      <w:bookmarkEnd w:id="61"/>
    </w:p>
    <w:p w14:paraId="396A2CEE" w14:textId="2B26BBBF" w:rsidR="00D671F9" w:rsidRPr="001F2956" w:rsidRDefault="00A1162D" w:rsidP="009B2B82">
      <w:pPr>
        <w:pStyle w:val="Untitledsubclause1"/>
      </w:pPr>
      <w:bookmarkStart w:id="62" w:name="a982130"/>
      <w:r w:rsidRPr="001F2956">
        <w:t xml:space="preserve">Failure to comply with </w:t>
      </w:r>
      <w:r w:rsidRPr="001F2956">
        <w:fldChar w:fldCharType="begin"/>
      </w:r>
      <w:r w:rsidRPr="001F2956">
        <w:instrText>PAGEREF a338894\# "'clause '"  \h</w:instrText>
      </w:r>
      <w:r w:rsidRPr="001F2956">
        <w:fldChar w:fldCharType="separate"/>
      </w:r>
      <w:r w:rsidRPr="001F2956">
        <w:t xml:space="preserve">clause </w:t>
      </w:r>
      <w:r w:rsidRPr="001F2956">
        <w:fldChar w:fldCharType="end"/>
      </w:r>
      <w:r w:rsidRPr="001F2956">
        <w:fldChar w:fldCharType="begin"/>
      </w:r>
      <w:r w:rsidRPr="001F2956">
        <w:rPr>
          <w:highlight w:val="lightGray"/>
        </w:rPr>
        <w:instrText>REF a338894 \h \w</w:instrText>
      </w:r>
      <w:r w:rsidR="001F2956">
        <w:instrText xml:space="preserve"> \* MERGEFORMAT </w:instrText>
      </w:r>
      <w:r w:rsidRPr="001F2956">
        <w:fldChar w:fldCharType="separate"/>
      </w:r>
      <w:r w:rsidRPr="001F2956">
        <w:t>3.12</w:t>
      </w:r>
      <w:r w:rsidRPr="001F2956">
        <w:fldChar w:fldCharType="end"/>
      </w:r>
      <w:r w:rsidRPr="001F2956">
        <w:t xml:space="preserve"> may result in the immediate termination of this agreement.</w:t>
      </w:r>
      <w:bookmarkEnd w:id="62"/>
    </w:p>
    <w:p w14:paraId="394A79DB" w14:textId="7BC5FE2C" w:rsidR="00D671F9" w:rsidRPr="001F2956" w:rsidRDefault="00A1162D" w:rsidP="009B2B82">
      <w:pPr>
        <w:pStyle w:val="Untitledsubclause1"/>
      </w:pPr>
      <w:bookmarkStart w:id="63" w:name="a871444"/>
      <w:r w:rsidRPr="001F2956">
        <w:t xml:space="preserve">For the purpose of </w:t>
      </w:r>
      <w:r w:rsidRPr="001F2956">
        <w:fldChar w:fldCharType="begin"/>
      </w:r>
      <w:r w:rsidRPr="001F2956">
        <w:instrText>PAGEREF a338894\# "'clause '"  \h</w:instrText>
      </w:r>
      <w:r w:rsidRPr="001F2956">
        <w:fldChar w:fldCharType="separate"/>
      </w:r>
      <w:r w:rsidRPr="001F2956">
        <w:t xml:space="preserve">clause </w:t>
      </w:r>
      <w:r w:rsidRPr="001F2956">
        <w:fldChar w:fldCharType="end"/>
      </w:r>
      <w:r w:rsidRPr="001F2956">
        <w:fldChar w:fldCharType="begin"/>
      </w:r>
      <w:r w:rsidRPr="001F2956">
        <w:rPr>
          <w:highlight w:val="lightGray"/>
        </w:rPr>
        <w:instrText>REF a338894 \h \w</w:instrText>
      </w:r>
      <w:r w:rsidR="001F2956">
        <w:instrText xml:space="preserve"> \* MERGEFORMAT </w:instrText>
      </w:r>
      <w:r w:rsidRPr="001F2956">
        <w:fldChar w:fldCharType="separate"/>
      </w:r>
      <w:r w:rsidRPr="001F2956">
        <w:t>3.12</w:t>
      </w:r>
      <w:r w:rsidRPr="001F2956">
        <w:fldChar w:fldCharType="end"/>
      </w:r>
      <w:r w:rsidRPr="001F2956">
        <w:t xml:space="preserve">, the meaning of adequate procedures and foreign public official and whether a person is associated with another person shall be determined in accordance with section 7(2) of the Bribery Act 2010 (and any guidance issued under section 9 of that Act), sections 6(5) and 6(6) of that Act and section 8 of that Act respectively. For the purposes of </w:t>
      </w:r>
      <w:r w:rsidRPr="001F2956">
        <w:fldChar w:fldCharType="begin"/>
      </w:r>
      <w:r w:rsidRPr="001F2956">
        <w:instrText>PAGEREF a338894\# "'clause '"  \h</w:instrText>
      </w:r>
      <w:r w:rsidRPr="001F2956">
        <w:fldChar w:fldCharType="separate"/>
      </w:r>
      <w:r w:rsidRPr="001F2956">
        <w:t xml:space="preserve">clause </w:t>
      </w:r>
      <w:r w:rsidRPr="001F2956">
        <w:fldChar w:fldCharType="end"/>
      </w:r>
      <w:r w:rsidRPr="001F2956">
        <w:fldChar w:fldCharType="begin"/>
      </w:r>
      <w:r w:rsidRPr="001F2956">
        <w:rPr>
          <w:highlight w:val="lightGray"/>
        </w:rPr>
        <w:instrText>REF a338894 \h \w</w:instrText>
      </w:r>
      <w:r w:rsidR="001F2956">
        <w:instrText xml:space="preserve"> \* MERGEFORMAT </w:instrText>
      </w:r>
      <w:r w:rsidRPr="001F2956">
        <w:fldChar w:fldCharType="separate"/>
      </w:r>
      <w:r w:rsidRPr="001F2956">
        <w:t>3.12</w:t>
      </w:r>
      <w:r w:rsidRPr="001F2956">
        <w:fldChar w:fldCharType="end"/>
      </w:r>
      <w:r w:rsidRPr="001F2956">
        <w:t>, a person associated with the Consultant</w:t>
      </w:r>
      <w:r w:rsidR="007A063D">
        <w:t xml:space="preserve"> </w:t>
      </w:r>
      <w:r w:rsidRPr="001F2956">
        <w:t>includes but is not limited to any Substitute for the Individual.</w:t>
      </w:r>
      <w:bookmarkEnd w:id="63"/>
    </w:p>
    <w:p w14:paraId="098C5933" w14:textId="77777777" w:rsidR="00D671F9" w:rsidRPr="001F2956" w:rsidRDefault="00A1162D" w:rsidP="009B2B82">
      <w:pPr>
        <w:pStyle w:val="TitleClause"/>
      </w:pPr>
      <w:r w:rsidRPr="001F2956">
        <w:fldChar w:fldCharType="begin"/>
      </w:r>
      <w:r w:rsidRPr="001F2956">
        <w:instrText>TC "4. Fees" \l 1</w:instrText>
      </w:r>
      <w:r w:rsidRPr="001F2956">
        <w:fldChar w:fldCharType="end"/>
      </w:r>
      <w:bookmarkStart w:id="64" w:name="_Toc256000003"/>
      <w:bookmarkStart w:id="65" w:name="a942940"/>
      <w:r w:rsidRPr="001F2956">
        <w:t>Fees</w:t>
      </w:r>
      <w:bookmarkEnd w:id="64"/>
      <w:bookmarkEnd w:id="65"/>
    </w:p>
    <w:p w14:paraId="79A60161" w14:textId="31F7FAFA" w:rsidR="00D671F9" w:rsidRDefault="00A1162D" w:rsidP="00ED7113">
      <w:pPr>
        <w:pStyle w:val="Untitledsubclause1"/>
        <w:spacing w:after="0"/>
      </w:pPr>
      <w:r w:rsidRPr="001F2956">
        <w:t>The C</w:t>
      </w:r>
      <w:r w:rsidR="00E373DA">
        <w:t>ouncil</w:t>
      </w:r>
      <w:r w:rsidRPr="001F2956">
        <w:t xml:space="preserve"> shall pay the Consultant the fees set out below </w:t>
      </w:r>
      <w:r w:rsidRPr="00121AAD">
        <w:t>exclusive</w:t>
      </w:r>
      <w:r w:rsidRPr="001F2956">
        <w:t xml:space="preserve"> of VAT, less any deductions for income tax and national insurance contributions as </w:t>
      </w:r>
      <w:r w:rsidR="0078016F">
        <w:t xml:space="preserve">may be </w:t>
      </w:r>
      <w:r w:rsidRPr="001F2956">
        <w:t xml:space="preserve">required by law, following the receipt of </w:t>
      </w:r>
      <w:r w:rsidR="00414F92">
        <w:t>valid and undisputed</w:t>
      </w:r>
      <w:r w:rsidRPr="001F2956">
        <w:t xml:space="preserve"> invoices from the Consultant, in each case giving details of the Services provided, the Deliverable achieved to the satisfaction of the C</w:t>
      </w:r>
      <w:r w:rsidR="00581270">
        <w:t>ouncil</w:t>
      </w:r>
      <w:r w:rsidRPr="001F2956">
        <w:t xml:space="preserve"> in accordance with Schedule 1, the dates on the which the Services were provided and the amount of the fee </w:t>
      </w:r>
      <w:r w:rsidRPr="00CF34F6">
        <w:t>payable (plus VAT, if applicable) for the achievement of the Deliverable:</w:t>
      </w:r>
    </w:p>
    <w:p w14:paraId="5B075B97" w14:textId="77777777" w:rsidR="006C0A8B" w:rsidRDefault="006C0A8B" w:rsidP="006C0A8B">
      <w:pPr>
        <w:pStyle w:val="Untitledsubclause1"/>
        <w:numPr>
          <w:ilvl w:val="0"/>
          <w:numId w:val="0"/>
        </w:numPr>
        <w:spacing w:after="0"/>
        <w:ind w:left="720"/>
      </w:pPr>
    </w:p>
    <w:p w14:paraId="42E46C65" w14:textId="77777777" w:rsidR="00CC0C16" w:rsidRDefault="005E4D72" w:rsidP="00CC0C16">
      <w:pPr>
        <w:pStyle w:val="Untitledsubclause2"/>
        <w:spacing w:after="0"/>
        <w:jc w:val="left"/>
      </w:pPr>
      <w:bookmarkStart w:id="66" w:name="a121280"/>
      <w:r>
        <w:rPr>
          <w:b/>
          <w:bCs/>
        </w:rPr>
        <w:t xml:space="preserve">SERVICES: </w:t>
      </w:r>
      <w:r>
        <w:t xml:space="preserve">Commencement of the Services on the Start Date: </w:t>
      </w:r>
    </w:p>
    <w:p w14:paraId="7306C23D" w14:textId="396A6D00" w:rsidR="00F274F3" w:rsidRPr="00F274F3" w:rsidRDefault="00847C61" w:rsidP="00CC0C16">
      <w:pPr>
        <w:pStyle w:val="Untitledsubclause2"/>
        <w:numPr>
          <w:ilvl w:val="0"/>
          <w:numId w:val="0"/>
        </w:numPr>
        <w:spacing w:after="0"/>
        <w:ind w:left="1555"/>
        <w:jc w:val="left"/>
      </w:pPr>
      <w:proofErr w:type="gramStart"/>
      <w:r>
        <w:t>£[</w:t>
      </w:r>
      <w:proofErr w:type="gramEnd"/>
      <w:r w:rsidRPr="00847C61">
        <w:rPr>
          <w:highlight w:val="yellow"/>
        </w:rPr>
        <w:t>FEE PAYABLE</w:t>
      </w:r>
      <w:r>
        <w:t>].</w:t>
      </w:r>
      <w:r w:rsidR="00F274F3">
        <w:t xml:space="preserve"> </w:t>
      </w:r>
    </w:p>
    <w:p w14:paraId="708FD7C1" w14:textId="0950923C" w:rsidR="00D671F9" w:rsidRPr="005C33B4" w:rsidRDefault="009135B6" w:rsidP="00ED7113">
      <w:pPr>
        <w:pStyle w:val="Untitledsubclause2"/>
        <w:spacing w:after="0"/>
      </w:pPr>
      <w:r w:rsidRPr="006C0A8B">
        <w:rPr>
          <w:b/>
          <w:bCs/>
        </w:rPr>
        <w:t>DELIVERABLE 1</w:t>
      </w:r>
      <w:r w:rsidRPr="005C33B4">
        <w:t xml:space="preserve">: </w:t>
      </w:r>
      <w:r w:rsidR="00503AFE" w:rsidRPr="005C33B4">
        <w:t xml:space="preserve">Completion of </w:t>
      </w:r>
      <w:r w:rsidRPr="005C33B4">
        <w:t>draft report on or by [</w:t>
      </w:r>
      <w:r w:rsidRPr="00CF34F6">
        <w:rPr>
          <w:highlight w:val="yellow"/>
        </w:rPr>
        <w:t>DATE</w:t>
      </w:r>
      <w:r w:rsidRPr="005C33B4">
        <w:t xml:space="preserve">] </w:t>
      </w:r>
      <w:r w:rsidR="00CF34F6" w:rsidRPr="005C33B4">
        <w:t xml:space="preserve">February 2024: </w:t>
      </w:r>
      <w:r w:rsidR="00A1162D" w:rsidRPr="005C33B4">
        <w:t xml:space="preserve"> </w:t>
      </w:r>
      <w:proofErr w:type="gramStart"/>
      <w:r w:rsidR="00A1162D" w:rsidRPr="005C33B4">
        <w:t>£[</w:t>
      </w:r>
      <w:proofErr w:type="gramEnd"/>
      <w:r w:rsidR="00A1162D" w:rsidRPr="005C33B4">
        <w:rPr>
          <w:highlight w:val="yellow"/>
        </w:rPr>
        <w:t>FEE PAYABLE</w:t>
      </w:r>
      <w:r w:rsidR="00A1162D" w:rsidRPr="005C33B4">
        <w:t>].</w:t>
      </w:r>
      <w:bookmarkEnd w:id="66"/>
    </w:p>
    <w:p w14:paraId="79CE15DA" w14:textId="77777777" w:rsidR="005C33B4" w:rsidRDefault="005C33B4" w:rsidP="00ED7113">
      <w:pPr>
        <w:pStyle w:val="Untitledsubclause2"/>
        <w:spacing w:after="0"/>
      </w:pPr>
      <w:bookmarkStart w:id="67" w:name="a965126"/>
      <w:r w:rsidRPr="006C0A8B">
        <w:rPr>
          <w:b/>
          <w:bCs/>
        </w:rPr>
        <w:t>DELIVERABLE 2</w:t>
      </w:r>
      <w:r>
        <w:t>: Completion of final report by [</w:t>
      </w:r>
      <w:r w:rsidRPr="005C33B4">
        <w:rPr>
          <w:highlight w:val="yellow"/>
        </w:rPr>
        <w:t>DATE</w:t>
      </w:r>
      <w:r>
        <w:t xml:space="preserve">] April 2024: </w:t>
      </w:r>
    </w:p>
    <w:p w14:paraId="5954E825" w14:textId="4631A685" w:rsidR="00D671F9" w:rsidRDefault="00A1162D" w:rsidP="00ED7113">
      <w:pPr>
        <w:pStyle w:val="Untitledsubclause2"/>
        <w:numPr>
          <w:ilvl w:val="0"/>
          <w:numId w:val="0"/>
        </w:numPr>
        <w:spacing w:after="0"/>
        <w:ind w:left="1555"/>
      </w:pPr>
      <w:proofErr w:type="gramStart"/>
      <w:r w:rsidRPr="005C33B4">
        <w:t>£[</w:t>
      </w:r>
      <w:proofErr w:type="gramEnd"/>
      <w:r w:rsidRPr="007C648B">
        <w:rPr>
          <w:highlight w:val="yellow"/>
        </w:rPr>
        <w:t>FEE PAYABLE</w:t>
      </w:r>
      <w:r w:rsidRPr="005C33B4">
        <w:t>].</w:t>
      </w:r>
      <w:bookmarkEnd w:id="67"/>
    </w:p>
    <w:p w14:paraId="79E4FDED" w14:textId="77777777" w:rsidR="006C0A8B" w:rsidRPr="00CF34F6" w:rsidRDefault="006C0A8B" w:rsidP="00ED7113">
      <w:pPr>
        <w:pStyle w:val="Untitledsubclause2"/>
        <w:numPr>
          <w:ilvl w:val="0"/>
          <w:numId w:val="0"/>
        </w:numPr>
        <w:spacing w:after="0"/>
        <w:ind w:left="1555"/>
      </w:pPr>
    </w:p>
    <w:p w14:paraId="1803E5D4" w14:textId="489DF6F8" w:rsidR="00D671F9" w:rsidRPr="001F2956" w:rsidRDefault="00A1162D" w:rsidP="009B2B82">
      <w:pPr>
        <w:pStyle w:val="Parasubclause1"/>
      </w:pPr>
      <w:r w:rsidRPr="001F2956">
        <w:t xml:space="preserve">The fees set out in this </w:t>
      </w:r>
      <w:r w:rsidRPr="001F2956">
        <w:fldChar w:fldCharType="begin"/>
      </w:r>
      <w:r w:rsidRPr="001F2956">
        <w:instrText>PAGEREF a466114\# "'clause '"  \h</w:instrText>
      </w:r>
      <w:r w:rsidRPr="001F2956">
        <w:fldChar w:fldCharType="separate"/>
      </w:r>
      <w:r w:rsidRPr="001F2956">
        <w:t xml:space="preserve">clause </w:t>
      </w:r>
      <w:r w:rsidRPr="001F2956">
        <w:fldChar w:fldCharType="end"/>
      </w:r>
      <w:r w:rsidRPr="001F2956">
        <w:fldChar w:fldCharType="begin"/>
      </w:r>
      <w:r w:rsidRPr="001F2956">
        <w:rPr>
          <w:highlight w:val="lightGray"/>
        </w:rPr>
        <w:instrText>REF a466114 \h \w</w:instrText>
      </w:r>
      <w:r w:rsidR="001F2956">
        <w:instrText xml:space="preserve"> \* MERGEFORMAT </w:instrText>
      </w:r>
      <w:r w:rsidRPr="001F2956">
        <w:fldChar w:fldCharType="separate"/>
      </w:r>
      <w:r w:rsidRPr="001F2956">
        <w:t>4.1</w:t>
      </w:r>
      <w:r w:rsidRPr="001F2956">
        <w:fldChar w:fldCharType="end"/>
      </w:r>
      <w:r w:rsidRPr="001F2956">
        <w:t xml:space="preserve"> shall only be payable to the Consultant following the achievement of a Deliverable (as set out more particularly in </w:t>
      </w:r>
      <w:r w:rsidRPr="001F2956">
        <w:fldChar w:fldCharType="begin"/>
      </w:r>
      <w:r w:rsidRPr="001F2956">
        <w:rPr>
          <w:highlight w:val="lightGray"/>
        </w:rPr>
        <w:instrText>REF a943751 \h \w</w:instrText>
      </w:r>
      <w:r w:rsidR="001F2956">
        <w:instrText xml:space="preserve"> \* MERGEFORMAT </w:instrText>
      </w:r>
      <w:r w:rsidRPr="001F2956">
        <w:fldChar w:fldCharType="separate"/>
      </w:r>
      <w:r w:rsidRPr="001F2956">
        <w:t>Schedule 1</w:t>
      </w:r>
      <w:r w:rsidRPr="001F2956">
        <w:fldChar w:fldCharType="end"/>
      </w:r>
      <w:r w:rsidRPr="001F2956">
        <w:t>) to the satisfaction of the C</w:t>
      </w:r>
      <w:r w:rsidR="00FC1F00">
        <w:t>ouncil</w:t>
      </w:r>
      <w:r w:rsidRPr="001F2956">
        <w:t xml:space="preserve">. </w:t>
      </w:r>
      <w:r w:rsidR="00FC1F00">
        <w:t>T</w:t>
      </w:r>
      <w:r w:rsidRPr="001F2956">
        <w:t>he Consultant</w:t>
      </w:r>
      <w:r w:rsidR="00FD3D41">
        <w:t xml:space="preserve"> </w:t>
      </w:r>
      <w:r w:rsidRPr="001F2956">
        <w:t>shall submit invoices, in each case, within [</w:t>
      </w:r>
      <w:r w:rsidRPr="00A71EDC">
        <w:rPr>
          <w:highlight w:val="yellow"/>
        </w:rPr>
        <w:t>INSERT TIME PERIOD</w:t>
      </w:r>
      <w:r w:rsidRPr="001F2956">
        <w:t>] of achievement of a Deliverable to the satisfaction of the C</w:t>
      </w:r>
      <w:r w:rsidR="00277813">
        <w:t>ouncil</w:t>
      </w:r>
      <w:r w:rsidRPr="001F2956">
        <w:t xml:space="preserve">. </w:t>
      </w:r>
      <w:r w:rsidR="004727D4">
        <w:t xml:space="preserve">Where the Consultant submits an invoice to the Council in accordance with this clause 4, the Council </w:t>
      </w:r>
      <w:r w:rsidR="004727D4" w:rsidRPr="00401FFD">
        <w:t xml:space="preserve">will consider and verify that invoice </w:t>
      </w:r>
      <w:r w:rsidR="004727D4">
        <w:t xml:space="preserve">within ten (10) days. </w:t>
      </w:r>
      <w:r w:rsidR="004727D4" w:rsidRPr="00401FFD">
        <w:t xml:space="preserve">Where the </w:t>
      </w:r>
      <w:r w:rsidR="004727D4">
        <w:t xml:space="preserve">Council </w:t>
      </w:r>
      <w:r w:rsidR="004727D4" w:rsidRPr="00401FFD">
        <w:t>fails to do so, and there is an undue delay in considering and verifying the invoice, the invoice shall be regarded as valid and undisputed for the purposes of</w:t>
      </w:r>
      <w:r w:rsidR="004727D4">
        <w:t xml:space="preserve"> this clause 4, fourteen (14) days </w:t>
      </w:r>
      <w:r w:rsidR="004727D4" w:rsidRPr="00401FFD">
        <w:t xml:space="preserve">after the date on which it is received by the </w:t>
      </w:r>
      <w:r w:rsidR="004727D4">
        <w:t>Council.</w:t>
      </w:r>
    </w:p>
    <w:p w14:paraId="6894BDB8" w14:textId="32574886" w:rsidR="00D671F9" w:rsidRPr="001F2956" w:rsidRDefault="00A1162D" w:rsidP="00CC0C16">
      <w:pPr>
        <w:pStyle w:val="Untitledsubclause1"/>
        <w:spacing w:before="0" w:after="0"/>
      </w:pPr>
      <w:bookmarkStart w:id="68" w:name="a801925"/>
      <w:r w:rsidRPr="001F2956">
        <w:lastRenderedPageBreak/>
        <w:t>In consideration of the provision of the Services, the C</w:t>
      </w:r>
      <w:r w:rsidR="00321B44">
        <w:t>ouncil</w:t>
      </w:r>
      <w:r w:rsidRPr="001F2956">
        <w:t xml:space="preserve"> shall pay each </w:t>
      </w:r>
      <w:r w:rsidR="009530AA">
        <w:t xml:space="preserve">valid and undisputed </w:t>
      </w:r>
      <w:r w:rsidRPr="001F2956">
        <w:t xml:space="preserve">invoice submitted by the Consultant  in accordance with </w:t>
      </w:r>
      <w:r w:rsidRPr="001F2956">
        <w:fldChar w:fldCharType="begin"/>
      </w:r>
      <w:r w:rsidRPr="001F2956">
        <w:instrText>PAGEREF a466114\# "'clause '"  \h</w:instrText>
      </w:r>
      <w:r w:rsidRPr="001F2956">
        <w:fldChar w:fldCharType="separate"/>
      </w:r>
      <w:r w:rsidRPr="001F2956">
        <w:t xml:space="preserve">clause </w:t>
      </w:r>
      <w:r w:rsidRPr="001F2956">
        <w:fldChar w:fldCharType="end"/>
      </w:r>
      <w:r w:rsidRPr="001F2956">
        <w:fldChar w:fldCharType="begin"/>
      </w:r>
      <w:r w:rsidRPr="001F2956">
        <w:rPr>
          <w:highlight w:val="lightGray"/>
        </w:rPr>
        <w:instrText>REF a466114 \h \w</w:instrText>
      </w:r>
      <w:r w:rsidR="001F2956">
        <w:instrText xml:space="preserve"> \* MERGEFORMAT </w:instrText>
      </w:r>
      <w:r w:rsidRPr="001F2956">
        <w:fldChar w:fldCharType="separate"/>
      </w:r>
      <w:r w:rsidRPr="001F2956">
        <w:t>4.1</w:t>
      </w:r>
      <w:r w:rsidRPr="001F2956">
        <w:fldChar w:fldCharType="end"/>
      </w:r>
      <w:r w:rsidRPr="001F2956">
        <w:t xml:space="preserve"> within</w:t>
      </w:r>
      <w:r w:rsidR="008C7E58">
        <w:t xml:space="preserve"> thirty (30) days of verifying that the invoice is valid and undisputed</w:t>
      </w:r>
      <w:r w:rsidRPr="001F2956">
        <w:t>.</w:t>
      </w:r>
      <w:bookmarkEnd w:id="68"/>
    </w:p>
    <w:p w14:paraId="2D3F3587" w14:textId="1AB438F3" w:rsidR="00D671F9" w:rsidRPr="001F2956" w:rsidRDefault="00A1162D" w:rsidP="00CC0C16">
      <w:pPr>
        <w:pStyle w:val="Untitledsubclause1"/>
        <w:numPr>
          <w:ilvl w:val="0"/>
          <w:numId w:val="0"/>
        </w:numPr>
        <w:spacing w:before="0" w:after="0"/>
      </w:pPr>
      <w:bookmarkStart w:id="69" w:name="a503792"/>
      <w:r w:rsidRPr="001F2956">
        <w:t xml:space="preserve"> </w:t>
      </w:r>
      <w:bookmarkEnd w:id="69"/>
    </w:p>
    <w:p w14:paraId="6CF55548" w14:textId="7B26EFED" w:rsidR="00D671F9" w:rsidRPr="001F2956" w:rsidRDefault="00A1162D" w:rsidP="00CC0C16">
      <w:pPr>
        <w:pStyle w:val="Untitledsubclause1"/>
        <w:spacing w:before="0" w:after="0"/>
      </w:pPr>
      <w:bookmarkStart w:id="70" w:name="a688734"/>
      <w:r w:rsidRPr="001F2956">
        <w:t>The C</w:t>
      </w:r>
      <w:r w:rsidR="00436FBB">
        <w:t>ouncil</w:t>
      </w:r>
      <w:r w:rsidRPr="001F2956">
        <w:t xml:space="preserve"> shall be entitled to deduct from the fees (and any other sums) due to the Consultant any sums that the Consultant or the Individual may owe to the C</w:t>
      </w:r>
      <w:r w:rsidR="00436FBB">
        <w:t>ouncil</w:t>
      </w:r>
      <w:r w:rsidR="00EC41E5">
        <w:t xml:space="preserve"> </w:t>
      </w:r>
      <w:r w:rsidR="00EC41E5" w:rsidRPr="001F2956">
        <w:t>at</w:t>
      </w:r>
      <w:r w:rsidRPr="001F2956">
        <w:t xml:space="preserve"> any time.</w:t>
      </w:r>
      <w:bookmarkEnd w:id="70"/>
    </w:p>
    <w:p w14:paraId="1AD591D0" w14:textId="6CAB1DBD" w:rsidR="00D671F9" w:rsidRPr="001F2956" w:rsidRDefault="00A1162D" w:rsidP="00CC0C16">
      <w:pPr>
        <w:pStyle w:val="Untitledsubclause1"/>
        <w:spacing w:before="0"/>
      </w:pPr>
      <w:bookmarkStart w:id="71" w:name="a639497"/>
      <w:r w:rsidRPr="001F2956">
        <w:t xml:space="preserve">Payment in full or in part of the fees claimed under </w:t>
      </w:r>
      <w:r w:rsidRPr="001F2956">
        <w:fldChar w:fldCharType="begin"/>
      </w:r>
      <w:r w:rsidRPr="001F2956">
        <w:instrText>PAGEREF a942940\# "'clause '"  \h</w:instrText>
      </w:r>
      <w:r w:rsidRPr="001F2956">
        <w:fldChar w:fldCharType="separate"/>
      </w:r>
      <w:r w:rsidRPr="001F2956">
        <w:t xml:space="preserve">clause </w:t>
      </w:r>
      <w:r w:rsidRPr="001F2956">
        <w:fldChar w:fldCharType="end"/>
      </w:r>
      <w:r w:rsidRPr="001F2956">
        <w:fldChar w:fldCharType="begin"/>
      </w:r>
      <w:r w:rsidRPr="001F2956">
        <w:rPr>
          <w:highlight w:val="lightGray"/>
        </w:rPr>
        <w:instrText>REF a942940 \h \w</w:instrText>
      </w:r>
      <w:r w:rsidR="001F2956">
        <w:instrText xml:space="preserve"> \* MERGEFORMAT </w:instrText>
      </w:r>
      <w:r w:rsidRPr="001F2956">
        <w:fldChar w:fldCharType="separate"/>
      </w:r>
      <w:r w:rsidRPr="001F2956">
        <w:t>4</w:t>
      </w:r>
      <w:r w:rsidRPr="001F2956">
        <w:fldChar w:fldCharType="end"/>
      </w:r>
      <w:r w:rsidRPr="001F2956">
        <w:t xml:space="preserve"> </w:t>
      </w:r>
      <w:r w:rsidRPr="00E84CF3">
        <w:t xml:space="preserve">or any expenses claimed under </w:t>
      </w:r>
      <w:r w:rsidRPr="00E84CF3">
        <w:fldChar w:fldCharType="begin"/>
      </w:r>
      <w:r w:rsidRPr="00E84CF3">
        <w:instrText>PAGEREF a295069\# "'clause '"  \h</w:instrText>
      </w:r>
      <w:r w:rsidRPr="00E84CF3">
        <w:fldChar w:fldCharType="separate"/>
      </w:r>
      <w:r w:rsidRPr="00E84CF3">
        <w:t xml:space="preserve">clause </w:t>
      </w:r>
      <w:r w:rsidRPr="00E84CF3">
        <w:fldChar w:fldCharType="end"/>
      </w:r>
      <w:r w:rsidRPr="00E84CF3">
        <w:fldChar w:fldCharType="begin"/>
      </w:r>
      <w:r w:rsidRPr="00E84CF3">
        <w:instrText>REF a295069 \h \w</w:instrText>
      </w:r>
      <w:r w:rsidR="001F2956" w:rsidRPr="00E84CF3">
        <w:instrText xml:space="preserve"> \* MERGEFORMAT </w:instrText>
      </w:r>
      <w:r w:rsidRPr="00E84CF3">
        <w:fldChar w:fldCharType="separate"/>
      </w:r>
      <w:r w:rsidRPr="00E84CF3">
        <w:t>5</w:t>
      </w:r>
      <w:r w:rsidRPr="00E84CF3">
        <w:fldChar w:fldCharType="end"/>
      </w:r>
      <w:r w:rsidRPr="001F2956">
        <w:t xml:space="preserve"> shall be without prejudice to any claims or rights of the C</w:t>
      </w:r>
      <w:r w:rsidR="00436FBB">
        <w:t>ouncil</w:t>
      </w:r>
      <w:r w:rsidRPr="001F2956">
        <w:t xml:space="preserve"> against the Consultant or the Individual in respect of the provision of the Services.</w:t>
      </w:r>
      <w:bookmarkEnd w:id="71"/>
    </w:p>
    <w:p w14:paraId="0E478659" w14:textId="77777777" w:rsidR="00D671F9" w:rsidRPr="001F2956" w:rsidRDefault="00A1162D" w:rsidP="009B2B82">
      <w:pPr>
        <w:pStyle w:val="TitleClause"/>
      </w:pPr>
      <w:r w:rsidRPr="001F2956">
        <w:fldChar w:fldCharType="begin"/>
      </w:r>
      <w:r w:rsidRPr="001F2956">
        <w:instrText>TC "5. Expenses" \l 1</w:instrText>
      </w:r>
      <w:r w:rsidRPr="001F2956">
        <w:fldChar w:fldCharType="end"/>
      </w:r>
      <w:bookmarkStart w:id="72" w:name="_Toc256000004"/>
      <w:bookmarkStart w:id="73" w:name="a295069"/>
      <w:r w:rsidRPr="001F2956">
        <w:t>Expenses</w:t>
      </w:r>
      <w:bookmarkEnd w:id="72"/>
      <w:bookmarkEnd w:id="73"/>
    </w:p>
    <w:p w14:paraId="41161E12" w14:textId="119CB9DD" w:rsidR="00F9594E" w:rsidRPr="00F9594E" w:rsidRDefault="00F9594E" w:rsidP="00F9594E">
      <w:pPr>
        <w:pStyle w:val="TitleClause"/>
        <w:numPr>
          <w:ilvl w:val="0"/>
          <w:numId w:val="0"/>
        </w:numPr>
        <w:ind w:left="720"/>
        <w:rPr>
          <w:b w:val="0"/>
          <w:bCs/>
        </w:rPr>
      </w:pPr>
      <w:bookmarkStart w:id="74" w:name="a565936"/>
      <w:r w:rsidRPr="00F9594E">
        <w:rPr>
          <w:b w:val="0"/>
          <w:bCs/>
        </w:rPr>
        <w:t xml:space="preserve">NOT USED </w:t>
      </w:r>
      <w:bookmarkEnd w:id="74"/>
    </w:p>
    <w:p w14:paraId="6C90F862" w14:textId="5140E175" w:rsidR="00D671F9" w:rsidRPr="001F2956" w:rsidRDefault="00A1162D" w:rsidP="009B2B82">
      <w:pPr>
        <w:pStyle w:val="TitleClause"/>
      </w:pPr>
      <w:r w:rsidRPr="001F2956">
        <w:fldChar w:fldCharType="begin"/>
      </w:r>
      <w:r w:rsidRPr="001F2956">
        <w:instrText>TC "6. Other activities" \l 1</w:instrText>
      </w:r>
      <w:r w:rsidRPr="001F2956">
        <w:fldChar w:fldCharType="end"/>
      </w:r>
      <w:bookmarkStart w:id="75" w:name="_Toc256000005"/>
      <w:bookmarkStart w:id="76" w:name="a893358"/>
      <w:r w:rsidRPr="001F2956">
        <w:t>Other activities</w:t>
      </w:r>
      <w:bookmarkEnd w:id="75"/>
      <w:bookmarkEnd w:id="76"/>
    </w:p>
    <w:p w14:paraId="1095B8D2" w14:textId="258D3B66" w:rsidR="00D671F9" w:rsidRPr="001F2956" w:rsidRDefault="00A1162D" w:rsidP="009B2B82">
      <w:pPr>
        <w:pStyle w:val="NoNumUntitledsubclause1"/>
      </w:pPr>
      <w:bookmarkStart w:id="77" w:name="a564984"/>
      <w:r w:rsidRPr="001F2956">
        <w:t xml:space="preserve">Nothing in this agreement shall prevent the Consultant or the Individual from being engaged, </w:t>
      </w:r>
      <w:proofErr w:type="gramStart"/>
      <w:r w:rsidRPr="001F2956">
        <w:t>concerned</w:t>
      </w:r>
      <w:proofErr w:type="gramEnd"/>
      <w:r w:rsidRPr="001F2956">
        <w:t xml:space="preserve"> or having any financial interest in any Capacity in any other business, trade, profession or occupation during the Engagement provided that:</w:t>
      </w:r>
      <w:bookmarkEnd w:id="77"/>
    </w:p>
    <w:p w14:paraId="5AE01572" w14:textId="723B617E" w:rsidR="00D671F9" w:rsidRPr="001F2956" w:rsidRDefault="00A1162D" w:rsidP="009B2B82">
      <w:pPr>
        <w:pStyle w:val="Untitledsubclause2"/>
      </w:pPr>
      <w:bookmarkStart w:id="78" w:name="a127800"/>
      <w:r w:rsidRPr="001F2956">
        <w:t xml:space="preserve">such activity does not cause a breach of any of the Consultant's obligations under this </w:t>
      </w:r>
      <w:proofErr w:type="gramStart"/>
      <w:r w:rsidRPr="001F2956">
        <w:t>agreement;</w:t>
      </w:r>
      <w:proofErr w:type="gramEnd"/>
      <w:r w:rsidRPr="001F2956">
        <w:t xml:space="preserve"> </w:t>
      </w:r>
      <w:bookmarkEnd w:id="78"/>
    </w:p>
    <w:p w14:paraId="61A3A95A" w14:textId="105A85F4" w:rsidR="00D671F9" w:rsidRPr="001F2956" w:rsidRDefault="00A1162D" w:rsidP="009B2B82">
      <w:pPr>
        <w:pStyle w:val="Untitledsubclause2"/>
      </w:pPr>
      <w:bookmarkStart w:id="79" w:name="a937337"/>
      <w:r w:rsidRPr="001F2956">
        <w:t xml:space="preserve">the Consultant shall not, and shall procure that the Individual shall not, engage in any such activity if it relates to a business which is </w:t>
      </w:r>
      <w:proofErr w:type="gramStart"/>
      <w:r w:rsidRPr="001F2956">
        <w:t>similar to</w:t>
      </w:r>
      <w:proofErr w:type="gramEnd"/>
      <w:r w:rsidRPr="001F2956">
        <w:t xml:space="preserve"> or in any way competitive with the Business of the C</w:t>
      </w:r>
      <w:r w:rsidR="001F09A6">
        <w:t>ouncil</w:t>
      </w:r>
      <w:r w:rsidRPr="001F2956">
        <w:t xml:space="preserve"> without the prior written consent of the C</w:t>
      </w:r>
      <w:r w:rsidR="001F09A6">
        <w:t>ouncil</w:t>
      </w:r>
      <w:r w:rsidRPr="001F2956">
        <w:t xml:space="preserve"> (such consent not to be unreasonably withheld); and</w:t>
      </w:r>
      <w:bookmarkEnd w:id="79"/>
    </w:p>
    <w:p w14:paraId="5EA4D3F6" w14:textId="6028BFD4" w:rsidR="00D671F9" w:rsidRPr="001F2956" w:rsidRDefault="00A1162D" w:rsidP="009B2B82">
      <w:pPr>
        <w:pStyle w:val="Untitledsubclause2"/>
      </w:pPr>
      <w:bookmarkStart w:id="80" w:name="a516516"/>
      <w:r w:rsidRPr="001F2956">
        <w:t>the Consultant shall give priority to the provision of the Services to the C</w:t>
      </w:r>
      <w:r w:rsidR="001F09A6">
        <w:t>ouncil</w:t>
      </w:r>
      <w:r w:rsidRPr="001F2956">
        <w:t xml:space="preserve"> over any other business activities undertaken by it during the Engagement.</w:t>
      </w:r>
      <w:bookmarkEnd w:id="80"/>
    </w:p>
    <w:p w14:paraId="74645E47" w14:textId="46740075" w:rsidR="00D671F9" w:rsidRPr="001F2956" w:rsidRDefault="00A1162D" w:rsidP="009B2B82">
      <w:pPr>
        <w:pStyle w:val="TitleClause"/>
      </w:pPr>
      <w:r w:rsidRPr="001F2956">
        <w:fldChar w:fldCharType="begin"/>
      </w:r>
      <w:r w:rsidRPr="001F2956">
        <w:instrText>TC "7. Confidential information and Client property" \l 1</w:instrText>
      </w:r>
      <w:r w:rsidRPr="001F2956">
        <w:fldChar w:fldCharType="end"/>
      </w:r>
      <w:bookmarkStart w:id="81" w:name="_Toc256000006"/>
      <w:bookmarkStart w:id="82" w:name="a184723"/>
      <w:r w:rsidRPr="001F2956">
        <w:t>Confidential information and C</w:t>
      </w:r>
      <w:r w:rsidR="00221CA6">
        <w:t>ouncil</w:t>
      </w:r>
      <w:r w:rsidRPr="001F2956">
        <w:t xml:space="preserve"> property</w:t>
      </w:r>
      <w:bookmarkEnd w:id="81"/>
      <w:bookmarkEnd w:id="82"/>
    </w:p>
    <w:p w14:paraId="4981C8CC" w14:textId="39F41E6F" w:rsidR="00D671F9" w:rsidRPr="001F2956" w:rsidRDefault="00A1162D" w:rsidP="009B2B82">
      <w:pPr>
        <w:pStyle w:val="Untitledsubclause1"/>
      </w:pPr>
      <w:bookmarkStart w:id="83" w:name="a216755"/>
      <w:r w:rsidRPr="001F2956">
        <w:t xml:space="preserve">The Consultant acknowledges that during the Engagement it and the Individual will have access to Confidential Information. The Consultant has therefore agreed to accept the restrictions in this </w:t>
      </w:r>
      <w:r w:rsidRPr="001F2956">
        <w:fldChar w:fldCharType="begin"/>
      </w:r>
      <w:r w:rsidRPr="001F2956">
        <w:instrText>PAGEREF a184723\# "'clause '"  \h</w:instrText>
      </w:r>
      <w:r w:rsidRPr="001F2956">
        <w:fldChar w:fldCharType="separate"/>
      </w:r>
      <w:r w:rsidRPr="001F2956">
        <w:t xml:space="preserve">clause </w:t>
      </w:r>
      <w:r w:rsidRPr="001F2956">
        <w:fldChar w:fldCharType="end"/>
      </w:r>
      <w:r w:rsidRPr="001F2956">
        <w:fldChar w:fldCharType="begin"/>
      </w:r>
      <w:r w:rsidRPr="001F2956">
        <w:rPr>
          <w:highlight w:val="lightGray"/>
        </w:rPr>
        <w:instrText>REF a184723 \h \w</w:instrText>
      </w:r>
      <w:r w:rsidR="001F2956">
        <w:instrText xml:space="preserve"> \* MERGEFORMAT </w:instrText>
      </w:r>
      <w:r w:rsidRPr="001F2956">
        <w:fldChar w:fldCharType="separate"/>
      </w:r>
      <w:r w:rsidRPr="001F2956">
        <w:t>7</w:t>
      </w:r>
      <w:r w:rsidRPr="001F2956">
        <w:fldChar w:fldCharType="end"/>
      </w:r>
      <w:r w:rsidRPr="001F2956">
        <w:t>.</w:t>
      </w:r>
      <w:bookmarkEnd w:id="83"/>
    </w:p>
    <w:p w14:paraId="13010F75" w14:textId="5EF66852" w:rsidR="00D671F9" w:rsidRPr="001F2956" w:rsidRDefault="00A1162D" w:rsidP="009B2B82">
      <w:pPr>
        <w:pStyle w:val="Untitledsubclause1"/>
      </w:pPr>
      <w:bookmarkStart w:id="84" w:name="a851349"/>
      <w:r w:rsidRPr="001F2956">
        <w:t xml:space="preserve">Subject to </w:t>
      </w:r>
      <w:r w:rsidRPr="001F2956">
        <w:fldChar w:fldCharType="begin"/>
      </w:r>
      <w:r w:rsidRPr="001F2956">
        <w:instrText>PAGEREF a964886\# "'clause '"  \h</w:instrText>
      </w:r>
      <w:r w:rsidRPr="001F2956">
        <w:fldChar w:fldCharType="separate"/>
      </w:r>
      <w:r w:rsidRPr="001F2956">
        <w:t xml:space="preserve">clause </w:t>
      </w:r>
      <w:r w:rsidRPr="001F2956">
        <w:fldChar w:fldCharType="end"/>
      </w:r>
      <w:r w:rsidRPr="001F2956">
        <w:fldChar w:fldCharType="begin"/>
      </w:r>
      <w:r w:rsidRPr="001F2956">
        <w:rPr>
          <w:highlight w:val="lightGray"/>
        </w:rPr>
        <w:instrText>REF a964886 \h \w</w:instrText>
      </w:r>
      <w:r w:rsidR="001F2956">
        <w:instrText xml:space="preserve"> \* MERGEFORMAT </w:instrText>
      </w:r>
      <w:r w:rsidRPr="001F2956">
        <w:fldChar w:fldCharType="separate"/>
      </w:r>
      <w:r w:rsidRPr="001F2956">
        <w:t>7.4</w:t>
      </w:r>
      <w:r w:rsidRPr="001F2956">
        <w:fldChar w:fldCharType="end"/>
      </w:r>
      <w:r w:rsidRPr="001F2956">
        <w:t>,</w:t>
      </w:r>
      <w:r w:rsidR="00862544">
        <w:t xml:space="preserve"> </w:t>
      </w:r>
      <w:r w:rsidRPr="001F2956">
        <w:t>the  Consultant</w:t>
      </w:r>
      <w:r w:rsidR="00862544">
        <w:t xml:space="preserve"> </w:t>
      </w:r>
      <w:r w:rsidRPr="001F2956">
        <w:t>shall not, and shall procure that the Individual shall not (except in the proper course of its or their duties), either during the Engagement or at any time after the Termination Date, use or disclose to any third party (and shall use its best endeavours to prevent the publication and disclosure of) any Confidential Information. This restriction does not apply to:</w:t>
      </w:r>
      <w:bookmarkEnd w:id="84"/>
    </w:p>
    <w:p w14:paraId="2ABAAAB6" w14:textId="3E44D2A7" w:rsidR="00D671F9" w:rsidRPr="001F2956" w:rsidRDefault="00A1162D" w:rsidP="009B2B82">
      <w:pPr>
        <w:pStyle w:val="Untitledsubclause2"/>
      </w:pPr>
      <w:bookmarkStart w:id="85" w:name="a448844"/>
      <w:r w:rsidRPr="001F2956">
        <w:t>any use or disclosure authorised by the C</w:t>
      </w:r>
      <w:r w:rsidR="00D74511">
        <w:t>ouncil</w:t>
      </w:r>
      <w:r w:rsidRPr="001F2956">
        <w:t xml:space="preserve"> or required by law; or </w:t>
      </w:r>
      <w:bookmarkEnd w:id="85"/>
    </w:p>
    <w:p w14:paraId="5633CC3A" w14:textId="226D1807" w:rsidR="00D671F9" w:rsidRPr="001F2956" w:rsidRDefault="00A1162D" w:rsidP="009B2B82">
      <w:pPr>
        <w:pStyle w:val="Untitledsubclause2"/>
      </w:pPr>
      <w:bookmarkStart w:id="86" w:name="a449285"/>
      <w:r w:rsidRPr="001F2956">
        <w:lastRenderedPageBreak/>
        <w:t>any information which is already in, or comes into, the public domain otherwise than through the Consultant's or the Individual's unauthorised disclosure.</w:t>
      </w:r>
      <w:bookmarkEnd w:id="86"/>
    </w:p>
    <w:p w14:paraId="1C2EAB2F" w14:textId="2A7B9A2E" w:rsidR="00D671F9" w:rsidRPr="001F2956" w:rsidRDefault="00A1162D" w:rsidP="009B2B82">
      <w:pPr>
        <w:pStyle w:val="Untitledsubclause1"/>
      </w:pPr>
      <w:bookmarkStart w:id="87" w:name="a383341"/>
      <w:r w:rsidRPr="001F2956">
        <w:t xml:space="preserve">At any stage during the Engagement, the Consultant will promptly on request return to the </w:t>
      </w:r>
      <w:r w:rsidR="00F9594E" w:rsidRPr="001F2956">
        <w:t>C</w:t>
      </w:r>
      <w:r w:rsidR="00F9594E">
        <w:t xml:space="preserve">ouncil </w:t>
      </w:r>
      <w:r w:rsidR="00F9594E" w:rsidRPr="001F2956">
        <w:t>all</w:t>
      </w:r>
      <w:r w:rsidRPr="001F2956">
        <w:t xml:space="preserve"> and any C</w:t>
      </w:r>
      <w:r w:rsidR="006A5B3D">
        <w:t>ouncil</w:t>
      </w:r>
      <w:r w:rsidRPr="001F2956">
        <w:t xml:space="preserve"> Property in its or the Individual's possession.</w:t>
      </w:r>
      <w:bookmarkEnd w:id="87"/>
    </w:p>
    <w:p w14:paraId="4569E2F2" w14:textId="1DD628B0" w:rsidR="00D671F9" w:rsidRPr="001F2956" w:rsidRDefault="00A1162D" w:rsidP="009B2B82">
      <w:pPr>
        <w:pStyle w:val="Untitledsubclause1"/>
      </w:pPr>
      <w:bookmarkStart w:id="88" w:name="a964886"/>
      <w:r w:rsidRPr="001F2956">
        <w:t>Nothing in this clause 7 shall prevent the Consultant (or the Individual) or, where applicable, the C</w:t>
      </w:r>
      <w:r w:rsidR="006A5B3D">
        <w:t xml:space="preserve">ouncil </w:t>
      </w:r>
      <w:r w:rsidRPr="001F2956">
        <w:t xml:space="preserve">(or any of its officers, employees, </w:t>
      </w:r>
      <w:proofErr w:type="gramStart"/>
      <w:r w:rsidRPr="001F2956">
        <w:t>workers</w:t>
      </w:r>
      <w:proofErr w:type="gramEnd"/>
      <w:r w:rsidRPr="001F2956">
        <w:t xml:space="preserve"> or agents) from:</w:t>
      </w:r>
      <w:bookmarkEnd w:id="88"/>
    </w:p>
    <w:p w14:paraId="0A343296" w14:textId="77777777" w:rsidR="00D671F9" w:rsidRPr="001F2956" w:rsidRDefault="00A1162D" w:rsidP="009B2B82">
      <w:pPr>
        <w:pStyle w:val="Untitledsubclause2"/>
      </w:pPr>
      <w:bookmarkStart w:id="89" w:name="a156668"/>
      <w:r w:rsidRPr="001F2956">
        <w:t xml:space="preserve">reporting a suspected criminal offence to the police or any law enforcement agency or co-operating with the police or any law enforcement agency regarding a criminal investigation or </w:t>
      </w:r>
      <w:proofErr w:type="gramStart"/>
      <w:r w:rsidRPr="001F2956">
        <w:t>prosecution;</w:t>
      </w:r>
      <w:proofErr w:type="gramEnd"/>
      <w:r w:rsidRPr="001F2956">
        <w:t xml:space="preserve"> </w:t>
      </w:r>
      <w:bookmarkEnd w:id="89"/>
    </w:p>
    <w:p w14:paraId="0F8561B6" w14:textId="77777777" w:rsidR="00D671F9" w:rsidRPr="001F2956" w:rsidRDefault="00A1162D" w:rsidP="009B2B82">
      <w:pPr>
        <w:pStyle w:val="Untitledsubclause2"/>
      </w:pPr>
      <w:bookmarkStart w:id="90" w:name="a557693"/>
      <w:r w:rsidRPr="001F2956">
        <w:t xml:space="preserve">doing or saying anything that is required by HMRC or a regulator, ombudsman or supervisory </w:t>
      </w:r>
      <w:proofErr w:type="gramStart"/>
      <w:r w:rsidRPr="001F2956">
        <w:t>authority;</w:t>
      </w:r>
      <w:proofErr w:type="gramEnd"/>
      <w:r w:rsidRPr="001F2956">
        <w:t xml:space="preserve"> </w:t>
      </w:r>
      <w:bookmarkEnd w:id="90"/>
    </w:p>
    <w:p w14:paraId="0B0245F5" w14:textId="77777777" w:rsidR="00D671F9" w:rsidRPr="001F2956" w:rsidRDefault="00A1162D" w:rsidP="009B2B82">
      <w:pPr>
        <w:pStyle w:val="Untitledsubclause2"/>
      </w:pPr>
      <w:bookmarkStart w:id="91" w:name="a816041"/>
      <w:r w:rsidRPr="001F2956">
        <w:t>whether required to or not, making a disclosure to, or co-operating with any investigation by, HMRC or a regulator, ombudsman or supervisory authority regarding any misconduct, wrongdoing or serious breach of regulatory requirements (including giving evidence at a hearing</w:t>
      </w:r>
      <w:proofErr w:type="gramStart"/>
      <w:r w:rsidRPr="001F2956">
        <w:t>);</w:t>
      </w:r>
      <w:proofErr w:type="gramEnd"/>
      <w:r w:rsidRPr="001F2956">
        <w:t xml:space="preserve"> </w:t>
      </w:r>
      <w:bookmarkEnd w:id="91"/>
    </w:p>
    <w:p w14:paraId="71427C60" w14:textId="77777777" w:rsidR="00D671F9" w:rsidRPr="001F2956" w:rsidRDefault="00A1162D" w:rsidP="009B2B82">
      <w:pPr>
        <w:pStyle w:val="Untitledsubclause2"/>
      </w:pPr>
      <w:bookmarkStart w:id="92" w:name="a206407"/>
      <w:r w:rsidRPr="001F2956">
        <w:t xml:space="preserve">complying with an order from a court or tribunal to disclose or give </w:t>
      </w:r>
      <w:proofErr w:type="gramStart"/>
      <w:r w:rsidRPr="001F2956">
        <w:t>evidence;</w:t>
      </w:r>
      <w:proofErr w:type="gramEnd"/>
      <w:r w:rsidRPr="001F2956">
        <w:t xml:space="preserve"> </w:t>
      </w:r>
      <w:bookmarkEnd w:id="92"/>
    </w:p>
    <w:p w14:paraId="1EAA6DCE" w14:textId="77777777" w:rsidR="00D671F9" w:rsidRPr="001F2956" w:rsidRDefault="00A1162D" w:rsidP="009B2B82">
      <w:pPr>
        <w:pStyle w:val="Untitledsubclause2"/>
      </w:pPr>
      <w:bookmarkStart w:id="93" w:name="a305799"/>
      <w:r w:rsidRPr="001F2956">
        <w:t>making any other disclosure as required by law; or</w:t>
      </w:r>
      <w:bookmarkEnd w:id="93"/>
    </w:p>
    <w:p w14:paraId="1BDFC1BA" w14:textId="37BE237C" w:rsidR="00E20DCA" w:rsidRDefault="00A1162D" w:rsidP="009B2B82">
      <w:pPr>
        <w:pStyle w:val="Untitledsubclause2"/>
      </w:pPr>
      <w:bookmarkStart w:id="94" w:name="a512706"/>
      <w:r w:rsidRPr="001F2956">
        <w:t>disclosing information to any person who owes a duty of confidentiality (which the Consultant, the Individual and the C</w:t>
      </w:r>
      <w:r w:rsidR="00D023BD">
        <w:t xml:space="preserve">ouncil </w:t>
      </w:r>
      <w:r w:rsidRPr="001F2956">
        <w:t>agree not to waive) in respect of information disclosed to them, including legal or tax advisers or, in the Individual's case, persons providing them with medical, therapeutic, counselling or support services.</w:t>
      </w:r>
      <w:bookmarkEnd w:id="94"/>
      <w:r w:rsidR="00E20DCA">
        <w:t xml:space="preserve"> </w:t>
      </w:r>
    </w:p>
    <w:p w14:paraId="08BF9F79" w14:textId="4F9D5268" w:rsidR="00E20DCA" w:rsidRPr="009A1AD3" w:rsidRDefault="00E20DCA" w:rsidP="009A1AD3">
      <w:pPr>
        <w:pStyle w:val="Untitledsubclause1"/>
        <w:tabs>
          <w:tab w:val="clear" w:pos="720"/>
          <w:tab w:val="num" w:pos="1440"/>
        </w:tabs>
        <w:spacing w:before="0" w:after="0"/>
        <w:ind w:left="1020"/>
        <w:textAlignment w:val="baseline"/>
        <w:rPr>
          <w:rStyle w:val="eop"/>
          <w:szCs w:val="22"/>
        </w:rPr>
      </w:pPr>
      <w:r w:rsidRPr="009A1AD3">
        <w:rPr>
          <w:rStyle w:val="normaltextrun"/>
          <w:szCs w:val="22"/>
        </w:rPr>
        <w:t>All designs, drawings, models, plans, specifications, design details, photographs, brochures, reports, notes of meetings, calculations, data, databases, schedules, programmes, bills of quantities, budgets and any other materials provided in connection with the Services and all updates, amendments, additions and revisions to them and any works, designs, or inventions incorporated or referred to in them for any purpose relating to the Services (the “</w:t>
      </w:r>
      <w:r w:rsidRPr="00782D62">
        <w:rPr>
          <w:rStyle w:val="normaltextrun"/>
          <w:b/>
          <w:bCs/>
          <w:szCs w:val="22"/>
        </w:rPr>
        <w:t>Material</w:t>
      </w:r>
      <w:r w:rsidRPr="009A1AD3">
        <w:rPr>
          <w:rStyle w:val="normaltextrun"/>
          <w:szCs w:val="22"/>
        </w:rPr>
        <w:t>”), and any data or documents (including copies) produced, maintained or whether or not stored on the Council's computer systems or other electronic equipment (including mobile phones, if provided by the Council) in relation to this Agreement, remain the property of the Council.</w:t>
      </w:r>
      <w:r w:rsidRPr="009A1AD3">
        <w:rPr>
          <w:rStyle w:val="eop"/>
          <w:szCs w:val="22"/>
        </w:rPr>
        <w:t> </w:t>
      </w:r>
    </w:p>
    <w:p w14:paraId="7AC67936" w14:textId="77777777" w:rsidR="00E20DCA" w:rsidRPr="009A1AD3" w:rsidRDefault="00E20DCA" w:rsidP="00F60A4C">
      <w:pPr>
        <w:pStyle w:val="Untitledsubclause1"/>
        <w:numPr>
          <w:ilvl w:val="0"/>
          <w:numId w:val="0"/>
        </w:numPr>
        <w:spacing w:before="0" w:after="0"/>
        <w:ind w:left="1020"/>
        <w:textAlignment w:val="baseline"/>
        <w:rPr>
          <w:szCs w:val="22"/>
        </w:rPr>
      </w:pPr>
    </w:p>
    <w:p w14:paraId="43A1292D" w14:textId="77777777" w:rsidR="00E20DCA" w:rsidRDefault="00E20DCA" w:rsidP="00E20DCA">
      <w:pPr>
        <w:pStyle w:val="paragraph0"/>
        <w:spacing w:before="0" w:beforeAutospacing="0" w:after="0" w:afterAutospacing="0"/>
        <w:jc w:val="both"/>
        <w:textAlignment w:val="baseline"/>
        <w:rPr>
          <w:rFonts w:ascii="Segoe UI" w:hAnsi="Segoe UI" w:cs="Segoe UI"/>
          <w:sz w:val="18"/>
          <w:szCs w:val="18"/>
        </w:rPr>
      </w:pPr>
      <w:r>
        <w:rPr>
          <w:rStyle w:val="eop"/>
          <w:rFonts w:ascii="Trebuchet MS" w:eastAsia="Arial Unicode MS" w:hAnsi="Trebuchet MS" w:cs="Segoe UI"/>
          <w:sz w:val="20"/>
          <w:szCs w:val="20"/>
        </w:rPr>
        <w:t> </w:t>
      </w:r>
    </w:p>
    <w:p w14:paraId="0B43464A" w14:textId="18B57685" w:rsidR="00D671F9" w:rsidRPr="001F2956" w:rsidRDefault="00D671F9" w:rsidP="00E20DCA">
      <w:pPr>
        <w:pStyle w:val="Untitledsubclause2"/>
        <w:numPr>
          <w:ilvl w:val="0"/>
          <w:numId w:val="0"/>
        </w:numPr>
        <w:ind w:left="1555"/>
      </w:pPr>
    </w:p>
    <w:p w14:paraId="2EEC3F2E" w14:textId="77777777" w:rsidR="00D671F9" w:rsidRPr="001F2956" w:rsidRDefault="00A1162D" w:rsidP="009B2B82">
      <w:pPr>
        <w:pStyle w:val="TitleClause"/>
      </w:pPr>
      <w:r w:rsidRPr="001F2956">
        <w:lastRenderedPageBreak/>
        <w:fldChar w:fldCharType="begin"/>
      </w:r>
      <w:r w:rsidRPr="001F2956">
        <w:instrText>TC "8. Data protection" \l 1</w:instrText>
      </w:r>
      <w:r w:rsidRPr="001F2956">
        <w:fldChar w:fldCharType="end"/>
      </w:r>
      <w:bookmarkStart w:id="95" w:name="_Toc256000007"/>
      <w:bookmarkStart w:id="96" w:name="a876826"/>
      <w:r w:rsidRPr="001F2956">
        <w:t>Data protection</w:t>
      </w:r>
      <w:bookmarkEnd w:id="95"/>
      <w:bookmarkEnd w:id="96"/>
    </w:p>
    <w:p w14:paraId="3B400536" w14:textId="652DCC35" w:rsidR="00275867" w:rsidRPr="002A53AB" w:rsidRDefault="00275867" w:rsidP="00275867">
      <w:pPr>
        <w:pStyle w:val="Untitledsubclause1"/>
        <w:spacing w:before="0" w:after="0"/>
        <w:textAlignment w:val="baseline"/>
        <w:rPr>
          <w:rStyle w:val="eop"/>
          <w:rFonts w:eastAsia="Times New Roman"/>
          <w:kern w:val="0"/>
          <w:szCs w:val="22"/>
          <w:lang w:eastAsia="en-GB"/>
          <w14:ligatures w14:val="none"/>
        </w:rPr>
      </w:pPr>
      <w:bookmarkStart w:id="97" w:name="a631017"/>
      <w:r w:rsidRPr="002A53AB">
        <w:rPr>
          <w:rStyle w:val="normaltextrun"/>
          <w:szCs w:val="22"/>
        </w:rPr>
        <w:t xml:space="preserve">The parties acknowledge that no Personal Data (as defined under the Data Protection Legislation) will be transferred by any </w:t>
      </w:r>
      <w:r w:rsidR="00834847">
        <w:rPr>
          <w:rStyle w:val="normaltextrun"/>
          <w:szCs w:val="22"/>
        </w:rPr>
        <w:t>p</w:t>
      </w:r>
      <w:r w:rsidRPr="002A53AB">
        <w:rPr>
          <w:rStyle w:val="normaltextrun"/>
          <w:szCs w:val="22"/>
        </w:rPr>
        <w:t xml:space="preserve">arty to </w:t>
      </w:r>
      <w:r w:rsidR="00834847">
        <w:rPr>
          <w:rStyle w:val="normaltextrun"/>
          <w:szCs w:val="22"/>
        </w:rPr>
        <w:t xml:space="preserve">this agreement to </w:t>
      </w:r>
      <w:r w:rsidRPr="002A53AB">
        <w:rPr>
          <w:rStyle w:val="normaltextrun"/>
          <w:szCs w:val="22"/>
        </w:rPr>
        <w:t>another</w:t>
      </w:r>
      <w:r w:rsidR="00834847">
        <w:rPr>
          <w:rStyle w:val="normaltextrun"/>
          <w:szCs w:val="22"/>
        </w:rPr>
        <w:t xml:space="preserve"> p</w:t>
      </w:r>
      <w:r w:rsidRPr="002A53AB">
        <w:rPr>
          <w:rStyle w:val="normaltextrun"/>
          <w:szCs w:val="22"/>
        </w:rPr>
        <w:t>arty</w:t>
      </w:r>
      <w:r w:rsidR="00834847">
        <w:rPr>
          <w:rStyle w:val="normaltextrun"/>
          <w:szCs w:val="22"/>
        </w:rPr>
        <w:t xml:space="preserve"> to this agreement</w:t>
      </w:r>
      <w:r w:rsidRPr="002A53AB">
        <w:rPr>
          <w:rStyle w:val="normaltextrun"/>
          <w:szCs w:val="22"/>
        </w:rPr>
        <w:t>. </w:t>
      </w:r>
      <w:r w:rsidRPr="002A53AB">
        <w:rPr>
          <w:rStyle w:val="eop"/>
          <w:szCs w:val="22"/>
        </w:rPr>
        <w:t> </w:t>
      </w:r>
    </w:p>
    <w:p w14:paraId="2C40E067" w14:textId="77777777" w:rsidR="00275867" w:rsidRPr="002A53AB" w:rsidRDefault="00275867" w:rsidP="00275867">
      <w:pPr>
        <w:pStyle w:val="Untitledsubclause1"/>
        <w:numPr>
          <w:ilvl w:val="0"/>
          <w:numId w:val="0"/>
        </w:numPr>
        <w:spacing w:before="0" w:after="0"/>
        <w:ind w:left="720"/>
        <w:textAlignment w:val="baseline"/>
        <w:rPr>
          <w:rFonts w:eastAsia="Times New Roman"/>
          <w:kern w:val="0"/>
          <w:szCs w:val="22"/>
          <w:lang w:eastAsia="en-GB"/>
          <w14:ligatures w14:val="none"/>
        </w:rPr>
      </w:pPr>
    </w:p>
    <w:p w14:paraId="2638D217" w14:textId="1F9A1BC9" w:rsidR="00275867" w:rsidRDefault="00275867" w:rsidP="00275867">
      <w:pPr>
        <w:pStyle w:val="Untitledsubclause1"/>
        <w:spacing w:before="0" w:after="0"/>
        <w:textAlignment w:val="baseline"/>
        <w:rPr>
          <w:rStyle w:val="eop"/>
          <w:szCs w:val="22"/>
        </w:rPr>
      </w:pPr>
      <w:proofErr w:type="gramStart"/>
      <w:r w:rsidRPr="002A53AB">
        <w:rPr>
          <w:rStyle w:val="normaltextrun"/>
          <w:szCs w:val="22"/>
        </w:rPr>
        <w:t>In the event that</w:t>
      </w:r>
      <w:proofErr w:type="gramEnd"/>
      <w:r w:rsidR="00CE2AE8">
        <w:rPr>
          <w:rStyle w:val="normaltextrun"/>
          <w:szCs w:val="22"/>
        </w:rPr>
        <w:t xml:space="preserve"> during this agreement </w:t>
      </w:r>
      <w:r w:rsidR="00903AA7">
        <w:rPr>
          <w:rStyle w:val="normaltextrun"/>
          <w:szCs w:val="22"/>
        </w:rPr>
        <w:t xml:space="preserve">Personal Data </w:t>
      </w:r>
      <w:r w:rsidR="00B230FA">
        <w:rPr>
          <w:rStyle w:val="normaltextrun"/>
          <w:szCs w:val="22"/>
        </w:rPr>
        <w:t>will be transferred</w:t>
      </w:r>
      <w:r w:rsidR="00CE2AE8">
        <w:rPr>
          <w:rStyle w:val="normaltextrun"/>
          <w:szCs w:val="22"/>
        </w:rPr>
        <w:t xml:space="preserve">, </w:t>
      </w:r>
      <w:r w:rsidR="00BB6814">
        <w:rPr>
          <w:rStyle w:val="normaltextrun"/>
          <w:szCs w:val="22"/>
        </w:rPr>
        <w:t xml:space="preserve">or </w:t>
      </w:r>
      <w:r w:rsidRPr="002A53AB">
        <w:rPr>
          <w:rStyle w:val="normaltextrun"/>
          <w:szCs w:val="22"/>
        </w:rPr>
        <w:t>it becomes necessary to do so, the parties shall</w:t>
      </w:r>
      <w:r w:rsidR="00BA3EE6">
        <w:rPr>
          <w:rStyle w:val="normaltextrun"/>
          <w:szCs w:val="22"/>
        </w:rPr>
        <w:t xml:space="preserve"> revise this clause 8 by re</w:t>
      </w:r>
      <w:r w:rsidR="007E05FE">
        <w:rPr>
          <w:rStyle w:val="normaltextrun"/>
          <w:szCs w:val="22"/>
        </w:rPr>
        <w:t xml:space="preserve">placing it with </w:t>
      </w:r>
      <w:r w:rsidRPr="002A53AB">
        <w:rPr>
          <w:rStyle w:val="normaltextrun"/>
          <w:szCs w:val="22"/>
        </w:rPr>
        <w:t>an appropriate data sharing agreement</w:t>
      </w:r>
      <w:r w:rsidR="003164EC">
        <w:rPr>
          <w:rStyle w:val="normaltextrun"/>
          <w:szCs w:val="22"/>
        </w:rPr>
        <w:t xml:space="preserve"> (which shall apply</w:t>
      </w:r>
      <w:r w:rsidR="000D6D55">
        <w:rPr>
          <w:rStyle w:val="normaltextrun"/>
          <w:szCs w:val="22"/>
        </w:rPr>
        <w:t xml:space="preserve"> when replaced by attachment to this agreement)</w:t>
      </w:r>
      <w:r w:rsidRPr="002A53AB">
        <w:rPr>
          <w:rStyle w:val="eop"/>
          <w:szCs w:val="22"/>
        </w:rPr>
        <w:t>.</w:t>
      </w:r>
    </w:p>
    <w:p w14:paraId="2CD67F5D" w14:textId="77777777" w:rsidR="00E83849" w:rsidRPr="002A53AB" w:rsidRDefault="00E83849" w:rsidP="000D6D55">
      <w:pPr>
        <w:pStyle w:val="Untitledsubclause1"/>
        <w:numPr>
          <w:ilvl w:val="0"/>
          <w:numId w:val="0"/>
        </w:numPr>
        <w:spacing w:before="0" w:after="0"/>
        <w:textAlignment w:val="baseline"/>
        <w:rPr>
          <w:rStyle w:val="eop"/>
          <w:szCs w:val="22"/>
        </w:rPr>
      </w:pPr>
    </w:p>
    <w:p w14:paraId="494022A2" w14:textId="4D0D111D" w:rsidR="00275867" w:rsidRPr="002A53AB" w:rsidRDefault="00275867" w:rsidP="00275867">
      <w:pPr>
        <w:pStyle w:val="Untitledsubclause1"/>
        <w:spacing w:before="0" w:after="0"/>
        <w:textAlignment w:val="baseline"/>
        <w:rPr>
          <w:rStyle w:val="eop"/>
          <w:szCs w:val="22"/>
        </w:rPr>
      </w:pPr>
      <w:r w:rsidRPr="002A53AB">
        <w:rPr>
          <w:rStyle w:val="normaltextrun"/>
          <w:szCs w:val="22"/>
        </w:rPr>
        <w:t>Notwithstanding the provisions of clause 8.1, both parties will comply with all applicable requirements of the Data Protection Legislation and any applicable Laws.</w:t>
      </w:r>
      <w:r w:rsidRPr="002A53AB">
        <w:rPr>
          <w:rStyle w:val="eop"/>
          <w:szCs w:val="22"/>
        </w:rPr>
        <w:t> </w:t>
      </w:r>
    </w:p>
    <w:p w14:paraId="3CB56672" w14:textId="77777777" w:rsidR="00275867" w:rsidRPr="002A53AB" w:rsidRDefault="00275867" w:rsidP="00275867">
      <w:pPr>
        <w:pStyle w:val="Untitledsubclause1"/>
        <w:numPr>
          <w:ilvl w:val="0"/>
          <w:numId w:val="0"/>
        </w:numPr>
        <w:spacing w:before="0" w:after="0"/>
        <w:ind w:left="720"/>
        <w:textAlignment w:val="baseline"/>
        <w:rPr>
          <w:rStyle w:val="eop"/>
          <w:szCs w:val="22"/>
        </w:rPr>
      </w:pPr>
    </w:p>
    <w:p w14:paraId="2DE0F8A5" w14:textId="37E22286" w:rsidR="00275867" w:rsidRPr="002A53AB" w:rsidRDefault="00275867" w:rsidP="00275867">
      <w:pPr>
        <w:pStyle w:val="Untitledsubclause1"/>
        <w:spacing w:before="0" w:after="0"/>
        <w:textAlignment w:val="baseline"/>
        <w:rPr>
          <w:szCs w:val="22"/>
        </w:rPr>
      </w:pPr>
      <w:r w:rsidRPr="002A53AB">
        <w:rPr>
          <w:rStyle w:val="normaltextrun"/>
          <w:szCs w:val="22"/>
        </w:rPr>
        <w:t xml:space="preserve">This clause 8 is in addition to, and does not relieve, </w:t>
      </w:r>
      <w:proofErr w:type="gramStart"/>
      <w:r w:rsidRPr="002A53AB">
        <w:rPr>
          <w:rStyle w:val="normaltextrun"/>
          <w:szCs w:val="22"/>
        </w:rPr>
        <w:t>remove</w:t>
      </w:r>
      <w:proofErr w:type="gramEnd"/>
      <w:r w:rsidRPr="002A53AB">
        <w:rPr>
          <w:rStyle w:val="normaltextrun"/>
          <w:szCs w:val="22"/>
        </w:rPr>
        <w:t xml:space="preserve"> or replace, a party’s obligations under the Data Protection Legislation. In this clause </w:t>
      </w:r>
      <w:r w:rsidR="00036947" w:rsidRPr="002A53AB">
        <w:rPr>
          <w:rStyle w:val="normaltextrun"/>
          <w:szCs w:val="22"/>
        </w:rPr>
        <w:t>8</w:t>
      </w:r>
      <w:r w:rsidRPr="002A53AB">
        <w:rPr>
          <w:rStyle w:val="normaltextrun"/>
          <w:szCs w:val="22"/>
        </w:rPr>
        <w:t>, applicable Laws means (for so long as and to the extent that they apply to the Provider) the law of the European Union, the law of any member state of the European Union and/or Domestic UK Law; and Domestic UK Law means the UK Data Protection Legislation and any other law that applies in the UK.</w:t>
      </w:r>
      <w:r w:rsidRPr="002A53AB">
        <w:rPr>
          <w:rStyle w:val="eop"/>
          <w:szCs w:val="22"/>
        </w:rPr>
        <w:t> </w:t>
      </w:r>
    </w:p>
    <w:bookmarkEnd w:id="97"/>
    <w:p w14:paraId="09CB6C3C" w14:textId="2172632D" w:rsidR="00D671F9" w:rsidRPr="001F2956" w:rsidRDefault="00A1162D" w:rsidP="009B2B82">
      <w:pPr>
        <w:pStyle w:val="TitleClause"/>
      </w:pPr>
      <w:r w:rsidRPr="001F2956">
        <w:fldChar w:fldCharType="begin"/>
      </w:r>
      <w:r w:rsidRPr="001F2956">
        <w:instrText>TC "9. Intellectual property" \l 1</w:instrText>
      </w:r>
      <w:r w:rsidRPr="001F2956">
        <w:fldChar w:fldCharType="end"/>
      </w:r>
      <w:bookmarkStart w:id="98" w:name="_Toc256000008"/>
      <w:bookmarkStart w:id="99" w:name="a950574"/>
      <w:r w:rsidRPr="001F2956">
        <w:t>Intellectual property</w:t>
      </w:r>
      <w:bookmarkEnd w:id="98"/>
      <w:bookmarkEnd w:id="99"/>
    </w:p>
    <w:p w14:paraId="5C03F5BD" w14:textId="0B88B3A3" w:rsidR="00D671F9" w:rsidRPr="001F2956" w:rsidRDefault="00A1162D" w:rsidP="009B2B82">
      <w:pPr>
        <w:pStyle w:val="Untitledsubclause1"/>
      </w:pPr>
      <w:bookmarkStart w:id="100" w:name="a340683"/>
      <w:r w:rsidRPr="001F2956">
        <w:t>The Consultant warrants to the C</w:t>
      </w:r>
      <w:r w:rsidR="00D77C5E">
        <w:t>ouncil</w:t>
      </w:r>
      <w:r w:rsidRPr="001F2956">
        <w:t xml:space="preserve"> that it has obtained from the Individual a written and valid assignment of all existing and future Intellectual Property Rights in the Works and the Inventions and of all materials embodying such rights and a written irrevocable waiver of all the Individual's statutory moral rights in the Works, to the fullest extent permissible by law, and that the Individual has agreed to hold on trust for the Consultant any such rights in which the legal title has not passed (or will not pass) to the Consultant. The Consultant agrees to provide to the C</w:t>
      </w:r>
      <w:r w:rsidR="00657372">
        <w:t>ouncil</w:t>
      </w:r>
      <w:r w:rsidRPr="001F2956">
        <w:t xml:space="preserve"> a copy of this assignment on or before the date of this agreement.</w:t>
      </w:r>
      <w:bookmarkEnd w:id="100"/>
    </w:p>
    <w:p w14:paraId="1EF7397D" w14:textId="6497810E" w:rsidR="00D671F9" w:rsidRPr="001F2956" w:rsidRDefault="00A1162D" w:rsidP="009B2B82">
      <w:pPr>
        <w:pStyle w:val="Untitledsubclause1"/>
      </w:pPr>
      <w:bookmarkStart w:id="101" w:name="a367559"/>
      <w:r w:rsidRPr="001F2956">
        <w:t>The Consultant hereby assigns to the C</w:t>
      </w:r>
      <w:r w:rsidR="00657372">
        <w:t>ouncil</w:t>
      </w:r>
      <w:r w:rsidRPr="001F2956">
        <w:t xml:space="preserve"> all existing and future Intellectual Property Rights in the Works and the Inventions and all materials embodying these rights to the fullest extent permitted by law. Insofar as they do not vest automatically by operation of law or under this agreement, the Consultant holds legal title in these rights and inventions on trust for the C</w:t>
      </w:r>
      <w:r w:rsidR="002A5394">
        <w:t>ouncil</w:t>
      </w:r>
      <w:r w:rsidRPr="001F2956">
        <w:t>.</w:t>
      </w:r>
      <w:bookmarkEnd w:id="101"/>
    </w:p>
    <w:p w14:paraId="0D65447C" w14:textId="2D14166B" w:rsidR="00D671F9" w:rsidRPr="001F2956" w:rsidRDefault="00A1162D" w:rsidP="009B2B82">
      <w:pPr>
        <w:pStyle w:val="Untitledsubclause1"/>
      </w:pPr>
      <w:bookmarkStart w:id="102" w:name="a285168"/>
      <w:r w:rsidRPr="001F2956">
        <w:t>The Consultant undertakes to the C</w:t>
      </w:r>
      <w:r w:rsidR="002A5394">
        <w:t>ouncil</w:t>
      </w:r>
      <w:r w:rsidRPr="001F2956">
        <w:t>:</w:t>
      </w:r>
      <w:bookmarkEnd w:id="102"/>
    </w:p>
    <w:p w14:paraId="0100F4E2" w14:textId="7EAB4514" w:rsidR="00D671F9" w:rsidRPr="001F2956" w:rsidRDefault="00A1162D" w:rsidP="009B2B82">
      <w:pPr>
        <w:pStyle w:val="Untitledsubclause2"/>
      </w:pPr>
      <w:bookmarkStart w:id="103" w:name="a632065"/>
      <w:r w:rsidRPr="001F2956">
        <w:t>to notify to the C</w:t>
      </w:r>
      <w:r w:rsidR="002A5394">
        <w:t>ouncil</w:t>
      </w:r>
      <w:r w:rsidRPr="001F2956">
        <w:t xml:space="preserve"> in writing full details of all Inventions promptly on their </w:t>
      </w:r>
      <w:proofErr w:type="gramStart"/>
      <w:r w:rsidRPr="001F2956">
        <w:t>creation;</w:t>
      </w:r>
      <w:bookmarkEnd w:id="103"/>
      <w:proofErr w:type="gramEnd"/>
    </w:p>
    <w:p w14:paraId="1CBF3F8C" w14:textId="3FEF227C" w:rsidR="00D671F9" w:rsidRPr="001F2956" w:rsidRDefault="00A1162D" w:rsidP="009B2B82">
      <w:pPr>
        <w:pStyle w:val="Untitledsubclause2"/>
      </w:pPr>
      <w:bookmarkStart w:id="104" w:name="a447137"/>
      <w:r w:rsidRPr="001F2956">
        <w:t xml:space="preserve">to keep confidential the details of all </w:t>
      </w:r>
      <w:proofErr w:type="gramStart"/>
      <w:r w:rsidRPr="001F2956">
        <w:t>Inventions;</w:t>
      </w:r>
      <w:bookmarkEnd w:id="104"/>
      <w:proofErr w:type="gramEnd"/>
    </w:p>
    <w:p w14:paraId="6FF58F3C" w14:textId="214E4878" w:rsidR="00D671F9" w:rsidRPr="001F2956" w:rsidRDefault="00A1162D" w:rsidP="009B2B82">
      <w:pPr>
        <w:pStyle w:val="Untitledsubclause2"/>
      </w:pPr>
      <w:bookmarkStart w:id="105" w:name="a823455"/>
      <w:r w:rsidRPr="001F2956">
        <w:lastRenderedPageBreak/>
        <w:t>whenever requested to do so by the C</w:t>
      </w:r>
      <w:r w:rsidR="00911397">
        <w:t>ouncil</w:t>
      </w:r>
      <w:r w:rsidRPr="001F2956">
        <w:t xml:space="preserve"> and in any event on the termination of the Engagement, promptly to deliver to the C</w:t>
      </w:r>
      <w:r w:rsidR="00911397">
        <w:t>o</w:t>
      </w:r>
      <w:r w:rsidR="008C687E">
        <w:t>u</w:t>
      </w:r>
      <w:r w:rsidR="00911397">
        <w:t>ncil</w:t>
      </w:r>
      <w:r w:rsidRPr="001F2956">
        <w:t xml:space="preserve"> all correspondence, documents, papers and records on all media (and all copies or abstracts of them), recording or relating to any part of the Works and the process of their creation which are in its or the Individual's possession, custody or </w:t>
      </w:r>
      <w:proofErr w:type="gramStart"/>
      <w:r w:rsidRPr="001F2956">
        <w:t>power;</w:t>
      </w:r>
      <w:bookmarkEnd w:id="105"/>
      <w:proofErr w:type="gramEnd"/>
    </w:p>
    <w:p w14:paraId="3A84F10A" w14:textId="4BF64A4A" w:rsidR="00D671F9" w:rsidRPr="001F2956" w:rsidRDefault="00A1162D" w:rsidP="009B2B82">
      <w:pPr>
        <w:pStyle w:val="Untitledsubclause2"/>
      </w:pPr>
      <w:bookmarkStart w:id="106" w:name="a188662"/>
      <w:r w:rsidRPr="001F2956">
        <w:t>not to register nor attempt to register any of the Intellectual Property Rights in the Works, nor any of the Inventions, unless requested to do so by the C</w:t>
      </w:r>
      <w:r w:rsidR="00911397">
        <w:t>ouncil</w:t>
      </w:r>
      <w:r w:rsidRPr="001F2956">
        <w:t>; and</w:t>
      </w:r>
      <w:bookmarkEnd w:id="106"/>
    </w:p>
    <w:p w14:paraId="191FCEA6" w14:textId="1C24125D" w:rsidR="00D671F9" w:rsidRPr="001F2956" w:rsidRDefault="00A1162D" w:rsidP="009B2B82">
      <w:pPr>
        <w:pStyle w:val="Untitledsubclause2"/>
      </w:pPr>
      <w:bookmarkStart w:id="107" w:name="a360137"/>
      <w:r w:rsidRPr="001F2956">
        <w:t>to do all acts necessary to confirm that absolute title in all Intellectual Property Rights in the Works and the Inventions has passed, or will pass, to the C</w:t>
      </w:r>
      <w:r w:rsidR="00DF034A">
        <w:t>ouncil</w:t>
      </w:r>
      <w:r w:rsidRPr="001F2956">
        <w:t>,</w:t>
      </w:r>
      <w:bookmarkEnd w:id="107"/>
    </w:p>
    <w:p w14:paraId="74476AC0" w14:textId="520D0F6B" w:rsidR="00D671F9" w:rsidRPr="001F2956" w:rsidRDefault="00A1162D" w:rsidP="009B2B82">
      <w:pPr>
        <w:pStyle w:val="Parasubclause1"/>
      </w:pPr>
      <w:r w:rsidRPr="001F2956">
        <w:t>and confirms that the Individual has given written undertakings in the same terms to the Consultant.</w:t>
      </w:r>
    </w:p>
    <w:p w14:paraId="72D74DA5" w14:textId="37194DF7" w:rsidR="00D671F9" w:rsidRPr="001F2956" w:rsidRDefault="00A1162D" w:rsidP="009B2B82">
      <w:pPr>
        <w:pStyle w:val="Untitledsubclause1"/>
      </w:pPr>
      <w:bookmarkStart w:id="108" w:name="a990360"/>
      <w:r w:rsidRPr="001F2956">
        <w:t>The Consultant warrants that:</w:t>
      </w:r>
      <w:bookmarkEnd w:id="108"/>
    </w:p>
    <w:p w14:paraId="48CAA38F" w14:textId="0F154165" w:rsidR="00D671F9" w:rsidRPr="001F2956" w:rsidRDefault="00A1162D" w:rsidP="009B2B82">
      <w:pPr>
        <w:pStyle w:val="Untitledsubclause2"/>
      </w:pPr>
      <w:bookmarkStart w:id="109" w:name="a803933"/>
      <w:r w:rsidRPr="001F2956">
        <w:t xml:space="preserve">it has not given and will not give permission to any third party to use any of the Works or the Inventions, nor any of the Intellectual Property Rights in the </w:t>
      </w:r>
      <w:proofErr w:type="gramStart"/>
      <w:r w:rsidRPr="001F2956">
        <w:t>Works;</w:t>
      </w:r>
      <w:bookmarkEnd w:id="109"/>
      <w:proofErr w:type="gramEnd"/>
    </w:p>
    <w:p w14:paraId="20F17F17" w14:textId="29544408" w:rsidR="00D671F9" w:rsidRPr="001F2956" w:rsidRDefault="00A1162D" w:rsidP="009B2B82">
      <w:pPr>
        <w:pStyle w:val="Untitledsubclause2"/>
      </w:pPr>
      <w:bookmarkStart w:id="110" w:name="a392079"/>
      <w:r w:rsidRPr="001F2956">
        <w:t>it is unaware of any use by any third party of any of the Works or Intellectual Property Rights in the Works; and</w:t>
      </w:r>
      <w:bookmarkEnd w:id="110"/>
    </w:p>
    <w:p w14:paraId="6BA55C89" w14:textId="749C15E0" w:rsidR="00D671F9" w:rsidRPr="001F2956" w:rsidRDefault="00A1162D" w:rsidP="009B2B82">
      <w:pPr>
        <w:pStyle w:val="Untitledsubclause2"/>
      </w:pPr>
      <w:bookmarkStart w:id="111" w:name="a500709"/>
      <w:r w:rsidRPr="001F2956">
        <w:t>the use of the Works or the Intellectual Property Rights in the Works by the C</w:t>
      </w:r>
      <w:r w:rsidR="00DF034A">
        <w:t>ouncil</w:t>
      </w:r>
      <w:r w:rsidRPr="001F2956">
        <w:t xml:space="preserve"> will not infringe the rights of any third party,</w:t>
      </w:r>
      <w:bookmarkEnd w:id="111"/>
    </w:p>
    <w:p w14:paraId="41DBE30A" w14:textId="53414A2C" w:rsidR="00D671F9" w:rsidRPr="001F2956" w:rsidRDefault="00A1162D" w:rsidP="009B2B82">
      <w:pPr>
        <w:pStyle w:val="Parasubclause1"/>
      </w:pPr>
      <w:r w:rsidRPr="001F2956">
        <w:t>and confirms that the Individual has given written undertakings in the same terms to the Consultant.</w:t>
      </w:r>
    </w:p>
    <w:p w14:paraId="2BA1C66F" w14:textId="3743D4B9" w:rsidR="00D671F9" w:rsidRPr="001F2956" w:rsidRDefault="00A1162D" w:rsidP="009B2B82">
      <w:pPr>
        <w:pStyle w:val="Untitledsubclause1"/>
      </w:pPr>
      <w:bookmarkStart w:id="112" w:name="a986646"/>
      <w:r w:rsidRPr="001F2956">
        <w:t>The Consultant agrees to indemnify the C</w:t>
      </w:r>
      <w:r w:rsidR="00170C92">
        <w:t>ouncil</w:t>
      </w:r>
      <w:r w:rsidRPr="001F2956">
        <w:t xml:space="preserve"> and keep it </w:t>
      </w:r>
      <w:proofErr w:type="gramStart"/>
      <w:r w:rsidRPr="001F2956">
        <w:t>indemnified at all times</w:t>
      </w:r>
      <w:proofErr w:type="gramEnd"/>
      <w:r w:rsidRPr="001F2956">
        <w:t xml:space="preserve"> against all or any costs, claims, damages or expenses incurred by the C</w:t>
      </w:r>
      <w:r w:rsidR="00170C92">
        <w:t>ouncil</w:t>
      </w:r>
      <w:r w:rsidRPr="001F2956">
        <w:t>, or for which the C</w:t>
      </w:r>
      <w:r w:rsidR="00170C92">
        <w:t>ouncil</w:t>
      </w:r>
      <w:r w:rsidRPr="001F2956">
        <w:t xml:space="preserve"> may become liable, with respect to any intellectual property infringement claim or other claim relating to the Works or Inventions supplied by the Consultant to the C</w:t>
      </w:r>
      <w:r w:rsidR="00DA089A">
        <w:t>ouncil</w:t>
      </w:r>
      <w:r w:rsidRPr="001F2956">
        <w:t xml:space="preserve"> during the course of providing the Services. The Consultant shall maintain adequate liability insurance </w:t>
      </w:r>
      <w:proofErr w:type="gramStart"/>
      <w:r w:rsidRPr="001F2956">
        <w:t>coverage, and</w:t>
      </w:r>
      <w:proofErr w:type="gramEnd"/>
      <w:r w:rsidRPr="001F2956">
        <w:t xml:space="preserve"> ensure that the C</w:t>
      </w:r>
      <w:r w:rsidR="00DA089A">
        <w:t>ouncil</w:t>
      </w:r>
      <w:r w:rsidRPr="001F2956">
        <w:t>'s interest is noted on the policy, and shall supply a copy of the policy to the C</w:t>
      </w:r>
      <w:r w:rsidR="00DA089A">
        <w:t>ouncil</w:t>
      </w:r>
      <w:r w:rsidRPr="001F2956">
        <w:t xml:space="preserve"> on request. The C</w:t>
      </w:r>
      <w:r w:rsidR="00DA089A">
        <w:t>ouncil</w:t>
      </w:r>
      <w:r w:rsidRPr="001F2956">
        <w:t xml:space="preserve"> may at its option satisfy such indemnity (in whole or in part) by way of deduction from any payments due to the Consultant.</w:t>
      </w:r>
      <w:bookmarkEnd w:id="112"/>
    </w:p>
    <w:p w14:paraId="784654F5" w14:textId="214A34A7" w:rsidR="00D671F9" w:rsidRPr="001F2956" w:rsidRDefault="00A1162D" w:rsidP="009B2B82">
      <w:pPr>
        <w:pStyle w:val="Untitledsubclause1"/>
      </w:pPr>
      <w:bookmarkStart w:id="113" w:name="a846324"/>
      <w:r w:rsidRPr="001F2956">
        <w:t xml:space="preserve">The Consultant acknowledges that no further remuneration or compensation other than that provided for in this agreement is or may become due to the Consultant in respect of the performance of its obligations under this </w:t>
      </w:r>
      <w:r w:rsidRPr="001F2956">
        <w:fldChar w:fldCharType="begin"/>
      </w:r>
      <w:r w:rsidRPr="001F2956">
        <w:instrText>PAGEREF a950574\# "'clause '"  \h</w:instrText>
      </w:r>
      <w:r w:rsidRPr="001F2956">
        <w:fldChar w:fldCharType="separate"/>
      </w:r>
      <w:r w:rsidRPr="001F2956">
        <w:t xml:space="preserve">clause </w:t>
      </w:r>
      <w:r w:rsidRPr="001F2956">
        <w:fldChar w:fldCharType="end"/>
      </w:r>
      <w:r w:rsidRPr="001F2956">
        <w:fldChar w:fldCharType="begin"/>
      </w:r>
      <w:r w:rsidRPr="001F2956">
        <w:rPr>
          <w:highlight w:val="lightGray"/>
        </w:rPr>
        <w:instrText>REF a950574 \h \w</w:instrText>
      </w:r>
      <w:r w:rsidR="001F2956">
        <w:instrText xml:space="preserve"> \* MERGEFORMAT </w:instrText>
      </w:r>
      <w:r w:rsidRPr="001F2956">
        <w:fldChar w:fldCharType="separate"/>
      </w:r>
      <w:r w:rsidRPr="001F2956">
        <w:t>9</w:t>
      </w:r>
      <w:r w:rsidRPr="001F2956">
        <w:fldChar w:fldCharType="end"/>
      </w:r>
      <w:r w:rsidRPr="001F2956">
        <w:t>.</w:t>
      </w:r>
      <w:bookmarkEnd w:id="113"/>
    </w:p>
    <w:p w14:paraId="3D362388" w14:textId="346E2D13" w:rsidR="00D671F9" w:rsidRPr="001F2956" w:rsidRDefault="00A1162D" w:rsidP="009B2B82">
      <w:pPr>
        <w:pStyle w:val="Untitledsubclause1"/>
      </w:pPr>
      <w:bookmarkStart w:id="114" w:name="a955727"/>
      <w:r w:rsidRPr="001F2956">
        <w:t>The Consultant undertakes to execute all documents, make all applications, give all assistance and do all acts and things, at the expense of the C</w:t>
      </w:r>
      <w:r w:rsidR="002D1C56">
        <w:t>ouncil</w:t>
      </w:r>
      <w:r w:rsidRPr="001F2956">
        <w:t xml:space="preserve"> and at any time either during or after the Engagement, as may, in the opinion of the C</w:t>
      </w:r>
      <w:r w:rsidR="002D1C56">
        <w:t>ouncil</w:t>
      </w:r>
      <w:r w:rsidRPr="001F2956">
        <w:t xml:space="preserve">, be necessary or </w:t>
      </w:r>
      <w:r w:rsidRPr="001F2956">
        <w:lastRenderedPageBreak/>
        <w:t>desirable to vest the Intellectual Property Rights in, and register or obtain patents or registered designs in, the name of the C</w:t>
      </w:r>
      <w:r w:rsidR="008F21F7">
        <w:t>ouncil</w:t>
      </w:r>
      <w:r w:rsidRPr="001F2956">
        <w:t xml:space="preserve"> and to defend the C</w:t>
      </w:r>
      <w:r w:rsidR="008F21F7">
        <w:t>ouncil</w:t>
      </w:r>
      <w:r w:rsidRPr="001F2956">
        <w:t xml:space="preserve"> against claims that works embodying Intellectual Property Rights or Inventions infringe third party rights, and otherwise to protect and maintain the Intellectual Property Rights in the Works. The Consultant confirms that the Individual has given written undertakings in the same terms to the Consultant.</w:t>
      </w:r>
      <w:bookmarkEnd w:id="114"/>
    </w:p>
    <w:p w14:paraId="60FDDADE" w14:textId="00408F05" w:rsidR="00D671F9" w:rsidRPr="001F2956" w:rsidRDefault="00A1162D" w:rsidP="009B2B82">
      <w:pPr>
        <w:pStyle w:val="Untitledsubclause1"/>
      </w:pPr>
      <w:bookmarkStart w:id="115" w:name="a357651"/>
      <w:r w:rsidRPr="001F2956">
        <w:t>The Consultant irrevocably appoints the C</w:t>
      </w:r>
      <w:r w:rsidR="00E81058">
        <w:t>ouncil</w:t>
      </w:r>
      <w:r w:rsidRPr="001F2956">
        <w:t xml:space="preserve"> to be its attorney in its name and on its behalf to execute documents, use the Consultant's name and do all things which are necessary or desirable for the C</w:t>
      </w:r>
      <w:r w:rsidR="00E81058">
        <w:t>ouncil</w:t>
      </w:r>
      <w:r w:rsidR="0057479E">
        <w:t xml:space="preserve"> </w:t>
      </w:r>
      <w:r w:rsidRPr="001F2956">
        <w:t>to obtain for itself or its nominee the full benefit of this clause.</w:t>
      </w:r>
      <w:bookmarkEnd w:id="115"/>
    </w:p>
    <w:p w14:paraId="05C254E9" w14:textId="77777777" w:rsidR="00D671F9" w:rsidRPr="001F2956" w:rsidRDefault="00A1162D" w:rsidP="009B2B82">
      <w:pPr>
        <w:pStyle w:val="TitleClause"/>
      </w:pPr>
      <w:r w:rsidRPr="001F2956">
        <w:fldChar w:fldCharType="begin"/>
      </w:r>
      <w:r w:rsidRPr="001F2956">
        <w:instrText>TC "10. Insurance and liability" \l 1</w:instrText>
      </w:r>
      <w:r w:rsidRPr="001F2956">
        <w:fldChar w:fldCharType="end"/>
      </w:r>
      <w:bookmarkStart w:id="116" w:name="_Toc256000009"/>
      <w:bookmarkStart w:id="117" w:name="a558820"/>
      <w:r w:rsidRPr="001F2956">
        <w:t>Insurance and liability</w:t>
      </w:r>
      <w:bookmarkEnd w:id="116"/>
      <w:bookmarkEnd w:id="117"/>
    </w:p>
    <w:p w14:paraId="4332351F" w14:textId="79A8CF2A" w:rsidR="00B756A1" w:rsidRPr="00934E36" w:rsidRDefault="0057479E" w:rsidP="0057479E">
      <w:pPr>
        <w:pStyle w:val="paragraph0"/>
        <w:spacing w:before="0" w:beforeAutospacing="0" w:after="0" w:afterAutospacing="0"/>
        <w:ind w:left="720" w:hanging="720"/>
        <w:jc w:val="both"/>
        <w:textAlignment w:val="baseline"/>
        <w:rPr>
          <w:rFonts w:ascii="Arial" w:hAnsi="Arial" w:cs="Arial"/>
          <w:sz w:val="22"/>
          <w:szCs w:val="22"/>
        </w:rPr>
      </w:pPr>
      <w:bookmarkStart w:id="118" w:name="a821981"/>
      <w:r w:rsidRPr="00934E36">
        <w:rPr>
          <w:rStyle w:val="normaltextrun"/>
          <w:rFonts w:ascii="Arial" w:hAnsi="Arial" w:cs="Arial"/>
          <w:sz w:val="22"/>
          <w:szCs w:val="22"/>
        </w:rPr>
        <w:t xml:space="preserve">10.1 </w:t>
      </w:r>
      <w:r w:rsidR="00B756A1" w:rsidRPr="00934E36">
        <w:rPr>
          <w:rStyle w:val="normaltextrun"/>
          <w:rFonts w:ascii="Arial" w:hAnsi="Arial" w:cs="Arial"/>
          <w:sz w:val="22"/>
          <w:szCs w:val="22"/>
        </w:rPr>
        <w:t xml:space="preserve"> </w:t>
      </w:r>
      <w:r w:rsidR="00B756A1" w:rsidRPr="00934E36">
        <w:rPr>
          <w:rStyle w:val="normaltextrun"/>
          <w:rFonts w:ascii="Arial" w:hAnsi="Arial" w:cs="Arial"/>
          <w:sz w:val="22"/>
          <w:szCs w:val="22"/>
        </w:rPr>
        <w:tab/>
        <w:t>The Consultant will throughout the Engagement maintain with a reputable insurance company within the UK such policies of insurance as are necessary to cover any liability of the Consultant in respect of loss of or damage to property and personal injury to, or death of, any person arising out of or in the course of or caused by the Consultan</w:t>
      </w:r>
      <w:r w:rsidR="00510456" w:rsidRPr="00934E36">
        <w:rPr>
          <w:rStyle w:val="normaltextrun"/>
          <w:rFonts w:ascii="Arial" w:hAnsi="Arial" w:cs="Arial"/>
          <w:sz w:val="22"/>
          <w:szCs w:val="22"/>
        </w:rPr>
        <w:t>t</w:t>
      </w:r>
      <w:r w:rsidR="00A74C5B">
        <w:rPr>
          <w:rStyle w:val="normaltextrun"/>
          <w:rFonts w:ascii="Arial" w:hAnsi="Arial" w:cs="Arial"/>
          <w:sz w:val="22"/>
          <w:szCs w:val="22"/>
        </w:rPr>
        <w:t xml:space="preserve"> </w:t>
      </w:r>
      <w:r w:rsidR="00510456" w:rsidRPr="00934E36">
        <w:rPr>
          <w:rStyle w:val="normaltextrun"/>
          <w:rFonts w:ascii="Arial" w:hAnsi="Arial" w:cs="Arial"/>
          <w:sz w:val="22"/>
          <w:szCs w:val="22"/>
        </w:rPr>
        <w:t>or the Indivi</w:t>
      </w:r>
      <w:r w:rsidRPr="00934E36">
        <w:rPr>
          <w:rStyle w:val="normaltextrun"/>
          <w:rFonts w:ascii="Arial" w:hAnsi="Arial" w:cs="Arial"/>
          <w:sz w:val="22"/>
          <w:szCs w:val="22"/>
        </w:rPr>
        <w:t>d</w:t>
      </w:r>
      <w:r w:rsidR="00510456" w:rsidRPr="00934E36">
        <w:rPr>
          <w:rStyle w:val="normaltextrun"/>
          <w:rFonts w:ascii="Arial" w:hAnsi="Arial" w:cs="Arial"/>
          <w:sz w:val="22"/>
          <w:szCs w:val="22"/>
        </w:rPr>
        <w:t>ual</w:t>
      </w:r>
      <w:r w:rsidR="00B756A1" w:rsidRPr="00934E36">
        <w:rPr>
          <w:rStyle w:val="normaltextrun"/>
          <w:rFonts w:ascii="Arial" w:hAnsi="Arial" w:cs="Arial"/>
          <w:sz w:val="22"/>
          <w:szCs w:val="22"/>
        </w:rPr>
        <w:t xml:space="preserve"> carrying out or failing to carry out its obligations under the </w:t>
      </w:r>
      <w:r w:rsidR="00510456" w:rsidRPr="00934E36">
        <w:rPr>
          <w:rStyle w:val="normaltextrun"/>
          <w:rFonts w:ascii="Arial" w:hAnsi="Arial" w:cs="Arial"/>
          <w:sz w:val="22"/>
          <w:szCs w:val="22"/>
        </w:rPr>
        <w:t>a</w:t>
      </w:r>
      <w:r w:rsidR="00B756A1" w:rsidRPr="00934E36">
        <w:rPr>
          <w:rStyle w:val="normaltextrun"/>
          <w:rFonts w:ascii="Arial" w:hAnsi="Arial" w:cs="Arial"/>
          <w:sz w:val="22"/>
          <w:szCs w:val="22"/>
        </w:rPr>
        <w:t xml:space="preserve">greement or for which it may become liable to the Council under clause </w:t>
      </w:r>
      <w:r w:rsidRPr="00934E36">
        <w:rPr>
          <w:rStyle w:val="normaltextrun"/>
          <w:rFonts w:ascii="Arial" w:hAnsi="Arial" w:cs="Arial"/>
          <w:sz w:val="22"/>
          <w:szCs w:val="22"/>
        </w:rPr>
        <w:t>10</w:t>
      </w:r>
      <w:r w:rsidR="00B756A1" w:rsidRPr="00934E36">
        <w:rPr>
          <w:rStyle w:val="normaltextrun"/>
          <w:rFonts w:ascii="Arial" w:hAnsi="Arial" w:cs="Arial"/>
          <w:sz w:val="22"/>
          <w:szCs w:val="22"/>
        </w:rPr>
        <w:t>, including:</w:t>
      </w:r>
      <w:r w:rsidR="00B756A1" w:rsidRPr="00934E36">
        <w:rPr>
          <w:rStyle w:val="eop"/>
          <w:rFonts w:ascii="Arial" w:eastAsia="Arial Unicode MS" w:hAnsi="Arial" w:cs="Arial"/>
          <w:sz w:val="22"/>
          <w:szCs w:val="22"/>
        </w:rPr>
        <w:t> </w:t>
      </w:r>
    </w:p>
    <w:p w14:paraId="782CC8CA" w14:textId="77777777" w:rsidR="00B756A1" w:rsidRPr="00934E36" w:rsidRDefault="00B756A1" w:rsidP="00B756A1">
      <w:pPr>
        <w:pStyle w:val="paragraph0"/>
        <w:spacing w:before="0" w:beforeAutospacing="0" w:after="0" w:afterAutospacing="0"/>
        <w:ind w:left="1440"/>
        <w:jc w:val="both"/>
        <w:textAlignment w:val="baseline"/>
        <w:rPr>
          <w:rFonts w:ascii="Arial" w:hAnsi="Arial" w:cs="Arial"/>
          <w:sz w:val="22"/>
          <w:szCs w:val="22"/>
        </w:rPr>
      </w:pPr>
      <w:r w:rsidRPr="00934E36">
        <w:rPr>
          <w:rStyle w:val="eop"/>
          <w:rFonts w:ascii="Arial" w:eastAsia="Arial Unicode MS" w:hAnsi="Arial" w:cs="Arial"/>
          <w:sz w:val="22"/>
          <w:szCs w:val="22"/>
        </w:rPr>
        <w:t> </w:t>
      </w:r>
    </w:p>
    <w:p w14:paraId="691FE81D" w14:textId="1D6C7EE8" w:rsidR="00B756A1" w:rsidRPr="00934E36" w:rsidRDefault="00B756A1" w:rsidP="00B756A1">
      <w:pPr>
        <w:pStyle w:val="paragraph0"/>
        <w:numPr>
          <w:ilvl w:val="0"/>
          <w:numId w:val="38"/>
        </w:numPr>
        <w:spacing w:before="0" w:beforeAutospacing="0" w:after="0" w:afterAutospacing="0"/>
        <w:ind w:left="1440" w:firstLine="0"/>
        <w:jc w:val="both"/>
        <w:textAlignment w:val="baseline"/>
        <w:rPr>
          <w:rFonts w:ascii="Arial" w:hAnsi="Arial" w:cs="Arial"/>
          <w:sz w:val="22"/>
          <w:szCs w:val="22"/>
        </w:rPr>
      </w:pPr>
      <w:r w:rsidRPr="00934E36">
        <w:rPr>
          <w:rStyle w:val="normaltextrun"/>
          <w:rFonts w:ascii="Arial" w:hAnsi="Arial" w:cs="Arial"/>
          <w:sz w:val="22"/>
          <w:szCs w:val="22"/>
        </w:rPr>
        <w:t xml:space="preserve">public liability insurance cover in the minimum sum of </w:t>
      </w:r>
      <w:r w:rsidR="009F08B0">
        <w:rPr>
          <w:rStyle w:val="normaltextrun"/>
          <w:rFonts w:ascii="Arial" w:hAnsi="Arial" w:cs="Arial"/>
          <w:sz w:val="22"/>
          <w:szCs w:val="22"/>
        </w:rPr>
        <w:t xml:space="preserve">five million pounds (£5,000,000) </w:t>
      </w:r>
      <w:r w:rsidRPr="00934E36">
        <w:rPr>
          <w:rStyle w:val="normaltextrun"/>
          <w:rFonts w:ascii="Arial" w:hAnsi="Arial" w:cs="Arial"/>
          <w:sz w:val="22"/>
          <w:szCs w:val="22"/>
        </w:rPr>
        <w:t xml:space="preserve">in respect of any one incident and the number of incidents covered shall be unlimited and should be adequate to cover all risks in the performance of the </w:t>
      </w:r>
      <w:proofErr w:type="gramStart"/>
      <w:r w:rsidRPr="00934E36">
        <w:rPr>
          <w:rStyle w:val="normaltextrun"/>
          <w:rFonts w:ascii="Arial" w:hAnsi="Arial" w:cs="Arial"/>
          <w:sz w:val="22"/>
          <w:szCs w:val="22"/>
        </w:rPr>
        <w:t>Services;</w:t>
      </w:r>
      <w:proofErr w:type="gramEnd"/>
      <w:r w:rsidRPr="00934E36">
        <w:rPr>
          <w:rStyle w:val="eop"/>
          <w:rFonts w:ascii="Arial" w:eastAsia="Arial Unicode MS" w:hAnsi="Arial" w:cs="Arial"/>
          <w:sz w:val="22"/>
          <w:szCs w:val="22"/>
        </w:rPr>
        <w:t> </w:t>
      </w:r>
    </w:p>
    <w:p w14:paraId="08188EC2" w14:textId="77777777" w:rsidR="00B756A1" w:rsidRPr="00934E36" w:rsidRDefault="00B756A1" w:rsidP="00B756A1">
      <w:pPr>
        <w:pStyle w:val="paragraph0"/>
        <w:spacing w:before="0" w:beforeAutospacing="0" w:after="0" w:afterAutospacing="0"/>
        <w:ind w:left="1440"/>
        <w:jc w:val="both"/>
        <w:textAlignment w:val="baseline"/>
        <w:rPr>
          <w:rFonts w:ascii="Arial" w:hAnsi="Arial" w:cs="Arial"/>
          <w:sz w:val="22"/>
          <w:szCs w:val="22"/>
        </w:rPr>
      </w:pPr>
      <w:r w:rsidRPr="00934E36">
        <w:rPr>
          <w:rStyle w:val="eop"/>
          <w:rFonts w:ascii="Arial" w:eastAsia="Arial Unicode MS" w:hAnsi="Arial" w:cs="Arial"/>
          <w:sz w:val="22"/>
          <w:szCs w:val="22"/>
        </w:rPr>
        <w:t> </w:t>
      </w:r>
    </w:p>
    <w:p w14:paraId="3129635F" w14:textId="1EB62936" w:rsidR="00B756A1" w:rsidRPr="00934E36" w:rsidRDefault="00510456" w:rsidP="00B756A1">
      <w:pPr>
        <w:pStyle w:val="paragraph0"/>
        <w:numPr>
          <w:ilvl w:val="0"/>
          <w:numId w:val="39"/>
        </w:numPr>
        <w:spacing w:before="0" w:beforeAutospacing="0" w:after="0" w:afterAutospacing="0"/>
        <w:ind w:left="1440" w:firstLine="0"/>
        <w:jc w:val="both"/>
        <w:textAlignment w:val="baseline"/>
        <w:rPr>
          <w:rStyle w:val="eop"/>
          <w:rFonts w:ascii="Arial" w:hAnsi="Arial" w:cs="Arial"/>
          <w:sz w:val="22"/>
          <w:szCs w:val="22"/>
        </w:rPr>
      </w:pPr>
      <w:proofErr w:type="gramStart"/>
      <w:r w:rsidRPr="00934E36">
        <w:rPr>
          <w:rStyle w:val="normaltextrun"/>
          <w:rFonts w:ascii="Arial" w:hAnsi="Arial" w:cs="Arial"/>
          <w:sz w:val="22"/>
          <w:szCs w:val="22"/>
        </w:rPr>
        <w:t>e</w:t>
      </w:r>
      <w:r w:rsidR="00B756A1" w:rsidRPr="00934E36">
        <w:rPr>
          <w:rStyle w:val="normaltextrun"/>
          <w:rFonts w:ascii="Arial" w:hAnsi="Arial" w:cs="Arial"/>
          <w:sz w:val="22"/>
          <w:szCs w:val="22"/>
        </w:rPr>
        <w:t>mployers</w:t>
      </w:r>
      <w:proofErr w:type="gramEnd"/>
      <w:r w:rsidR="00B756A1" w:rsidRPr="00934E36">
        <w:rPr>
          <w:rStyle w:val="normaltextrun"/>
          <w:rFonts w:ascii="Arial" w:hAnsi="Arial" w:cs="Arial"/>
          <w:sz w:val="22"/>
          <w:szCs w:val="22"/>
        </w:rPr>
        <w:t xml:space="preserve"> liability insurance in the minimum sum of </w:t>
      </w:r>
      <w:r w:rsidR="009F08B0">
        <w:rPr>
          <w:rStyle w:val="normaltextrun"/>
          <w:rFonts w:ascii="Arial" w:hAnsi="Arial" w:cs="Arial"/>
          <w:sz w:val="22"/>
          <w:szCs w:val="22"/>
        </w:rPr>
        <w:t>five million pounds (£5,000,000)</w:t>
      </w:r>
      <w:r w:rsidR="00EE797B">
        <w:rPr>
          <w:rStyle w:val="normaltextrun"/>
          <w:rFonts w:ascii="Arial" w:hAnsi="Arial" w:cs="Arial"/>
          <w:sz w:val="22"/>
          <w:szCs w:val="22"/>
        </w:rPr>
        <w:t xml:space="preserve"> </w:t>
      </w:r>
      <w:r w:rsidR="00EE797B">
        <w:rPr>
          <w:rFonts w:ascii="Arial" w:hAnsi="Arial" w:cs="Arial"/>
          <w:sz w:val="22"/>
          <w:szCs w:val="22"/>
        </w:rPr>
        <w:t>or</w:t>
      </w:r>
      <w:r w:rsidR="00EE797B" w:rsidRPr="00E06886">
        <w:rPr>
          <w:rFonts w:ascii="Arial" w:hAnsi="Arial" w:cs="Arial"/>
          <w:sz w:val="22"/>
          <w:szCs w:val="22"/>
        </w:rPr>
        <w:t> in accordance with any legal requirement for the time being in force</w:t>
      </w:r>
      <w:r w:rsidR="00B756A1" w:rsidRPr="00934E36">
        <w:rPr>
          <w:rStyle w:val="normaltextrun"/>
          <w:rFonts w:ascii="Arial" w:hAnsi="Arial" w:cs="Arial"/>
          <w:sz w:val="22"/>
          <w:szCs w:val="22"/>
        </w:rPr>
        <w:t xml:space="preserve"> in respect of one incident and the number of incidents covered shall be unlimited;</w:t>
      </w:r>
      <w:r w:rsidR="00B756A1" w:rsidRPr="00934E36">
        <w:rPr>
          <w:rStyle w:val="eop"/>
          <w:rFonts w:ascii="Arial" w:eastAsia="Arial Unicode MS" w:hAnsi="Arial" w:cs="Arial"/>
          <w:sz w:val="22"/>
          <w:szCs w:val="22"/>
        </w:rPr>
        <w:t> </w:t>
      </w:r>
    </w:p>
    <w:p w14:paraId="2371B00B" w14:textId="77777777" w:rsidR="000C1456" w:rsidRPr="00934E36" w:rsidRDefault="000C1456" w:rsidP="00417F56">
      <w:pPr>
        <w:pStyle w:val="paragraph0"/>
        <w:spacing w:before="0" w:beforeAutospacing="0" w:after="0" w:afterAutospacing="0"/>
        <w:ind w:left="1440"/>
        <w:jc w:val="both"/>
        <w:textAlignment w:val="baseline"/>
        <w:rPr>
          <w:rFonts w:ascii="Arial" w:hAnsi="Arial" w:cs="Arial"/>
          <w:sz w:val="22"/>
          <w:szCs w:val="22"/>
        </w:rPr>
      </w:pPr>
    </w:p>
    <w:p w14:paraId="1BD60483" w14:textId="5504938D" w:rsidR="00B756A1" w:rsidRPr="00934E36" w:rsidRDefault="00B756A1" w:rsidP="00B756A1">
      <w:pPr>
        <w:pStyle w:val="paragraph0"/>
        <w:numPr>
          <w:ilvl w:val="0"/>
          <w:numId w:val="40"/>
        </w:numPr>
        <w:spacing w:before="0" w:beforeAutospacing="0" w:after="0" w:afterAutospacing="0"/>
        <w:ind w:left="1440" w:firstLine="0"/>
        <w:textAlignment w:val="baseline"/>
        <w:rPr>
          <w:rFonts w:ascii="Arial" w:hAnsi="Arial" w:cs="Arial"/>
          <w:sz w:val="22"/>
          <w:szCs w:val="22"/>
        </w:rPr>
      </w:pPr>
      <w:r w:rsidRPr="00934E36">
        <w:rPr>
          <w:rStyle w:val="normaltextrun"/>
          <w:rFonts w:ascii="Arial" w:hAnsi="Arial" w:cs="Arial"/>
          <w:sz w:val="22"/>
          <w:szCs w:val="22"/>
        </w:rPr>
        <w:t>professional indemnity insurance against the risk of professional negligence on the part of the Consultant</w:t>
      </w:r>
      <w:r w:rsidR="001B5A8F">
        <w:rPr>
          <w:rStyle w:val="normaltextrun"/>
          <w:rFonts w:ascii="Arial" w:hAnsi="Arial" w:cs="Arial"/>
          <w:sz w:val="22"/>
          <w:szCs w:val="22"/>
        </w:rPr>
        <w:t xml:space="preserve"> Company</w:t>
      </w:r>
      <w:r w:rsidRPr="00934E36">
        <w:rPr>
          <w:rStyle w:val="normaltextrun"/>
          <w:rFonts w:ascii="Arial" w:hAnsi="Arial" w:cs="Arial"/>
          <w:sz w:val="22"/>
          <w:szCs w:val="22"/>
        </w:rPr>
        <w:t xml:space="preserve"> or </w:t>
      </w:r>
      <w:r w:rsidR="001B5A8F">
        <w:rPr>
          <w:rStyle w:val="normaltextrun"/>
          <w:rFonts w:ascii="Arial" w:hAnsi="Arial" w:cs="Arial"/>
          <w:sz w:val="22"/>
          <w:szCs w:val="22"/>
        </w:rPr>
        <w:t>the Individual</w:t>
      </w:r>
      <w:r w:rsidRPr="00934E36">
        <w:rPr>
          <w:rStyle w:val="normaltextrun"/>
          <w:rFonts w:ascii="Arial" w:hAnsi="Arial" w:cs="Arial"/>
          <w:sz w:val="22"/>
          <w:szCs w:val="22"/>
        </w:rPr>
        <w:t xml:space="preserve"> in the minimum sum of </w:t>
      </w:r>
      <w:r w:rsidR="00BF50E9">
        <w:rPr>
          <w:rStyle w:val="normaltextrun"/>
          <w:rFonts w:ascii="Arial" w:hAnsi="Arial" w:cs="Arial"/>
          <w:sz w:val="22"/>
          <w:szCs w:val="22"/>
        </w:rPr>
        <w:t>five million pounds (</w:t>
      </w:r>
      <w:r w:rsidRPr="00934E36">
        <w:rPr>
          <w:rStyle w:val="normaltextrun"/>
          <w:rFonts w:ascii="Arial" w:hAnsi="Arial" w:cs="Arial"/>
          <w:sz w:val="22"/>
          <w:szCs w:val="22"/>
        </w:rPr>
        <w:t>£</w:t>
      </w:r>
      <w:r w:rsidR="00417F56" w:rsidRPr="00934E36">
        <w:rPr>
          <w:rStyle w:val="normaltextrun"/>
          <w:rFonts w:ascii="Arial" w:hAnsi="Arial" w:cs="Arial"/>
          <w:sz w:val="22"/>
          <w:szCs w:val="22"/>
        </w:rPr>
        <w:t>5,000</w:t>
      </w:r>
      <w:r w:rsidRPr="00934E36">
        <w:rPr>
          <w:rStyle w:val="normaltextrun"/>
          <w:rFonts w:ascii="Arial" w:hAnsi="Arial" w:cs="Arial"/>
          <w:sz w:val="22"/>
          <w:szCs w:val="22"/>
        </w:rPr>
        <w:t>,000</w:t>
      </w:r>
      <w:r w:rsidR="00BF50E9">
        <w:rPr>
          <w:rStyle w:val="normaltextrun"/>
          <w:rFonts w:ascii="Arial" w:hAnsi="Arial" w:cs="Arial"/>
          <w:sz w:val="22"/>
          <w:szCs w:val="22"/>
        </w:rPr>
        <w:t>)</w:t>
      </w:r>
      <w:r w:rsidRPr="00934E36">
        <w:rPr>
          <w:rStyle w:val="normaltextrun"/>
          <w:rFonts w:ascii="Arial" w:hAnsi="Arial" w:cs="Arial"/>
          <w:sz w:val="22"/>
          <w:szCs w:val="22"/>
        </w:rPr>
        <w:t xml:space="preserve"> in respect of </w:t>
      </w:r>
      <w:proofErr w:type="gramStart"/>
      <w:r w:rsidRPr="00934E36">
        <w:rPr>
          <w:rStyle w:val="normaltextrun"/>
          <w:rFonts w:ascii="Arial" w:hAnsi="Arial" w:cs="Arial"/>
          <w:sz w:val="22"/>
          <w:szCs w:val="22"/>
        </w:rPr>
        <w:t>each and every</w:t>
      </w:r>
      <w:proofErr w:type="gramEnd"/>
      <w:r w:rsidRPr="00934E36">
        <w:rPr>
          <w:rStyle w:val="normaltextrun"/>
          <w:rFonts w:ascii="Arial" w:hAnsi="Arial" w:cs="Arial"/>
          <w:sz w:val="22"/>
          <w:szCs w:val="22"/>
        </w:rPr>
        <w:t xml:space="preserve"> claim or series of claims arising from any one event.</w:t>
      </w:r>
      <w:r w:rsidRPr="00934E36">
        <w:rPr>
          <w:rStyle w:val="eop"/>
          <w:rFonts w:ascii="Arial" w:eastAsia="Arial Unicode MS" w:hAnsi="Arial" w:cs="Arial"/>
          <w:sz w:val="22"/>
          <w:szCs w:val="22"/>
        </w:rPr>
        <w:t> </w:t>
      </w:r>
    </w:p>
    <w:p w14:paraId="7C77D6A0" w14:textId="77777777" w:rsidR="00B756A1" w:rsidRPr="00934E36" w:rsidRDefault="00B756A1" w:rsidP="00B756A1">
      <w:pPr>
        <w:pStyle w:val="paragraph0"/>
        <w:spacing w:before="0" w:beforeAutospacing="0" w:after="0" w:afterAutospacing="0"/>
        <w:ind w:left="720"/>
        <w:textAlignment w:val="baseline"/>
        <w:rPr>
          <w:rFonts w:ascii="Arial" w:hAnsi="Arial" w:cs="Arial"/>
          <w:sz w:val="22"/>
          <w:szCs w:val="22"/>
        </w:rPr>
      </w:pPr>
      <w:r w:rsidRPr="00934E36">
        <w:rPr>
          <w:rStyle w:val="eop"/>
          <w:rFonts w:ascii="Arial" w:eastAsia="Arial Unicode MS" w:hAnsi="Arial" w:cs="Arial"/>
          <w:sz w:val="22"/>
          <w:szCs w:val="22"/>
        </w:rPr>
        <w:t> </w:t>
      </w:r>
    </w:p>
    <w:p w14:paraId="6A3308A2" w14:textId="577DA643" w:rsidR="00B756A1" w:rsidRPr="00934E36" w:rsidRDefault="00934E36" w:rsidP="00B756A1">
      <w:pPr>
        <w:pStyle w:val="paragraph0"/>
        <w:spacing w:before="0" w:beforeAutospacing="0" w:after="0" w:afterAutospacing="0"/>
        <w:ind w:left="720" w:hanging="720"/>
        <w:textAlignment w:val="baseline"/>
        <w:rPr>
          <w:rStyle w:val="normaltextrun"/>
          <w:rFonts w:ascii="Arial" w:hAnsi="Arial" w:cs="Arial"/>
          <w:sz w:val="22"/>
          <w:szCs w:val="22"/>
        </w:rPr>
      </w:pPr>
      <w:r w:rsidRPr="00934E36">
        <w:rPr>
          <w:rStyle w:val="normaltextrun"/>
          <w:rFonts w:ascii="Arial" w:hAnsi="Arial" w:cs="Arial"/>
          <w:sz w:val="22"/>
          <w:szCs w:val="22"/>
        </w:rPr>
        <w:t xml:space="preserve">10.2 </w:t>
      </w:r>
      <w:r w:rsidR="00B756A1" w:rsidRPr="00934E36">
        <w:rPr>
          <w:rStyle w:val="normaltextrun"/>
          <w:rFonts w:ascii="Arial" w:hAnsi="Arial" w:cs="Arial"/>
          <w:sz w:val="22"/>
          <w:szCs w:val="22"/>
        </w:rPr>
        <w:t xml:space="preserve"> </w:t>
      </w:r>
      <w:r w:rsidR="0087377D">
        <w:rPr>
          <w:rStyle w:val="normaltextrun"/>
          <w:rFonts w:ascii="Arial" w:hAnsi="Arial" w:cs="Arial"/>
          <w:sz w:val="22"/>
          <w:szCs w:val="22"/>
        </w:rPr>
        <w:t xml:space="preserve">  </w:t>
      </w:r>
      <w:r w:rsidR="00B756A1" w:rsidRPr="00934E36">
        <w:rPr>
          <w:rStyle w:val="normaltextrun"/>
          <w:rFonts w:ascii="Arial" w:hAnsi="Arial" w:cs="Arial"/>
          <w:sz w:val="22"/>
          <w:szCs w:val="22"/>
        </w:rPr>
        <w:t>The Consultant</w:t>
      </w:r>
      <w:r w:rsidR="001B5A8F">
        <w:rPr>
          <w:rStyle w:val="normaltextrun"/>
          <w:rFonts w:ascii="Arial" w:hAnsi="Arial" w:cs="Arial"/>
          <w:sz w:val="22"/>
          <w:szCs w:val="22"/>
        </w:rPr>
        <w:t xml:space="preserve"> </w:t>
      </w:r>
      <w:r w:rsidR="00B756A1" w:rsidRPr="00934E36">
        <w:rPr>
          <w:rStyle w:val="normaltextrun"/>
          <w:rFonts w:ascii="Arial" w:hAnsi="Arial" w:cs="Arial"/>
          <w:sz w:val="22"/>
          <w:szCs w:val="22"/>
        </w:rPr>
        <w:t>shall continue to maintain the above policies of insurance for a</w:t>
      </w:r>
      <w:r w:rsidR="005821F8">
        <w:rPr>
          <w:rStyle w:val="normaltextrun"/>
          <w:rFonts w:ascii="Arial" w:hAnsi="Arial" w:cs="Arial"/>
          <w:sz w:val="22"/>
          <w:szCs w:val="22"/>
        </w:rPr>
        <w:t xml:space="preserve"> six</w:t>
      </w:r>
      <w:r w:rsidR="00B756A1" w:rsidRPr="00934E36">
        <w:rPr>
          <w:rStyle w:val="normaltextrun"/>
          <w:rFonts w:ascii="Arial" w:hAnsi="Arial" w:cs="Arial"/>
          <w:sz w:val="22"/>
          <w:szCs w:val="22"/>
        </w:rPr>
        <w:t xml:space="preserve"> </w:t>
      </w:r>
      <w:r w:rsidR="005821F8">
        <w:rPr>
          <w:rStyle w:val="normaltextrun"/>
          <w:rFonts w:ascii="Arial" w:hAnsi="Arial" w:cs="Arial"/>
          <w:sz w:val="22"/>
          <w:szCs w:val="22"/>
        </w:rPr>
        <w:t>(</w:t>
      </w:r>
      <w:r w:rsidR="00417F56" w:rsidRPr="00934E36">
        <w:rPr>
          <w:rStyle w:val="normaltextrun"/>
          <w:rFonts w:ascii="Arial" w:hAnsi="Arial" w:cs="Arial"/>
          <w:sz w:val="22"/>
          <w:szCs w:val="22"/>
        </w:rPr>
        <w:t>6</w:t>
      </w:r>
      <w:r w:rsidR="005821F8">
        <w:rPr>
          <w:rStyle w:val="normaltextrun"/>
          <w:rFonts w:ascii="Arial" w:hAnsi="Arial" w:cs="Arial"/>
          <w:sz w:val="22"/>
          <w:szCs w:val="22"/>
        </w:rPr>
        <w:t>)</w:t>
      </w:r>
      <w:r w:rsidR="0012691C">
        <w:rPr>
          <w:rStyle w:val="normaltextrun"/>
          <w:rFonts w:ascii="Arial" w:hAnsi="Arial" w:cs="Arial"/>
          <w:sz w:val="22"/>
          <w:szCs w:val="22"/>
        </w:rPr>
        <w:t xml:space="preserve"> </w:t>
      </w:r>
      <w:r w:rsidR="00B756A1" w:rsidRPr="00934E36">
        <w:rPr>
          <w:rStyle w:val="normaltextrun"/>
          <w:rFonts w:ascii="Arial" w:hAnsi="Arial" w:cs="Arial"/>
          <w:sz w:val="22"/>
          <w:szCs w:val="22"/>
        </w:rPr>
        <w:t xml:space="preserve">year period following the </w:t>
      </w:r>
      <w:r w:rsidR="00EE4066">
        <w:rPr>
          <w:rStyle w:val="normaltextrun"/>
          <w:rFonts w:ascii="Arial" w:hAnsi="Arial" w:cs="Arial"/>
          <w:sz w:val="22"/>
          <w:szCs w:val="22"/>
        </w:rPr>
        <w:t xml:space="preserve">expiry or earlier </w:t>
      </w:r>
      <w:r w:rsidR="00B756A1" w:rsidRPr="00934E36">
        <w:rPr>
          <w:rStyle w:val="normaltextrun"/>
          <w:rFonts w:ascii="Arial" w:hAnsi="Arial" w:cs="Arial"/>
          <w:sz w:val="22"/>
          <w:szCs w:val="22"/>
        </w:rPr>
        <w:t>termination of th</w:t>
      </w:r>
      <w:r w:rsidR="00EE4066">
        <w:rPr>
          <w:rStyle w:val="normaltextrun"/>
          <w:rFonts w:ascii="Arial" w:hAnsi="Arial" w:cs="Arial"/>
          <w:sz w:val="22"/>
          <w:szCs w:val="22"/>
        </w:rPr>
        <w:t>is</w:t>
      </w:r>
      <w:r w:rsidR="00B756A1" w:rsidRPr="00934E36">
        <w:rPr>
          <w:rStyle w:val="normaltextrun"/>
          <w:rFonts w:ascii="Arial" w:hAnsi="Arial" w:cs="Arial"/>
          <w:sz w:val="22"/>
          <w:szCs w:val="22"/>
        </w:rPr>
        <w:t xml:space="preserve"> </w:t>
      </w:r>
      <w:r w:rsidR="00417F56" w:rsidRPr="00934E36">
        <w:rPr>
          <w:rStyle w:val="normaltextrun"/>
          <w:rFonts w:ascii="Arial" w:hAnsi="Arial" w:cs="Arial"/>
          <w:sz w:val="22"/>
          <w:szCs w:val="22"/>
        </w:rPr>
        <w:t>a</w:t>
      </w:r>
      <w:r w:rsidR="00B756A1" w:rsidRPr="00934E36">
        <w:rPr>
          <w:rStyle w:val="normaltextrun"/>
          <w:rFonts w:ascii="Arial" w:hAnsi="Arial" w:cs="Arial"/>
          <w:sz w:val="22"/>
          <w:szCs w:val="22"/>
        </w:rPr>
        <w:t>greement</w:t>
      </w:r>
      <w:r w:rsidR="00680830">
        <w:rPr>
          <w:rStyle w:val="normaltextrun"/>
          <w:rFonts w:ascii="Arial" w:hAnsi="Arial" w:cs="Arial"/>
          <w:sz w:val="22"/>
          <w:szCs w:val="22"/>
        </w:rPr>
        <w:t>.</w:t>
      </w:r>
    </w:p>
    <w:p w14:paraId="3F17BF84" w14:textId="77777777" w:rsidR="00B756A1" w:rsidRDefault="00B756A1" w:rsidP="00B756A1">
      <w:pPr>
        <w:pStyle w:val="paragraph0"/>
        <w:spacing w:before="0" w:beforeAutospacing="0" w:after="0" w:afterAutospacing="0"/>
        <w:ind w:left="720" w:hanging="720"/>
        <w:textAlignment w:val="baseline"/>
        <w:rPr>
          <w:rStyle w:val="normaltextrun"/>
          <w:rFonts w:ascii="Trebuchet MS" w:hAnsi="Trebuchet MS" w:cs="Segoe UI"/>
          <w:sz w:val="20"/>
          <w:szCs w:val="20"/>
        </w:rPr>
      </w:pPr>
    </w:p>
    <w:p w14:paraId="14F221E4" w14:textId="76E770DE" w:rsidR="00B415DE" w:rsidRDefault="00934E36" w:rsidP="00417F56">
      <w:pPr>
        <w:pStyle w:val="paragraph0"/>
        <w:spacing w:before="0" w:beforeAutospacing="0" w:after="0" w:afterAutospacing="0"/>
        <w:ind w:left="720" w:hanging="720"/>
        <w:textAlignment w:val="baseline"/>
        <w:rPr>
          <w:rFonts w:ascii="Arial" w:hAnsi="Arial" w:cs="Arial"/>
          <w:sz w:val="22"/>
          <w:szCs w:val="22"/>
        </w:rPr>
      </w:pPr>
      <w:r w:rsidRPr="00B415DE">
        <w:rPr>
          <w:rStyle w:val="normaltextrun"/>
          <w:rFonts w:ascii="Arial" w:hAnsi="Arial" w:cs="Arial"/>
          <w:sz w:val="22"/>
          <w:szCs w:val="22"/>
        </w:rPr>
        <w:t>10.3</w:t>
      </w:r>
      <w:r w:rsidRPr="00923B5C">
        <w:rPr>
          <w:rStyle w:val="normaltextrun"/>
          <w:rFonts w:ascii="Arial" w:hAnsi="Arial" w:cs="Arial"/>
          <w:sz w:val="22"/>
          <w:szCs w:val="22"/>
        </w:rPr>
        <w:t xml:space="preserve">      </w:t>
      </w:r>
      <w:r w:rsidRPr="00923B5C">
        <w:rPr>
          <w:rFonts w:ascii="Arial" w:hAnsi="Arial" w:cs="Arial"/>
          <w:sz w:val="22"/>
          <w:szCs w:val="22"/>
        </w:rPr>
        <w:t>The Consultant shall have liability for and shall indemnify the C</w:t>
      </w:r>
      <w:r w:rsidR="00974BF6" w:rsidRPr="00923B5C">
        <w:rPr>
          <w:rFonts w:ascii="Arial" w:hAnsi="Arial" w:cs="Arial"/>
          <w:sz w:val="22"/>
          <w:szCs w:val="22"/>
        </w:rPr>
        <w:t>ouncil</w:t>
      </w:r>
      <w:r w:rsidRPr="00923B5C">
        <w:rPr>
          <w:rFonts w:ascii="Arial" w:hAnsi="Arial" w:cs="Arial"/>
          <w:sz w:val="22"/>
          <w:szCs w:val="22"/>
        </w:rPr>
        <w:t xml:space="preserve"> for any loss, liability, costs (including reasonable legal costs), damages or expenses arising from any breach by the Consultant or the Individual or any Substitute engaged by it of the terms of this agreement including any negligent or reckless act, omission or default in the provision of the Services and shall accordingly maintain in force during the Engagement full and comprehensive Insurance Policies.</w:t>
      </w:r>
      <w:bookmarkEnd w:id="118"/>
    </w:p>
    <w:p w14:paraId="5C3357C0" w14:textId="77777777" w:rsidR="00DD1540" w:rsidRPr="00923B5C" w:rsidRDefault="00DD1540" w:rsidP="00417F56">
      <w:pPr>
        <w:pStyle w:val="paragraph0"/>
        <w:spacing w:before="0" w:beforeAutospacing="0" w:after="0" w:afterAutospacing="0"/>
        <w:ind w:left="720" w:hanging="720"/>
        <w:textAlignment w:val="baseline"/>
        <w:rPr>
          <w:rFonts w:ascii="Arial" w:hAnsi="Arial" w:cs="Arial"/>
          <w:sz w:val="22"/>
          <w:szCs w:val="22"/>
        </w:rPr>
      </w:pPr>
    </w:p>
    <w:p w14:paraId="3777F201" w14:textId="602554FC" w:rsidR="00D671F9" w:rsidRDefault="00A1162D" w:rsidP="00D60F96">
      <w:pPr>
        <w:pStyle w:val="Untitledsubclause1"/>
        <w:numPr>
          <w:ilvl w:val="1"/>
          <w:numId w:val="45"/>
        </w:numPr>
        <w:spacing w:before="0" w:after="0"/>
        <w:textAlignment w:val="baseline"/>
      </w:pPr>
      <w:bookmarkStart w:id="119" w:name="a346486"/>
      <w:r w:rsidRPr="001F2956">
        <w:t>The Consultant shall on request supply to the C</w:t>
      </w:r>
      <w:r w:rsidR="00B444E5">
        <w:t>ouncil</w:t>
      </w:r>
      <w:r w:rsidRPr="001F2956">
        <w:t xml:space="preserve"> copies of the Insurance Policies and evidence that the relevant premiums have been paid.</w:t>
      </w:r>
      <w:bookmarkEnd w:id="119"/>
    </w:p>
    <w:p w14:paraId="7340BC9A" w14:textId="77777777" w:rsidR="00B415DE" w:rsidRPr="001F2956" w:rsidRDefault="00B415DE" w:rsidP="00D60F96">
      <w:pPr>
        <w:pStyle w:val="Untitledsubclause1"/>
        <w:numPr>
          <w:ilvl w:val="0"/>
          <w:numId w:val="0"/>
        </w:numPr>
        <w:spacing w:before="0" w:after="0"/>
        <w:textAlignment w:val="baseline"/>
      </w:pPr>
    </w:p>
    <w:p w14:paraId="0F8BF286" w14:textId="2A1DAE84" w:rsidR="00D671F9" w:rsidRPr="001F2956" w:rsidRDefault="00A1162D" w:rsidP="00B415DE">
      <w:pPr>
        <w:pStyle w:val="Untitledsubclause1"/>
      </w:pPr>
      <w:bookmarkStart w:id="120" w:name="a222790"/>
      <w:r w:rsidRPr="001F2956">
        <w:t>The Consultant shall notify the insurers of the C</w:t>
      </w:r>
      <w:r w:rsidR="00B444E5">
        <w:t>ouncil</w:t>
      </w:r>
      <w:r w:rsidRPr="001F2956">
        <w:t>'s interest and shall cause the interest to be noted on the Insurance Policies together with a provision to the effect that, if any claim is brought or made by the C</w:t>
      </w:r>
      <w:r w:rsidR="00B444E5">
        <w:t>ouncil</w:t>
      </w:r>
      <w:r w:rsidRPr="001F2956">
        <w:t xml:space="preserve"> against the Consultant in respect of which the Consultant would be entitled to receive indemnity under any of the Insurance Policies, the relevant insurer will indemnify the C</w:t>
      </w:r>
      <w:r w:rsidR="00B444E5">
        <w:t>ouncil</w:t>
      </w:r>
      <w:r w:rsidRPr="001F2956">
        <w:t xml:space="preserve"> directly against such claim and any charges, costs and expenses in respect of such claim. If the relevant insurer does not so indemnify the C</w:t>
      </w:r>
      <w:r w:rsidR="0028128B">
        <w:t>ouncil</w:t>
      </w:r>
      <w:r w:rsidRPr="001F2956">
        <w:t>, the Consultant shall use all insurance monies received by it to indemnify the C</w:t>
      </w:r>
      <w:r w:rsidR="0028128B">
        <w:t>ouncil</w:t>
      </w:r>
      <w:r w:rsidRPr="001F2956">
        <w:t xml:space="preserve"> in respect of any claim and shall make good any deficiency from its own resources.</w:t>
      </w:r>
      <w:bookmarkEnd w:id="120"/>
    </w:p>
    <w:p w14:paraId="06E3B036" w14:textId="477543C9" w:rsidR="00D671F9" w:rsidRPr="001F2956" w:rsidRDefault="00A1162D" w:rsidP="009B2B82">
      <w:pPr>
        <w:pStyle w:val="Untitledsubclause1"/>
      </w:pPr>
      <w:bookmarkStart w:id="121" w:name="a202460"/>
      <w:r w:rsidRPr="001F2956">
        <w:t xml:space="preserve">The Consultant shall comply (and shall procure that the Individual </w:t>
      </w:r>
      <w:proofErr w:type="gramStart"/>
      <w:r w:rsidRPr="001F2956">
        <w:t>complies) with all terms and conditions of the Insurance Policies at all times</w:t>
      </w:r>
      <w:proofErr w:type="gramEnd"/>
      <w:r w:rsidRPr="001F2956">
        <w:t>. If cover under the Insurance Policies shall lapse or not be renewed or be changed in any material way, or if the Consultant is aware of any reason why the cover under the Insurance Policies may lapse or not be renewed or be changed in any material way, the Consultant shall notify the C</w:t>
      </w:r>
      <w:r w:rsidR="0028128B">
        <w:t>ouncil</w:t>
      </w:r>
      <w:r w:rsidRPr="001F2956">
        <w:t xml:space="preserve"> without delay.</w:t>
      </w:r>
      <w:bookmarkEnd w:id="121"/>
    </w:p>
    <w:p w14:paraId="67EBBD90" w14:textId="77777777" w:rsidR="00D671F9" w:rsidRPr="001F2956" w:rsidRDefault="00A1162D" w:rsidP="009B2B82">
      <w:pPr>
        <w:pStyle w:val="TitleClause"/>
      </w:pPr>
      <w:r w:rsidRPr="001F2956">
        <w:fldChar w:fldCharType="begin"/>
      </w:r>
      <w:r w:rsidRPr="001F2956">
        <w:instrText>TC "11. Termination" \l 1</w:instrText>
      </w:r>
      <w:r w:rsidRPr="001F2956">
        <w:fldChar w:fldCharType="end"/>
      </w:r>
      <w:bookmarkStart w:id="122" w:name="_Toc256000010"/>
      <w:bookmarkStart w:id="123" w:name="a466248"/>
      <w:r w:rsidRPr="001F2956">
        <w:t>Termination</w:t>
      </w:r>
      <w:bookmarkEnd w:id="122"/>
      <w:bookmarkEnd w:id="123"/>
    </w:p>
    <w:p w14:paraId="59D4351F" w14:textId="36DA608F" w:rsidR="00D671F9" w:rsidRPr="001F2956" w:rsidRDefault="00A1162D" w:rsidP="009B2B82">
      <w:pPr>
        <w:pStyle w:val="Untitledsubclause1"/>
      </w:pPr>
      <w:bookmarkStart w:id="124" w:name="a659448"/>
      <w:r w:rsidRPr="001F2956">
        <w:t xml:space="preserve">Notwithstanding the provisions of </w:t>
      </w:r>
      <w:r w:rsidRPr="001F2956">
        <w:fldChar w:fldCharType="begin"/>
      </w:r>
      <w:r w:rsidRPr="001F2956">
        <w:instrText>PAGEREF a721672\# "'clause '"  \h</w:instrText>
      </w:r>
      <w:r w:rsidRPr="001F2956">
        <w:fldChar w:fldCharType="separate"/>
      </w:r>
      <w:r w:rsidRPr="001F2956">
        <w:t xml:space="preserve">clause </w:t>
      </w:r>
      <w:r w:rsidRPr="001F2956">
        <w:fldChar w:fldCharType="end"/>
      </w:r>
      <w:r w:rsidRPr="001F2956">
        <w:fldChar w:fldCharType="begin"/>
      </w:r>
      <w:r w:rsidRPr="001F2956">
        <w:rPr>
          <w:highlight w:val="lightGray"/>
        </w:rPr>
        <w:instrText>REF a721672 \h \w</w:instrText>
      </w:r>
      <w:r w:rsidR="001F2956">
        <w:instrText xml:space="preserve"> \* MERGEFORMAT </w:instrText>
      </w:r>
      <w:r w:rsidRPr="001F2956">
        <w:fldChar w:fldCharType="separate"/>
      </w:r>
      <w:r w:rsidRPr="001F2956">
        <w:t>2.2</w:t>
      </w:r>
      <w:r w:rsidRPr="001F2956">
        <w:fldChar w:fldCharType="end"/>
      </w:r>
      <w:r w:rsidRPr="001F2956">
        <w:t>, the C</w:t>
      </w:r>
      <w:r w:rsidR="0007392B">
        <w:t>ouncil</w:t>
      </w:r>
      <w:r w:rsidRPr="001F2956">
        <w:t xml:space="preserve"> may terminate the Engagement with immediate effect without notice and without any liability to make any further payment to the Consultant (other than in respect of amounts </w:t>
      </w:r>
      <w:r w:rsidR="005D444F">
        <w:t xml:space="preserve">properly </w:t>
      </w:r>
      <w:r w:rsidRPr="001F2956">
        <w:t>accrued before the Termination Date) if at any time:</w:t>
      </w:r>
      <w:bookmarkEnd w:id="124"/>
    </w:p>
    <w:p w14:paraId="3D06D11C" w14:textId="4724233F" w:rsidR="00D671F9" w:rsidRPr="001F2956" w:rsidRDefault="00A1162D" w:rsidP="009B2B82">
      <w:pPr>
        <w:pStyle w:val="Untitledsubclause2"/>
      </w:pPr>
      <w:bookmarkStart w:id="125" w:name="a900900"/>
      <w:r w:rsidRPr="001F2956">
        <w:t xml:space="preserve">the Consultant or the Individual commits any gross misconduct affecting the Business of the </w:t>
      </w:r>
      <w:proofErr w:type="gramStart"/>
      <w:r w:rsidRPr="001F2956">
        <w:t>C</w:t>
      </w:r>
      <w:r w:rsidR="0007392B">
        <w:t>ouncil</w:t>
      </w:r>
      <w:r w:rsidRPr="001F2956">
        <w:t>;</w:t>
      </w:r>
      <w:bookmarkEnd w:id="125"/>
      <w:proofErr w:type="gramEnd"/>
    </w:p>
    <w:p w14:paraId="4990F9C3" w14:textId="54250F15" w:rsidR="00D671F9" w:rsidRPr="001F2956" w:rsidRDefault="00A1162D" w:rsidP="009B2B82">
      <w:pPr>
        <w:pStyle w:val="Untitledsubclause2"/>
      </w:pPr>
      <w:bookmarkStart w:id="126" w:name="a237565"/>
      <w:r w:rsidRPr="001F2956">
        <w:t xml:space="preserve">the Consultant or, where applicable, the Individual commits any serious or repeated breach or non-observance of any of the provisions of this agreement or refuses or neglects to comply with any reasonable and lawful directions of the </w:t>
      </w:r>
      <w:proofErr w:type="gramStart"/>
      <w:r w:rsidRPr="001F2956">
        <w:t>C</w:t>
      </w:r>
      <w:r w:rsidR="00AA7C0F">
        <w:t>ouncil</w:t>
      </w:r>
      <w:r w:rsidRPr="001F2956">
        <w:t>;</w:t>
      </w:r>
      <w:bookmarkEnd w:id="126"/>
      <w:proofErr w:type="gramEnd"/>
    </w:p>
    <w:p w14:paraId="59CA7878" w14:textId="77777777" w:rsidR="00D671F9" w:rsidRPr="001F2956" w:rsidRDefault="00A1162D" w:rsidP="009B2B82">
      <w:pPr>
        <w:pStyle w:val="Untitledsubclause2"/>
      </w:pPr>
      <w:bookmarkStart w:id="127" w:name="a356200"/>
      <w:r w:rsidRPr="001F2956">
        <w:t>the Individual is convicted of any criminal offence (other than an offence under any road traffic legislation in the United Kingdom or elsewhere for which a fine or non-custodial penalty is imposed</w:t>
      </w:r>
      <w:proofErr w:type="gramStart"/>
      <w:r w:rsidRPr="001F2956">
        <w:t>);</w:t>
      </w:r>
      <w:proofErr w:type="gramEnd"/>
      <w:r w:rsidRPr="001F2956">
        <w:t xml:space="preserve"> </w:t>
      </w:r>
      <w:bookmarkEnd w:id="127"/>
    </w:p>
    <w:p w14:paraId="477C6A23" w14:textId="35094755" w:rsidR="00D671F9" w:rsidRPr="001F2956" w:rsidRDefault="00A1162D" w:rsidP="009B2B82">
      <w:pPr>
        <w:pStyle w:val="Untitledsubclause2"/>
      </w:pPr>
      <w:bookmarkStart w:id="128" w:name="a940270"/>
      <w:r w:rsidRPr="001F2956">
        <w:t xml:space="preserve">the Consultant or the Individual is, in the reasonable opinion of the </w:t>
      </w:r>
      <w:r w:rsidR="00E64288">
        <w:t>Council</w:t>
      </w:r>
      <w:r w:rsidRPr="001F2956">
        <w:t xml:space="preserve">, negligent or incompetent in the performance of the </w:t>
      </w:r>
      <w:proofErr w:type="gramStart"/>
      <w:r w:rsidRPr="001F2956">
        <w:t>Services;</w:t>
      </w:r>
      <w:bookmarkEnd w:id="128"/>
      <w:proofErr w:type="gramEnd"/>
    </w:p>
    <w:p w14:paraId="0B0092B1" w14:textId="77777777" w:rsidR="00D671F9" w:rsidRPr="001F2956" w:rsidRDefault="00A1162D" w:rsidP="009B2B82">
      <w:pPr>
        <w:pStyle w:val="Untitledsubclause2"/>
      </w:pPr>
      <w:bookmarkStart w:id="129" w:name="a607371"/>
      <w:r w:rsidRPr="001F2956">
        <w:t xml:space="preserve">the Individual is declared bankrupt or makes any arrangement with or for the benefit of their creditors or has a county court administration order made against them under the County Court Act </w:t>
      </w:r>
      <w:proofErr w:type="gramStart"/>
      <w:r w:rsidRPr="001F2956">
        <w:t>1984;</w:t>
      </w:r>
      <w:bookmarkEnd w:id="129"/>
      <w:proofErr w:type="gramEnd"/>
    </w:p>
    <w:p w14:paraId="300838D7" w14:textId="694419B8" w:rsidR="00D671F9" w:rsidRPr="001F2956" w:rsidRDefault="00A1162D" w:rsidP="009B2B82">
      <w:pPr>
        <w:pStyle w:val="Untitledsubclause2"/>
      </w:pPr>
      <w:bookmarkStart w:id="130" w:name="a882996"/>
      <w:r w:rsidRPr="001F2956">
        <w:t xml:space="preserve">the Consultant makes a resolution for its winding up, makes an arrangement or composition with its creditors or makes an application to a court of competent jurisdiction for protection from its creditors or an administration or winding-up </w:t>
      </w:r>
      <w:r w:rsidRPr="001F2956">
        <w:lastRenderedPageBreak/>
        <w:t xml:space="preserve">order is </w:t>
      </w:r>
      <w:proofErr w:type="gramStart"/>
      <w:r w:rsidRPr="001F2956">
        <w:t>made</w:t>
      </w:r>
      <w:proofErr w:type="gramEnd"/>
      <w:r w:rsidRPr="001F2956">
        <w:t xml:space="preserve"> or an administrator or receiver is appointed in relation to the Consultant;</w:t>
      </w:r>
      <w:bookmarkEnd w:id="130"/>
    </w:p>
    <w:p w14:paraId="46794DD9" w14:textId="50E79B84" w:rsidR="00D671F9" w:rsidRPr="00E51313" w:rsidRDefault="00A1162D" w:rsidP="009B2B82">
      <w:pPr>
        <w:pStyle w:val="Untitledsubclause2"/>
      </w:pPr>
      <w:bookmarkStart w:id="131" w:name="a680441"/>
      <w:r w:rsidRPr="00E51313">
        <w:t>the Individual is incapacitated (including by reason of illness</w:t>
      </w:r>
      <w:r w:rsidR="00F57432" w:rsidRPr="00E51313">
        <w:t>, injury and</w:t>
      </w:r>
      <w:r w:rsidR="0004721E" w:rsidRPr="00E51313">
        <w:t>/</w:t>
      </w:r>
      <w:r w:rsidRPr="00E51313">
        <w:t>or accident) from providing the Services for an aggregate period of [</w:t>
      </w:r>
      <w:r w:rsidRPr="00D27C32">
        <w:rPr>
          <w:highlight w:val="yellow"/>
        </w:rPr>
        <w:t>NUMBER</w:t>
      </w:r>
      <w:r w:rsidRPr="00E51313">
        <w:t xml:space="preserve">] days in any </w:t>
      </w:r>
      <w:r w:rsidR="00D27C32">
        <w:t>[</w:t>
      </w:r>
      <w:r w:rsidR="00D27C32" w:rsidRPr="004176AB">
        <w:rPr>
          <w:highlight w:val="yellow"/>
        </w:rPr>
        <w:t xml:space="preserve">NUMBER] </w:t>
      </w:r>
      <w:r w:rsidRPr="004176AB">
        <w:rPr>
          <w:highlight w:val="yellow"/>
        </w:rPr>
        <w:t>week]</w:t>
      </w:r>
      <w:r w:rsidR="004176AB">
        <w:t>]</w:t>
      </w:r>
      <w:r w:rsidRPr="00E51313">
        <w:t xml:space="preserve"> consecutive </w:t>
      </w:r>
      <w:proofErr w:type="gramStart"/>
      <w:r w:rsidRPr="00E51313">
        <w:t>period;</w:t>
      </w:r>
      <w:bookmarkEnd w:id="131"/>
      <w:proofErr w:type="gramEnd"/>
    </w:p>
    <w:p w14:paraId="0AC948E3" w14:textId="6160044F" w:rsidR="00D671F9" w:rsidRPr="001F2956" w:rsidRDefault="00A1162D" w:rsidP="009B2B82">
      <w:pPr>
        <w:pStyle w:val="Untitledsubclause2"/>
      </w:pPr>
      <w:bookmarkStart w:id="132" w:name="a940790"/>
      <w:r w:rsidRPr="001F2956">
        <w:t xml:space="preserve">the Engagement is determined by the Client or, subsequently, HM Revenue &amp; Customs to be Deemed </w:t>
      </w:r>
      <w:proofErr w:type="gramStart"/>
      <w:r w:rsidRPr="001F2956">
        <w:t>Employment;</w:t>
      </w:r>
      <w:bookmarkEnd w:id="132"/>
      <w:proofErr w:type="gramEnd"/>
    </w:p>
    <w:p w14:paraId="34B8AFE5" w14:textId="6CBB7500" w:rsidR="00D671F9" w:rsidRPr="001F2956" w:rsidRDefault="00A1162D" w:rsidP="009B2B82">
      <w:pPr>
        <w:pStyle w:val="Untitledsubclause2"/>
      </w:pPr>
      <w:bookmarkStart w:id="133" w:name="a973695"/>
      <w:r w:rsidRPr="001F2956">
        <w:t>the Consultant or the Individual commits any breach of the C</w:t>
      </w:r>
      <w:r w:rsidR="00387851">
        <w:t>ouncil</w:t>
      </w:r>
      <w:r w:rsidRPr="001F2956">
        <w:t>'s policies and procedures; or</w:t>
      </w:r>
      <w:bookmarkEnd w:id="133"/>
    </w:p>
    <w:p w14:paraId="2C40C021" w14:textId="38755EE9" w:rsidR="00D671F9" w:rsidRPr="001F2956" w:rsidRDefault="00A1162D" w:rsidP="009B2B82">
      <w:pPr>
        <w:pStyle w:val="Untitledsubclause2"/>
      </w:pPr>
      <w:bookmarkStart w:id="134" w:name="a993835"/>
      <w:r w:rsidRPr="001F2956">
        <w:t xml:space="preserve">the Consultant or the Individual commits any offence under the Bribery Act 2010 or the </w:t>
      </w:r>
      <w:r w:rsidR="003B402F">
        <w:t>Modern Slavery Act 2015</w:t>
      </w:r>
      <w:r w:rsidRPr="001F2956">
        <w:t>.</w:t>
      </w:r>
      <w:bookmarkEnd w:id="134"/>
    </w:p>
    <w:p w14:paraId="4B1786F5" w14:textId="148AD7F1" w:rsidR="00D671F9" w:rsidRPr="001F2956" w:rsidRDefault="00A1162D" w:rsidP="009B2B82">
      <w:pPr>
        <w:pStyle w:val="Untitledsubclause1"/>
      </w:pPr>
      <w:bookmarkStart w:id="135" w:name="a731439"/>
      <w:r w:rsidRPr="001F2956">
        <w:t>The rights of the C</w:t>
      </w:r>
      <w:r w:rsidR="00443CAA">
        <w:t>ounc</w:t>
      </w:r>
      <w:r w:rsidR="001E3A67">
        <w:t>i</w:t>
      </w:r>
      <w:r w:rsidR="00443CAA">
        <w:t>l</w:t>
      </w:r>
      <w:r w:rsidRPr="001F2956">
        <w:t xml:space="preserve"> under </w:t>
      </w:r>
      <w:r w:rsidRPr="001F2956">
        <w:fldChar w:fldCharType="begin"/>
      </w:r>
      <w:r w:rsidRPr="001F2956">
        <w:instrText>PAGEREF a659448\# "'clause '"  \h</w:instrText>
      </w:r>
      <w:r w:rsidRPr="001F2956">
        <w:fldChar w:fldCharType="separate"/>
      </w:r>
      <w:r w:rsidRPr="001F2956">
        <w:t xml:space="preserve">clause </w:t>
      </w:r>
      <w:r w:rsidRPr="001F2956">
        <w:fldChar w:fldCharType="end"/>
      </w:r>
      <w:r w:rsidRPr="001F2956">
        <w:fldChar w:fldCharType="begin"/>
      </w:r>
      <w:r w:rsidRPr="001F2956">
        <w:rPr>
          <w:highlight w:val="lightGray"/>
        </w:rPr>
        <w:instrText>REF a659448 \h \w</w:instrText>
      </w:r>
      <w:r w:rsidR="001F2956">
        <w:instrText xml:space="preserve"> \* MERGEFORMAT </w:instrText>
      </w:r>
      <w:r w:rsidRPr="001F2956">
        <w:fldChar w:fldCharType="separate"/>
      </w:r>
      <w:r w:rsidRPr="001F2956">
        <w:t>11.1</w:t>
      </w:r>
      <w:r w:rsidRPr="001F2956">
        <w:fldChar w:fldCharType="end"/>
      </w:r>
      <w:r w:rsidRPr="001F2956">
        <w:t xml:space="preserve"> are without prejudice to any other rights that it might have at law to terminate the Engagement or to accept any breach of this agreement on the part of the Consultant as having brought the agreement to an end. Any delay by the C</w:t>
      </w:r>
      <w:r w:rsidR="005771BD">
        <w:t xml:space="preserve">ouncil </w:t>
      </w:r>
      <w:r w:rsidRPr="001F2956">
        <w:t>in exercising its rights to terminate shall not constitute a waiver of these rights.</w:t>
      </w:r>
      <w:bookmarkEnd w:id="135"/>
    </w:p>
    <w:p w14:paraId="60A13E18" w14:textId="77777777" w:rsidR="00D671F9" w:rsidRPr="001F2956" w:rsidRDefault="00A1162D" w:rsidP="009B2B82">
      <w:pPr>
        <w:pStyle w:val="TitleClause"/>
      </w:pPr>
      <w:r w:rsidRPr="001F2956">
        <w:fldChar w:fldCharType="begin"/>
      </w:r>
      <w:r w:rsidRPr="001F2956">
        <w:instrText>TC "12. Obligations on termination" \l 1</w:instrText>
      </w:r>
      <w:r w:rsidRPr="001F2956">
        <w:fldChar w:fldCharType="end"/>
      </w:r>
      <w:bookmarkStart w:id="136" w:name="_Toc256000011"/>
      <w:bookmarkStart w:id="137" w:name="a571316"/>
      <w:r w:rsidRPr="001F2956">
        <w:t>Obligations on termination</w:t>
      </w:r>
      <w:bookmarkEnd w:id="136"/>
      <w:bookmarkEnd w:id="137"/>
    </w:p>
    <w:p w14:paraId="24D7F770" w14:textId="49A742BB" w:rsidR="00D671F9" w:rsidRPr="001F2956" w:rsidRDefault="00A1162D" w:rsidP="009B2B82">
      <w:pPr>
        <w:pStyle w:val="NoNumUntitledsubclause1"/>
      </w:pPr>
      <w:bookmarkStart w:id="138" w:name="a842219"/>
      <w:r w:rsidRPr="001F2956">
        <w:t>On the Termination Date the Consultant shall, and shall procure that the Individual shall:</w:t>
      </w:r>
      <w:bookmarkEnd w:id="138"/>
    </w:p>
    <w:p w14:paraId="0C3C3990" w14:textId="42245227" w:rsidR="00D671F9" w:rsidRPr="001F2956" w:rsidRDefault="00A1162D" w:rsidP="009B2B82">
      <w:pPr>
        <w:pStyle w:val="Untitledsubclause2"/>
      </w:pPr>
      <w:bookmarkStart w:id="139" w:name="a336134"/>
      <w:r w:rsidRPr="001F2956">
        <w:t>immediately deliver to the C</w:t>
      </w:r>
      <w:r w:rsidR="005771BD">
        <w:t>ouncil</w:t>
      </w:r>
      <w:r w:rsidRPr="001F2956">
        <w:t xml:space="preserve"> all C</w:t>
      </w:r>
      <w:r w:rsidR="005771BD">
        <w:t>ouncil</w:t>
      </w:r>
      <w:r w:rsidR="00CD2BEA">
        <w:t xml:space="preserve"> </w:t>
      </w:r>
      <w:r w:rsidRPr="001F2956">
        <w:t xml:space="preserve">Property and original Confidential Information which is in its or their possession or under its or their </w:t>
      </w:r>
      <w:proofErr w:type="gramStart"/>
      <w:r w:rsidRPr="001F2956">
        <w:t>control;</w:t>
      </w:r>
      <w:bookmarkEnd w:id="139"/>
      <w:proofErr w:type="gramEnd"/>
    </w:p>
    <w:p w14:paraId="7D7913CA" w14:textId="2390BEBF" w:rsidR="00D671F9" w:rsidRPr="001F2956" w:rsidRDefault="00A1162D" w:rsidP="009B2B82">
      <w:pPr>
        <w:pStyle w:val="Untitledsubclause2"/>
      </w:pPr>
      <w:bookmarkStart w:id="140" w:name="a476946"/>
      <w:r w:rsidRPr="001F2956">
        <w:t>subject to the C</w:t>
      </w:r>
      <w:r w:rsidR="005771BD">
        <w:t>ouncil</w:t>
      </w:r>
      <w:r w:rsidRPr="001F2956">
        <w:t>'s data retention guidelines, irretrievably delete any information relating to the Business of the C</w:t>
      </w:r>
      <w:r w:rsidR="005771BD">
        <w:t>ouncil</w:t>
      </w:r>
      <w:r w:rsidRPr="001F2956">
        <w:t xml:space="preserve"> stored on any magnetic or optical disk or memory (including but not limited to any Confidential Information) and all matter derived from such sources which is in its or their possession or under its or their control outside the premises of the C</w:t>
      </w:r>
      <w:r w:rsidR="0082087B">
        <w:t>ouncil</w:t>
      </w:r>
      <w:r w:rsidRPr="001F2956">
        <w:t>. This obligation includes requiring any Substitute to delete such information where applicable. For the avoidance of doubt, the contact details of business contacts made during the Engagement are regarded as Confidential Information and, as such, must be deleted from personal social or professional networking accounts; and</w:t>
      </w:r>
      <w:bookmarkEnd w:id="140"/>
    </w:p>
    <w:p w14:paraId="28F91B5A" w14:textId="213D12E0" w:rsidR="00D671F9" w:rsidRPr="001F2956" w:rsidRDefault="00A1162D" w:rsidP="009B2B82">
      <w:pPr>
        <w:pStyle w:val="Untitledsubclause2"/>
      </w:pPr>
      <w:bookmarkStart w:id="141" w:name="a306558"/>
      <w:r w:rsidRPr="001F2956">
        <w:t xml:space="preserve">provide a signed statement that it or they have complied fully with its or their obligations under this </w:t>
      </w:r>
      <w:r w:rsidRPr="001F2956">
        <w:fldChar w:fldCharType="begin"/>
      </w:r>
      <w:r w:rsidRPr="001F2956">
        <w:instrText>PAGEREF a571316\# "'clause '"  \h</w:instrText>
      </w:r>
      <w:r w:rsidRPr="001F2956">
        <w:fldChar w:fldCharType="separate"/>
      </w:r>
      <w:r w:rsidRPr="001F2956">
        <w:t xml:space="preserve">clause </w:t>
      </w:r>
      <w:r w:rsidRPr="001F2956">
        <w:fldChar w:fldCharType="end"/>
      </w:r>
      <w:r w:rsidRPr="001F2956">
        <w:fldChar w:fldCharType="begin"/>
      </w:r>
      <w:r w:rsidRPr="001F2956">
        <w:rPr>
          <w:highlight w:val="lightGray"/>
        </w:rPr>
        <w:instrText>REF a571316 \h \w</w:instrText>
      </w:r>
      <w:r w:rsidR="001F2956">
        <w:instrText xml:space="preserve"> \* MERGEFORMAT </w:instrText>
      </w:r>
      <w:r w:rsidRPr="001F2956">
        <w:fldChar w:fldCharType="separate"/>
      </w:r>
      <w:r w:rsidRPr="001F2956">
        <w:t>12</w:t>
      </w:r>
      <w:r w:rsidRPr="001F2956">
        <w:fldChar w:fldCharType="end"/>
      </w:r>
      <w:r w:rsidRPr="001F2956">
        <w:t>, together with such evidence of compliance as the C</w:t>
      </w:r>
      <w:r w:rsidR="0082087B">
        <w:t>ouncil</w:t>
      </w:r>
      <w:r w:rsidRPr="001F2956">
        <w:t xml:space="preserve"> may reasonably request.</w:t>
      </w:r>
      <w:bookmarkEnd w:id="141"/>
    </w:p>
    <w:p w14:paraId="779B25FB" w14:textId="77777777" w:rsidR="00D671F9" w:rsidRPr="001F2956" w:rsidRDefault="00A1162D" w:rsidP="009B2B82">
      <w:pPr>
        <w:pStyle w:val="TitleClause"/>
      </w:pPr>
      <w:r w:rsidRPr="001F2956">
        <w:fldChar w:fldCharType="begin"/>
      </w:r>
      <w:r w:rsidRPr="001F2956">
        <w:instrText>TC "13. Status" \l 1</w:instrText>
      </w:r>
      <w:r w:rsidRPr="001F2956">
        <w:fldChar w:fldCharType="end"/>
      </w:r>
      <w:bookmarkStart w:id="142" w:name="_Toc256000012"/>
      <w:bookmarkStart w:id="143" w:name="a749786"/>
      <w:r w:rsidRPr="001F2956">
        <w:t>Status</w:t>
      </w:r>
      <w:bookmarkEnd w:id="142"/>
      <w:bookmarkEnd w:id="143"/>
    </w:p>
    <w:p w14:paraId="160D09AB" w14:textId="7079ED65" w:rsidR="00D671F9" w:rsidRPr="001F2956" w:rsidRDefault="00A1162D" w:rsidP="009B2B82">
      <w:pPr>
        <w:pStyle w:val="Untitledsubclause1"/>
      </w:pPr>
      <w:bookmarkStart w:id="144" w:name="a911596"/>
      <w:r w:rsidRPr="001F2956">
        <w:t>The relationship of the Consultant (and the Individual) to the C</w:t>
      </w:r>
      <w:r w:rsidR="00DD4B1D">
        <w:t>ouncil</w:t>
      </w:r>
      <w:r w:rsidRPr="001F2956">
        <w:t xml:space="preserve"> will be that of independent contractor and nothing in this agreement shall render it (nor the Individual) an employee, worker, agent or partner of the C</w:t>
      </w:r>
      <w:r w:rsidR="00DD4B1D">
        <w:t>ouncil</w:t>
      </w:r>
      <w:r w:rsidRPr="001F2956">
        <w:t xml:space="preserve"> and the Consultant shall not hold </w:t>
      </w:r>
      <w:r w:rsidRPr="001F2956">
        <w:lastRenderedPageBreak/>
        <w:t>itself out as such and shall procure that the Individual shall not hold themselves out as such.</w:t>
      </w:r>
      <w:bookmarkEnd w:id="144"/>
    </w:p>
    <w:p w14:paraId="0D38A5CA" w14:textId="4C8E9BC8" w:rsidR="00D671F9" w:rsidRPr="001F2956" w:rsidRDefault="00A1162D" w:rsidP="009B2B82">
      <w:pPr>
        <w:pStyle w:val="Untitledsubclause1"/>
      </w:pPr>
      <w:bookmarkStart w:id="145" w:name="a113112"/>
      <w:r w:rsidRPr="001F2956">
        <w:t>The Consultant shall be fully responsible for and shall indemnify the C</w:t>
      </w:r>
      <w:r w:rsidR="00DD4B1D">
        <w:t>ouncil</w:t>
      </w:r>
      <w:r w:rsidRPr="001F2956">
        <w:t xml:space="preserve"> for and in respect of the following:</w:t>
      </w:r>
      <w:bookmarkEnd w:id="145"/>
    </w:p>
    <w:p w14:paraId="513CE07E" w14:textId="12A915CC" w:rsidR="00D671F9" w:rsidRPr="001F2956" w:rsidRDefault="00A1162D" w:rsidP="009B2B82">
      <w:pPr>
        <w:pStyle w:val="Untitledsubclause2"/>
      </w:pPr>
      <w:bookmarkStart w:id="146" w:name="a691945"/>
      <w:r w:rsidRPr="001F2956">
        <w:t xml:space="preserve">subject to </w:t>
      </w:r>
      <w:r w:rsidRPr="001F2956">
        <w:fldChar w:fldCharType="begin"/>
      </w:r>
      <w:r w:rsidRPr="001F2956">
        <w:instrText>PAGEREF a258500\# "'clause '"  \h</w:instrText>
      </w:r>
      <w:r w:rsidRPr="001F2956">
        <w:fldChar w:fldCharType="separate"/>
      </w:r>
      <w:r w:rsidRPr="001F2956">
        <w:t xml:space="preserve">clause </w:t>
      </w:r>
      <w:r w:rsidRPr="001F2956">
        <w:fldChar w:fldCharType="end"/>
      </w:r>
      <w:r w:rsidRPr="001F2956">
        <w:fldChar w:fldCharType="begin"/>
      </w:r>
      <w:r w:rsidRPr="001F2956">
        <w:rPr>
          <w:highlight w:val="lightGray"/>
        </w:rPr>
        <w:instrText>REF a258500 \h \w</w:instrText>
      </w:r>
      <w:r w:rsidR="001F2956">
        <w:instrText xml:space="preserve"> \* MERGEFORMAT </w:instrText>
      </w:r>
      <w:r w:rsidRPr="001F2956">
        <w:fldChar w:fldCharType="separate"/>
      </w:r>
      <w:r w:rsidRPr="001F2956">
        <w:t>13.3</w:t>
      </w:r>
      <w:r w:rsidRPr="001F2956">
        <w:fldChar w:fldCharType="end"/>
      </w:r>
      <w:r w:rsidRPr="001F2956">
        <w:t>, any income tax, National Insurance and social security contributions and any other liability, deduction, contribution, assessment or claim arising from a determination that the Engagement is Deemed Employment or made in connection with either the performance of the Services or any payment or benefit received by the Individual in respect of the Services, where such recovery is not prohibited by law. The Consultant shall further indemnify the C</w:t>
      </w:r>
      <w:r w:rsidR="005C4DE5">
        <w:t>ouncil</w:t>
      </w:r>
      <w:r w:rsidRPr="001F2956">
        <w:t xml:space="preserve"> against all reasonable costs, expenses and any penalty, fine or interest incurred or payable by the C</w:t>
      </w:r>
      <w:r w:rsidR="005C4DE5">
        <w:t>ouncil</w:t>
      </w:r>
      <w:r w:rsidRPr="001F2956">
        <w:t xml:space="preserve"> in connection with or in consequence of any such liability, deduction, contribution, assessment or claim other than where the latter arise out of the C</w:t>
      </w:r>
      <w:r w:rsidR="005C4DE5">
        <w:t>ouncil</w:t>
      </w:r>
      <w:r w:rsidRPr="001F2956">
        <w:t xml:space="preserve">'s negligence or wilful </w:t>
      </w:r>
      <w:proofErr w:type="gramStart"/>
      <w:r w:rsidRPr="001F2956">
        <w:t>default;</w:t>
      </w:r>
      <w:bookmarkEnd w:id="146"/>
      <w:proofErr w:type="gramEnd"/>
    </w:p>
    <w:p w14:paraId="277D1EC3" w14:textId="704C9890" w:rsidR="00D671F9" w:rsidRPr="001F2956" w:rsidRDefault="00A1162D" w:rsidP="009B2B82">
      <w:pPr>
        <w:pStyle w:val="Untitledsubclause2"/>
      </w:pPr>
      <w:bookmarkStart w:id="147" w:name="a477734"/>
      <w:r w:rsidRPr="001F2956">
        <w:t xml:space="preserve">any liability arising from any employment-related </w:t>
      </w:r>
      <w:proofErr w:type="gramStart"/>
      <w:r w:rsidRPr="001F2956">
        <w:t>claim</w:t>
      </w:r>
      <w:proofErr w:type="gramEnd"/>
      <w:r w:rsidRPr="001F2956">
        <w:t xml:space="preserve"> or any claim based on worker status (including reasonable costs and expenses) brought by the Individual or any Substitute against the C</w:t>
      </w:r>
      <w:r w:rsidR="005C4DE5">
        <w:t>ouncil</w:t>
      </w:r>
      <w:r w:rsidRPr="001F2956">
        <w:t xml:space="preserve"> arising out of or in connection with the provision of the Services, except where such claim is as a result of any act or omission of the C</w:t>
      </w:r>
      <w:r w:rsidR="005C4DE5">
        <w:t>ouncil</w:t>
      </w:r>
      <w:r w:rsidRPr="001F2956">
        <w:t xml:space="preserve">. </w:t>
      </w:r>
      <w:bookmarkEnd w:id="147"/>
    </w:p>
    <w:p w14:paraId="0611E247" w14:textId="35632473" w:rsidR="00D671F9" w:rsidRPr="001F2956" w:rsidRDefault="00A1162D" w:rsidP="009B2B82">
      <w:pPr>
        <w:pStyle w:val="Untitledsubclause1"/>
      </w:pPr>
      <w:bookmarkStart w:id="148" w:name="a258500"/>
      <w:r w:rsidRPr="001F2956">
        <w:t xml:space="preserve">The indemnity in </w:t>
      </w:r>
      <w:r w:rsidRPr="001F2956">
        <w:fldChar w:fldCharType="begin"/>
      </w:r>
      <w:r w:rsidRPr="001F2956">
        <w:instrText>PAGEREF a691945\# "'clause '"  \h</w:instrText>
      </w:r>
      <w:r w:rsidRPr="001F2956">
        <w:fldChar w:fldCharType="separate"/>
      </w:r>
      <w:r w:rsidRPr="001F2956">
        <w:t xml:space="preserve">clause </w:t>
      </w:r>
      <w:r w:rsidRPr="001F2956">
        <w:fldChar w:fldCharType="end"/>
      </w:r>
      <w:r w:rsidRPr="001F2956">
        <w:fldChar w:fldCharType="begin"/>
      </w:r>
      <w:r w:rsidRPr="001F2956">
        <w:rPr>
          <w:highlight w:val="lightGray"/>
        </w:rPr>
        <w:instrText>REF a691945 \h \w</w:instrText>
      </w:r>
      <w:r w:rsidR="001F2956">
        <w:instrText xml:space="preserve"> \* MERGEFORMAT </w:instrText>
      </w:r>
      <w:r w:rsidRPr="001F2956">
        <w:fldChar w:fldCharType="separate"/>
      </w:r>
      <w:r w:rsidRPr="001F2956">
        <w:t>13.2(a)</w:t>
      </w:r>
      <w:r w:rsidRPr="001F2956">
        <w:fldChar w:fldCharType="end"/>
      </w:r>
      <w:r w:rsidRPr="001F2956">
        <w:t xml:space="preserve"> does not apply to any income tax or National Insurance contributions deducted by the C</w:t>
      </w:r>
      <w:r w:rsidR="00ED02F9">
        <w:t>ouncil</w:t>
      </w:r>
      <w:r w:rsidRPr="001F2956">
        <w:t xml:space="preserve"> if the Engagement is Deemed Employment and the C</w:t>
      </w:r>
      <w:r w:rsidR="00ED02F9">
        <w:t>ouncil</w:t>
      </w:r>
      <w:r w:rsidRPr="001F2956">
        <w:t xml:space="preserve"> makes the deductions from the fees due under </w:t>
      </w:r>
      <w:r w:rsidRPr="001F2956">
        <w:fldChar w:fldCharType="begin"/>
      </w:r>
      <w:r w:rsidRPr="001F2956">
        <w:instrText>PAGEREF a942940\# "'clause '"  \h</w:instrText>
      </w:r>
      <w:r w:rsidRPr="001F2956">
        <w:fldChar w:fldCharType="separate"/>
      </w:r>
      <w:r w:rsidRPr="001F2956">
        <w:t xml:space="preserve">clause </w:t>
      </w:r>
      <w:r w:rsidRPr="001F2956">
        <w:fldChar w:fldCharType="end"/>
      </w:r>
      <w:r w:rsidRPr="001F2956">
        <w:fldChar w:fldCharType="begin"/>
      </w:r>
      <w:r w:rsidRPr="001F2956">
        <w:rPr>
          <w:highlight w:val="lightGray"/>
        </w:rPr>
        <w:instrText>REF a942940 \h \w</w:instrText>
      </w:r>
      <w:r w:rsidR="001F2956">
        <w:instrText xml:space="preserve"> \* MERGEFORMAT </w:instrText>
      </w:r>
      <w:r w:rsidRPr="001F2956">
        <w:fldChar w:fldCharType="separate"/>
      </w:r>
      <w:r w:rsidRPr="001F2956">
        <w:t>4</w:t>
      </w:r>
      <w:r w:rsidRPr="001F2956">
        <w:fldChar w:fldCharType="end"/>
      </w:r>
      <w:r w:rsidRPr="001F2956">
        <w:t xml:space="preserve"> prior to payment to the Consultant.</w:t>
      </w:r>
      <w:bookmarkEnd w:id="148"/>
    </w:p>
    <w:p w14:paraId="7722838C" w14:textId="24F91B01" w:rsidR="00D671F9" w:rsidRPr="001F2956" w:rsidRDefault="00A1162D" w:rsidP="009B2B82">
      <w:pPr>
        <w:pStyle w:val="Untitledsubclause1"/>
      </w:pPr>
      <w:bookmarkStart w:id="149" w:name="a217893"/>
      <w:r w:rsidRPr="001F2956">
        <w:t>The C</w:t>
      </w:r>
      <w:r w:rsidR="006D4178">
        <w:t>ouncil</w:t>
      </w:r>
      <w:r w:rsidRPr="001F2956">
        <w:t xml:space="preserve"> may at its option satisfy the indemnity in </w:t>
      </w:r>
      <w:r w:rsidRPr="001F2956">
        <w:fldChar w:fldCharType="begin"/>
      </w:r>
      <w:r w:rsidRPr="001F2956">
        <w:instrText>PAGEREF a113112\# "'clause '"  \h</w:instrText>
      </w:r>
      <w:r w:rsidRPr="001F2956">
        <w:fldChar w:fldCharType="separate"/>
      </w:r>
      <w:r w:rsidRPr="001F2956">
        <w:t xml:space="preserve">clause </w:t>
      </w:r>
      <w:r w:rsidRPr="001F2956">
        <w:fldChar w:fldCharType="end"/>
      </w:r>
      <w:r w:rsidRPr="001F2956">
        <w:fldChar w:fldCharType="begin"/>
      </w:r>
      <w:r w:rsidRPr="001F2956">
        <w:rPr>
          <w:highlight w:val="lightGray"/>
        </w:rPr>
        <w:instrText>REF a113112 \h \w</w:instrText>
      </w:r>
      <w:r w:rsidR="001F2956">
        <w:instrText xml:space="preserve"> \* MERGEFORMAT </w:instrText>
      </w:r>
      <w:r w:rsidRPr="001F2956">
        <w:fldChar w:fldCharType="separate"/>
      </w:r>
      <w:r w:rsidRPr="001F2956">
        <w:t>13.2</w:t>
      </w:r>
      <w:r w:rsidRPr="001F2956">
        <w:fldChar w:fldCharType="end"/>
      </w:r>
      <w:r w:rsidRPr="001F2956">
        <w:t xml:space="preserve"> (in whole or in part) by way of deduction from payments due to the Consultant.</w:t>
      </w:r>
      <w:bookmarkEnd w:id="149"/>
    </w:p>
    <w:p w14:paraId="021D9630" w14:textId="78C8E9CB" w:rsidR="00D671F9" w:rsidRPr="001F2956" w:rsidRDefault="00A1162D" w:rsidP="009B2B82">
      <w:pPr>
        <w:pStyle w:val="Untitledsubclause1"/>
      </w:pPr>
      <w:bookmarkStart w:id="150" w:name="a265098"/>
      <w:r w:rsidRPr="001F2956">
        <w:t>The Consultant warrants that it is not, nor will it prior to the cessation of this agreement, become a managed service company within the meaning of section 61B of the Income Tax (Earnings and Pensions) Act 2003.</w:t>
      </w:r>
      <w:bookmarkEnd w:id="150"/>
    </w:p>
    <w:p w14:paraId="44175A85" w14:textId="77777777" w:rsidR="00D671F9" w:rsidRPr="001F2956" w:rsidRDefault="00A1162D" w:rsidP="009B2B82">
      <w:pPr>
        <w:pStyle w:val="TitleClause"/>
      </w:pPr>
      <w:r w:rsidRPr="001F2956">
        <w:fldChar w:fldCharType="begin"/>
      </w:r>
      <w:r w:rsidRPr="001F2956">
        <w:instrText>TC "14. Notices" \l 1</w:instrText>
      </w:r>
      <w:r w:rsidRPr="001F2956">
        <w:fldChar w:fldCharType="end"/>
      </w:r>
      <w:bookmarkStart w:id="151" w:name="_Toc256000013"/>
      <w:bookmarkStart w:id="152" w:name="a725894"/>
      <w:r w:rsidRPr="001F2956">
        <w:t>Notices</w:t>
      </w:r>
      <w:bookmarkEnd w:id="151"/>
      <w:bookmarkEnd w:id="152"/>
    </w:p>
    <w:p w14:paraId="4EF88B2A" w14:textId="77777777" w:rsidR="00D671F9" w:rsidRPr="001F2956" w:rsidRDefault="00A1162D" w:rsidP="009B2B82">
      <w:pPr>
        <w:pStyle w:val="Untitledsubclause1"/>
      </w:pPr>
      <w:bookmarkStart w:id="153" w:name="a922553"/>
      <w:r w:rsidRPr="001F2956">
        <w:t>Any notice given to a party under or in connection with this agreement shall be in writing and shall be:</w:t>
      </w:r>
      <w:bookmarkEnd w:id="153"/>
    </w:p>
    <w:p w14:paraId="2FFFBBDA" w14:textId="7A5ACA73" w:rsidR="00D671F9" w:rsidRPr="001F2956" w:rsidRDefault="00A1162D" w:rsidP="009B2B82">
      <w:pPr>
        <w:pStyle w:val="Untitledsubclause2"/>
      </w:pPr>
      <w:bookmarkStart w:id="154" w:name="a951095"/>
      <w:r w:rsidRPr="001F2956">
        <w:t>delivered by hand or by pre-paid first-class post or other next working day delivery service at the address given in this agreement or as otherwise notified in writing to the other party; or</w:t>
      </w:r>
      <w:bookmarkEnd w:id="154"/>
    </w:p>
    <w:p w14:paraId="00D65BC3" w14:textId="77777777" w:rsidR="00D671F9" w:rsidRPr="001F2956" w:rsidRDefault="00A1162D" w:rsidP="009B2B82">
      <w:pPr>
        <w:pStyle w:val="Untitledsubclause2"/>
      </w:pPr>
      <w:bookmarkStart w:id="155" w:name="a103936"/>
      <w:r w:rsidRPr="001F2956">
        <w:t>[sent by email to the following addresses (or an address substituted in writing by the party to be served):</w:t>
      </w:r>
      <w:bookmarkEnd w:id="155"/>
    </w:p>
    <w:p w14:paraId="3A8AF8D8" w14:textId="77777777" w:rsidR="00D671F9" w:rsidRPr="00F93C61" w:rsidRDefault="00A1162D" w:rsidP="009B2B82">
      <w:pPr>
        <w:pStyle w:val="Untitledsubclause3"/>
        <w:rPr>
          <w:highlight w:val="yellow"/>
        </w:rPr>
      </w:pPr>
      <w:bookmarkStart w:id="156" w:name="a419587"/>
      <w:r w:rsidRPr="00F93C61">
        <w:rPr>
          <w:highlight w:val="yellow"/>
        </w:rPr>
        <w:lastRenderedPageBreak/>
        <w:t>Client: [ADDRESS].</w:t>
      </w:r>
      <w:bookmarkEnd w:id="156"/>
    </w:p>
    <w:p w14:paraId="0079485F" w14:textId="77777777" w:rsidR="00D671F9" w:rsidRPr="00F93C61" w:rsidRDefault="00A1162D" w:rsidP="009B2B82">
      <w:pPr>
        <w:pStyle w:val="Untitledsubclause3"/>
        <w:rPr>
          <w:highlight w:val="yellow"/>
        </w:rPr>
      </w:pPr>
      <w:bookmarkStart w:id="157" w:name="a539742"/>
      <w:r w:rsidRPr="00F93C61">
        <w:rPr>
          <w:highlight w:val="yellow"/>
        </w:rPr>
        <w:t>Consultant Company: [ADDRESS].]</w:t>
      </w:r>
      <w:bookmarkEnd w:id="157"/>
    </w:p>
    <w:p w14:paraId="47DA118B" w14:textId="77777777" w:rsidR="00D671F9" w:rsidRPr="001F2956" w:rsidRDefault="00A1162D" w:rsidP="009B2B82">
      <w:pPr>
        <w:pStyle w:val="Untitledsubclause1"/>
      </w:pPr>
      <w:bookmarkStart w:id="158" w:name="a150090"/>
      <w:r w:rsidRPr="001F2956">
        <w:t>Unless proved otherwise, any notice shall be deemed to have been received:</w:t>
      </w:r>
      <w:bookmarkEnd w:id="158"/>
    </w:p>
    <w:p w14:paraId="13DFE1B5" w14:textId="448C4FE9" w:rsidR="00D671F9" w:rsidRPr="001F2956" w:rsidRDefault="00A1162D" w:rsidP="009B2B82">
      <w:pPr>
        <w:pStyle w:val="Untitledsubclause2"/>
      </w:pPr>
      <w:bookmarkStart w:id="159" w:name="a296561"/>
      <w:r w:rsidRPr="001F2956">
        <w:t>if delivered by hand, at the time the notice is left at the address given in this agreement or given to the addressee;</w:t>
      </w:r>
      <w:r w:rsidR="00181237">
        <w:t xml:space="preserve"> </w:t>
      </w:r>
      <w:r w:rsidRPr="001F2956">
        <w:t>or</w:t>
      </w:r>
      <w:bookmarkEnd w:id="159"/>
    </w:p>
    <w:p w14:paraId="0EE2A464" w14:textId="37FDBD3A" w:rsidR="00D671F9" w:rsidRPr="001F2956" w:rsidRDefault="00A1162D" w:rsidP="009B2B82">
      <w:pPr>
        <w:pStyle w:val="Untitledsubclause2"/>
      </w:pPr>
      <w:bookmarkStart w:id="160" w:name="a509081"/>
      <w:r w:rsidRPr="001F2956">
        <w:t>if sent by pre-paid first-class post or other next working day delivery service, at 9.00 am on the second Business Day after posting; or</w:t>
      </w:r>
      <w:bookmarkEnd w:id="160"/>
    </w:p>
    <w:p w14:paraId="27C93652" w14:textId="53262CFB" w:rsidR="00D671F9" w:rsidRPr="001F2956" w:rsidRDefault="00A1162D" w:rsidP="009B2B82">
      <w:pPr>
        <w:pStyle w:val="Untitledsubclause2"/>
      </w:pPr>
      <w:bookmarkStart w:id="161" w:name="a820267"/>
      <w:r w:rsidRPr="001F2956">
        <w:t>if sent by email, at the time of transmission.</w:t>
      </w:r>
      <w:r w:rsidRPr="001F2956">
        <w:fldChar w:fldCharType="begin"/>
      </w:r>
      <w:r w:rsidRPr="001F2956">
        <w:fldChar w:fldCharType="end"/>
      </w:r>
      <w:bookmarkEnd w:id="161"/>
    </w:p>
    <w:p w14:paraId="6D359EC9" w14:textId="51FCD0D5" w:rsidR="00D671F9" w:rsidRPr="001F2956" w:rsidRDefault="00A1162D" w:rsidP="009B2B82">
      <w:pPr>
        <w:pStyle w:val="Untitledsubclause1"/>
      </w:pPr>
      <w:bookmarkStart w:id="162" w:name="a563256"/>
      <w:r w:rsidRPr="001F2956">
        <w:t xml:space="preserve">If deemed receipt under </w:t>
      </w:r>
      <w:r w:rsidRPr="001F2956">
        <w:fldChar w:fldCharType="begin"/>
      </w:r>
      <w:r w:rsidRPr="001F2956">
        <w:instrText>PAGEREF a150090\# "'clause '"  \h</w:instrText>
      </w:r>
      <w:r w:rsidRPr="001F2956">
        <w:fldChar w:fldCharType="separate"/>
      </w:r>
      <w:r w:rsidRPr="001F2956">
        <w:t xml:space="preserve">clause </w:t>
      </w:r>
      <w:r w:rsidRPr="001F2956">
        <w:fldChar w:fldCharType="end"/>
      </w:r>
      <w:r w:rsidRPr="001F2956">
        <w:fldChar w:fldCharType="begin"/>
      </w:r>
      <w:r w:rsidRPr="001F2956">
        <w:rPr>
          <w:highlight w:val="lightGray"/>
        </w:rPr>
        <w:instrText>REF a150090 \h \w</w:instrText>
      </w:r>
      <w:r w:rsidR="001F2956">
        <w:instrText xml:space="preserve"> \* MERGEFORMAT </w:instrText>
      </w:r>
      <w:r w:rsidRPr="001F2956">
        <w:fldChar w:fldCharType="separate"/>
      </w:r>
      <w:r w:rsidRPr="001F2956">
        <w:t>14.2</w:t>
      </w:r>
      <w:r w:rsidRPr="001F2956">
        <w:fldChar w:fldCharType="end"/>
      </w:r>
      <w:r w:rsidRPr="001F2956">
        <w:t xml:space="preserve"> would occur outside business hours in the place of receipt, it shall be deferred until business hours resume. In this </w:t>
      </w:r>
      <w:r w:rsidRPr="001F2956">
        <w:fldChar w:fldCharType="begin"/>
      </w:r>
      <w:r w:rsidRPr="001F2956">
        <w:instrText>PAGEREF a563256\# "'clause '"  \h</w:instrText>
      </w:r>
      <w:r w:rsidRPr="001F2956">
        <w:fldChar w:fldCharType="separate"/>
      </w:r>
      <w:r w:rsidRPr="001F2956">
        <w:t xml:space="preserve">clause </w:t>
      </w:r>
      <w:r w:rsidRPr="001F2956">
        <w:fldChar w:fldCharType="end"/>
      </w:r>
      <w:r w:rsidRPr="001F2956">
        <w:fldChar w:fldCharType="begin"/>
      </w:r>
      <w:r w:rsidRPr="001F2956">
        <w:rPr>
          <w:highlight w:val="lightGray"/>
        </w:rPr>
        <w:instrText>REF a563256 \h \w</w:instrText>
      </w:r>
      <w:r w:rsidR="001F2956">
        <w:instrText xml:space="preserve"> \* MERGEFORMAT </w:instrText>
      </w:r>
      <w:r w:rsidRPr="001F2956">
        <w:fldChar w:fldCharType="separate"/>
      </w:r>
      <w:r w:rsidRPr="001F2956">
        <w:t>14.3</w:t>
      </w:r>
      <w:r w:rsidRPr="001F2956">
        <w:fldChar w:fldCharType="end"/>
      </w:r>
      <w:r w:rsidRPr="001F2956">
        <w:t>, business hours means 9.00am to 5.00pm Monday to Friday on a day that is not a public holiday in the place of receipt.</w:t>
      </w:r>
      <w:bookmarkEnd w:id="162"/>
    </w:p>
    <w:p w14:paraId="3D196B4C" w14:textId="77777777" w:rsidR="00D671F9" w:rsidRPr="001F2956" w:rsidRDefault="00A1162D" w:rsidP="009B2B82">
      <w:pPr>
        <w:pStyle w:val="Untitledsubclause1"/>
      </w:pPr>
      <w:bookmarkStart w:id="163" w:name="a905532"/>
      <w:r w:rsidRPr="001F2956">
        <w:t>This clause does not apply to the service of any proceedings or other documents in any legal action or, where applicable, any other method of dispute resolution.</w:t>
      </w:r>
      <w:bookmarkEnd w:id="163"/>
    </w:p>
    <w:p w14:paraId="13361A34" w14:textId="77777777" w:rsidR="00D671F9" w:rsidRPr="001F2956" w:rsidRDefault="00A1162D" w:rsidP="009B2B82">
      <w:pPr>
        <w:pStyle w:val="TitleClause"/>
      </w:pPr>
      <w:r w:rsidRPr="001F2956">
        <w:fldChar w:fldCharType="begin"/>
      </w:r>
      <w:r w:rsidRPr="001F2956">
        <w:instrText>TC "15. Entire agreement" \l 1</w:instrText>
      </w:r>
      <w:r w:rsidRPr="001F2956">
        <w:fldChar w:fldCharType="end"/>
      </w:r>
      <w:bookmarkStart w:id="164" w:name="_Toc256000014"/>
      <w:bookmarkStart w:id="165" w:name="a383955"/>
      <w:r w:rsidRPr="001F2956">
        <w:t>Entire agreement</w:t>
      </w:r>
      <w:bookmarkEnd w:id="164"/>
      <w:bookmarkEnd w:id="165"/>
    </w:p>
    <w:p w14:paraId="1D97FD55" w14:textId="2B39944C" w:rsidR="00D671F9" w:rsidRPr="001F2956" w:rsidRDefault="00A1162D" w:rsidP="009B2B82">
      <w:pPr>
        <w:pStyle w:val="Untitledsubclause1"/>
      </w:pPr>
      <w:bookmarkStart w:id="166" w:name="a350664"/>
      <w:r w:rsidRPr="001F2956">
        <w:t>This agreement constitutes the entire agreement between the parties and supersedes and extinguishes all previous and contemporaneous agreements, promises, assurances and understandings between them, whether written or oral, relating to its subject matter.</w:t>
      </w:r>
      <w:bookmarkEnd w:id="166"/>
    </w:p>
    <w:p w14:paraId="6ADE6172" w14:textId="78F9FB41" w:rsidR="00D671F9" w:rsidRPr="001F2956" w:rsidRDefault="00A1162D" w:rsidP="009B2B82">
      <w:pPr>
        <w:pStyle w:val="Untitledsubclause1"/>
      </w:pPr>
      <w:bookmarkStart w:id="167" w:name="a799737"/>
      <w:r w:rsidRPr="001F2956">
        <w:t xml:space="preserve">Each party acknowledges that in entering into this agreement it does not rely on, and shall have no remedies in respect of, any statement, representation, </w:t>
      </w:r>
      <w:proofErr w:type="gramStart"/>
      <w:r w:rsidRPr="001F2956">
        <w:t>assurance</w:t>
      </w:r>
      <w:proofErr w:type="gramEnd"/>
      <w:r w:rsidRPr="001F2956">
        <w:t xml:space="preserve"> or warranty (whether made innocently or negligently) that is not set out in this agreement.</w:t>
      </w:r>
      <w:bookmarkEnd w:id="167"/>
    </w:p>
    <w:p w14:paraId="704D3BC3" w14:textId="6454B5DF" w:rsidR="00D671F9" w:rsidRPr="001F2956" w:rsidRDefault="00A1162D" w:rsidP="009B2B82">
      <w:pPr>
        <w:pStyle w:val="Untitledsubclause1"/>
      </w:pPr>
      <w:bookmarkStart w:id="168" w:name="a504266"/>
      <w:r w:rsidRPr="001F2956">
        <w:t>Each party agrees that it shall have no claim for innocent or negligent misrepresentation or negligent misstatement based on any statement in this agreement.</w:t>
      </w:r>
      <w:bookmarkEnd w:id="168"/>
    </w:p>
    <w:p w14:paraId="5DFA90AA" w14:textId="77777777" w:rsidR="00D671F9" w:rsidRPr="001F2956" w:rsidRDefault="00A1162D" w:rsidP="009B2B82">
      <w:pPr>
        <w:pStyle w:val="TitleClause"/>
      </w:pPr>
      <w:r w:rsidRPr="001F2956">
        <w:fldChar w:fldCharType="begin"/>
      </w:r>
      <w:r w:rsidRPr="001F2956">
        <w:instrText>TC "16. Variation" \l 1</w:instrText>
      </w:r>
      <w:r w:rsidRPr="001F2956">
        <w:fldChar w:fldCharType="end"/>
      </w:r>
      <w:bookmarkStart w:id="169" w:name="_Toc256000015"/>
      <w:bookmarkStart w:id="170" w:name="a725512"/>
      <w:r w:rsidRPr="001F2956">
        <w:t>Variation</w:t>
      </w:r>
      <w:bookmarkEnd w:id="169"/>
      <w:bookmarkEnd w:id="170"/>
    </w:p>
    <w:p w14:paraId="708CA817" w14:textId="25F99565" w:rsidR="00D671F9" w:rsidRPr="001F2956" w:rsidRDefault="00A1162D" w:rsidP="009B2B82">
      <w:pPr>
        <w:pStyle w:val="NoNumUntitledsubclause1"/>
      </w:pPr>
      <w:bookmarkStart w:id="171" w:name="a259689"/>
      <w:r w:rsidRPr="001F2956">
        <w:t>No variation of this agreement or of any of the documents referred to in it shall be effective unless it is in writing and signed by the parties (or their authorised representatives).</w:t>
      </w:r>
      <w:bookmarkEnd w:id="171"/>
    </w:p>
    <w:p w14:paraId="5F196E7E" w14:textId="77777777" w:rsidR="00D671F9" w:rsidRPr="001F2956" w:rsidRDefault="00A1162D" w:rsidP="009B2B82">
      <w:pPr>
        <w:pStyle w:val="TitleClause"/>
      </w:pPr>
      <w:r w:rsidRPr="001F2956">
        <w:fldChar w:fldCharType="begin"/>
      </w:r>
      <w:r w:rsidRPr="001F2956">
        <w:instrText>TC "17. Counterparts" \l 1</w:instrText>
      </w:r>
      <w:r w:rsidRPr="001F2956">
        <w:fldChar w:fldCharType="end"/>
      </w:r>
      <w:bookmarkStart w:id="172" w:name="_Toc256000016"/>
      <w:bookmarkStart w:id="173" w:name="a256383"/>
      <w:r w:rsidRPr="001F2956">
        <w:t>Counterparts</w:t>
      </w:r>
      <w:bookmarkEnd w:id="172"/>
      <w:bookmarkEnd w:id="173"/>
    </w:p>
    <w:p w14:paraId="6DB0C697" w14:textId="77777777" w:rsidR="00D671F9" w:rsidRDefault="00A1162D" w:rsidP="009B2B82">
      <w:pPr>
        <w:pStyle w:val="Untitledsubclause1"/>
      </w:pPr>
      <w:bookmarkStart w:id="174" w:name="a832084"/>
      <w:r w:rsidRPr="001F2956">
        <w:t>This agreement may be executed in any number of counterparts, each of which shall constitute a duplicate original, but all the counterparts shall together constitute the one agreement.</w:t>
      </w:r>
      <w:bookmarkEnd w:id="174"/>
    </w:p>
    <w:p w14:paraId="74C48556" w14:textId="0AB06701" w:rsidR="007B1EAC" w:rsidRPr="001F2956" w:rsidRDefault="007B1EAC" w:rsidP="007B1EAC">
      <w:pPr>
        <w:pStyle w:val="Untitledsubclause1"/>
      </w:pPr>
      <w:r w:rsidRPr="002D7A02">
        <w:lastRenderedPageBreak/>
        <w:t>Transmission of an executed counterpart of this agreement (but for the avoidance of doubt not just a signature page) by email (in PDF, JPEG or other agreed format) shall take effect as the transmission of an executed "</w:t>
      </w:r>
      <w:proofErr w:type="gramStart"/>
      <w:r w:rsidRPr="002D7A02">
        <w:t>wet-ink</w:t>
      </w:r>
      <w:proofErr w:type="gramEnd"/>
      <w:r w:rsidRPr="002D7A02">
        <w:t>" counterpart of this agreement. If this method of transmission is adopted, without prejudice to the validity of the agreement thus made, each party shall on request provide the other with the "wet ink" hard copy original of their counterpart.</w:t>
      </w:r>
      <w:r w:rsidRPr="002D7A02" w:rsidDel="005A61AA">
        <w:t xml:space="preserve"> </w:t>
      </w:r>
    </w:p>
    <w:p w14:paraId="31BF817F" w14:textId="2505B2B5" w:rsidR="00D671F9" w:rsidRPr="001F2956" w:rsidRDefault="00A1162D" w:rsidP="009B2B82">
      <w:pPr>
        <w:pStyle w:val="Untitledsubclause1"/>
      </w:pPr>
      <w:bookmarkStart w:id="175" w:name="a224453"/>
      <w:r w:rsidRPr="001F2956">
        <w:t>No counterpart shall be effective until each party has delivered to the other at least one executed counterpart.</w:t>
      </w:r>
      <w:bookmarkEnd w:id="175"/>
    </w:p>
    <w:p w14:paraId="1AD7BBAE" w14:textId="77777777" w:rsidR="00D671F9" w:rsidRPr="001F2956" w:rsidRDefault="00A1162D" w:rsidP="009B2B82">
      <w:pPr>
        <w:pStyle w:val="TitleClause"/>
      </w:pPr>
      <w:r w:rsidRPr="001F2956">
        <w:fldChar w:fldCharType="begin"/>
      </w:r>
      <w:r w:rsidRPr="001F2956">
        <w:instrText>TC "18. Third party rights" \l 1</w:instrText>
      </w:r>
      <w:r w:rsidRPr="001F2956">
        <w:fldChar w:fldCharType="end"/>
      </w:r>
      <w:bookmarkStart w:id="176" w:name="_Toc256000017"/>
      <w:bookmarkStart w:id="177" w:name="a664254"/>
      <w:r w:rsidRPr="001F2956">
        <w:t>Third party rights</w:t>
      </w:r>
      <w:bookmarkEnd w:id="176"/>
      <w:bookmarkEnd w:id="177"/>
    </w:p>
    <w:p w14:paraId="6147D42E" w14:textId="1B080B93" w:rsidR="00D671F9" w:rsidRPr="001F2956" w:rsidRDefault="00A1162D" w:rsidP="009B2B82">
      <w:pPr>
        <w:pStyle w:val="Untitledsubclause1"/>
      </w:pPr>
      <w:bookmarkStart w:id="178" w:name="a448870"/>
      <w:r w:rsidRPr="001F2956">
        <w:t xml:space="preserve">Except </w:t>
      </w:r>
      <w:r w:rsidR="007B1EAC">
        <w:t xml:space="preserve">may be </w:t>
      </w:r>
      <w:r w:rsidRPr="001F2956">
        <w:t>as expressly provided elsewhere in this agreement, a person who is not a party to this agreement shall not have any rights under the Contracts (Rights of Third Parties) Act 1999 to enforce any term of this agreement. This does not affect any right or remedy of a third party which exists, or is available, apart from that Act.</w:t>
      </w:r>
      <w:bookmarkEnd w:id="178"/>
    </w:p>
    <w:p w14:paraId="1BA3DDFA" w14:textId="77777777" w:rsidR="00D671F9" w:rsidRPr="001F2956" w:rsidRDefault="00A1162D" w:rsidP="009B2B82">
      <w:pPr>
        <w:pStyle w:val="Untitledsubclause1"/>
      </w:pPr>
      <w:bookmarkStart w:id="179" w:name="a986696"/>
      <w:r w:rsidRPr="001F2956">
        <w:t>The rights of the parties to terminate, rescind or agree any variation, waiver or settlement under this agreement are not subject to the consent of any other person.</w:t>
      </w:r>
      <w:bookmarkEnd w:id="179"/>
    </w:p>
    <w:p w14:paraId="78877D8F" w14:textId="77777777" w:rsidR="00D671F9" w:rsidRPr="001F2956" w:rsidRDefault="00A1162D" w:rsidP="009B2B82">
      <w:pPr>
        <w:pStyle w:val="TitleClause"/>
      </w:pPr>
      <w:r w:rsidRPr="001F2956">
        <w:fldChar w:fldCharType="begin"/>
      </w:r>
      <w:r w:rsidRPr="001F2956">
        <w:instrText>TC "19. Governing law" \l 1</w:instrText>
      </w:r>
      <w:r w:rsidRPr="001F2956">
        <w:fldChar w:fldCharType="end"/>
      </w:r>
      <w:bookmarkStart w:id="180" w:name="_Toc256000018"/>
      <w:bookmarkStart w:id="181" w:name="a961078"/>
      <w:r w:rsidRPr="001F2956">
        <w:t>Governing law</w:t>
      </w:r>
      <w:bookmarkEnd w:id="180"/>
      <w:bookmarkEnd w:id="181"/>
    </w:p>
    <w:p w14:paraId="00E8CA91" w14:textId="77777777" w:rsidR="00D671F9" w:rsidRPr="001F2956" w:rsidRDefault="00A1162D" w:rsidP="009B2B82">
      <w:pPr>
        <w:pStyle w:val="NoNumUntitledsubclause1"/>
      </w:pPr>
      <w:bookmarkStart w:id="182" w:name="a822897"/>
      <w:r w:rsidRPr="001F2956">
        <w:t>This agreement and any dispute or claim arising out of or in connection with it or its subject matter or formation (including non-contractual disputes or claims) shall be governed by and construed in accordance with the law of England and Wales.</w:t>
      </w:r>
      <w:bookmarkEnd w:id="182"/>
    </w:p>
    <w:p w14:paraId="7DAFDAA3" w14:textId="77777777" w:rsidR="00D671F9" w:rsidRPr="001F2956" w:rsidRDefault="00A1162D" w:rsidP="009B2B82">
      <w:pPr>
        <w:pStyle w:val="TitleClause"/>
      </w:pPr>
      <w:r w:rsidRPr="001F2956">
        <w:fldChar w:fldCharType="begin"/>
      </w:r>
      <w:r w:rsidRPr="001F2956">
        <w:instrText>TC "20. Jurisdiction" \l 1</w:instrText>
      </w:r>
      <w:r w:rsidRPr="001F2956">
        <w:fldChar w:fldCharType="end"/>
      </w:r>
      <w:bookmarkStart w:id="183" w:name="_Toc256000019"/>
      <w:bookmarkStart w:id="184" w:name="a548950"/>
      <w:r w:rsidRPr="001F2956">
        <w:t>Jurisdiction</w:t>
      </w:r>
      <w:bookmarkEnd w:id="183"/>
      <w:bookmarkEnd w:id="184"/>
    </w:p>
    <w:p w14:paraId="5E63A7BC" w14:textId="742A95D9" w:rsidR="00D671F9" w:rsidRPr="001F2956" w:rsidRDefault="00A1162D" w:rsidP="009B2B82">
      <w:pPr>
        <w:pStyle w:val="NoNumUntitledsubclause1"/>
      </w:pPr>
      <w:bookmarkStart w:id="185" w:name="a367941"/>
      <w:r w:rsidRPr="001F2956">
        <w:t xml:space="preserve">Each party irrevocably agrees that the courts of England and Wales shall have </w:t>
      </w:r>
      <w:r w:rsidR="0057750E" w:rsidRPr="001F2956">
        <w:t>exclusive jurisdiction</w:t>
      </w:r>
      <w:r w:rsidRPr="001F2956">
        <w:t xml:space="preserve"> to settle any dispute or claim arising out of or in connection with this agreement or its subject matter or formation (including non-contractual disputes or claims).</w:t>
      </w:r>
      <w:bookmarkEnd w:id="185"/>
    </w:p>
    <w:p w14:paraId="67B1B530" w14:textId="77777777" w:rsidR="00E21346" w:rsidRDefault="00E21346" w:rsidP="009B2B82">
      <w:pPr>
        <w:pStyle w:val="Testimonium"/>
      </w:pPr>
    </w:p>
    <w:p w14:paraId="3026BABA" w14:textId="5A1B62FF" w:rsidR="00D671F9" w:rsidRDefault="00534FFE" w:rsidP="009B2B82">
      <w:pPr>
        <w:pStyle w:val="Testimonium"/>
      </w:pPr>
      <w:r w:rsidRPr="00534FFE">
        <w:t>This agreement has been entered into on the date stated at the beginning of it.</w:t>
      </w:r>
      <w:r w:rsidR="0057750E">
        <w:t xml:space="preserve"> </w:t>
      </w:r>
    </w:p>
    <w:p w14:paraId="69EC7FB9" w14:textId="53971A43" w:rsidR="0057750E" w:rsidRDefault="0057750E" w:rsidP="009B2B82">
      <w:pPr>
        <w:pStyle w:val="Testimonium"/>
      </w:pPr>
      <w:r>
        <w:t>[</w:t>
      </w:r>
      <w:r w:rsidRPr="001A6A73">
        <w:rPr>
          <w:highlight w:val="yellow"/>
        </w:rPr>
        <w:t xml:space="preserve">INSERT </w:t>
      </w:r>
      <w:r w:rsidR="001A6A73" w:rsidRPr="001A6A73">
        <w:rPr>
          <w:highlight w:val="yellow"/>
        </w:rPr>
        <w:t>SIGNATURE BLOCK</w:t>
      </w:r>
      <w:r w:rsidRPr="001A6A73">
        <w:rPr>
          <w:highlight w:val="yellow"/>
        </w:rPr>
        <w:t xml:space="preserve"> FOR </w:t>
      </w:r>
      <w:r w:rsidR="001A6A73" w:rsidRPr="001A6A73">
        <w:rPr>
          <w:highlight w:val="yellow"/>
        </w:rPr>
        <w:t>CONSULTANT</w:t>
      </w:r>
      <w:r w:rsidR="001A6A73">
        <w:t>]</w:t>
      </w:r>
    </w:p>
    <w:p w14:paraId="5C13F372" w14:textId="77777777" w:rsidR="001A6A73" w:rsidRDefault="001A6A73" w:rsidP="009B2B82">
      <w:pPr>
        <w:pStyle w:val="Testimonium"/>
      </w:pPr>
    </w:p>
    <w:p w14:paraId="5C30CEF5" w14:textId="0A473AB1" w:rsidR="001A6A73" w:rsidRPr="001F2956" w:rsidRDefault="001A6A73" w:rsidP="009B2B82">
      <w:pPr>
        <w:pStyle w:val="Testimonium"/>
      </w:pPr>
      <w:r>
        <w:t>[</w:t>
      </w:r>
      <w:r w:rsidRPr="001A6A73">
        <w:rPr>
          <w:highlight w:val="yellow"/>
        </w:rPr>
        <w:t>INSERT SIGNATURE BLOCK FOR COUNCIL</w:t>
      </w:r>
      <w:r>
        <w:t>]</w:t>
      </w:r>
    </w:p>
    <w:p w14:paraId="58D64CD5" w14:textId="0B0A99B2" w:rsidR="00D671F9" w:rsidRPr="00112280" w:rsidRDefault="00E21346" w:rsidP="00003128">
      <w:pPr>
        <w:pStyle w:val="Schedule"/>
        <w:pageBreakBefore/>
        <w:numPr>
          <w:ilvl w:val="0"/>
          <w:numId w:val="26"/>
        </w:numPr>
        <w:rPr>
          <w:highlight w:val="yellow"/>
        </w:rPr>
      </w:pPr>
      <w:bookmarkStart w:id="186" w:name="_Toc256000020"/>
      <w:bookmarkStart w:id="187" w:name="a943751"/>
      <w:r>
        <w:rPr>
          <w:highlight w:val="yellow"/>
        </w:rPr>
        <w:lastRenderedPageBreak/>
        <w:t>[</w:t>
      </w:r>
      <w:r w:rsidR="00A1162D" w:rsidRPr="00112280">
        <w:rPr>
          <w:highlight w:val="yellow"/>
        </w:rPr>
        <w:t>Services</w:t>
      </w:r>
      <w:bookmarkEnd w:id="186"/>
      <w:bookmarkEnd w:id="187"/>
    </w:p>
    <w:p w14:paraId="0573D2EA" w14:textId="7EBCA392" w:rsidR="00C846ED" w:rsidRPr="000A185F" w:rsidRDefault="00C846ED" w:rsidP="006E34F5">
      <w:pPr>
        <w:spacing w:after="0" w:line="240" w:lineRule="auto"/>
        <w:rPr>
          <w:rFonts w:ascii="Arial" w:hAnsi="Arial" w:cs="Arial"/>
          <w:szCs w:val="24"/>
        </w:rPr>
      </w:pPr>
    </w:p>
    <w:p w14:paraId="304E6A5C" w14:textId="19253D29" w:rsidR="00D671F9" w:rsidRPr="006E34F5" w:rsidRDefault="00A1162D" w:rsidP="009B2B82">
      <w:pPr>
        <w:pStyle w:val="Paragraph"/>
        <w:rPr>
          <w:highlight w:val="yellow"/>
        </w:rPr>
      </w:pPr>
      <w:r w:rsidRPr="006E34F5">
        <w:rPr>
          <w:highlight w:val="yellow"/>
        </w:rPr>
        <w:t>[THIS SHOULD INCLUDE THE FOLLOWING MATTERS:</w:t>
      </w:r>
    </w:p>
    <w:p w14:paraId="4B53233D" w14:textId="009C1966" w:rsidR="00D671F9" w:rsidRPr="006E34F5" w:rsidRDefault="00A1162D" w:rsidP="009B2B82">
      <w:pPr>
        <w:pStyle w:val="BulletList1"/>
        <w:rPr>
          <w:highlight w:val="yellow"/>
        </w:rPr>
      </w:pPr>
      <w:r w:rsidRPr="006E34F5">
        <w:rPr>
          <w:highlight w:val="yellow"/>
        </w:rPr>
        <w:t xml:space="preserve">AN OVERVIEW OF THE SERVICES TO BE </w:t>
      </w:r>
      <w:proofErr w:type="gramStart"/>
      <w:r w:rsidRPr="006E34F5">
        <w:rPr>
          <w:highlight w:val="yellow"/>
        </w:rPr>
        <w:t>PROVIDED;</w:t>
      </w:r>
      <w:proofErr w:type="gramEnd"/>
    </w:p>
    <w:p w14:paraId="4F7BB081" w14:textId="79991885" w:rsidR="00D671F9" w:rsidRPr="006E34F5" w:rsidRDefault="00A1162D" w:rsidP="009B2B82">
      <w:pPr>
        <w:pStyle w:val="BulletList1"/>
        <w:rPr>
          <w:highlight w:val="yellow"/>
        </w:rPr>
      </w:pPr>
      <w:r w:rsidRPr="006E34F5">
        <w:rPr>
          <w:highlight w:val="yellow"/>
        </w:rPr>
        <w:t xml:space="preserve">DETAILS OF THE SPECIFIC DELIVERABLES TO BE ACHIEVED IN THE PROVISION OF THE </w:t>
      </w:r>
      <w:proofErr w:type="gramStart"/>
      <w:r w:rsidRPr="006E34F5">
        <w:rPr>
          <w:highlight w:val="yellow"/>
        </w:rPr>
        <w:t>SERVICES;</w:t>
      </w:r>
      <w:proofErr w:type="gramEnd"/>
    </w:p>
    <w:p w14:paraId="572F1A6E" w14:textId="3F0128F7" w:rsidR="00D671F9" w:rsidRPr="006E34F5" w:rsidRDefault="00A1162D" w:rsidP="009B2B82">
      <w:pPr>
        <w:pStyle w:val="BulletList1"/>
        <w:rPr>
          <w:highlight w:val="yellow"/>
        </w:rPr>
      </w:pPr>
      <w:r w:rsidRPr="006E34F5">
        <w:rPr>
          <w:highlight w:val="yellow"/>
        </w:rPr>
        <w:t xml:space="preserve">THE LOCATION(S) WHERE THE SERVICES ARE TO BE </w:t>
      </w:r>
      <w:proofErr w:type="gramStart"/>
      <w:r w:rsidRPr="006E34F5">
        <w:rPr>
          <w:highlight w:val="yellow"/>
        </w:rPr>
        <w:t>PERFORMED;</w:t>
      </w:r>
      <w:proofErr w:type="gramEnd"/>
    </w:p>
    <w:p w14:paraId="4515D86F" w14:textId="0AB2AF61" w:rsidR="00D671F9" w:rsidRPr="006E34F5" w:rsidRDefault="00A1162D" w:rsidP="009B2B82">
      <w:pPr>
        <w:pStyle w:val="BulletList1"/>
        <w:rPr>
          <w:highlight w:val="yellow"/>
        </w:rPr>
      </w:pPr>
      <w:r w:rsidRPr="006E34F5">
        <w:rPr>
          <w:highlight w:val="yellow"/>
        </w:rPr>
        <w:t xml:space="preserve">CLIENT POINT OF CONTACT AND ANY REPORTS TO BE </w:t>
      </w:r>
      <w:proofErr w:type="gramStart"/>
      <w:r w:rsidRPr="006E34F5">
        <w:rPr>
          <w:highlight w:val="yellow"/>
        </w:rPr>
        <w:t>SUBMITTED;</w:t>
      </w:r>
      <w:proofErr w:type="gramEnd"/>
    </w:p>
    <w:p w14:paraId="721CF86E" w14:textId="647B8E3C" w:rsidR="00D671F9" w:rsidRPr="006E34F5" w:rsidRDefault="00A1162D" w:rsidP="009B2B82">
      <w:pPr>
        <w:pStyle w:val="BulletList1"/>
        <w:rPr>
          <w:highlight w:val="yellow"/>
        </w:rPr>
      </w:pPr>
      <w:r w:rsidRPr="006E34F5">
        <w:rPr>
          <w:highlight w:val="yellow"/>
        </w:rPr>
        <w:t xml:space="preserve">TIMETABLE FOR PROVISION OF THE SERVICES, INCLUDING ANY MILESTONES RELATED TO THE ACHIEVEMENT OF SPECIFIC </w:t>
      </w:r>
      <w:proofErr w:type="gramStart"/>
      <w:r w:rsidRPr="006E34F5">
        <w:rPr>
          <w:highlight w:val="yellow"/>
        </w:rPr>
        <w:t>DELIVERABLES;</w:t>
      </w:r>
      <w:proofErr w:type="gramEnd"/>
      <w:r w:rsidRPr="006E34F5">
        <w:rPr>
          <w:highlight w:val="yellow"/>
        </w:rPr>
        <w:t xml:space="preserve"> </w:t>
      </w:r>
    </w:p>
    <w:p w14:paraId="5C73998F" w14:textId="3EBFD8EC" w:rsidR="00D671F9" w:rsidRPr="006E34F5" w:rsidRDefault="00A1162D" w:rsidP="009B2B82">
      <w:pPr>
        <w:pStyle w:val="BulletList1"/>
        <w:rPr>
          <w:highlight w:val="yellow"/>
        </w:rPr>
      </w:pPr>
      <w:r w:rsidRPr="006E34F5">
        <w:rPr>
          <w:highlight w:val="yellow"/>
        </w:rPr>
        <w:t>ANY APPLICABLE ACCEPTANCE CRITERIA; AND</w:t>
      </w:r>
    </w:p>
    <w:p w14:paraId="59D6D7B1" w14:textId="27C273C2" w:rsidR="00D671F9" w:rsidRPr="006E34F5" w:rsidRDefault="00A1162D" w:rsidP="009B2B82">
      <w:pPr>
        <w:pStyle w:val="BulletList1"/>
        <w:rPr>
          <w:highlight w:val="yellow"/>
        </w:rPr>
      </w:pPr>
      <w:r w:rsidRPr="006E34F5">
        <w:rPr>
          <w:highlight w:val="yellow"/>
        </w:rPr>
        <w:t>WHETHER THE SERVICES WILL NEED TO BE PROVIDED TO ANY OTHER GROUP COMPANIES.]</w:t>
      </w:r>
      <w:r w:rsidR="00B07AD6">
        <w:rPr>
          <w:highlight w:val="yellow"/>
        </w:rPr>
        <w:t>]</w:t>
      </w:r>
    </w:p>
    <w:p w14:paraId="221D8BDA" w14:textId="358535EA" w:rsidR="00D671F9" w:rsidRDefault="000D6F01" w:rsidP="00003128">
      <w:pPr>
        <w:pStyle w:val="Schedule"/>
        <w:pageBreakBefore/>
        <w:numPr>
          <w:ilvl w:val="0"/>
          <w:numId w:val="26"/>
        </w:numPr>
      </w:pPr>
      <w:r>
        <w:lastRenderedPageBreak/>
        <w:t xml:space="preserve">Consultant </w:t>
      </w:r>
      <w:r w:rsidR="007B5143">
        <w:t xml:space="preserve">Response </w:t>
      </w:r>
    </w:p>
    <w:p w14:paraId="3B57DFDB" w14:textId="549B5B03" w:rsidR="000D6F01" w:rsidRPr="0096509E" w:rsidRDefault="000D6F01" w:rsidP="0096509E">
      <w:pPr>
        <w:rPr>
          <w:rFonts w:ascii="Arial" w:hAnsi="Arial" w:cs="Arial"/>
        </w:rPr>
      </w:pPr>
      <w:r w:rsidRPr="0096509E">
        <w:rPr>
          <w:rFonts w:ascii="Arial" w:hAnsi="Arial" w:cs="Arial"/>
          <w:lang w:val="en-US"/>
        </w:rPr>
        <w:t>[</w:t>
      </w:r>
      <w:r w:rsidRPr="0096509E">
        <w:rPr>
          <w:rFonts w:ascii="Arial" w:hAnsi="Arial" w:cs="Arial"/>
          <w:highlight w:val="yellow"/>
          <w:lang w:val="en-US"/>
        </w:rPr>
        <w:t xml:space="preserve">INSERT CONSULTANT RESPONSE TO </w:t>
      </w:r>
      <w:r w:rsidR="0096509E" w:rsidRPr="0096509E">
        <w:rPr>
          <w:rFonts w:ascii="Arial" w:hAnsi="Arial" w:cs="Arial"/>
          <w:highlight w:val="yellow"/>
          <w:lang w:val="en-US"/>
        </w:rPr>
        <w:t>COUNCIL REQUIREMENT</w:t>
      </w:r>
      <w:r w:rsidR="0096509E" w:rsidRPr="0096509E">
        <w:rPr>
          <w:rFonts w:ascii="Arial" w:hAnsi="Arial" w:cs="Arial"/>
          <w:lang w:val="en-US"/>
        </w:rPr>
        <w:t>]</w:t>
      </w:r>
    </w:p>
    <w:p w14:paraId="6925363F" w14:textId="77777777" w:rsidR="00FC2DDE" w:rsidRPr="00FC2DDE" w:rsidRDefault="00FC2DDE" w:rsidP="00B07AD6"/>
    <w:p w14:paraId="13360F07" w14:textId="77777777" w:rsidR="00FC2DDE" w:rsidRPr="00FC2DDE" w:rsidRDefault="00FC2DDE" w:rsidP="00B07AD6"/>
    <w:p w14:paraId="2BF3D741" w14:textId="77777777" w:rsidR="00FC2DDE" w:rsidRPr="00FC2DDE" w:rsidRDefault="00FC2DDE" w:rsidP="00B07AD6"/>
    <w:p w14:paraId="3A5CA6CF" w14:textId="77777777" w:rsidR="00FC2DDE" w:rsidRDefault="00FC2DDE" w:rsidP="00FC2DDE">
      <w:pPr>
        <w:rPr>
          <w:rFonts w:ascii="Arial" w:eastAsia="Arial Unicode MS" w:hAnsi="Arial" w:cs="Arial"/>
          <w:b/>
          <w:color w:val="000000"/>
          <w:kern w:val="0"/>
          <w:lang w:val="en-US"/>
          <w14:ligatures w14:val="none"/>
        </w:rPr>
      </w:pPr>
    </w:p>
    <w:p w14:paraId="4E31B855" w14:textId="1DE18293" w:rsidR="007E66D4" w:rsidRPr="001F2956" w:rsidRDefault="00FC2DDE" w:rsidP="00FC2DDE">
      <w:pPr>
        <w:rPr>
          <w:rFonts w:ascii="Arial" w:hAnsi="Arial" w:cs="Arial"/>
        </w:rPr>
      </w:pPr>
      <w:r>
        <w:rPr>
          <w:lang w:val="en-US"/>
        </w:rPr>
        <w:tab/>
      </w:r>
    </w:p>
    <w:sectPr w:rsidR="007E66D4" w:rsidRPr="001F295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BF9BE" w14:textId="77777777" w:rsidR="00283E32" w:rsidRDefault="00283E32">
      <w:pPr>
        <w:spacing w:after="0" w:line="240" w:lineRule="auto"/>
      </w:pPr>
      <w:r>
        <w:separator/>
      </w:r>
    </w:p>
  </w:endnote>
  <w:endnote w:type="continuationSeparator" w:id="0">
    <w:p w14:paraId="79D602F9" w14:textId="77777777" w:rsidR="00283E32" w:rsidRDefault="00283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92D08" w14:textId="77777777" w:rsidR="001F2956" w:rsidRDefault="001F29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5F591" w14:textId="77777777" w:rsidR="001F2956" w:rsidRDefault="001F29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5CF0" w14:textId="77777777" w:rsidR="001F2956" w:rsidRDefault="001F29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20CD6" w14:textId="77777777" w:rsidR="007E66D4" w:rsidRDefault="00A1162D">
    <w:pPr>
      <w:jc w:val="center"/>
    </w:pPr>
    <w:r>
      <w:fldChar w:fldCharType="begin"/>
    </w:r>
    <w:r>
      <w:instrText>PAGE</w:instrText>
    </w:r>
    <w:r>
      <w:fldChar w:fldCharType="separate"/>
    </w:r>
    <w:r>
      <w:t>31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5841C" w14:textId="77777777" w:rsidR="00283E32" w:rsidRDefault="00283E32">
      <w:pPr>
        <w:spacing w:after="0" w:line="240" w:lineRule="auto"/>
      </w:pPr>
      <w:r>
        <w:separator/>
      </w:r>
    </w:p>
  </w:footnote>
  <w:footnote w:type="continuationSeparator" w:id="0">
    <w:p w14:paraId="2E3580E2" w14:textId="77777777" w:rsidR="00283E32" w:rsidRDefault="00283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15D57" w14:textId="77777777" w:rsidR="001F2956" w:rsidRDefault="001F29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9617894"/>
      <w:docPartObj>
        <w:docPartGallery w:val="Watermarks"/>
        <w:docPartUnique/>
      </w:docPartObj>
    </w:sdtPr>
    <w:sdtContent>
      <w:p w14:paraId="131A3574" w14:textId="234A487B" w:rsidR="001F2956" w:rsidRDefault="00000000">
        <w:pPr>
          <w:pStyle w:val="Header"/>
        </w:pPr>
        <w:r>
          <w:rPr>
            <w:noProof/>
          </w:rPr>
          <w:pict w14:anchorId="421C5B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FF5E6" w14:textId="77777777" w:rsidR="001F2956" w:rsidRDefault="001F2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72EA1F16"/>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21"/>
        </w:tabs>
        <w:ind w:left="2277"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253412"/>
    <w:multiLevelType w:val="hybridMultilevel"/>
    <w:tmpl w:val="960CC850"/>
    <w:lvl w:ilvl="0" w:tplc="BFE8CC98">
      <w:start w:val="1"/>
      <w:numFmt w:val="bullet"/>
      <w:pStyle w:val="DefinedTermBullet"/>
      <w:lvlText w:val=""/>
      <w:lvlJc w:val="left"/>
      <w:pPr>
        <w:ind w:left="1440" w:hanging="360"/>
      </w:pPr>
      <w:rPr>
        <w:rFonts w:ascii="Symbol" w:hAnsi="Symbol" w:hint="default"/>
        <w:color w:val="000000"/>
      </w:rPr>
    </w:lvl>
    <w:lvl w:ilvl="1" w:tplc="952E817C" w:tentative="1">
      <w:start w:val="1"/>
      <w:numFmt w:val="bullet"/>
      <w:lvlText w:val="o"/>
      <w:lvlJc w:val="left"/>
      <w:pPr>
        <w:ind w:left="2160" w:hanging="360"/>
      </w:pPr>
      <w:rPr>
        <w:rFonts w:ascii="Courier New" w:hAnsi="Courier New" w:cs="Courier New" w:hint="default"/>
      </w:rPr>
    </w:lvl>
    <w:lvl w:ilvl="2" w:tplc="EA901E50" w:tentative="1">
      <w:start w:val="1"/>
      <w:numFmt w:val="bullet"/>
      <w:lvlText w:val=""/>
      <w:lvlJc w:val="left"/>
      <w:pPr>
        <w:ind w:left="2880" w:hanging="360"/>
      </w:pPr>
      <w:rPr>
        <w:rFonts w:ascii="Wingdings" w:hAnsi="Wingdings" w:hint="default"/>
      </w:rPr>
    </w:lvl>
    <w:lvl w:ilvl="3" w:tplc="45FC60AA" w:tentative="1">
      <w:start w:val="1"/>
      <w:numFmt w:val="bullet"/>
      <w:lvlText w:val=""/>
      <w:lvlJc w:val="left"/>
      <w:pPr>
        <w:ind w:left="3600" w:hanging="360"/>
      </w:pPr>
      <w:rPr>
        <w:rFonts w:ascii="Symbol" w:hAnsi="Symbol" w:hint="default"/>
      </w:rPr>
    </w:lvl>
    <w:lvl w:ilvl="4" w:tplc="C12AE4F4" w:tentative="1">
      <w:start w:val="1"/>
      <w:numFmt w:val="bullet"/>
      <w:lvlText w:val="o"/>
      <w:lvlJc w:val="left"/>
      <w:pPr>
        <w:ind w:left="4320" w:hanging="360"/>
      </w:pPr>
      <w:rPr>
        <w:rFonts w:ascii="Courier New" w:hAnsi="Courier New" w:cs="Courier New" w:hint="default"/>
      </w:rPr>
    </w:lvl>
    <w:lvl w:ilvl="5" w:tplc="E8DCCD3C" w:tentative="1">
      <w:start w:val="1"/>
      <w:numFmt w:val="bullet"/>
      <w:lvlText w:val=""/>
      <w:lvlJc w:val="left"/>
      <w:pPr>
        <w:ind w:left="5040" w:hanging="360"/>
      </w:pPr>
      <w:rPr>
        <w:rFonts w:ascii="Wingdings" w:hAnsi="Wingdings" w:hint="default"/>
      </w:rPr>
    </w:lvl>
    <w:lvl w:ilvl="6" w:tplc="F3C8FAB0" w:tentative="1">
      <w:start w:val="1"/>
      <w:numFmt w:val="bullet"/>
      <w:lvlText w:val=""/>
      <w:lvlJc w:val="left"/>
      <w:pPr>
        <w:ind w:left="5760" w:hanging="360"/>
      </w:pPr>
      <w:rPr>
        <w:rFonts w:ascii="Symbol" w:hAnsi="Symbol" w:hint="default"/>
      </w:rPr>
    </w:lvl>
    <w:lvl w:ilvl="7" w:tplc="C1902D8C" w:tentative="1">
      <w:start w:val="1"/>
      <w:numFmt w:val="bullet"/>
      <w:lvlText w:val="o"/>
      <w:lvlJc w:val="left"/>
      <w:pPr>
        <w:ind w:left="6480" w:hanging="360"/>
      </w:pPr>
      <w:rPr>
        <w:rFonts w:ascii="Courier New" w:hAnsi="Courier New" w:cs="Courier New" w:hint="default"/>
      </w:rPr>
    </w:lvl>
    <w:lvl w:ilvl="8" w:tplc="CB8EA658" w:tentative="1">
      <w:start w:val="1"/>
      <w:numFmt w:val="bullet"/>
      <w:lvlText w:val=""/>
      <w:lvlJc w:val="left"/>
      <w:pPr>
        <w:ind w:left="7200" w:hanging="360"/>
      </w:pPr>
      <w:rPr>
        <w:rFonts w:ascii="Wingdings" w:hAnsi="Wingdings" w:hint="default"/>
      </w:rPr>
    </w:lvl>
  </w:abstractNum>
  <w:abstractNum w:abstractNumId="3" w15:restartNumberingAfterBreak="0">
    <w:nsid w:val="17B65872"/>
    <w:multiLevelType w:val="multilevel"/>
    <w:tmpl w:val="C34498C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20E82F3A"/>
    <w:multiLevelType w:val="hybridMultilevel"/>
    <w:tmpl w:val="1DF80854"/>
    <w:lvl w:ilvl="0" w:tplc="8392218A">
      <w:start w:val="1"/>
      <w:numFmt w:val="decimal"/>
      <w:pStyle w:val="ScheduleHeading-Single"/>
      <w:lvlText w:val="Schedule"/>
      <w:lvlJc w:val="left"/>
      <w:pPr>
        <w:tabs>
          <w:tab w:val="num" w:pos="720"/>
        </w:tabs>
        <w:ind w:left="720" w:hanging="720"/>
      </w:pPr>
      <w:rPr>
        <w:color w:val="000000"/>
      </w:rPr>
    </w:lvl>
    <w:lvl w:ilvl="1" w:tplc="10E209BA" w:tentative="1">
      <w:start w:val="1"/>
      <w:numFmt w:val="lowerLetter"/>
      <w:lvlText w:val="%2."/>
      <w:lvlJc w:val="left"/>
      <w:pPr>
        <w:tabs>
          <w:tab w:val="num" w:pos="1440"/>
        </w:tabs>
        <w:ind w:left="1440" w:hanging="360"/>
      </w:pPr>
    </w:lvl>
    <w:lvl w:ilvl="2" w:tplc="8E5258AA" w:tentative="1">
      <w:start w:val="1"/>
      <w:numFmt w:val="lowerRoman"/>
      <w:lvlText w:val="%3."/>
      <w:lvlJc w:val="right"/>
      <w:pPr>
        <w:tabs>
          <w:tab w:val="num" w:pos="2160"/>
        </w:tabs>
        <w:ind w:left="2160" w:hanging="180"/>
      </w:pPr>
    </w:lvl>
    <w:lvl w:ilvl="3" w:tplc="F8D6EC8C" w:tentative="1">
      <w:start w:val="1"/>
      <w:numFmt w:val="decimal"/>
      <w:lvlText w:val="%4."/>
      <w:lvlJc w:val="left"/>
      <w:pPr>
        <w:tabs>
          <w:tab w:val="num" w:pos="2880"/>
        </w:tabs>
        <w:ind w:left="2880" w:hanging="360"/>
      </w:pPr>
    </w:lvl>
    <w:lvl w:ilvl="4" w:tplc="73AE72A0" w:tentative="1">
      <w:start w:val="1"/>
      <w:numFmt w:val="lowerLetter"/>
      <w:lvlText w:val="%5."/>
      <w:lvlJc w:val="left"/>
      <w:pPr>
        <w:tabs>
          <w:tab w:val="num" w:pos="3600"/>
        </w:tabs>
        <w:ind w:left="3600" w:hanging="360"/>
      </w:pPr>
    </w:lvl>
    <w:lvl w:ilvl="5" w:tplc="00E4A44E" w:tentative="1">
      <w:start w:val="1"/>
      <w:numFmt w:val="lowerRoman"/>
      <w:lvlText w:val="%6."/>
      <w:lvlJc w:val="right"/>
      <w:pPr>
        <w:tabs>
          <w:tab w:val="num" w:pos="4320"/>
        </w:tabs>
        <w:ind w:left="4320" w:hanging="180"/>
      </w:pPr>
    </w:lvl>
    <w:lvl w:ilvl="6" w:tplc="C0D66B3A" w:tentative="1">
      <w:start w:val="1"/>
      <w:numFmt w:val="decimal"/>
      <w:lvlText w:val="%7."/>
      <w:lvlJc w:val="left"/>
      <w:pPr>
        <w:tabs>
          <w:tab w:val="num" w:pos="5040"/>
        </w:tabs>
        <w:ind w:left="5040" w:hanging="360"/>
      </w:pPr>
    </w:lvl>
    <w:lvl w:ilvl="7" w:tplc="2DFA40B4" w:tentative="1">
      <w:start w:val="1"/>
      <w:numFmt w:val="lowerLetter"/>
      <w:lvlText w:val="%8."/>
      <w:lvlJc w:val="left"/>
      <w:pPr>
        <w:tabs>
          <w:tab w:val="num" w:pos="5760"/>
        </w:tabs>
        <w:ind w:left="5760" w:hanging="360"/>
      </w:pPr>
    </w:lvl>
    <w:lvl w:ilvl="8" w:tplc="BB7E5E48" w:tentative="1">
      <w:start w:val="1"/>
      <w:numFmt w:val="lowerRoman"/>
      <w:lvlText w:val="%9."/>
      <w:lvlJc w:val="right"/>
      <w:pPr>
        <w:tabs>
          <w:tab w:val="num" w:pos="6480"/>
        </w:tabs>
        <w:ind w:left="6480" w:hanging="180"/>
      </w:pPr>
    </w:lvl>
  </w:abstractNum>
  <w:abstractNum w:abstractNumId="5" w15:restartNumberingAfterBreak="0">
    <w:nsid w:val="23EB20EC"/>
    <w:multiLevelType w:val="multilevel"/>
    <w:tmpl w:val="4AA0526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250140D8"/>
    <w:multiLevelType w:val="multilevel"/>
    <w:tmpl w:val="9B5CC1E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25B00E4C"/>
    <w:multiLevelType w:val="hybridMultilevel"/>
    <w:tmpl w:val="97C4AA26"/>
    <w:lvl w:ilvl="0" w:tplc="3C807698">
      <w:start w:val="1"/>
      <w:numFmt w:val="upperLetter"/>
      <w:pStyle w:val="Annex"/>
      <w:lvlText w:val="ANNEX %1"/>
      <w:lvlJc w:val="left"/>
      <w:pPr>
        <w:ind w:left="720" w:hanging="360"/>
      </w:pPr>
      <w:rPr>
        <w:rFonts w:cs="Times New Roman" w:hint="default"/>
        <w:b/>
        <w:bCs w:val="0"/>
        <w:i w:val="0"/>
        <w:iCs w:val="0"/>
        <w:caps w:val="0"/>
        <w:strike w:val="0"/>
        <w:dstrike w:val="0"/>
        <w:outline w:val="0"/>
        <w:shadow w:val="0"/>
        <w:emboss w:val="0"/>
        <w:imprint w:val="0"/>
        <w:vanish w:val="0"/>
        <w:color w:val="000000"/>
        <w:spacing w:val="0"/>
        <w:kern w:val="0"/>
        <w:position w:val="0"/>
        <w:u w:val="none"/>
        <w:effect w:val="none"/>
        <w:vertAlign w:val="baseline"/>
        <w14:ligatures w14:val="none"/>
        <w14:numForm w14:val="default"/>
        <w14:numSpacing w14:val="default"/>
        <w14:stylisticSets/>
        <w14:cntxtAlts w14:val="0"/>
      </w:rPr>
    </w:lvl>
    <w:lvl w:ilvl="1" w:tplc="008E973E" w:tentative="1">
      <w:start w:val="1"/>
      <w:numFmt w:val="lowerLetter"/>
      <w:lvlText w:val="%2."/>
      <w:lvlJc w:val="left"/>
      <w:pPr>
        <w:ind w:left="1440" w:hanging="360"/>
      </w:pPr>
    </w:lvl>
    <w:lvl w:ilvl="2" w:tplc="C0D40FEE" w:tentative="1">
      <w:start w:val="1"/>
      <w:numFmt w:val="lowerRoman"/>
      <w:lvlText w:val="%3."/>
      <w:lvlJc w:val="right"/>
      <w:pPr>
        <w:ind w:left="2160" w:hanging="180"/>
      </w:pPr>
    </w:lvl>
    <w:lvl w:ilvl="3" w:tplc="6DDC0978" w:tentative="1">
      <w:start w:val="1"/>
      <w:numFmt w:val="decimal"/>
      <w:lvlText w:val="%4."/>
      <w:lvlJc w:val="left"/>
      <w:pPr>
        <w:ind w:left="2880" w:hanging="360"/>
      </w:pPr>
    </w:lvl>
    <w:lvl w:ilvl="4" w:tplc="8D28E208" w:tentative="1">
      <w:start w:val="1"/>
      <w:numFmt w:val="lowerLetter"/>
      <w:lvlText w:val="%5."/>
      <w:lvlJc w:val="left"/>
      <w:pPr>
        <w:ind w:left="3600" w:hanging="360"/>
      </w:pPr>
    </w:lvl>
    <w:lvl w:ilvl="5" w:tplc="ED160460" w:tentative="1">
      <w:start w:val="1"/>
      <w:numFmt w:val="lowerRoman"/>
      <w:lvlText w:val="%6."/>
      <w:lvlJc w:val="right"/>
      <w:pPr>
        <w:ind w:left="4320" w:hanging="180"/>
      </w:pPr>
    </w:lvl>
    <w:lvl w:ilvl="6" w:tplc="113454BE" w:tentative="1">
      <w:start w:val="1"/>
      <w:numFmt w:val="decimal"/>
      <w:lvlText w:val="%7."/>
      <w:lvlJc w:val="left"/>
      <w:pPr>
        <w:ind w:left="5040" w:hanging="360"/>
      </w:pPr>
    </w:lvl>
    <w:lvl w:ilvl="7" w:tplc="7E20FDB4" w:tentative="1">
      <w:start w:val="1"/>
      <w:numFmt w:val="lowerLetter"/>
      <w:lvlText w:val="%8."/>
      <w:lvlJc w:val="left"/>
      <w:pPr>
        <w:ind w:left="5760" w:hanging="360"/>
      </w:pPr>
    </w:lvl>
    <w:lvl w:ilvl="8" w:tplc="A71EA81E" w:tentative="1">
      <w:start w:val="1"/>
      <w:numFmt w:val="lowerRoman"/>
      <w:lvlText w:val="%9."/>
      <w:lvlJc w:val="right"/>
      <w:pPr>
        <w:ind w:left="6480" w:hanging="180"/>
      </w:pPr>
    </w:lvl>
  </w:abstractNum>
  <w:abstractNum w:abstractNumId="8" w15:restartNumberingAfterBreak="0">
    <w:nsid w:val="29C94F29"/>
    <w:multiLevelType w:val="hybridMultilevel"/>
    <w:tmpl w:val="4CBC2A34"/>
    <w:lvl w:ilvl="0" w:tplc="4082358C">
      <w:start w:val="1"/>
      <w:numFmt w:val="decimal"/>
      <w:pStyle w:val="QuestionParagraph"/>
      <w:lvlText w:val="%1."/>
      <w:lvlJc w:val="left"/>
      <w:pPr>
        <w:ind w:left="720" w:hanging="360"/>
      </w:pPr>
      <w:rPr>
        <w:color w:val="000000"/>
      </w:rPr>
    </w:lvl>
    <w:lvl w:ilvl="1" w:tplc="8B6E7602" w:tentative="1">
      <w:start w:val="1"/>
      <w:numFmt w:val="lowerLetter"/>
      <w:lvlText w:val="%2."/>
      <w:lvlJc w:val="left"/>
      <w:pPr>
        <w:ind w:left="1440" w:hanging="360"/>
      </w:pPr>
    </w:lvl>
    <w:lvl w:ilvl="2" w:tplc="BC467DE2" w:tentative="1">
      <w:start w:val="1"/>
      <w:numFmt w:val="lowerRoman"/>
      <w:lvlText w:val="%3."/>
      <w:lvlJc w:val="right"/>
      <w:pPr>
        <w:ind w:left="2160" w:hanging="180"/>
      </w:pPr>
    </w:lvl>
    <w:lvl w:ilvl="3" w:tplc="ACCA3290" w:tentative="1">
      <w:start w:val="1"/>
      <w:numFmt w:val="decimal"/>
      <w:lvlText w:val="%4."/>
      <w:lvlJc w:val="left"/>
      <w:pPr>
        <w:ind w:left="2880" w:hanging="360"/>
      </w:pPr>
    </w:lvl>
    <w:lvl w:ilvl="4" w:tplc="24149AFC" w:tentative="1">
      <w:start w:val="1"/>
      <w:numFmt w:val="lowerLetter"/>
      <w:lvlText w:val="%5."/>
      <w:lvlJc w:val="left"/>
      <w:pPr>
        <w:ind w:left="3600" w:hanging="360"/>
      </w:pPr>
    </w:lvl>
    <w:lvl w:ilvl="5" w:tplc="66BA5350" w:tentative="1">
      <w:start w:val="1"/>
      <w:numFmt w:val="lowerRoman"/>
      <w:lvlText w:val="%6."/>
      <w:lvlJc w:val="right"/>
      <w:pPr>
        <w:ind w:left="4320" w:hanging="180"/>
      </w:pPr>
    </w:lvl>
    <w:lvl w:ilvl="6" w:tplc="AD763A36" w:tentative="1">
      <w:start w:val="1"/>
      <w:numFmt w:val="decimal"/>
      <w:lvlText w:val="%7."/>
      <w:lvlJc w:val="left"/>
      <w:pPr>
        <w:ind w:left="5040" w:hanging="360"/>
      </w:pPr>
    </w:lvl>
    <w:lvl w:ilvl="7" w:tplc="A34AEAB8" w:tentative="1">
      <w:start w:val="1"/>
      <w:numFmt w:val="lowerLetter"/>
      <w:lvlText w:val="%8."/>
      <w:lvlJc w:val="left"/>
      <w:pPr>
        <w:ind w:left="5760" w:hanging="360"/>
      </w:pPr>
    </w:lvl>
    <w:lvl w:ilvl="8" w:tplc="4156E53A" w:tentative="1">
      <w:start w:val="1"/>
      <w:numFmt w:val="lowerRoman"/>
      <w:lvlText w:val="%9."/>
      <w:lvlJc w:val="right"/>
      <w:pPr>
        <w:ind w:left="6480" w:hanging="180"/>
      </w:pPr>
    </w:lvl>
  </w:abstractNum>
  <w:abstractNum w:abstractNumId="9" w15:restartNumberingAfterBreak="0">
    <w:nsid w:val="310416CA"/>
    <w:multiLevelType w:val="hybridMultilevel"/>
    <w:tmpl w:val="072EDEC8"/>
    <w:lvl w:ilvl="0" w:tplc="B5A2A968">
      <w:start w:val="1"/>
      <w:numFmt w:val="bullet"/>
      <w:pStyle w:val="subclause2Bullet2"/>
      <w:lvlText w:val=""/>
      <w:lvlJc w:val="left"/>
      <w:pPr>
        <w:ind w:left="2279" w:hanging="360"/>
      </w:pPr>
      <w:rPr>
        <w:rFonts w:ascii="Symbol" w:hAnsi="Symbol" w:hint="default"/>
        <w:color w:val="000000"/>
      </w:rPr>
    </w:lvl>
    <w:lvl w:ilvl="1" w:tplc="9C2A6F52" w:tentative="1">
      <w:start w:val="1"/>
      <w:numFmt w:val="bullet"/>
      <w:lvlText w:val="o"/>
      <w:lvlJc w:val="left"/>
      <w:pPr>
        <w:ind w:left="2999" w:hanging="360"/>
      </w:pPr>
      <w:rPr>
        <w:rFonts w:ascii="Courier New" w:hAnsi="Courier New" w:cs="Courier New" w:hint="default"/>
      </w:rPr>
    </w:lvl>
    <w:lvl w:ilvl="2" w:tplc="3D3EC7B0" w:tentative="1">
      <w:start w:val="1"/>
      <w:numFmt w:val="bullet"/>
      <w:lvlText w:val=""/>
      <w:lvlJc w:val="left"/>
      <w:pPr>
        <w:ind w:left="3719" w:hanging="360"/>
      </w:pPr>
      <w:rPr>
        <w:rFonts w:ascii="Wingdings" w:hAnsi="Wingdings" w:hint="default"/>
      </w:rPr>
    </w:lvl>
    <w:lvl w:ilvl="3" w:tplc="47A05560" w:tentative="1">
      <w:start w:val="1"/>
      <w:numFmt w:val="bullet"/>
      <w:lvlText w:val=""/>
      <w:lvlJc w:val="left"/>
      <w:pPr>
        <w:ind w:left="4439" w:hanging="360"/>
      </w:pPr>
      <w:rPr>
        <w:rFonts w:ascii="Symbol" w:hAnsi="Symbol" w:hint="default"/>
      </w:rPr>
    </w:lvl>
    <w:lvl w:ilvl="4" w:tplc="AD041826" w:tentative="1">
      <w:start w:val="1"/>
      <w:numFmt w:val="bullet"/>
      <w:lvlText w:val="o"/>
      <w:lvlJc w:val="left"/>
      <w:pPr>
        <w:ind w:left="5159" w:hanging="360"/>
      </w:pPr>
      <w:rPr>
        <w:rFonts w:ascii="Courier New" w:hAnsi="Courier New" w:cs="Courier New" w:hint="default"/>
      </w:rPr>
    </w:lvl>
    <w:lvl w:ilvl="5" w:tplc="F074496A" w:tentative="1">
      <w:start w:val="1"/>
      <w:numFmt w:val="bullet"/>
      <w:lvlText w:val=""/>
      <w:lvlJc w:val="left"/>
      <w:pPr>
        <w:ind w:left="5879" w:hanging="360"/>
      </w:pPr>
      <w:rPr>
        <w:rFonts w:ascii="Wingdings" w:hAnsi="Wingdings" w:hint="default"/>
      </w:rPr>
    </w:lvl>
    <w:lvl w:ilvl="6" w:tplc="B62E9528" w:tentative="1">
      <w:start w:val="1"/>
      <w:numFmt w:val="bullet"/>
      <w:lvlText w:val=""/>
      <w:lvlJc w:val="left"/>
      <w:pPr>
        <w:ind w:left="6599" w:hanging="360"/>
      </w:pPr>
      <w:rPr>
        <w:rFonts w:ascii="Symbol" w:hAnsi="Symbol" w:hint="default"/>
      </w:rPr>
    </w:lvl>
    <w:lvl w:ilvl="7" w:tplc="CB0407F6" w:tentative="1">
      <w:start w:val="1"/>
      <w:numFmt w:val="bullet"/>
      <w:lvlText w:val="o"/>
      <w:lvlJc w:val="left"/>
      <w:pPr>
        <w:ind w:left="7319" w:hanging="360"/>
      </w:pPr>
      <w:rPr>
        <w:rFonts w:ascii="Courier New" w:hAnsi="Courier New" w:cs="Courier New" w:hint="default"/>
      </w:rPr>
    </w:lvl>
    <w:lvl w:ilvl="8" w:tplc="DC00661A" w:tentative="1">
      <w:start w:val="1"/>
      <w:numFmt w:val="bullet"/>
      <w:lvlText w:val=""/>
      <w:lvlJc w:val="left"/>
      <w:pPr>
        <w:ind w:left="8039" w:hanging="360"/>
      </w:pPr>
      <w:rPr>
        <w:rFonts w:ascii="Wingdings" w:hAnsi="Wingdings" w:hint="default"/>
      </w:rPr>
    </w:lvl>
  </w:abstractNum>
  <w:abstractNum w:abstractNumId="10" w15:restartNumberingAfterBreak="0">
    <w:nsid w:val="31E9741F"/>
    <w:multiLevelType w:val="hybridMultilevel"/>
    <w:tmpl w:val="0CAC7D4E"/>
    <w:lvl w:ilvl="0" w:tplc="1DA46282">
      <w:start w:val="1"/>
      <w:numFmt w:val="bullet"/>
      <w:pStyle w:val="BulletList2"/>
      <w:lvlText w:val=""/>
      <w:lvlJc w:val="left"/>
      <w:pPr>
        <w:tabs>
          <w:tab w:val="num" w:pos="1077"/>
        </w:tabs>
        <w:ind w:left="1077" w:hanging="357"/>
      </w:pPr>
      <w:rPr>
        <w:rFonts w:ascii="Symbol" w:hAnsi="Symbol" w:hint="default"/>
        <w:color w:val="000000"/>
      </w:rPr>
    </w:lvl>
    <w:lvl w:ilvl="1" w:tplc="AFDE62E0" w:tentative="1">
      <w:start w:val="1"/>
      <w:numFmt w:val="bullet"/>
      <w:lvlText w:val="o"/>
      <w:lvlJc w:val="left"/>
      <w:pPr>
        <w:tabs>
          <w:tab w:val="num" w:pos="1440"/>
        </w:tabs>
        <w:ind w:left="1440" w:hanging="360"/>
      </w:pPr>
      <w:rPr>
        <w:rFonts w:ascii="Courier New" w:hAnsi="Courier New" w:cs="Courier New" w:hint="default"/>
      </w:rPr>
    </w:lvl>
    <w:lvl w:ilvl="2" w:tplc="9096725E" w:tentative="1">
      <w:start w:val="1"/>
      <w:numFmt w:val="bullet"/>
      <w:lvlText w:val=""/>
      <w:lvlJc w:val="left"/>
      <w:pPr>
        <w:tabs>
          <w:tab w:val="num" w:pos="2160"/>
        </w:tabs>
        <w:ind w:left="2160" w:hanging="360"/>
      </w:pPr>
      <w:rPr>
        <w:rFonts w:ascii="Wingdings" w:hAnsi="Wingdings" w:hint="default"/>
      </w:rPr>
    </w:lvl>
    <w:lvl w:ilvl="3" w:tplc="F3BE775E" w:tentative="1">
      <w:start w:val="1"/>
      <w:numFmt w:val="bullet"/>
      <w:lvlText w:val=""/>
      <w:lvlJc w:val="left"/>
      <w:pPr>
        <w:tabs>
          <w:tab w:val="num" w:pos="2880"/>
        </w:tabs>
        <w:ind w:left="2880" w:hanging="360"/>
      </w:pPr>
      <w:rPr>
        <w:rFonts w:ascii="Symbol" w:hAnsi="Symbol" w:hint="default"/>
      </w:rPr>
    </w:lvl>
    <w:lvl w:ilvl="4" w:tplc="B8D431A2" w:tentative="1">
      <w:start w:val="1"/>
      <w:numFmt w:val="bullet"/>
      <w:lvlText w:val="o"/>
      <w:lvlJc w:val="left"/>
      <w:pPr>
        <w:tabs>
          <w:tab w:val="num" w:pos="3600"/>
        </w:tabs>
        <w:ind w:left="3600" w:hanging="360"/>
      </w:pPr>
      <w:rPr>
        <w:rFonts w:ascii="Courier New" w:hAnsi="Courier New" w:cs="Courier New" w:hint="default"/>
      </w:rPr>
    </w:lvl>
    <w:lvl w:ilvl="5" w:tplc="62885F0A" w:tentative="1">
      <w:start w:val="1"/>
      <w:numFmt w:val="bullet"/>
      <w:lvlText w:val=""/>
      <w:lvlJc w:val="left"/>
      <w:pPr>
        <w:tabs>
          <w:tab w:val="num" w:pos="4320"/>
        </w:tabs>
        <w:ind w:left="4320" w:hanging="360"/>
      </w:pPr>
      <w:rPr>
        <w:rFonts w:ascii="Wingdings" w:hAnsi="Wingdings" w:hint="default"/>
      </w:rPr>
    </w:lvl>
    <w:lvl w:ilvl="6" w:tplc="A0DA77D0" w:tentative="1">
      <w:start w:val="1"/>
      <w:numFmt w:val="bullet"/>
      <w:lvlText w:val=""/>
      <w:lvlJc w:val="left"/>
      <w:pPr>
        <w:tabs>
          <w:tab w:val="num" w:pos="5040"/>
        </w:tabs>
        <w:ind w:left="5040" w:hanging="360"/>
      </w:pPr>
      <w:rPr>
        <w:rFonts w:ascii="Symbol" w:hAnsi="Symbol" w:hint="default"/>
      </w:rPr>
    </w:lvl>
    <w:lvl w:ilvl="7" w:tplc="F198FBBA" w:tentative="1">
      <w:start w:val="1"/>
      <w:numFmt w:val="bullet"/>
      <w:lvlText w:val="o"/>
      <w:lvlJc w:val="left"/>
      <w:pPr>
        <w:tabs>
          <w:tab w:val="num" w:pos="5760"/>
        </w:tabs>
        <w:ind w:left="5760" w:hanging="360"/>
      </w:pPr>
      <w:rPr>
        <w:rFonts w:ascii="Courier New" w:hAnsi="Courier New" w:cs="Courier New" w:hint="default"/>
      </w:rPr>
    </w:lvl>
    <w:lvl w:ilvl="8" w:tplc="92A8C81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CC668D"/>
    <w:multiLevelType w:val="hybridMultilevel"/>
    <w:tmpl w:val="594C4DAE"/>
    <w:lvl w:ilvl="0" w:tplc="A86CB1A8">
      <w:start w:val="1"/>
      <w:numFmt w:val="bullet"/>
      <w:pStyle w:val="Bullet4"/>
      <w:lvlText w:val=""/>
      <w:lvlJc w:val="left"/>
      <w:pPr>
        <w:tabs>
          <w:tab w:val="num" w:pos="2676"/>
        </w:tabs>
        <w:ind w:left="2676" w:hanging="357"/>
      </w:pPr>
      <w:rPr>
        <w:rFonts w:ascii="Symbol" w:hAnsi="Symbol" w:hint="default"/>
        <w:color w:val="000000"/>
      </w:rPr>
    </w:lvl>
    <w:lvl w:ilvl="1" w:tplc="1F92A8EA" w:tentative="1">
      <w:start w:val="1"/>
      <w:numFmt w:val="bullet"/>
      <w:lvlText w:val="o"/>
      <w:lvlJc w:val="left"/>
      <w:pPr>
        <w:tabs>
          <w:tab w:val="num" w:pos="1440"/>
        </w:tabs>
        <w:ind w:left="1440" w:hanging="360"/>
      </w:pPr>
      <w:rPr>
        <w:rFonts w:ascii="Courier New" w:hAnsi="Courier New" w:cs="Courier New" w:hint="default"/>
      </w:rPr>
    </w:lvl>
    <w:lvl w:ilvl="2" w:tplc="CB46C798" w:tentative="1">
      <w:start w:val="1"/>
      <w:numFmt w:val="bullet"/>
      <w:lvlText w:val=""/>
      <w:lvlJc w:val="left"/>
      <w:pPr>
        <w:tabs>
          <w:tab w:val="num" w:pos="2160"/>
        </w:tabs>
        <w:ind w:left="2160" w:hanging="360"/>
      </w:pPr>
      <w:rPr>
        <w:rFonts w:ascii="Wingdings" w:hAnsi="Wingdings" w:hint="default"/>
      </w:rPr>
    </w:lvl>
    <w:lvl w:ilvl="3" w:tplc="C194F3C8" w:tentative="1">
      <w:start w:val="1"/>
      <w:numFmt w:val="bullet"/>
      <w:lvlText w:val=""/>
      <w:lvlJc w:val="left"/>
      <w:pPr>
        <w:tabs>
          <w:tab w:val="num" w:pos="2880"/>
        </w:tabs>
        <w:ind w:left="2880" w:hanging="360"/>
      </w:pPr>
      <w:rPr>
        <w:rFonts w:ascii="Symbol" w:hAnsi="Symbol" w:hint="default"/>
      </w:rPr>
    </w:lvl>
    <w:lvl w:ilvl="4" w:tplc="FA6CCDF2" w:tentative="1">
      <w:start w:val="1"/>
      <w:numFmt w:val="bullet"/>
      <w:lvlText w:val="o"/>
      <w:lvlJc w:val="left"/>
      <w:pPr>
        <w:tabs>
          <w:tab w:val="num" w:pos="3600"/>
        </w:tabs>
        <w:ind w:left="3600" w:hanging="360"/>
      </w:pPr>
      <w:rPr>
        <w:rFonts w:ascii="Courier New" w:hAnsi="Courier New" w:cs="Courier New" w:hint="default"/>
      </w:rPr>
    </w:lvl>
    <w:lvl w:ilvl="5" w:tplc="7742C084" w:tentative="1">
      <w:start w:val="1"/>
      <w:numFmt w:val="bullet"/>
      <w:lvlText w:val=""/>
      <w:lvlJc w:val="left"/>
      <w:pPr>
        <w:tabs>
          <w:tab w:val="num" w:pos="4320"/>
        </w:tabs>
        <w:ind w:left="4320" w:hanging="360"/>
      </w:pPr>
      <w:rPr>
        <w:rFonts w:ascii="Wingdings" w:hAnsi="Wingdings" w:hint="default"/>
      </w:rPr>
    </w:lvl>
    <w:lvl w:ilvl="6" w:tplc="1FBCB120" w:tentative="1">
      <w:start w:val="1"/>
      <w:numFmt w:val="bullet"/>
      <w:lvlText w:val=""/>
      <w:lvlJc w:val="left"/>
      <w:pPr>
        <w:tabs>
          <w:tab w:val="num" w:pos="5040"/>
        </w:tabs>
        <w:ind w:left="5040" w:hanging="360"/>
      </w:pPr>
      <w:rPr>
        <w:rFonts w:ascii="Symbol" w:hAnsi="Symbol" w:hint="default"/>
      </w:rPr>
    </w:lvl>
    <w:lvl w:ilvl="7" w:tplc="99DE88D8" w:tentative="1">
      <w:start w:val="1"/>
      <w:numFmt w:val="bullet"/>
      <w:lvlText w:val="o"/>
      <w:lvlJc w:val="left"/>
      <w:pPr>
        <w:tabs>
          <w:tab w:val="num" w:pos="5760"/>
        </w:tabs>
        <w:ind w:left="5760" w:hanging="360"/>
      </w:pPr>
      <w:rPr>
        <w:rFonts w:ascii="Courier New" w:hAnsi="Courier New" w:cs="Courier New" w:hint="default"/>
      </w:rPr>
    </w:lvl>
    <w:lvl w:ilvl="8" w:tplc="3752A06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13" w15:restartNumberingAfterBreak="0">
    <w:nsid w:val="38130038"/>
    <w:multiLevelType w:val="hybridMultilevel"/>
    <w:tmpl w:val="FF8A0FAE"/>
    <w:lvl w:ilvl="0" w:tplc="872AF62E">
      <w:start w:val="1"/>
      <w:numFmt w:val="bullet"/>
      <w:pStyle w:val="ClauseBullet2"/>
      <w:lvlText w:val=""/>
      <w:lvlJc w:val="left"/>
      <w:pPr>
        <w:ind w:left="1440" w:hanging="360"/>
      </w:pPr>
      <w:rPr>
        <w:rFonts w:ascii="Symbol" w:hAnsi="Symbol" w:hint="default"/>
        <w:color w:val="000000"/>
      </w:rPr>
    </w:lvl>
    <w:lvl w:ilvl="1" w:tplc="0DFE0AEA" w:tentative="1">
      <w:start w:val="1"/>
      <w:numFmt w:val="bullet"/>
      <w:lvlText w:val="o"/>
      <w:lvlJc w:val="left"/>
      <w:pPr>
        <w:ind w:left="2160" w:hanging="360"/>
      </w:pPr>
      <w:rPr>
        <w:rFonts w:ascii="Courier New" w:hAnsi="Courier New" w:cs="Courier New" w:hint="default"/>
      </w:rPr>
    </w:lvl>
    <w:lvl w:ilvl="2" w:tplc="1702F3B4" w:tentative="1">
      <w:start w:val="1"/>
      <w:numFmt w:val="bullet"/>
      <w:lvlText w:val=""/>
      <w:lvlJc w:val="left"/>
      <w:pPr>
        <w:ind w:left="2880" w:hanging="360"/>
      </w:pPr>
      <w:rPr>
        <w:rFonts w:ascii="Wingdings" w:hAnsi="Wingdings" w:hint="default"/>
      </w:rPr>
    </w:lvl>
    <w:lvl w:ilvl="3" w:tplc="EB580DBE" w:tentative="1">
      <w:start w:val="1"/>
      <w:numFmt w:val="bullet"/>
      <w:lvlText w:val=""/>
      <w:lvlJc w:val="left"/>
      <w:pPr>
        <w:ind w:left="3600" w:hanging="360"/>
      </w:pPr>
      <w:rPr>
        <w:rFonts w:ascii="Symbol" w:hAnsi="Symbol" w:hint="default"/>
      </w:rPr>
    </w:lvl>
    <w:lvl w:ilvl="4" w:tplc="994EB8AE" w:tentative="1">
      <w:start w:val="1"/>
      <w:numFmt w:val="bullet"/>
      <w:lvlText w:val="o"/>
      <w:lvlJc w:val="left"/>
      <w:pPr>
        <w:ind w:left="4320" w:hanging="360"/>
      </w:pPr>
      <w:rPr>
        <w:rFonts w:ascii="Courier New" w:hAnsi="Courier New" w:cs="Courier New" w:hint="default"/>
      </w:rPr>
    </w:lvl>
    <w:lvl w:ilvl="5" w:tplc="7548E2CE" w:tentative="1">
      <w:start w:val="1"/>
      <w:numFmt w:val="bullet"/>
      <w:lvlText w:val=""/>
      <w:lvlJc w:val="left"/>
      <w:pPr>
        <w:ind w:left="5040" w:hanging="360"/>
      </w:pPr>
      <w:rPr>
        <w:rFonts w:ascii="Wingdings" w:hAnsi="Wingdings" w:hint="default"/>
      </w:rPr>
    </w:lvl>
    <w:lvl w:ilvl="6" w:tplc="88C0BF22" w:tentative="1">
      <w:start w:val="1"/>
      <w:numFmt w:val="bullet"/>
      <w:lvlText w:val=""/>
      <w:lvlJc w:val="left"/>
      <w:pPr>
        <w:ind w:left="5760" w:hanging="360"/>
      </w:pPr>
      <w:rPr>
        <w:rFonts w:ascii="Symbol" w:hAnsi="Symbol" w:hint="default"/>
      </w:rPr>
    </w:lvl>
    <w:lvl w:ilvl="7" w:tplc="FF82BA2C" w:tentative="1">
      <w:start w:val="1"/>
      <w:numFmt w:val="bullet"/>
      <w:lvlText w:val="o"/>
      <w:lvlJc w:val="left"/>
      <w:pPr>
        <w:ind w:left="6480" w:hanging="360"/>
      </w:pPr>
      <w:rPr>
        <w:rFonts w:ascii="Courier New" w:hAnsi="Courier New" w:cs="Courier New" w:hint="default"/>
      </w:rPr>
    </w:lvl>
    <w:lvl w:ilvl="8" w:tplc="D544468C" w:tentative="1">
      <w:start w:val="1"/>
      <w:numFmt w:val="bullet"/>
      <w:lvlText w:val=""/>
      <w:lvlJc w:val="left"/>
      <w:pPr>
        <w:ind w:left="7200" w:hanging="360"/>
      </w:pPr>
      <w:rPr>
        <w:rFonts w:ascii="Wingdings" w:hAnsi="Wingdings" w:hint="default"/>
      </w:rPr>
    </w:lvl>
  </w:abstractNum>
  <w:abstractNum w:abstractNumId="14" w15:restartNumberingAfterBreak="0">
    <w:nsid w:val="44D67987"/>
    <w:multiLevelType w:val="hybridMultilevel"/>
    <w:tmpl w:val="EBD6FB80"/>
    <w:lvl w:ilvl="0" w:tplc="93A6D448">
      <w:start w:val="1"/>
      <w:numFmt w:val="bullet"/>
      <w:pStyle w:val="subclause1Bullet2"/>
      <w:lvlText w:val=""/>
      <w:lvlJc w:val="left"/>
      <w:pPr>
        <w:ind w:left="1440" w:hanging="360"/>
      </w:pPr>
      <w:rPr>
        <w:rFonts w:ascii="Symbol" w:hAnsi="Symbol" w:hint="default"/>
        <w:color w:val="000000"/>
      </w:rPr>
    </w:lvl>
    <w:lvl w:ilvl="1" w:tplc="50821DBE" w:tentative="1">
      <w:start w:val="1"/>
      <w:numFmt w:val="bullet"/>
      <w:lvlText w:val="o"/>
      <w:lvlJc w:val="left"/>
      <w:pPr>
        <w:ind w:left="2160" w:hanging="360"/>
      </w:pPr>
      <w:rPr>
        <w:rFonts w:ascii="Courier New" w:hAnsi="Courier New" w:cs="Courier New" w:hint="default"/>
      </w:rPr>
    </w:lvl>
    <w:lvl w:ilvl="2" w:tplc="50A64424" w:tentative="1">
      <w:start w:val="1"/>
      <w:numFmt w:val="bullet"/>
      <w:lvlText w:val=""/>
      <w:lvlJc w:val="left"/>
      <w:pPr>
        <w:ind w:left="2880" w:hanging="360"/>
      </w:pPr>
      <w:rPr>
        <w:rFonts w:ascii="Wingdings" w:hAnsi="Wingdings" w:hint="default"/>
      </w:rPr>
    </w:lvl>
    <w:lvl w:ilvl="3" w:tplc="65C8204A" w:tentative="1">
      <w:start w:val="1"/>
      <w:numFmt w:val="bullet"/>
      <w:lvlText w:val=""/>
      <w:lvlJc w:val="left"/>
      <w:pPr>
        <w:ind w:left="3600" w:hanging="360"/>
      </w:pPr>
      <w:rPr>
        <w:rFonts w:ascii="Symbol" w:hAnsi="Symbol" w:hint="default"/>
      </w:rPr>
    </w:lvl>
    <w:lvl w:ilvl="4" w:tplc="2EB43522" w:tentative="1">
      <w:start w:val="1"/>
      <w:numFmt w:val="bullet"/>
      <w:lvlText w:val="o"/>
      <w:lvlJc w:val="left"/>
      <w:pPr>
        <w:ind w:left="4320" w:hanging="360"/>
      </w:pPr>
      <w:rPr>
        <w:rFonts w:ascii="Courier New" w:hAnsi="Courier New" w:cs="Courier New" w:hint="default"/>
      </w:rPr>
    </w:lvl>
    <w:lvl w:ilvl="5" w:tplc="B5B4569C" w:tentative="1">
      <w:start w:val="1"/>
      <w:numFmt w:val="bullet"/>
      <w:lvlText w:val=""/>
      <w:lvlJc w:val="left"/>
      <w:pPr>
        <w:ind w:left="5040" w:hanging="360"/>
      </w:pPr>
      <w:rPr>
        <w:rFonts w:ascii="Wingdings" w:hAnsi="Wingdings" w:hint="default"/>
      </w:rPr>
    </w:lvl>
    <w:lvl w:ilvl="6" w:tplc="EF0C54F6" w:tentative="1">
      <w:start w:val="1"/>
      <w:numFmt w:val="bullet"/>
      <w:lvlText w:val=""/>
      <w:lvlJc w:val="left"/>
      <w:pPr>
        <w:ind w:left="5760" w:hanging="360"/>
      </w:pPr>
      <w:rPr>
        <w:rFonts w:ascii="Symbol" w:hAnsi="Symbol" w:hint="default"/>
      </w:rPr>
    </w:lvl>
    <w:lvl w:ilvl="7" w:tplc="BBB48C20" w:tentative="1">
      <w:start w:val="1"/>
      <w:numFmt w:val="bullet"/>
      <w:lvlText w:val="o"/>
      <w:lvlJc w:val="left"/>
      <w:pPr>
        <w:ind w:left="6480" w:hanging="360"/>
      </w:pPr>
      <w:rPr>
        <w:rFonts w:ascii="Courier New" w:hAnsi="Courier New" w:cs="Courier New" w:hint="default"/>
      </w:rPr>
    </w:lvl>
    <w:lvl w:ilvl="8" w:tplc="28EE9AB8" w:tentative="1">
      <w:start w:val="1"/>
      <w:numFmt w:val="bullet"/>
      <w:lvlText w:val=""/>
      <w:lvlJc w:val="left"/>
      <w:pPr>
        <w:ind w:left="7200" w:hanging="360"/>
      </w:pPr>
      <w:rPr>
        <w:rFonts w:ascii="Wingdings" w:hAnsi="Wingdings" w:hint="default"/>
      </w:rPr>
    </w:lvl>
  </w:abstractNum>
  <w:abstractNum w:abstractNumId="15" w15:restartNumberingAfterBreak="0">
    <w:nsid w:val="44E96665"/>
    <w:multiLevelType w:val="hybridMultilevel"/>
    <w:tmpl w:val="EF1E142A"/>
    <w:lvl w:ilvl="0" w:tplc="CBB43B6A">
      <w:start w:val="1"/>
      <w:numFmt w:val="bullet"/>
      <w:pStyle w:val="subclause3Bullet1"/>
      <w:lvlText w:val=""/>
      <w:lvlJc w:val="left"/>
      <w:pPr>
        <w:ind w:left="2988" w:hanging="360"/>
      </w:pPr>
      <w:rPr>
        <w:rFonts w:ascii="Symbol" w:hAnsi="Symbol" w:hint="default"/>
        <w:color w:val="000000"/>
      </w:rPr>
    </w:lvl>
    <w:lvl w:ilvl="1" w:tplc="AF2476F4" w:tentative="1">
      <w:start w:val="1"/>
      <w:numFmt w:val="bullet"/>
      <w:lvlText w:val="o"/>
      <w:lvlJc w:val="left"/>
      <w:pPr>
        <w:ind w:left="3708" w:hanging="360"/>
      </w:pPr>
      <w:rPr>
        <w:rFonts w:ascii="Courier New" w:hAnsi="Courier New" w:cs="Courier New" w:hint="default"/>
      </w:rPr>
    </w:lvl>
    <w:lvl w:ilvl="2" w:tplc="ECCE41BC" w:tentative="1">
      <w:start w:val="1"/>
      <w:numFmt w:val="bullet"/>
      <w:lvlText w:val=""/>
      <w:lvlJc w:val="left"/>
      <w:pPr>
        <w:ind w:left="4428" w:hanging="360"/>
      </w:pPr>
      <w:rPr>
        <w:rFonts w:ascii="Wingdings" w:hAnsi="Wingdings" w:hint="default"/>
      </w:rPr>
    </w:lvl>
    <w:lvl w:ilvl="3" w:tplc="3886B870" w:tentative="1">
      <w:start w:val="1"/>
      <w:numFmt w:val="bullet"/>
      <w:lvlText w:val=""/>
      <w:lvlJc w:val="left"/>
      <w:pPr>
        <w:ind w:left="5148" w:hanging="360"/>
      </w:pPr>
      <w:rPr>
        <w:rFonts w:ascii="Symbol" w:hAnsi="Symbol" w:hint="default"/>
      </w:rPr>
    </w:lvl>
    <w:lvl w:ilvl="4" w:tplc="553429BA" w:tentative="1">
      <w:start w:val="1"/>
      <w:numFmt w:val="bullet"/>
      <w:lvlText w:val="o"/>
      <w:lvlJc w:val="left"/>
      <w:pPr>
        <w:ind w:left="5868" w:hanging="360"/>
      </w:pPr>
      <w:rPr>
        <w:rFonts w:ascii="Courier New" w:hAnsi="Courier New" w:cs="Courier New" w:hint="default"/>
      </w:rPr>
    </w:lvl>
    <w:lvl w:ilvl="5" w:tplc="1AD0E126" w:tentative="1">
      <w:start w:val="1"/>
      <w:numFmt w:val="bullet"/>
      <w:lvlText w:val=""/>
      <w:lvlJc w:val="left"/>
      <w:pPr>
        <w:ind w:left="6588" w:hanging="360"/>
      </w:pPr>
      <w:rPr>
        <w:rFonts w:ascii="Wingdings" w:hAnsi="Wingdings" w:hint="default"/>
      </w:rPr>
    </w:lvl>
    <w:lvl w:ilvl="6" w:tplc="F6944E74" w:tentative="1">
      <w:start w:val="1"/>
      <w:numFmt w:val="bullet"/>
      <w:lvlText w:val=""/>
      <w:lvlJc w:val="left"/>
      <w:pPr>
        <w:ind w:left="7308" w:hanging="360"/>
      </w:pPr>
      <w:rPr>
        <w:rFonts w:ascii="Symbol" w:hAnsi="Symbol" w:hint="default"/>
      </w:rPr>
    </w:lvl>
    <w:lvl w:ilvl="7" w:tplc="461E776E" w:tentative="1">
      <w:start w:val="1"/>
      <w:numFmt w:val="bullet"/>
      <w:lvlText w:val="o"/>
      <w:lvlJc w:val="left"/>
      <w:pPr>
        <w:ind w:left="8028" w:hanging="360"/>
      </w:pPr>
      <w:rPr>
        <w:rFonts w:ascii="Courier New" w:hAnsi="Courier New" w:cs="Courier New" w:hint="default"/>
      </w:rPr>
    </w:lvl>
    <w:lvl w:ilvl="8" w:tplc="37565FF4" w:tentative="1">
      <w:start w:val="1"/>
      <w:numFmt w:val="bullet"/>
      <w:lvlText w:val=""/>
      <w:lvlJc w:val="left"/>
      <w:pPr>
        <w:ind w:left="8748" w:hanging="360"/>
      </w:pPr>
      <w:rPr>
        <w:rFonts w:ascii="Wingdings" w:hAnsi="Wingdings" w:hint="default"/>
      </w:rPr>
    </w:lvl>
  </w:abstractNum>
  <w:abstractNum w:abstractNumId="16" w15:restartNumberingAfterBreak="0">
    <w:nsid w:val="46AC04C6"/>
    <w:multiLevelType w:val="hybridMultilevel"/>
    <w:tmpl w:val="E6C47700"/>
    <w:lvl w:ilvl="0" w:tplc="46245D66">
      <w:start w:val="1"/>
      <w:numFmt w:val="bullet"/>
      <w:pStyle w:val="subclause2Bullet1"/>
      <w:lvlText w:val=""/>
      <w:lvlJc w:val="left"/>
      <w:pPr>
        <w:ind w:left="2279" w:hanging="360"/>
      </w:pPr>
      <w:rPr>
        <w:rFonts w:ascii="Symbol" w:hAnsi="Symbol" w:hint="default"/>
        <w:color w:val="000000"/>
      </w:rPr>
    </w:lvl>
    <w:lvl w:ilvl="1" w:tplc="A7AE363E" w:tentative="1">
      <w:start w:val="1"/>
      <w:numFmt w:val="bullet"/>
      <w:lvlText w:val="o"/>
      <w:lvlJc w:val="left"/>
      <w:pPr>
        <w:ind w:left="2999" w:hanging="360"/>
      </w:pPr>
      <w:rPr>
        <w:rFonts w:ascii="Courier New" w:hAnsi="Courier New" w:cs="Courier New" w:hint="default"/>
      </w:rPr>
    </w:lvl>
    <w:lvl w:ilvl="2" w:tplc="75B07EF8" w:tentative="1">
      <w:start w:val="1"/>
      <w:numFmt w:val="bullet"/>
      <w:lvlText w:val=""/>
      <w:lvlJc w:val="left"/>
      <w:pPr>
        <w:ind w:left="3719" w:hanging="360"/>
      </w:pPr>
      <w:rPr>
        <w:rFonts w:ascii="Wingdings" w:hAnsi="Wingdings" w:hint="default"/>
      </w:rPr>
    </w:lvl>
    <w:lvl w:ilvl="3" w:tplc="88A0C6DC" w:tentative="1">
      <w:start w:val="1"/>
      <w:numFmt w:val="bullet"/>
      <w:lvlText w:val=""/>
      <w:lvlJc w:val="left"/>
      <w:pPr>
        <w:ind w:left="4439" w:hanging="360"/>
      </w:pPr>
      <w:rPr>
        <w:rFonts w:ascii="Symbol" w:hAnsi="Symbol" w:hint="default"/>
      </w:rPr>
    </w:lvl>
    <w:lvl w:ilvl="4" w:tplc="68A4F544" w:tentative="1">
      <w:start w:val="1"/>
      <w:numFmt w:val="bullet"/>
      <w:lvlText w:val="o"/>
      <w:lvlJc w:val="left"/>
      <w:pPr>
        <w:ind w:left="5159" w:hanging="360"/>
      </w:pPr>
      <w:rPr>
        <w:rFonts w:ascii="Courier New" w:hAnsi="Courier New" w:cs="Courier New" w:hint="default"/>
      </w:rPr>
    </w:lvl>
    <w:lvl w:ilvl="5" w:tplc="DDACAB28" w:tentative="1">
      <w:start w:val="1"/>
      <w:numFmt w:val="bullet"/>
      <w:lvlText w:val=""/>
      <w:lvlJc w:val="left"/>
      <w:pPr>
        <w:ind w:left="5879" w:hanging="360"/>
      </w:pPr>
      <w:rPr>
        <w:rFonts w:ascii="Wingdings" w:hAnsi="Wingdings" w:hint="default"/>
      </w:rPr>
    </w:lvl>
    <w:lvl w:ilvl="6" w:tplc="9F564F08" w:tentative="1">
      <w:start w:val="1"/>
      <w:numFmt w:val="bullet"/>
      <w:lvlText w:val=""/>
      <w:lvlJc w:val="left"/>
      <w:pPr>
        <w:ind w:left="6599" w:hanging="360"/>
      </w:pPr>
      <w:rPr>
        <w:rFonts w:ascii="Symbol" w:hAnsi="Symbol" w:hint="default"/>
      </w:rPr>
    </w:lvl>
    <w:lvl w:ilvl="7" w:tplc="602608A2" w:tentative="1">
      <w:start w:val="1"/>
      <w:numFmt w:val="bullet"/>
      <w:lvlText w:val="o"/>
      <w:lvlJc w:val="left"/>
      <w:pPr>
        <w:ind w:left="7319" w:hanging="360"/>
      </w:pPr>
      <w:rPr>
        <w:rFonts w:ascii="Courier New" w:hAnsi="Courier New" w:cs="Courier New" w:hint="default"/>
      </w:rPr>
    </w:lvl>
    <w:lvl w:ilvl="8" w:tplc="8D463626" w:tentative="1">
      <w:start w:val="1"/>
      <w:numFmt w:val="bullet"/>
      <w:lvlText w:val=""/>
      <w:lvlJc w:val="left"/>
      <w:pPr>
        <w:ind w:left="8039" w:hanging="360"/>
      </w:pPr>
      <w:rPr>
        <w:rFonts w:ascii="Wingdings" w:hAnsi="Wingdings" w:hint="default"/>
      </w:rPr>
    </w:lvl>
  </w:abstractNum>
  <w:abstractNum w:abstractNumId="17" w15:restartNumberingAfterBreak="0">
    <w:nsid w:val="47F42723"/>
    <w:multiLevelType w:val="hybridMultilevel"/>
    <w:tmpl w:val="C5A02EE6"/>
    <w:lvl w:ilvl="0" w:tplc="FAA2CE38">
      <w:start w:val="1"/>
      <w:numFmt w:val="bullet"/>
      <w:pStyle w:val="subclause1Bullet1"/>
      <w:lvlText w:val=""/>
      <w:lvlJc w:val="left"/>
      <w:pPr>
        <w:ind w:left="1440" w:hanging="360"/>
      </w:pPr>
      <w:rPr>
        <w:rFonts w:ascii="Symbol" w:hAnsi="Symbol" w:hint="default"/>
        <w:color w:val="000000"/>
      </w:rPr>
    </w:lvl>
    <w:lvl w:ilvl="1" w:tplc="D61A1BB8" w:tentative="1">
      <w:start w:val="1"/>
      <w:numFmt w:val="bullet"/>
      <w:lvlText w:val="o"/>
      <w:lvlJc w:val="left"/>
      <w:pPr>
        <w:ind w:left="2160" w:hanging="360"/>
      </w:pPr>
      <w:rPr>
        <w:rFonts w:ascii="Courier New" w:hAnsi="Courier New" w:cs="Courier New" w:hint="default"/>
      </w:rPr>
    </w:lvl>
    <w:lvl w:ilvl="2" w:tplc="E298A772" w:tentative="1">
      <w:start w:val="1"/>
      <w:numFmt w:val="bullet"/>
      <w:lvlText w:val=""/>
      <w:lvlJc w:val="left"/>
      <w:pPr>
        <w:ind w:left="2880" w:hanging="360"/>
      </w:pPr>
      <w:rPr>
        <w:rFonts w:ascii="Wingdings" w:hAnsi="Wingdings" w:hint="default"/>
      </w:rPr>
    </w:lvl>
    <w:lvl w:ilvl="3" w:tplc="68782114" w:tentative="1">
      <w:start w:val="1"/>
      <w:numFmt w:val="bullet"/>
      <w:lvlText w:val=""/>
      <w:lvlJc w:val="left"/>
      <w:pPr>
        <w:ind w:left="3600" w:hanging="360"/>
      </w:pPr>
      <w:rPr>
        <w:rFonts w:ascii="Symbol" w:hAnsi="Symbol" w:hint="default"/>
      </w:rPr>
    </w:lvl>
    <w:lvl w:ilvl="4" w:tplc="74484B96" w:tentative="1">
      <w:start w:val="1"/>
      <w:numFmt w:val="bullet"/>
      <w:lvlText w:val="o"/>
      <w:lvlJc w:val="left"/>
      <w:pPr>
        <w:ind w:left="4320" w:hanging="360"/>
      </w:pPr>
      <w:rPr>
        <w:rFonts w:ascii="Courier New" w:hAnsi="Courier New" w:cs="Courier New" w:hint="default"/>
      </w:rPr>
    </w:lvl>
    <w:lvl w:ilvl="5" w:tplc="2990D78E" w:tentative="1">
      <w:start w:val="1"/>
      <w:numFmt w:val="bullet"/>
      <w:lvlText w:val=""/>
      <w:lvlJc w:val="left"/>
      <w:pPr>
        <w:ind w:left="5040" w:hanging="360"/>
      </w:pPr>
      <w:rPr>
        <w:rFonts w:ascii="Wingdings" w:hAnsi="Wingdings" w:hint="default"/>
      </w:rPr>
    </w:lvl>
    <w:lvl w:ilvl="6" w:tplc="24A8BE1C" w:tentative="1">
      <w:start w:val="1"/>
      <w:numFmt w:val="bullet"/>
      <w:lvlText w:val=""/>
      <w:lvlJc w:val="left"/>
      <w:pPr>
        <w:ind w:left="5760" w:hanging="360"/>
      </w:pPr>
      <w:rPr>
        <w:rFonts w:ascii="Symbol" w:hAnsi="Symbol" w:hint="default"/>
      </w:rPr>
    </w:lvl>
    <w:lvl w:ilvl="7" w:tplc="AE487036" w:tentative="1">
      <w:start w:val="1"/>
      <w:numFmt w:val="bullet"/>
      <w:lvlText w:val="o"/>
      <w:lvlJc w:val="left"/>
      <w:pPr>
        <w:ind w:left="6480" w:hanging="360"/>
      </w:pPr>
      <w:rPr>
        <w:rFonts w:ascii="Courier New" w:hAnsi="Courier New" w:cs="Courier New" w:hint="default"/>
      </w:rPr>
    </w:lvl>
    <w:lvl w:ilvl="8" w:tplc="52727738" w:tentative="1">
      <w:start w:val="1"/>
      <w:numFmt w:val="bullet"/>
      <w:lvlText w:val=""/>
      <w:lvlJc w:val="left"/>
      <w:pPr>
        <w:ind w:left="7200" w:hanging="360"/>
      </w:pPr>
      <w:rPr>
        <w:rFonts w:ascii="Wingdings" w:hAnsi="Wingdings" w:hint="default"/>
      </w:rPr>
    </w:lvl>
  </w:abstractNum>
  <w:abstractNum w:abstractNumId="18" w15:restartNumberingAfterBreak="0">
    <w:nsid w:val="48047D34"/>
    <w:multiLevelType w:val="hybridMultilevel"/>
    <w:tmpl w:val="CB4CA23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A6552EC"/>
    <w:multiLevelType w:val="multilevel"/>
    <w:tmpl w:val="001CAAA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55CB0AF0"/>
    <w:multiLevelType w:val="hybridMultilevel"/>
    <w:tmpl w:val="EB98B43A"/>
    <w:lvl w:ilvl="0" w:tplc="C1161390">
      <w:start w:val="1"/>
      <w:numFmt w:val="decimal"/>
      <w:pStyle w:val="LongQuestionPara"/>
      <w:lvlText w:val="%1."/>
      <w:lvlJc w:val="left"/>
      <w:pPr>
        <w:ind w:left="360" w:hanging="360"/>
      </w:pPr>
      <w:rPr>
        <w:rFonts w:hint="default"/>
        <w:b/>
        <w:i w:val="0"/>
        <w:color w:val="000000"/>
        <w:sz w:val="24"/>
      </w:rPr>
    </w:lvl>
    <w:lvl w:ilvl="1" w:tplc="F82EA67A" w:tentative="1">
      <w:start w:val="1"/>
      <w:numFmt w:val="lowerLetter"/>
      <w:lvlText w:val="%2."/>
      <w:lvlJc w:val="left"/>
      <w:pPr>
        <w:ind w:left="1440" w:hanging="360"/>
      </w:pPr>
    </w:lvl>
    <w:lvl w:ilvl="2" w:tplc="01C41314" w:tentative="1">
      <w:start w:val="1"/>
      <w:numFmt w:val="lowerRoman"/>
      <w:lvlText w:val="%3."/>
      <w:lvlJc w:val="right"/>
      <w:pPr>
        <w:ind w:left="2160" w:hanging="180"/>
      </w:pPr>
    </w:lvl>
    <w:lvl w:ilvl="3" w:tplc="31D064C0" w:tentative="1">
      <w:start w:val="1"/>
      <w:numFmt w:val="decimal"/>
      <w:lvlText w:val="%4."/>
      <w:lvlJc w:val="left"/>
      <w:pPr>
        <w:ind w:left="2880" w:hanging="360"/>
      </w:pPr>
    </w:lvl>
    <w:lvl w:ilvl="4" w:tplc="8FD204CA" w:tentative="1">
      <w:start w:val="1"/>
      <w:numFmt w:val="lowerLetter"/>
      <w:lvlText w:val="%5."/>
      <w:lvlJc w:val="left"/>
      <w:pPr>
        <w:ind w:left="3600" w:hanging="360"/>
      </w:pPr>
    </w:lvl>
    <w:lvl w:ilvl="5" w:tplc="3B68618A" w:tentative="1">
      <w:start w:val="1"/>
      <w:numFmt w:val="lowerRoman"/>
      <w:lvlText w:val="%6."/>
      <w:lvlJc w:val="right"/>
      <w:pPr>
        <w:ind w:left="4320" w:hanging="180"/>
      </w:pPr>
    </w:lvl>
    <w:lvl w:ilvl="6" w:tplc="3F981D4E" w:tentative="1">
      <w:start w:val="1"/>
      <w:numFmt w:val="decimal"/>
      <w:lvlText w:val="%7."/>
      <w:lvlJc w:val="left"/>
      <w:pPr>
        <w:ind w:left="5040" w:hanging="360"/>
      </w:pPr>
    </w:lvl>
    <w:lvl w:ilvl="7" w:tplc="84646B3E" w:tentative="1">
      <w:start w:val="1"/>
      <w:numFmt w:val="lowerLetter"/>
      <w:lvlText w:val="%8."/>
      <w:lvlJc w:val="left"/>
      <w:pPr>
        <w:ind w:left="5760" w:hanging="360"/>
      </w:pPr>
    </w:lvl>
    <w:lvl w:ilvl="8" w:tplc="A8263FA8" w:tentative="1">
      <w:start w:val="1"/>
      <w:numFmt w:val="lowerRoman"/>
      <w:lvlText w:val="%9."/>
      <w:lvlJc w:val="right"/>
      <w:pPr>
        <w:ind w:left="6480" w:hanging="180"/>
      </w:pPr>
    </w:lvl>
  </w:abstractNum>
  <w:abstractNum w:abstractNumId="21"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2" w15:restartNumberingAfterBreak="0">
    <w:nsid w:val="5B9C3BDC"/>
    <w:multiLevelType w:val="multilevel"/>
    <w:tmpl w:val="3C76EE0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61071422"/>
    <w:multiLevelType w:val="hybridMultilevel"/>
    <w:tmpl w:val="59B858D8"/>
    <w:lvl w:ilvl="0" w:tplc="C48CA948">
      <w:start w:val="1"/>
      <w:numFmt w:val="bullet"/>
      <w:pStyle w:val="ClauseBullet1"/>
      <w:lvlText w:val=""/>
      <w:lvlJc w:val="left"/>
      <w:pPr>
        <w:ind w:left="1080" w:hanging="360"/>
      </w:pPr>
      <w:rPr>
        <w:rFonts w:ascii="Symbol" w:hAnsi="Symbol" w:hint="default"/>
        <w:color w:val="000000"/>
      </w:rPr>
    </w:lvl>
    <w:lvl w:ilvl="1" w:tplc="BD6EABA2" w:tentative="1">
      <w:start w:val="1"/>
      <w:numFmt w:val="bullet"/>
      <w:lvlText w:val="o"/>
      <w:lvlJc w:val="left"/>
      <w:pPr>
        <w:ind w:left="1800" w:hanging="360"/>
      </w:pPr>
      <w:rPr>
        <w:rFonts w:ascii="Courier New" w:hAnsi="Courier New" w:cs="Courier New" w:hint="default"/>
      </w:rPr>
    </w:lvl>
    <w:lvl w:ilvl="2" w:tplc="EFBCAB6A" w:tentative="1">
      <w:start w:val="1"/>
      <w:numFmt w:val="bullet"/>
      <w:lvlText w:val=""/>
      <w:lvlJc w:val="left"/>
      <w:pPr>
        <w:ind w:left="2520" w:hanging="360"/>
      </w:pPr>
      <w:rPr>
        <w:rFonts w:ascii="Wingdings" w:hAnsi="Wingdings" w:hint="default"/>
      </w:rPr>
    </w:lvl>
    <w:lvl w:ilvl="3" w:tplc="8508F27C" w:tentative="1">
      <w:start w:val="1"/>
      <w:numFmt w:val="bullet"/>
      <w:lvlText w:val=""/>
      <w:lvlJc w:val="left"/>
      <w:pPr>
        <w:ind w:left="3240" w:hanging="360"/>
      </w:pPr>
      <w:rPr>
        <w:rFonts w:ascii="Symbol" w:hAnsi="Symbol" w:hint="default"/>
      </w:rPr>
    </w:lvl>
    <w:lvl w:ilvl="4" w:tplc="003C6048" w:tentative="1">
      <w:start w:val="1"/>
      <w:numFmt w:val="bullet"/>
      <w:lvlText w:val="o"/>
      <w:lvlJc w:val="left"/>
      <w:pPr>
        <w:ind w:left="3960" w:hanging="360"/>
      </w:pPr>
      <w:rPr>
        <w:rFonts w:ascii="Courier New" w:hAnsi="Courier New" w:cs="Courier New" w:hint="default"/>
      </w:rPr>
    </w:lvl>
    <w:lvl w:ilvl="5" w:tplc="32A09DC6" w:tentative="1">
      <w:start w:val="1"/>
      <w:numFmt w:val="bullet"/>
      <w:lvlText w:val=""/>
      <w:lvlJc w:val="left"/>
      <w:pPr>
        <w:ind w:left="4680" w:hanging="360"/>
      </w:pPr>
      <w:rPr>
        <w:rFonts w:ascii="Wingdings" w:hAnsi="Wingdings" w:hint="default"/>
      </w:rPr>
    </w:lvl>
    <w:lvl w:ilvl="6" w:tplc="3FDEAA60" w:tentative="1">
      <w:start w:val="1"/>
      <w:numFmt w:val="bullet"/>
      <w:lvlText w:val=""/>
      <w:lvlJc w:val="left"/>
      <w:pPr>
        <w:ind w:left="5400" w:hanging="360"/>
      </w:pPr>
      <w:rPr>
        <w:rFonts w:ascii="Symbol" w:hAnsi="Symbol" w:hint="default"/>
      </w:rPr>
    </w:lvl>
    <w:lvl w:ilvl="7" w:tplc="B59225D6" w:tentative="1">
      <w:start w:val="1"/>
      <w:numFmt w:val="bullet"/>
      <w:lvlText w:val="o"/>
      <w:lvlJc w:val="left"/>
      <w:pPr>
        <w:ind w:left="6120" w:hanging="360"/>
      </w:pPr>
      <w:rPr>
        <w:rFonts w:ascii="Courier New" w:hAnsi="Courier New" w:cs="Courier New" w:hint="default"/>
      </w:rPr>
    </w:lvl>
    <w:lvl w:ilvl="8" w:tplc="F9EA4BFE" w:tentative="1">
      <w:start w:val="1"/>
      <w:numFmt w:val="bullet"/>
      <w:lvlText w:val=""/>
      <w:lvlJc w:val="left"/>
      <w:pPr>
        <w:ind w:left="6840" w:hanging="360"/>
      </w:pPr>
      <w:rPr>
        <w:rFonts w:ascii="Wingdings" w:hAnsi="Wingdings" w:hint="default"/>
      </w:rPr>
    </w:lvl>
  </w:abstractNum>
  <w:abstractNum w:abstractNumId="24" w15:restartNumberingAfterBreak="0">
    <w:nsid w:val="642371CD"/>
    <w:multiLevelType w:val="hybridMultilevel"/>
    <w:tmpl w:val="3B76A654"/>
    <w:lvl w:ilvl="0" w:tplc="2F44D20C">
      <w:start w:val="1"/>
      <w:numFmt w:val="bullet"/>
      <w:pStyle w:val="subclause3Bullet2"/>
      <w:lvlText w:val=""/>
      <w:lvlJc w:val="left"/>
      <w:pPr>
        <w:ind w:left="3748" w:hanging="360"/>
      </w:pPr>
      <w:rPr>
        <w:rFonts w:ascii="Symbol" w:hAnsi="Symbol" w:hint="default"/>
        <w:color w:val="000000"/>
      </w:rPr>
    </w:lvl>
    <w:lvl w:ilvl="1" w:tplc="AE78D450" w:tentative="1">
      <w:start w:val="1"/>
      <w:numFmt w:val="bullet"/>
      <w:lvlText w:val="o"/>
      <w:lvlJc w:val="left"/>
      <w:pPr>
        <w:ind w:left="4468" w:hanging="360"/>
      </w:pPr>
      <w:rPr>
        <w:rFonts w:ascii="Courier New" w:hAnsi="Courier New" w:cs="Courier New" w:hint="default"/>
      </w:rPr>
    </w:lvl>
    <w:lvl w:ilvl="2" w:tplc="C1E02608" w:tentative="1">
      <w:start w:val="1"/>
      <w:numFmt w:val="bullet"/>
      <w:lvlText w:val=""/>
      <w:lvlJc w:val="left"/>
      <w:pPr>
        <w:ind w:left="5188" w:hanging="360"/>
      </w:pPr>
      <w:rPr>
        <w:rFonts w:ascii="Wingdings" w:hAnsi="Wingdings" w:hint="default"/>
      </w:rPr>
    </w:lvl>
    <w:lvl w:ilvl="3" w:tplc="8AB8602A" w:tentative="1">
      <w:start w:val="1"/>
      <w:numFmt w:val="bullet"/>
      <w:lvlText w:val=""/>
      <w:lvlJc w:val="left"/>
      <w:pPr>
        <w:ind w:left="5908" w:hanging="360"/>
      </w:pPr>
      <w:rPr>
        <w:rFonts w:ascii="Symbol" w:hAnsi="Symbol" w:hint="default"/>
      </w:rPr>
    </w:lvl>
    <w:lvl w:ilvl="4" w:tplc="95FEB1CA" w:tentative="1">
      <w:start w:val="1"/>
      <w:numFmt w:val="bullet"/>
      <w:lvlText w:val="o"/>
      <w:lvlJc w:val="left"/>
      <w:pPr>
        <w:ind w:left="6628" w:hanging="360"/>
      </w:pPr>
      <w:rPr>
        <w:rFonts w:ascii="Courier New" w:hAnsi="Courier New" w:cs="Courier New" w:hint="default"/>
      </w:rPr>
    </w:lvl>
    <w:lvl w:ilvl="5" w:tplc="34868AFE" w:tentative="1">
      <w:start w:val="1"/>
      <w:numFmt w:val="bullet"/>
      <w:lvlText w:val=""/>
      <w:lvlJc w:val="left"/>
      <w:pPr>
        <w:ind w:left="7348" w:hanging="360"/>
      </w:pPr>
      <w:rPr>
        <w:rFonts w:ascii="Wingdings" w:hAnsi="Wingdings" w:hint="default"/>
      </w:rPr>
    </w:lvl>
    <w:lvl w:ilvl="6" w:tplc="B5086A80" w:tentative="1">
      <w:start w:val="1"/>
      <w:numFmt w:val="bullet"/>
      <w:lvlText w:val=""/>
      <w:lvlJc w:val="left"/>
      <w:pPr>
        <w:ind w:left="8068" w:hanging="360"/>
      </w:pPr>
      <w:rPr>
        <w:rFonts w:ascii="Symbol" w:hAnsi="Symbol" w:hint="default"/>
      </w:rPr>
    </w:lvl>
    <w:lvl w:ilvl="7" w:tplc="1BFE5DE6" w:tentative="1">
      <w:start w:val="1"/>
      <w:numFmt w:val="bullet"/>
      <w:lvlText w:val="o"/>
      <w:lvlJc w:val="left"/>
      <w:pPr>
        <w:ind w:left="8788" w:hanging="360"/>
      </w:pPr>
      <w:rPr>
        <w:rFonts w:ascii="Courier New" w:hAnsi="Courier New" w:cs="Courier New" w:hint="default"/>
      </w:rPr>
    </w:lvl>
    <w:lvl w:ilvl="8" w:tplc="D8CCA8F8" w:tentative="1">
      <w:start w:val="1"/>
      <w:numFmt w:val="bullet"/>
      <w:lvlText w:val=""/>
      <w:lvlJc w:val="left"/>
      <w:pPr>
        <w:ind w:left="9508" w:hanging="360"/>
      </w:pPr>
      <w:rPr>
        <w:rFonts w:ascii="Wingdings" w:hAnsi="Wingdings" w:hint="default"/>
      </w:rPr>
    </w:lvl>
  </w:abstractNum>
  <w:abstractNum w:abstractNumId="25"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26" w15:restartNumberingAfterBreak="0">
    <w:nsid w:val="6A14466B"/>
    <w:multiLevelType w:val="hybridMultilevel"/>
    <w:tmpl w:val="2402A666"/>
    <w:lvl w:ilvl="0" w:tplc="C6E61868">
      <w:start w:val="1"/>
      <w:numFmt w:val="bullet"/>
      <w:pStyle w:val="BulletList1"/>
      <w:lvlText w:val="·"/>
      <w:lvlJc w:val="left"/>
      <w:pPr>
        <w:tabs>
          <w:tab w:val="num" w:pos="360"/>
        </w:tabs>
        <w:ind w:left="360" w:hanging="360"/>
      </w:pPr>
      <w:rPr>
        <w:rFonts w:ascii="Symbol" w:hAnsi="Symbol" w:hint="default"/>
        <w:color w:val="000000"/>
      </w:rPr>
    </w:lvl>
    <w:lvl w:ilvl="1" w:tplc="9904A366" w:tentative="1">
      <w:start w:val="1"/>
      <w:numFmt w:val="bullet"/>
      <w:lvlText w:val="·"/>
      <w:lvlJc w:val="left"/>
      <w:pPr>
        <w:tabs>
          <w:tab w:val="num" w:pos="1440"/>
        </w:tabs>
        <w:ind w:left="1440" w:hanging="360"/>
      </w:pPr>
      <w:rPr>
        <w:rFonts w:ascii="Symbol" w:hAnsi="Symbol" w:hint="default"/>
      </w:rPr>
    </w:lvl>
    <w:lvl w:ilvl="2" w:tplc="F9CCA1B2" w:tentative="1">
      <w:start w:val="1"/>
      <w:numFmt w:val="bullet"/>
      <w:lvlText w:val="·"/>
      <w:lvlJc w:val="left"/>
      <w:pPr>
        <w:tabs>
          <w:tab w:val="num" w:pos="2160"/>
        </w:tabs>
        <w:ind w:left="2160" w:hanging="360"/>
      </w:pPr>
      <w:rPr>
        <w:rFonts w:ascii="Symbol" w:hAnsi="Symbol" w:hint="default"/>
      </w:rPr>
    </w:lvl>
    <w:lvl w:ilvl="3" w:tplc="A77CCC46" w:tentative="1">
      <w:start w:val="1"/>
      <w:numFmt w:val="bullet"/>
      <w:lvlText w:val="·"/>
      <w:lvlJc w:val="left"/>
      <w:pPr>
        <w:tabs>
          <w:tab w:val="num" w:pos="2880"/>
        </w:tabs>
        <w:ind w:left="2880" w:hanging="360"/>
      </w:pPr>
      <w:rPr>
        <w:rFonts w:ascii="Symbol" w:hAnsi="Symbol" w:hint="default"/>
      </w:rPr>
    </w:lvl>
    <w:lvl w:ilvl="4" w:tplc="1F30FCE4" w:tentative="1">
      <w:start w:val="1"/>
      <w:numFmt w:val="bullet"/>
      <w:lvlText w:val="o"/>
      <w:lvlJc w:val="left"/>
      <w:pPr>
        <w:tabs>
          <w:tab w:val="num" w:pos="3600"/>
        </w:tabs>
        <w:ind w:left="3600" w:hanging="360"/>
      </w:pPr>
      <w:rPr>
        <w:rFonts w:ascii="Courier New" w:hAnsi="Courier New" w:hint="default"/>
      </w:rPr>
    </w:lvl>
    <w:lvl w:ilvl="5" w:tplc="4DBEFBFE" w:tentative="1">
      <w:start w:val="1"/>
      <w:numFmt w:val="bullet"/>
      <w:lvlText w:val="§"/>
      <w:lvlJc w:val="left"/>
      <w:pPr>
        <w:tabs>
          <w:tab w:val="num" w:pos="4320"/>
        </w:tabs>
        <w:ind w:left="4320" w:hanging="360"/>
      </w:pPr>
      <w:rPr>
        <w:rFonts w:ascii="Wingdings" w:hAnsi="Wingdings" w:hint="default"/>
      </w:rPr>
    </w:lvl>
    <w:lvl w:ilvl="6" w:tplc="F7365F96" w:tentative="1">
      <w:start w:val="1"/>
      <w:numFmt w:val="bullet"/>
      <w:lvlText w:val="·"/>
      <w:lvlJc w:val="left"/>
      <w:pPr>
        <w:tabs>
          <w:tab w:val="num" w:pos="5040"/>
        </w:tabs>
        <w:ind w:left="5040" w:hanging="360"/>
      </w:pPr>
      <w:rPr>
        <w:rFonts w:ascii="Symbol" w:hAnsi="Symbol" w:hint="default"/>
      </w:rPr>
    </w:lvl>
    <w:lvl w:ilvl="7" w:tplc="7DDCEB72" w:tentative="1">
      <w:start w:val="1"/>
      <w:numFmt w:val="bullet"/>
      <w:lvlText w:val="o"/>
      <w:lvlJc w:val="left"/>
      <w:pPr>
        <w:tabs>
          <w:tab w:val="num" w:pos="5760"/>
        </w:tabs>
        <w:ind w:left="5760" w:hanging="360"/>
      </w:pPr>
      <w:rPr>
        <w:rFonts w:ascii="Courier New" w:hAnsi="Courier New" w:hint="default"/>
      </w:rPr>
    </w:lvl>
    <w:lvl w:ilvl="8" w:tplc="1616B6C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B560CE7"/>
    <w:multiLevelType w:val="multilevel"/>
    <w:tmpl w:val="429A90E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DB5644F"/>
    <w:multiLevelType w:val="hybridMultilevel"/>
    <w:tmpl w:val="8BCC9C08"/>
    <w:lvl w:ilvl="0" w:tplc="474475F0">
      <w:start w:val="1"/>
      <w:numFmt w:val="bullet"/>
      <w:pStyle w:val="BulletList3"/>
      <w:lvlText w:val=""/>
      <w:lvlJc w:val="left"/>
      <w:pPr>
        <w:tabs>
          <w:tab w:val="num" w:pos="1945"/>
        </w:tabs>
        <w:ind w:left="1945" w:hanging="357"/>
      </w:pPr>
      <w:rPr>
        <w:rFonts w:ascii="Symbol" w:hAnsi="Symbol" w:hint="default"/>
        <w:color w:val="000000"/>
      </w:rPr>
    </w:lvl>
    <w:lvl w:ilvl="1" w:tplc="0FEE7814" w:tentative="1">
      <w:start w:val="1"/>
      <w:numFmt w:val="bullet"/>
      <w:lvlText w:val="o"/>
      <w:lvlJc w:val="left"/>
      <w:pPr>
        <w:tabs>
          <w:tab w:val="num" w:pos="1440"/>
        </w:tabs>
        <w:ind w:left="1440" w:hanging="360"/>
      </w:pPr>
      <w:rPr>
        <w:rFonts w:ascii="Courier New" w:hAnsi="Courier New" w:cs="Courier New" w:hint="default"/>
      </w:rPr>
    </w:lvl>
    <w:lvl w:ilvl="2" w:tplc="3AD46160" w:tentative="1">
      <w:start w:val="1"/>
      <w:numFmt w:val="bullet"/>
      <w:lvlText w:val=""/>
      <w:lvlJc w:val="left"/>
      <w:pPr>
        <w:tabs>
          <w:tab w:val="num" w:pos="2160"/>
        </w:tabs>
        <w:ind w:left="2160" w:hanging="360"/>
      </w:pPr>
      <w:rPr>
        <w:rFonts w:ascii="Wingdings" w:hAnsi="Wingdings" w:hint="default"/>
      </w:rPr>
    </w:lvl>
    <w:lvl w:ilvl="3" w:tplc="09880A0C" w:tentative="1">
      <w:start w:val="1"/>
      <w:numFmt w:val="bullet"/>
      <w:lvlText w:val=""/>
      <w:lvlJc w:val="left"/>
      <w:pPr>
        <w:tabs>
          <w:tab w:val="num" w:pos="2880"/>
        </w:tabs>
        <w:ind w:left="2880" w:hanging="360"/>
      </w:pPr>
      <w:rPr>
        <w:rFonts w:ascii="Symbol" w:hAnsi="Symbol" w:hint="default"/>
      </w:rPr>
    </w:lvl>
    <w:lvl w:ilvl="4" w:tplc="C0DE7F92" w:tentative="1">
      <w:start w:val="1"/>
      <w:numFmt w:val="bullet"/>
      <w:lvlText w:val="o"/>
      <w:lvlJc w:val="left"/>
      <w:pPr>
        <w:tabs>
          <w:tab w:val="num" w:pos="3600"/>
        </w:tabs>
        <w:ind w:left="3600" w:hanging="360"/>
      </w:pPr>
      <w:rPr>
        <w:rFonts w:ascii="Courier New" w:hAnsi="Courier New" w:cs="Courier New" w:hint="default"/>
      </w:rPr>
    </w:lvl>
    <w:lvl w:ilvl="5" w:tplc="716EEB44" w:tentative="1">
      <w:start w:val="1"/>
      <w:numFmt w:val="bullet"/>
      <w:lvlText w:val=""/>
      <w:lvlJc w:val="left"/>
      <w:pPr>
        <w:tabs>
          <w:tab w:val="num" w:pos="4320"/>
        </w:tabs>
        <w:ind w:left="4320" w:hanging="360"/>
      </w:pPr>
      <w:rPr>
        <w:rFonts w:ascii="Wingdings" w:hAnsi="Wingdings" w:hint="default"/>
      </w:rPr>
    </w:lvl>
    <w:lvl w:ilvl="6" w:tplc="559CC05E" w:tentative="1">
      <w:start w:val="1"/>
      <w:numFmt w:val="bullet"/>
      <w:lvlText w:val=""/>
      <w:lvlJc w:val="left"/>
      <w:pPr>
        <w:tabs>
          <w:tab w:val="num" w:pos="5040"/>
        </w:tabs>
        <w:ind w:left="5040" w:hanging="360"/>
      </w:pPr>
      <w:rPr>
        <w:rFonts w:ascii="Symbol" w:hAnsi="Symbol" w:hint="default"/>
      </w:rPr>
    </w:lvl>
    <w:lvl w:ilvl="7" w:tplc="7C2C320C" w:tentative="1">
      <w:start w:val="1"/>
      <w:numFmt w:val="bullet"/>
      <w:lvlText w:val="o"/>
      <w:lvlJc w:val="left"/>
      <w:pPr>
        <w:tabs>
          <w:tab w:val="num" w:pos="5760"/>
        </w:tabs>
        <w:ind w:left="5760" w:hanging="360"/>
      </w:pPr>
      <w:rPr>
        <w:rFonts w:ascii="Courier New" w:hAnsi="Courier New" w:cs="Courier New" w:hint="default"/>
      </w:rPr>
    </w:lvl>
    <w:lvl w:ilvl="8" w:tplc="5E569FF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2" w15:restartNumberingAfterBreak="0">
    <w:nsid w:val="7DB56452"/>
    <w:multiLevelType w:val="multilevel"/>
    <w:tmpl w:val="7DB56451"/>
    <w:numStyleLink w:val="ScheduleListStyle"/>
  </w:abstractNum>
  <w:abstractNum w:abstractNumId="33" w15:restartNumberingAfterBreak="0">
    <w:nsid w:val="7DB56453"/>
    <w:multiLevelType w:val="multilevel"/>
    <w:tmpl w:val="7DB56451"/>
    <w:numStyleLink w:val="ScheduleListStyle"/>
  </w:abstractNum>
  <w:abstractNum w:abstractNumId="34" w15:restartNumberingAfterBreak="0">
    <w:nsid w:val="7DB56455"/>
    <w:multiLevelType w:val="multilevel"/>
    <w:tmpl w:val="7DB56455"/>
    <w:styleLink w:val="PartListStyle"/>
    <w:lvl w:ilvl="0">
      <w:start w:val="1"/>
      <w:numFmt w:val="decimal"/>
      <w:lvlText w:val="Part %1"/>
      <w:lvlJc w:val="left"/>
      <w:pPr>
        <w:tabs>
          <w:tab w:val="num" w:pos="0"/>
        </w:tabs>
        <w:ind w:left="357" w:hanging="357"/>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5" w15:restartNumberingAfterBreak="0">
    <w:nsid w:val="7DB56456"/>
    <w:multiLevelType w:val="multilevel"/>
    <w:tmpl w:val="7DB56455"/>
    <w:numStyleLink w:val="PartListStyle"/>
  </w:abstractNum>
  <w:abstractNum w:abstractNumId="36" w15:restartNumberingAfterBreak="0">
    <w:nsid w:val="7DB56457"/>
    <w:multiLevelType w:val="multilevel"/>
    <w:tmpl w:val="7DB56455"/>
    <w:numStyleLink w:val="PartListStyle"/>
  </w:abstractNum>
  <w:abstractNum w:abstractNumId="37" w15:restartNumberingAfterBreak="0">
    <w:nsid w:val="7DB56459"/>
    <w:multiLevelType w:val="multilevel"/>
    <w:tmpl w:val="7DB56459"/>
    <w:styleLink w:val="ClauseListStyle"/>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8" w15:restartNumberingAfterBreak="0">
    <w:nsid w:val="7DB5645A"/>
    <w:multiLevelType w:val="multilevel"/>
    <w:tmpl w:val="7DB56459"/>
    <w:numStyleLink w:val="ClauseListStyle"/>
  </w:abstractNum>
  <w:abstractNum w:abstractNumId="39" w15:restartNumberingAfterBreak="0">
    <w:nsid w:val="7DB5645B"/>
    <w:multiLevelType w:val="multilevel"/>
    <w:tmpl w:val="7DB56459"/>
    <w:numStyleLink w:val="ClauseListStyle"/>
  </w:abstractNum>
  <w:num w:numId="1" w16cid:durableId="2122719531">
    <w:abstractNumId w:val="25"/>
  </w:num>
  <w:num w:numId="2" w16cid:durableId="1477912458">
    <w:abstractNumId w:val="26"/>
  </w:num>
  <w:num w:numId="3" w16cid:durableId="1498769069">
    <w:abstractNumId w:val="10"/>
  </w:num>
  <w:num w:numId="4" w16cid:durableId="929122949">
    <w:abstractNumId w:val="30"/>
  </w:num>
  <w:num w:numId="5" w16cid:durableId="1650863958">
    <w:abstractNumId w:val="29"/>
  </w:num>
  <w:num w:numId="6" w16cid:durableId="1163543966">
    <w:abstractNumId w:val="4"/>
  </w:num>
  <w:num w:numId="7" w16cid:durableId="1736246572">
    <w:abstractNumId w:val="12"/>
  </w:num>
  <w:num w:numId="8" w16cid:durableId="1648896792">
    <w:abstractNumId w:val="11"/>
  </w:num>
  <w:num w:numId="9" w16cid:durableId="156919251">
    <w:abstractNumId w:val="8"/>
  </w:num>
  <w:num w:numId="10" w16cid:durableId="1290937547">
    <w:abstractNumId w:val="21"/>
  </w:num>
  <w:num w:numId="11" w16cid:durableId="1565142326">
    <w:abstractNumId w:val="7"/>
  </w:num>
  <w:num w:numId="12" w16cid:durableId="1921326951">
    <w:abstractNumId w:val="20"/>
  </w:num>
  <w:num w:numId="13" w16cid:durableId="1296643468">
    <w:abstractNumId w:val="23"/>
  </w:num>
  <w:num w:numId="14" w16cid:durableId="1904871973">
    <w:abstractNumId w:val="13"/>
  </w:num>
  <w:num w:numId="15" w16cid:durableId="603731796">
    <w:abstractNumId w:val="17"/>
  </w:num>
  <w:num w:numId="16" w16cid:durableId="1960605153">
    <w:abstractNumId w:val="15"/>
  </w:num>
  <w:num w:numId="17" w16cid:durableId="1578704804">
    <w:abstractNumId w:val="16"/>
  </w:num>
  <w:num w:numId="18" w16cid:durableId="1144156050">
    <w:abstractNumId w:val="14"/>
  </w:num>
  <w:num w:numId="19" w16cid:durableId="1265072541">
    <w:abstractNumId w:val="9"/>
  </w:num>
  <w:num w:numId="20" w16cid:durableId="563569422">
    <w:abstractNumId w:val="24"/>
  </w:num>
  <w:num w:numId="21" w16cid:durableId="1770158530">
    <w:abstractNumId w:val="2"/>
  </w:num>
  <w:num w:numId="22" w16cid:durableId="1934166123">
    <w:abstractNumId w:val="0"/>
  </w:num>
  <w:num w:numId="23" w16cid:durableId="479343916">
    <w:abstractNumId w:val="27"/>
  </w:num>
  <w:num w:numId="24" w16cid:durableId="1110854837">
    <w:abstractNumId w:val="31"/>
  </w:num>
  <w:num w:numId="25" w16cid:durableId="1182209916">
    <w:abstractNumId w:val="32"/>
  </w:num>
  <w:num w:numId="26" w16cid:durableId="1399865541">
    <w:abstractNumId w:val="33"/>
  </w:num>
  <w:num w:numId="27" w16cid:durableId="428696108">
    <w:abstractNumId w:val="34"/>
  </w:num>
  <w:num w:numId="28" w16cid:durableId="1014695287">
    <w:abstractNumId w:val="35"/>
  </w:num>
  <w:num w:numId="29" w16cid:durableId="231814395">
    <w:abstractNumId w:val="36"/>
  </w:num>
  <w:num w:numId="30" w16cid:durableId="1608465294">
    <w:abstractNumId w:val="37"/>
  </w:num>
  <w:num w:numId="31" w16cid:durableId="1297176564">
    <w:abstractNumId w:val="38"/>
  </w:num>
  <w:num w:numId="32" w16cid:durableId="191188536">
    <w:abstractNumId w:val="39"/>
  </w:num>
  <w:num w:numId="33" w16cid:durableId="156767979">
    <w:abstractNumId w:val="3"/>
  </w:num>
  <w:num w:numId="34" w16cid:durableId="1693453043">
    <w:abstractNumId w:val="28"/>
  </w:num>
  <w:num w:numId="35" w16cid:durableId="1003316616">
    <w:abstractNumId w:val="19"/>
  </w:num>
  <w:num w:numId="36" w16cid:durableId="1957980317">
    <w:abstractNumId w:val="1"/>
  </w:num>
  <w:num w:numId="37" w16cid:durableId="978874047">
    <w:abstractNumId w:val="18"/>
    <w:lvlOverride w:ilvl="0">
      <w:startOverride w:val="1"/>
    </w:lvlOverride>
    <w:lvlOverride w:ilvl="1"/>
    <w:lvlOverride w:ilvl="2"/>
    <w:lvlOverride w:ilvl="3"/>
    <w:lvlOverride w:ilvl="4"/>
    <w:lvlOverride w:ilvl="5"/>
    <w:lvlOverride w:ilvl="6"/>
    <w:lvlOverride w:ilvl="7"/>
    <w:lvlOverride w:ilvl="8"/>
  </w:num>
  <w:num w:numId="38" w16cid:durableId="700131357">
    <w:abstractNumId w:val="22"/>
  </w:num>
  <w:num w:numId="39" w16cid:durableId="720786857">
    <w:abstractNumId w:val="6"/>
  </w:num>
  <w:num w:numId="40" w16cid:durableId="80563242">
    <w:abstractNumId w:val="5"/>
  </w:num>
  <w:num w:numId="41" w16cid:durableId="28068389">
    <w:abstractNumId w:val="0"/>
    <w:lvlOverride w:ilvl="0">
      <w:startOverride w:val="9"/>
    </w:lvlOverride>
    <w:lvlOverride w:ilvl="1">
      <w:startOverride w:val="4"/>
    </w:lvlOverride>
  </w:num>
  <w:num w:numId="42" w16cid:durableId="1366641449">
    <w:abstractNumId w:val="0"/>
    <w:lvlOverride w:ilvl="0">
      <w:startOverride w:val="9"/>
    </w:lvlOverride>
    <w:lvlOverride w:ilvl="1">
      <w:startOverride w:val="5"/>
    </w:lvlOverride>
  </w:num>
  <w:num w:numId="43" w16cid:durableId="552272458">
    <w:abstractNumId w:val="18"/>
  </w:num>
  <w:num w:numId="44" w16cid:durableId="1417246970">
    <w:abstractNumId w:val="0"/>
  </w:num>
  <w:num w:numId="45" w16cid:durableId="181819988">
    <w:abstractNumId w:val="0"/>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ocumentProtection w:edit="trackedChanges" w:formatting="1" w:enforcement="1" w:cryptProviderType="rsaAES" w:cryptAlgorithmClass="hash" w:cryptAlgorithmType="typeAny" w:cryptAlgorithmSid="14" w:cryptSpinCount="100000" w:hash="/sDpmfO2EEn542caeqki5zmry23gb8Ew8UeSChCWu5PZGPKJOOmmldqAjtgnuv05pTMYPHBGvy9PbL2GaPEpyQ==" w:salt="biFYQGAyJpFAJwPC9knR2w=="/>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PartsVariable" w:val="&lt;docParts&gt;_x000d__x000a_  &lt;Precedent&gt;agreement&lt;/Precedent&gt;_x000d__x000a_  &lt;Operative&gt;clause&lt;/Operative&gt;_x000d__x000a_  &lt;TemplateType&gt;null&lt;/TemplateType&gt;_x000d__x000a_  &lt;SignaturePageBreakType&gt;Yes without message&lt;/SignaturePageBreakType&gt;_x000d__x000a_&lt;/docParts&gt;"/>
    <w:docVar w:name="gentXMLPartID" w:val="{247B5D34-F602-4A52-A95A-2A1B023A9A5D}"/>
  </w:docVars>
  <w:rsids>
    <w:rsidRoot w:val="007E66D4"/>
    <w:rsid w:val="00003128"/>
    <w:rsid w:val="00006F16"/>
    <w:rsid w:val="0001002B"/>
    <w:rsid w:val="000207B1"/>
    <w:rsid w:val="00025516"/>
    <w:rsid w:val="00026700"/>
    <w:rsid w:val="00027B82"/>
    <w:rsid w:val="000316F1"/>
    <w:rsid w:val="000346FF"/>
    <w:rsid w:val="00036947"/>
    <w:rsid w:val="000432AF"/>
    <w:rsid w:val="00046C8B"/>
    <w:rsid w:val="0004721E"/>
    <w:rsid w:val="00051842"/>
    <w:rsid w:val="00055E60"/>
    <w:rsid w:val="00056F0E"/>
    <w:rsid w:val="00061754"/>
    <w:rsid w:val="0006264E"/>
    <w:rsid w:val="00063EC3"/>
    <w:rsid w:val="00065338"/>
    <w:rsid w:val="00072794"/>
    <w:rsid w:val="0007392B"/>
    <w:rsid w:val="0008560D"/>
    <w:rsid w:val="00096BB4"/>
    <w:rsid w:val="00097B3A"/>
    <w:rsid w:val="000A066D"/>
    <w:rsid w:val="000A185F"/>
    <w:rsid w:val="000A1A13"/>
    <w:rsid w:val="000B2B5A"/>
    <w:rsid w:val="000B3207"/>
    <w:rsid w:val="000B6FA0"/>
    <w:rsid w:val="000C1456"/>
    <w:rsid w:val="000C69E0"/>
    <w:rsid w:val="000D6D55"/>
    <w:rsid w:val="000D6F01"/>
    <w:rsid w:val="000D73E3"/>
    <w:rsid w:val="000E3C82"/>
    <w:rsid w:val="0010267C"/>
    <w:rsid w:val="00105CA5"/>
    <w:rsid w:val="00111D43"/>
    <w:rsid w:val="00112280"/>
    <w:rsid w:val="00113692"/>
    <w:rsid w:val="00121AAD"/>
    <w:rsid w:val="001251CF"/>
    <w:rsid w:val="0012691C"/>
    <w:rsid w:val="001402E4"/>
    <w:rsid w:val="00144D7C"/>
    <w:rsid w:val="00153411"/>
    <w:rsid w:val="00164222"/>
    <w:rsid w:val="00170C92"/>
    <w:rsid w:val="00171F01"/>
    <w:rsid w:val="001764ED"/>
    <w:rsid w:val="00181237"/>
    <w:rsid w:val="00190ABD"/>
    <w:rsid w:val="00191E6D"/>
    <w:rsid w:val="00193520"/>
    <w:rsid w:val="001A3B1B"/>
    <w:rsid w:val="001A6A73"/>
    <w:rsid w:val="001B5480"/>
    <w:rsid w:val="001B5A8F"/>
    <w:rsid w:val="001C31C3"/>
    <w:rsid w:val="001C42EF"/>
    <w:rsid w:val="001E1764"/>
    <w:rsid w:val="001E3A67"/>
    <w:rsid w:val="001F09A6"/>
    <w:rsid w:val="001F1A23"/>
    <w:rsid w:val="001F2956"/>
    <w:rsid w:val="00203C39"/>
    <w:rsid w:val="002066EC"/>
    <w:rsid w:val="00212A54"/>
    <w:rsid w:val="00216001"/>
    <w:rsid w:val="00216E7E"/>
    <w:rsid w:val="00221CA6"/>
    <w:rsid w:val="00230A58"/>
    <w:rsid w:val="00231B71"/>
    <w:rsid w:val="00234757"/>
    <w:rsid w:val="002350A9"/>
    <w:rsid w:val="00246BAF"/>
    <w:rsid w:val="00247D31"/>
    <w:rsid w:val="00252880"/>
    <w:rsid w:val="00253468"/>
    <w:rsid w:val="00254C01"/>
    <w:rsid w:val="00255419"/>
    <w:rsid w:val="002719EE"/>
    <w:rsid w:val="00275867"/>
    <w:rsid w:val="00277813"/>
    <w:rsid w:val="002800D4"/>
    <w:rsid w:val="0028128B"/>
    <w:rsid w:val="00282196"/>
    <w:rsid w:val="00283E32"/>
    <w:rsid w:val="00287322"/>
    <w:rsid w:val="00287C7E"/>
    <w:rsid w:val="002903AC"/>
    <w:rsid w:val="0029181E"/>
    <w:rsid w:val="002A5394"/>
    <w:rsid w:val="002A53AB"/>
    <w:rsid w:val="002A5FAB"/>
    <w:rsid w:val="002B2C43"/>
    <w:rsid w:val="002C6819"/>
    <w:rsid w:val="002D1C56"/>
    <w:rsid w:val="002D4757"/>
    <w:rsid w:val="002D5B9F"/>
    <w:rsid w:val="002E2B13"/>
    <w:rsid w:val="002E48B5"/>
    <w:rsid w:val="002F4FD0"/>
    <w:rsid w:val="002F650C"/>
    <w:rsid w:val="00304070"/>
    <w:rsid w:val="00306300"/>
    <w:rsid w:val="00311529"/>
    <w:rsid w:val="0031460F"/>
    <w:rsid w:val="003164EC"/>
    <w:rsid w:val="00321B44"/>
    <w:rsid w:val="00326CDA"/>
    <w:rsid w:val="00327166"/>
    <w:rsid w:val="00330ABB"/>
    <w:rsid w:val="00347147"/>
    <w:rsid w:val="003620F7"/>
    <w:rsid w:val="003715F2"/>
    <w:rsid w:val="0037473D"/>
    <w:rsid w:val="00375491"/>
    <w:rsid w:val="00376D52"/>
    <w:rsid w:val="00387851"/>
    <w:rsid w:val="00387B2D"/>
    <w:rsid w:val="00390093"/>
    <w:rsid w:val="00392588"/>
    <w:rsid w:val="00395996"/>
    <w:rsid w:val="003970AB"/>
    <w:rsid w:val="003A1450"/>
    <w:rsid w:val="003A55ED"/>
    <w:rsid w:val="003A7D98"/>
    <w:rsid w:val="003B3E2D"/>
    <w:rsid w:val="003B402F"/>
    <w:rsid w:val="003C3AA7"/>
    <w:rsid w:val="003D156A"/>
    <w:rsid w:val="003D2C5D"/>
    <w:rsid w:val="003D7458"/>
    <w:rsid w:val="003E3B7E"/>
    <w:rsid w:val="003F6DBB"/>
    <w:rsid w:val="004046E2"/>
    <w:rsid w:val="00407494"/>
    <w:rsid w:val="00414F92"/>
    <w:rsid w:val="004176AB"/>
    <w:rsid w:val="00417F56"/>
    <w:rsid w:val="00435323"/>
    <w:rsid w:val="00436FBB"/>
    <w:rsid w:val="00437D21"/>
    <w:rsid w:val="00443CAA"/>
    <w:rsid w:val="00450307"/>
    <w:rsid w:val="004542BF"/>
    <w:rsid w:val="004619D8"/>
    <w:rsid w:val="004727D4"/>
    <w:rsid w:val="004729FE"/>
    <w:rsid w:val="00474828"/>
    <w:rsid w:val="00474CFB"/>
    <w:rsid w:val="004A0B1E"/>
    <w:rsid w:val="004A58FD"/>
    <w:rsid w:val="004B646A"/>
    <w:rsid w:val="004C2860"/>
    <w:rsid w:val="004C44DD"/>
    <w:rsid w:val="004C4AD3"/>
    <w:rsid w:val="004D133A"/>
    <w:rsid w:val="004E16C4"/>
    <w:rsid w:val="004E4ABE"/>
    <w:rsid w:val="004E66B2"/>
    <w:rsid w:val="004F4ECC"/>
    <w:rsid w:val="00500B4C"/>
    <w:rsid w:val="00503AFE"/>
    <w:rsid w:val="00510456"/>
    <w:rsid w:val="00511DDE"/>
    <w:rsid w:val="00530659"/>
    <w:rsid w:val="00533FF3"/>
    <w:rsid w:val="00534FFE"/>
    <w:rsid w:val="00544CD4"/>
    <w:rsid w:val="00557E21"/>
    <w:rsid w:val="00566D0E"/>
    <w:rsid w:val="00571DBA"/>
    <w:rsid w:val="00574327"/>
    <w:rsid w:val="0057479E"/>
    <w:rsid w:val="00576DE2"/>
    <w:rsid w:val="005771BD"/>
    <w:rsid w:val="0057750E"/>
    <w:rsid w:val="005775CF"/>
    <w:rsid w:val="00581270"/>
    <w:rsid w:val="005821F8"/>
    <w:rsid w:val="00582DED"/>
    <w:rsid w:val="0058692C"/>
    <w:rsid w:val="005935FF"/>
    <w:rsid w:val="00594721"/>
    <w:rsid w:val="005A17B5"/>
    <w:rsid w:val="005A35A7"/>
    <w:rsid w:val="005A61AA"/>
    <w:rsid w:val="005B199B"/>
    <w:rsid w:val="005B30A9"/>
    <w:rsid w:val="005B38CA"/>
    <w:rsid w:val="005C33B4"/>
    <w:rsid w:val="005C4DE5"/>
    <w:rsid w:val="005D444F"/>
    <w:rsid w:val="005D603F"/>
    <w:rsid w:val="005E1FE4"/>
    <w:rsid w:val="005E2BF5"/>
    <w:rsid w:val="005E4D72"/>
    <w:rsid w:val="005E7C77"/>
    <w:rsid w:val="005F4103"/>
    <w:rsid w:val="00600509"/>
    <w:rsid w:val="00601AC0"/>
    <w:rsid w:val="00602BA2"/>
    <w:rsid w:val="0061025C"/>
    <w:rsid w:val="0061111C"/>
    <w:rsid w:val="00611DC5"/>
    <w:rsid w:val="006216A2"/>
    <w:rsid w:val="00623D92"/>
    <w:rsid w:val="00633FDC"/>
    <w:rsid w:val="00637011"/>
    <w:rsid w:val="00640DE5"/>
    <w:rsid w:val="00641B3F"/>
    <w:rsid w:val="006431D0"/>
    <w:rsid w:val="00646C64"/>
    <w:rsid w:val="00650AF6"/>
    <w:rsid w:val="00657372"/>
    <w:rsid w:val="00662E09"/>
    <w:rsid w:val="006654A4"/>
    <w:rsid w:val="00666C2B"/>
    <w:rsid w:val="00667440"/>
    <w:rsid w:val="0067138B"/>
    <w:rsid w:val="0067315A"/>
    <w:rsid w:val="006737D9"/>
    <w:rsid w:val="00675EAA"/>
    <w:rsid w:val="00680830"/>
    <w:rsid w:val="00686091"/>
    <w:rsid w:val="006A5B3D"/>
    <w:rsid w:val="006B1EE9"/>
    <w:rsid w:val="006B676C"/>
    <w:rsid w:val="006C0A8B"/>
    <w:rsid w:val="006C4A40"/>
    <w:rsid w:val="006C59BE"/>
    <w:rsid w:val="006D203D"/>
    <w:rsid w:val="006D4178"/>
    <w:rsid w:val="006D5D90"/>
    <w:rsid w:val="006E34F5"/>
    <w:rsid w:val="006E4FA7"/>
    <w:rsid w:val="006E534C"/>
    <w:rsid w:val="006F65E5"/>
    <w:rsid w:val="007103AB"/>
    <w:rsid w:val="00710A42"/>
    <w:rsid w:val="007143AD"/>
    <w:rsid w:val="00715936"/>
    <w:rsid w:val="007206F4"/>
    <w:rsid w:val="00722D7C"/>
    <w:rsid w:val="00731FA7"/>
    <w:rsid w:val="007453C3"/>
    <w:rsid w:val="00751975"/>
    <w:rsid w:val="00753BC8"/>
    <w:rsid w:val="00775A68"/>
    <w:rsid w:val="0078016F"/>
    <w:rsid w:val="00782D62"/>
    <w:rsid w:val="00783226"/>
    <w:rsid w:val="00783821"/>
    <w:rsid w:val="00791CBE"/>
    <w:rsid w:val="00792E43"/>
    <w:rsid w:val="007A063D"/>
    <w:rsid w:val="007A07A3"/>
    <w:rsid w:val="007A1492"/>
    <w:rsid w:val="007A4D26"/>
    <w:rsid w:val="007A7B2B"/>
    <w:rsid w:val="007B1EAC"/>
    <w:rsid w:val="007B337E"/>
    <w:rsid w:val="007B5143"/>
    <w:rsid w:val="007C648B"/>
    <w:rsid w:val="007D7F10"/>
    <w:rsid w:val="007E05FE"/>
    <w:rsid w:val="007E0B2E"/>
    <w:rsid w:val="007E55ED"/>
    <w:rsid w:val="007E66D4"/>
    <w:rsid w:val="00817630"/>
    <w:rsid w:val="0082087B"/>
    <w:rsid w:val="008268B4"/>
    <w:rsid w:val="00834847"/>
    <w:rsid w:val="008447F6"/>
    <w:rsid w:val="00847C61"/>
    <w:rsid w:val="00851013"/>
    <w:rsid w:val="00852156"/>
    <w:rsid w:val="00855FBD"/>
    <w:rsid w:val="00857E1E"/>
    <w:rsid w:val="008623D3"/>
    <w:rsid w:val="00862544"/>
    <w:rsid w:val="00863A35"/>
    <w:rsid w:val="008663C3"/>
    <w:rsid w:val="00866687"/>
    <w:rsid w:val="0087377D"/>
    <w:rsid w:val="00880515"/>
    <w:rsid w:val="008976B1"/>
    <w:rsid w:val="008A0280"/>
    <w:rsid w:val="008A2EB9"/>
    <w:rsid w:val="008B10E7"/>
    <w:rsid w:val="008B1752"/>
    <w:rsid w:val="008B179D"/>
    <w:rsid w:val="008C45FC"/>
    <w:rsid w:val="008C687E"/>
    <w:rsid w:val="008C7E58"/>
    <w:rsid w:val="008F21F7"/>
    <w:rsid w:val="008F52B7"/>
    <w:rsid w:val="00903AA7"/>
    <w:rsid w:val="00911397"/>
    <w:rsid w:val="009135B6"/>
    <w:rsid w:val="00917650"/>
    <w:rsid w:val="00923B5C"/>
    <w:rsid w:val="00934E36"/>
    <w:rsid w:val="00935C3C"/>
    <w:rsid w:val="009413D6"/>
    <w:rsid w:val="00944CA9"/>
    <w:rsid w:val="00945556"/>
    <w:rsid w:val="009530AA"/>
    <w:rsid w:val="0096509E"/>
    <w:rsid w:val="00974BF6"/>
    <w:rsid w:val="009762C8"/>
    <w:rsid w:val="00977566"/>
    <w:rsid w:val="0098601C"/>
    <w:rsid w:val="00994720"/>
    <w:rsid w:val="009A1AD3"/>
    <w:rsid w:val="009B1B6F"/>
    <w:rsid w:val="009B2CB9"/>
    <w:rsid w:val="009B46AA"/>
    <w:rsid w:val="009C3A28"/>
    <w:rsid w:val="009C574E"/>
    <w:rsid w:val="009C67E3"/>
    <w:rsid w:val="009D048F"/>
    <w:rsid w:val="009D2702"/>
    <w:rsid w:val="009D36CF"/>
    <w:rsid w:val="009E5E6E"/>
    <w:rsid w:val="009F08B0"/>
    <w:rsid w:val="00A031AE"/>
    <w:rsid w:val="00A05FB0"/>
    <w:rsid w:val="00A10303"/>
    <w:rsid w:val="00A1162D"/>
    <w:rsid w:val="00A13377"/>
    <w:rsid w:val="00A21735"/>
    <w:rsid w:val="00A25629"/>
    <w:rsid w:val="00A40435"/>
    <w:rsid w:val="00A41BDC"/>
    <w:rsid w:val="00A443B1"/>
    <w:rsid w:val="00A4529B"/>
    <w:rsid w:val="00A611A4"/>
    <w:rsid w:val="00A6433D"/>
    <w:rsid w:val="00A66AC2"/>
    <w:rsid w:val="00A67B90"/>
    <w:rsid w:val="00A71EDC"/>
    <w:rsid w:val="00A74C5B"/>
    <w:rsid w:val="00A87A7E"/>
    <w:rsid w:val="00A9203F"/>
    <w:rsid w:val="00AA5143"/>
    <w:rsid w:val="00AA7C0F"/>
    <w:rsid w:val="00AB2CB1"/>
    <w:rsid w:val="00AB3C53"/>
    <w:rsid w:val="00AC17AE"/>
    <w:rsid w:val="00AC2611"/>
    <w:rsid w:val="00AC7E18"/>
    <w:rsid w:val="00AD5F23"/>
    <w:rsid w:val="00AD6188"/>
    <w:rsid w:val="00B033FE"/>
    <w:rsid w:val="00B07AD6"/>
    <w:rsid w:val="00B214BA"/>
    <w:rsid w:val="00B230FA"/>
    <w:rsid w:val="00B24D4F"/>
    <w:rsid w:val="00B32BE4"/>
    <w:rsid w:val="00B40E17"/>
    <w:rsid w:val="00B4128D"/>
    <w:rsid w:val="00B415DE"/>
    <w:rsid w:val="00B444E5"/>
    <w:rsid w:val="00B4689E"/>
    <w:rsid w:val="00B47BDB"/>
    <w:rsid w:val="00B5035D"/>
    <w:rsid w:val="00B679D2"/>
    <w:rsid w:val="00B708DC"/>
    <w:rsid w:val="00B756A1"/>
    <w:rsid w:val="00B82536"/>
    <w:rsid w:val="00B83BE3"/>
    <w:rsid w:val="00BA3453"/>
    <w:rsid w:val="00BA3EE6"/>
    <w:rsid w:val="00BA6D79"/>
    <w:rsid w:val="00BB6814"/>
    <w:rsid w:val="00BD153D"/>
    <w:rsid w:val="00BE08F2"/>
    <w:rsid w:val="00BE6262"/>
    <w:rsid w:val="00BF50E9"/>
    <w:rsid w:val="00C07616"/>
    <w:rsid w:val="00C10F23"/>
    <w:rsid w:val="00C24198"/>
    <w:rsid w:val="00C470F3"/>
    <w:rsid w:val="00C54D40"/>
    <w:rsid w:val="00C77126"/>
    <w:rsid w:val="00C82482"/>
    <w:rsid w:val="00C8396E"/>
    <w:rsid w:val="00C84379"/>
    <w:rsid w:val="00C846ED"/>
    <w:rsid w:val="00C87DB1"/>
    <w:rsid w:val="00C9429A"/>
    <w:rsid w:val="00CB08A4"/>
    <w:rsid w:val="00CB3D75"/>
    <w:rsid w:val="00CB6A00"/>
    <w:rsid w:val="00CB7E3B"/>
    <w:rsid w:val="00CC0C16"/>
    <w:rsid w:val="00CC0C21"/>
    <w:rsid w:val="00CC751C"/>
    <w:rsid w:val="00CD0300"/>
    <w:rsid w:val="00CD2BEA"/>
    <w:rsid w:val="00CD363C"/>
    <w:rsid w:val="00CE2AE8"/>
    <w:rsid w:val="00CF34F6"/>
    <w:rsid w:val="00CF37E6"/>
    <w:rsid w:val="00D023BD"/>
    <w:rsid w:val="00D15966"/>
    <w:rsid w:val="00D2298A"/>
    <w:rsid w:val="00D2772A"/>
    <w:rsid w:val="00D27C32"/>
    <w:rsid w:val="00D30126"/>
    <w:rsid w:val="00D36E80"/>
    <w:rsid w:val="00D41D31"/>
    <w:rsid w:val="00D41DDA"/>
    <w:rsid w:val="00D44BA4"/>
    <w:rsid w:val="00D4649C"/>
    <w:rsid w:val="00D468DB"/>
    <w:rsid w:val="00D52360"/>
    <w:rsid w:val="00D547A6"/>
    <w:rsid w:val="00D54FF3"/>
    <w:rsid w:val="00D57582"/>
    <w:rsid w:val="00D60F96"/>
    <w:rsid w:val="00D65AFE"/>
    <w:rsid w:val="00D671F9"/>
    <w:rsid w:val="00D734A8"/>
    <w:rsid w:val="00D74511"/>
    <w:rsid w:val="00D77C5E"/>
    <w:rsid w:val="00D814B0"/>
    <w:rsid w:val="00D81723"/>
    <w:rsid w:val="00D91BD1"/>
    <w:rsid w:val="00D95D08"/>
    <w:rsid w:val="00DA0717"/>
    <w:rsid w:val="00DA089A"/>
    <w:rsid w:val="00DA43B2"/>
    <w:rsid w:val="00DA588A"/>
    <w:rsid w:val="00DB34F1"/>
    <w:rsid w:val="00DC3912"/>
    <w:rsid w:val="00DC4039"/>
    <w:rsid w:val="00DD0184"/>
    <w:rsid w:val="00DD1540"/>
    <w:rsid w:val="00DD4B1D"/>
    <w:rsid w:val="00DE2994"/>
    <w:rsid w:val="00DE6D40"/>
    <w:rsid w:val="00DF034A"/>
    <w:rsid w:val="00DF18CC"/>
    <w:rsid w:val="00DF369B"/>
    <w:rsid w:val="00E00913"/>
    <w:rsid w:val="00E13BC4"/>
    <w:rsid w:val="00E20DCA"/>
    <w:rsid w:val="00E21346"/>
    <w:rsid w:val="00E218FE"/>
    <w:rsid w:val="00E373DA"/>
    <w:rsid w:val="00E43E4E"/>
    <w:rsid w:val="00E45FDA"/>
    <w:rsid w:val="00E50E4A"/>
    <w:rsid w:val="00E51313"/>
    <w:rsid w:val="00E61151"/>
    <w:rsid w:val="00E64288"/>
    <w:rsid w:val="00E66F0B"/>
    <w:rsid w:val="00E737D1"/>
    <w:rsid w:val="00E80556"/>
    <w:rsid w:val="00E81058"/>
    <w:rsid w:val="00E83849"/>
    <w:rsid w:val="00E84CF3"/>
    <w:rsid w:val="00E95ECE"/>
    <w:rsid w:val="00EB174A"/>
    <w:rsid w:val="00EB539A"/>
    <w:rsid w:val="00EB6DDD"/>
    <w:rsid w:val="00EC3386"/>
    <w:rsid w:val="00EC41E5"/>
    <w:rsid w:val="00EC68CD"/>
    <w:rsid w:val="00ED02F9"/>
    <w:rsid w:val="00ED1CC2"/>
    <w:rsid w:val="00ED7113"/>
    <w:rsid w:val="00EE4066"/>
    <w:rsid w:val="00EE797B"/>
    <w:rsid w:val="00EF05AC"/>
    <w:rsid w:val="00F0336F"/>
    <w:rsid w:val="00F04F2F"/>
    <w:rsid w:val="00F12DE2"/>
    <w:rsid w:val="00F173CB"/>
    <w:rsid w:val="00F26A8C"/>
    <w:rsid w:val="00F26D09"/>
    <w:rsid w:val="00F274F3"/>
    <w:rsid w:val="00F311A9"/>
    <w:rsid w:val="00F4170C"/>
    <w:rsid w:val="00F57432"/>
    <w:rsid w:val="00F60A4C"/>
    <w:rsid w:val="00F626F4"/>
    <w:rsid w:val="00F82CAA"/>
    <w:rsid w:val="00F84E20"/>
    <w:rsid w:val="00F93C61"/>
    <w:rsid w:val="00F9594E"/>
    <w:rsid w:val="00F96049"/>
    <w:rsid w:val="00FA1871"/>
    <w:rsid w:val="00FB64BC"/>
    <w:rsid w:val="00FC1F00"/>
    <w:rsid w:val="00FC2DDE"/>
    <w:rsid w:val="00FD3D41"/>
    <w:rsid w:val="00FD7F82"/>
    <w:rsid w:val="00FE6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BD5AE"/>
  <w15:docId w15:val="{B10CA0F9-96BE-457D-9497-69B7B6879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0126"/>
    <w:pPr>
      <w:spacing w:after="160" w:line="259" w:lineRule="auto"/>
    </w:pPr>
    <w:rPr>
      <w:rFonts w:eastAsiaTheme="minorHAnsi"/>
      <w:kern w:val="2"/>
      <w:lang w:eastAsia="en-US"/>
      <w14:ligatures w14:val="standardContextual"/>
    </w:rPr>
  </w:style>
  <w:style w:type="paragraph" w:styleId="Heading1">
    <w:name w:val="heading 1"/>
    <w:basedOn w:val="Normal"/>
    <w:next w:val="Normal"/>
    <w:link w:val="Heading1Char"/>
    <w:uiPriority w:val="9"/>
    <w:qFormat/>
    <w:rsid w:val="00BA5D42"/>
    <w:pPr>
      <w:keepNext/>
      <w:keepLines/>
      <w:numPr>
        <w:numId w:val="10"/>
      </w:numPr>
      <w:spacing w:before="480" w:after="0"/>
      <w:outlineLvl w:val="0"/>
    </w:pPr>
    <w:rPr>
      <w:rFonts w:asciiTheme="majorHAnsi" w:eastAsiaTheme="majorEastAsia" w:hAnsiTheme="majorHAnsi" w:cstheme="majorBidi"/>
      <w:b/>
      <w:bCs/>
      <w:color w:val="000000"/>
      <w:sz w:val="28"/>
      <w:szCs w:val="28"/>
    </w:rPr>
  </w:style>
  <w:style w:type="paragraph" w:styleId="Heading2">
    <w:name w:val="heading 2"/>
    <w:basedOn w:val="Normal"/>
    <w:next w:val="Normal"/>
    <w:link w:val="Heading2Char"/>
    <w:uiPriority w:val="9"/>
    <w:semiHidden/>
    <w:unhideWhenUsed/>
    <w:qFormat/>
    <w:rsid w:val="00BA5D42"/>
    <w:pPr>
      <w:keepNext/>
      <w:keepLines/>
      <w:numPr>
        <w:ilvl w:val="1"/>
        <w:numId w:val="10"/>
      </w:numPr>
      <w:spacing w:before="200" w:after="0"/>
      <w:outlineLvl w:val="1"/>
    </w:pPr>
    <w:rPr>
      <w:rFonts w:asciiTheme="majorHAnsi" w:eastAsiaTheme="majorEastAsia" w:hAnsiTheme="majorHAnsi" w:cstheme="majorBidi"/>
      <w:b/>
      <w:bCs/>
      <w:color w:val="000000"/>
      <w:sz w:val="26"/>
      <w:szCs w:val="26"/>
    </w:rPr>
  </w:style>
  <w:style w:type="paragraph" w:styleId="Heading3">
    <w:name w:val="heading 3"/>
    <w:basedOn w:val="Normal"/>
    <w:next w:val="Normal"/>
    <w:link w:val="Heading3Char"/>
    <w:uiPriority w:val="9"/>
    <w:semiHidden/>
    <w:unhideWhenUsed/>
    <w:qFormat/>
    <w:rsid w:val="00BA5D42"/>
    <w:pPr>
      <w:keepNext/>
      <w:keepLines/>
      <w:numPr>
        <w:ilvl w:val="2"/>
        <w:numId w:val="10"/>
      </w:numPr>
      <w:spacing w:before="200" w:after="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unhideWhenUsed/>
    <w:qFormat/>
    <w:rsid w:val="00BA5D42"/>
    <w:pPr>
      <w:keepNext/>
      <w:keepLines/>
      <w:numPr>
        <w:ilvl w:val="3"/>
        <w:numId w:val="10"/>
      </w:numPr>
      <w:spacing w:before="200" w:after="0"/>
      <w:outlineLvl w:val="3"/>
    </w:pPr>
    <w:rPr>
      <w:rFonts w:asciiTheme="majorHAnsi" w:eastAsiaTheme="majorEastAsia" w:hAnsiTheme="majorHAnsi" w:cstheme="majorBidi"/>
      <w:b/>
      <w:bCs/>
      <w:i/>
      <w:iCs/>
      <w:color w:val="000000"/>
    </w:rPr>
  </w:style>
  <w:style w:type="paragraph" w:styleId="Heading5">
    <w:name w:val="heading 5"/>
    <w:basedOn w:val="Normal"/>
    <w:next w:val="Normal"/>
    <w:link w:val="Heading5Char"/>
    <w:uiPriority w:val="9"/>
    <w:semiHidden/>
    <w:unhideWhenUsed/>
    <w:qFormat/>
    <w:rsid w:val="00BA5D42"/>
    <w:pPr>
      <w:keepNext/>
      <w:keepLines/>
      <w:numPr>
        <w:ilvl w:val="4"/>
        <w:numId w:val="10"/>
      </w:numPr>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BA5D42"/>
    <w:pPr>
      <w:keepNext/>
      <w:keepLines/>
      <w:numPr>
        <w:ilvl w:val="5"/>
        <w:numId w:val="10"/>
      </w:numPr>
      <w:spacing w:before="200" w:after="0"/>
      <w:outlineLvl w:val="5"/>
    </w:pPr>
    <w:rPr>
      <w:rFonts w:asciiTheme="majorHAnsi" w:eastAsiaTheme="majorEastAsia" w:hAnsiTheme="majorHAnsi" w:cstheme="majorBidi"/>
      <w:i/>
      <w:iCs/>
      <w:color w:val="000000"/>
    </w:rPr>
  </w:style>
  <w:style w:type="paragraph" w:styleId="Heading7">
    <w:name w:val="heading 7"/>
    <w:basedOn w:val="Normal"/>
    <w:next w:val="Normal"/>
    <w:link w:val="Heading7Char"/>
    <w:uiPriority w:val="9"/>
    <w:semiHidden/>
    <w:unhideWhenUsed/>
    <w:qFormat/>
    <w:rsid w:val="00BA5D42"/>
    <w:pPr>
      <w:keepNext/>
      <w:keepLines/>
      <w:numPr>
        <w:ilvl w:val="6"/>
        <w:numId w:val="10"/>
      </w:numPr>
      <w:spacing w:before="200" w:after="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unhideWhenUsed/>
    <w:qFormat/>
    <w:rsid w:val="00BA5D42"/>
    <w:pPr>
      <w:keepNext/>
      <w:keepLines/>
      <w:numPr>
        <w:ilvl w:val="7"/>
        <w:numId w:val="10"/>
      </w:numPr>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BA5D42"/>
    <w:pPr>
      <w:keepNext/>
      <w:keepLines/>
      <w:numPr>
        <w:ilvl w:val="8"/>
        <w:numId w:val="10"/>
      </w:numPr>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rsid w:val="00D3012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30126"/>
  </w:style>
  <w:style w:type="paragraph" w:customStyle="1" w:styleId="Abstract">
    <w:name w:val="Abstract"/>
    <w:link w:val="AbstractChar"/>
    <w:rsid w:val="00BA5D42"/>
    <w:pPr>
      <w:spacing w:after="120" w:line="240" w:lineRule="auto"/>
    </w:pPr>
    <w:rPr>
      <w:rFonts w:ascii="Arial" w:eastAsia="Arial Unicode MS" w:hAnsi="Arial" w:cs="Arial"/>
      <w:color w:val="000000"/>
      <w:sz w:val="24"/>
      <w:szCs w:val="24"/>
      <w:lang w:val="en-US" w:eastAsia="en-US"/>
    </w:rPr>
  </w:style>
  <w:style w:type="character" w:customStyle="1" w:styleId="AbstractChar">
    <w:name w:val="Abstract Char"/>
    <w:link w:val="Abstract"/>
    <w:rsid w:val="00BA5D42"/>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BA5D42"/>
    <w:pPr>
      <w:numPr>
        <w:numId w:val="11"/>
      </w:numPr>
      <w:spacing w:before="240" w:after="240"/>
      <w:ind w:left="0" w:firstLine="0"/>
    </w:pPr>
    <w:rPr>
      <w:b/>
    </w:rPr>
  </w:style>
  <w:style w:type="paragraph" w:customStyle="1" w:styleId="AuthoringGroup">
    <w:name w:val="Authoring Group"/>
    <w:link w:val="AuthoringGroupChar"/>
    <w:rsid w:val="00BA5D42"/>
    <w:pPr>
      <w:spacing w:after="120" w:line="240" w:lineRule="auto"/>
    </w:pPr>
    <w:rPr>
      <w:rFonts w:ascii="Arial" w:eastAsia="Arial Unicode MS" w:hAnsi="Arial" w:cs="Arial"/>
      <w:color w:val="000000"/>
      <w:sz w:val="24"/>
      <w:lang w:val="en-US" w:eastAsia="en-US"/>
    </w:rPr>
  </w:style>
  <w:style w:type="character" w:customStyle="1" w:styleId="AuthoringGroupChar">
    <w:name w:val="Authoring Group Char"/>
    <w:link w:val="AuthoringGroup"/>
    <w:rsid w:val="00BA5D42"/>
    <w:rPr>
      <w:rFonts w:ascii="Arial" w:eastAsia="Arial Unicode MS" w:hAnsi="Arial" w:cs="Arial"/>
      <w:color w:val="000000"/>
      <w:sz w:val="24"/>
      <w:lang w:val="en-US" w:eastAsia="en-US"/>
    </w:rPr>
  </w:style>
  <w:style w:type="paragraph" w:customStyle="1" w:styleId="Background">
    <w:name w:val="Background"/>
    <w:aliases w:val="(A) Background"/>
    <w:basedOn w:val="Normal"/>
    <w:rsid w:val="00BA5D42"/>
    <w:pPr>
      <w:numPr>
        <w:numId w:val="1"/>
      </w:numPr>
      <w:spacing w:before="120" w:after="120" w:line="300" w:lineRule="atLeast"/>
      <w:jc w:val="both"/>
    </w:pPr>
    <w:rPr>
      <w:rFonts w:ascii="Arial" w:eastAsia="Arial Unicode MS" w:hAnsi="Arial" w:cs="Arial"/>
      <w:color w:val="000000"/>
      <w:szCs w:val="20"/>
    </w:rPr>
  </w:style>
  <w:style w:type="paragraph" w:customStyle="1" w:styleId="BulletList1">
    <w:name w:val="Bullet List 1"/>
    <w:aliases w:val="Bullet1"/>
    <w:basedOn w:val="Normal"/>
    <w:rsid w:val="00BA5D42"/>
    <w:pPr>
      <w:numPr>
        <w:numId w:val="2"/>
      </w:numPr>
      <w:spacing w:after="240" w:line="300" w:lineRule="atLeast"/>
      <w:jc w:val="both"/>
    </w:pPr>
    <w:rPr>
      <w:rFonts w:ascii="Arial" w:eastAsia="Arial Unicode MS" w:hAnsi="Arial" w:cs="Arial"/>
      <w:color w:val="000000"/>
      <w:szCs w:val="20"/>
    </w:rPr>
  </w:style>
  <w:style w:type="paragraph" w:customStyle="1" w:styleId="BulletList2">
    <w:name w:val="Bullet List 2"/>
    <w:aliases w:val="Bullet2"/>
    <w:basedOn w:val="Normal"/>
    <w:rsid w:val="00BA5D42"/>
    <w:pPr>
      <w:numPr>
        <w:numId w:val="3"/>
      </w:numPr>
      <w:spacing w:after="120" w:line="240" w:lineRule="auto"/>
      <w:ind w:left="1080" w:hanging="720"/>
      <w:jc w:val="both"/>
    </w:pPr>
    <w:rPr>
      <w:rFonts w:ascii="Arial" w:eastAsia="Arial Unicode MS" w:hAnsi="Arial" w:cs="Arial"/>
      <w:color w:val="000000"/>
      <w:szCs w:val="20"/>
    </w:rPr>
  </w:style>
  <w:style w:type="paragraph" w:customStyle="1" w:styleId="BulletList3">
    <w:name w:val="Bullet List 3"/>
    <w:aliases w:val="Bullet3"/>
    <w:basedOn w:val="Normal"/>
    <w:rsid w:val="00BA5D42"/>
    <w:pPr>
      <w:numPr>
        <w:numId w:val="4"/>
      </w:numPr>
      <w:spacing w:after="240" w:line="240" w:lineRule="auto"/>
      <w:jc w:val="both"/>
    </w:pPr>
    <w:rPr>
      <w:rFonts w:ascii="Arial" w:eastAsia="Arial Unicode MS" w:hAnsi="Arial" w:cs="Arial"/>
      <w:color w:val="000000"/>
      <w:szCs w:val="20"/>
    </w:rPr>
  </w:style>
  <w:style w:type="paragraph" w:customStyle="1" w:styleId="TitleClause">
    <w:name w:val="Title Clause"/>
    <w:basedOn w:val="Normal"/>
    <w:rsid w:val="00BA5D42"/>
    <w:pPr>
      <w:keepNext/>
      <w:numPr>
        <w:numId w:val="44"/>
      </w:numPr>
      <w:spacing w:before="240" w:after="240" w:line="300" w:lineRule="atLeast"/>
      <w:jc w:val="both"/>
      <w:outlineLvl w:val="0"/>
    </w:pPr>
    <w:rPr>
      <w:rFonts w:ascii="Arial" w:eastAsia="Arial Unicode MS" w:hAnsi="Arial" w:cs="Arial"/>
      <w:b/>
      <w:color w:val="000000"/>
      <w:kern w:val="28"/>
      <w:szCs w:val="20"/>
    </w:rPr>
  </w:style>
  <w:style w:type="paragraph" w:customStyle="1" w:styleId="ClauseNoTitle">
    <w:name w:val="Clause No Title"/>
    <w:basedOn w:val="TitleClause"/>
    <w:rsid w:val="00BA5D42"/>
    <w:rPr>
      <w:b w:val="0"/>
      <w:smallCaps/>
    </w:rPr>
  </w:style>
  <w:style w:type="paragraph" w:customStyle="1" w:styleId="ClosingPara">
    <w:name w:val="Closing Para"/>
    <w:basedOn w:val="Normal"/>
    <w:rsid w:val="00BA5D42"/>
    <w:pPr>
      <w:spacing w:before="120" w:after="240" w:line="300" w:lineRule="atLeast"/>
      <w:jc w:val="both"/>
    </w:pPr>
    <w:rPr>
      <w:rFonts w:ascii="Arial" w:eastAsia="Arial Unicode MS" w:hAnsi="Arial" w:cs="Arial"/>
      <w:color w:val="000000"/>
      <w:szCs w:val="20"/>
    </w:rPr>
  </w:style>
  <w:style w:type="paragraph" w:customStyle="1" w:styleId="ClosingSignOff">
    <w:name w:val="Closing SignOff"/>
    <w:basedOn w:val="Normal"/>
    <w:rsid w:val="00BA5D42"/>
    <w:pPr>
      <w:spacing w:after="120" w:line="300" w:lineRule="atLeast"/>
      <w:jc w:val="both"/>
    </w:pPr>
    <w:rPr>
      <w:rFonts w:ascii="Arial" w:eastAsia="Arial Unicode MS" w:hAnsi="Arial" w:cs="Arial"/>
      <w:color w:val="000000"/>
      <w:szCs w:val="20"/>
    </w:rPr>
  </w:style>
  <w:style w:type="paragraph" w:customStyle="1" w:styleId="CoversheetTitle">
    <w:name w:val="Coversheet Title"/>
    <w:basedOn w:val="Normal"/>
    <w:autoRedefine/>
    <w:rsid w:val="003D7458"/>
    <w:pPr>
      <w:spacing w:before="480" w:after="480" w:line="300" w:lineRule="atLeast"/>
      <w:jc w:val="center"/>
    </w:pPr>
    <w:rPr>
      <w:rFonts w:ascii="Arial" w:eastAsia="Arial Unicode MS" w:hAnsi="Arial" w:cs="Arial"/>
      <w:b/>
      <w:smallCaps/>
      <w:color w:val="000000"/>
      <w:sz w:val="28"/>
      <w:szCs w:val="20"/>
    </w:rPr>
  </w:style>
  <w:style w:type="paragraph" w:customStyle="1" w:styleId="CoverSheetHeading">
    <w:name w:val="Cover Sheet Heading"/>
    <w:aliases w:val="Coversheet Title2"/>
    <w:basedOn w:val="CoversheetTitle"/>
    <w:rsid w:val="00BA5D42"/>
  </w:style>
  <w:style w:type="paragraph" w:customStyle="1" w:styleId="CoverSheetSubjectText">
    <w:name w:val="Cover Sheet Subject Text"/>
    <w:basedOn w:val="Normal"/>
    <w:rsid w:val="00BA5D42"/>
    <w:pPr>
      <w:spacing w:after="0" w:line="300" w:lineRule="atLeast"/>
      <w:jc w:val="center"/>
    </w:pPr>
    <w:rPr>
      <w:rFonts w:ascii="Arial" w:eastAsia="Arial Unicode MS" w:hAnsi="Arial" w:cs="Arial"/>
      <w:color w:val="000000"/>
      <w:szCs w:val="20"/>
    </w:rPr>
  </w:style>
  <w:style w:type="paragraph" w:customStyle="1" w:styleId="CoverSheetSubjectTitle">
    <w:name w:val="Cover Sheet Subject Title"/>
    <w:basedOn w:val="Normal"/>
    <w:rsid w:val="00BA5D42"/>
    <w:pPr>
      <w:spacing w:after="0" w:line="300" w:lineRule="atLeast"/>
      <w:jc w:val="center"/>
    </w:pPr>
    <w:rPr>
      <w:rFonts w:ascii="Arial" w:eastAsia="Arial Unicode MS" w:hAnsi="Arial" w:cs="Arial"/>
      <w:color w:val="000000"/>
      <w:szCs w:val="20"/>
    </w:rPr>
  </w:style>
  <w:style w:type="paragraph" w:customStyle="1" w:styleId="DefinedTermPara">
    <w:name w:val="Defined Term Para"/>
    <w:basedOn w:val="Paragraph"/>
    <w:qFormat/>
    <w:rsid w:val="00BA5D42"/>
    <w:pPr>
      <w:numPr>
        <w:numId w:val="23"/>
      </w:numPr>
    </w:pPr>
  </w:style>
  <w:style w:type="paragraph" w:customStyle="1" w:styleId="DescriptiveHeading">
    <w:name w:val="DescriptiveHeading"/>
    <w:next w:val="Paragraph"/>
    <w:link w:val="DescriptiveHeadingChar"/>
    <w:rsid w:val="00BA5D42"/>
    <w:pPr>
      <w:spacing w:before="360" w:after="360" w:line="240" w:lineRule="auto"/>
      <w:outlineLvl w:val="0"/>
    </w:pPr>
    <w:rPr>
      <w:rFonts w:ascii="Arial" w:eastAsia="Arial Unicode MS" w:hAnsi="Arial" w:cs="Arial"/>
      <w:b/>
      <w:color w:val="000000"/>
      <w:lang w:val="en-US" w:eastAsia="en-US"/>
    </w:rPr>
  </w:style>
  <w:style w:type="character" w:customStyle="1" w:styleId="DescriptiveHeadingChar">
    <w:name w:val="DescriptiveHeading Char"/>
    <w:link w:val="DescriptiveHeading"/>
    <w:rsid w:val="00BA5D42"/>
    <w:rPr>
      <w:rFonts w:ascii="Arial" w:eastAsia="Arial Unicode MS" w:hAnsi="Arial" w:cs="Arial"/>
      <w:b/>
      <w:color w:val="000000"/>
      <w:lang w:val="en-US" w:eastAsia="en-US"/>
    </w:rPr>
  </w:style>
  <w:style w:type="paragraph" w:customStyle="1" w:styleId="DraftingnoteSection1Para">
    <w:name w:val="Draftingnote Section1 Para"/>
    <w:basedOn w:val="Normal"/>
    <w:rsid w:val="00BA5D42"/>
    <w:pPr>
      <w:spacing w:after="120" w:line="300" w:lineRule="atLeast"/>
      <w:jc w:val="both"/>
    </w:pPr>
    <w:rPr>
      <w:rFonts w:ascii="Arial" w:eastAsia="Arial Unicode MS" w:hAnsi="Arial" w:cs="Arial"/>
      <w:color w:val="000000"/>
      <w:szCs w:val="20"/>
    </w:rPr>
  </w:style>
  <w:style w:type="paragraph" w:customStyle="1" w:styleId="DraftingnoteSection1Title">
    <w:name w:val="Draftingnote Section1 Title"/>
    <w:basedOn w:val="Normal"/>
    <w:rsid w:val="00BA5D42"/>
    <w:pPr>
      <w:spacing w:after="120" w:line="300" w:lineRule="atLeast"/>
      <w:jc w:val="both"/>
    </w:pPr>
    <w:rPr>
      <w:rFonts w:ascii="Arial" w:eastAsia="Arial Unicode MS" w:hAnsi="Arial" w:cs="Arial"/>
      <w:b/>
      <w:color w:val="000000"/>
      <w:sz w:val="36"/>
      <w:szCs w:val="20"/>
    </w:rPr>
  </w:style>
  <w:style w:type="paragraph" w:customStyle="1" w:styleId="DraftingnoteSection2Para">
    <w:name w:val="Draftingnote Section2 Para"/>
    <w:basedOn w:val="Normal"/>
    <w:rsid w:val="00BA5D42"/>
    <w:pPr>
      <w:spacing w:after="120" w:line="300" w:lineRule="atLeast"/>
      <w:jc w:val="both"/>
    </w:pPr>
    <w:rPr>
      <w:rFonts w:ascii="Arial" w:eastAsia="Arial Unicode MS" w:hAnsi="Arial" w:cs="Arial"/>
      <w:color w:val="000000"/>
      <w:szCs w:val="20"/>
    </w:rPr>
  </w:style>
  <w:style w:type="paragraph" w:customStyle="1" w:styleId="DraftingnoteSection2Title">
    <w:name w:val="Draftingnote Section2 Title"/>
    <w:basedOn w:val="Normal"/>
    <w:rsid w:val="00BA5D42"/>
    <w:pPr>
      <w:spacing w:after="120" w:line="300" w:lineRule="atLeast"/>
      <w:jc w:val="both"/>
    </w:pPr>
    <w:rPr>
      <w:rFonts w:ascii="Arial" w:eastAsia="Arial Unicode MS" w:hAnsi="Arial" w:cs="Arial"/>
      <w:b/>
      <w:color w:val="000000"/>
      <w:sz w:val="28"/>
      <w:szCs w:val="20"/>
    </w:rPr>
  </w:style>
  <w:style w:type="paragraph" w:customStyle="1" w:styleId="DraftingnoteSection3Para">
    <w:name w:val="Draftingnote Section3 Para"/>
    <w:basedOn w:val="Normal"/>
    <w:rsid w:val="00BA5D42"/>
    <w:pPr>
      <w:spacing w:after="120" w:line="300" w:lineRule="atLeast"/>
      <w:jc w:val="both"/>
    </w:pPr>
    <w:rPr>
      <w:rFonts w:ascii="Arial" w:eastAsia="Arial Unicode MS" w:hAnsi="Arial" w:cs="Arial"/>
      <w:color w:val="000000"/>
      <w:szCs w:val="20"/>
    </w:rPr>
  </w:style>
  <w:style w:type="paragraph" w:customStyle="1" w:styleId="DraftingnoteSection3Title">
    <w:name w:val="Draftingnote Section3 Title"/>
    <w:basedOn w:val="Normal"/>
    <w:rsid w:val="00BA5D42"/>
    <w:pPr>
      <w:spacing w:after="120" w:line="300" w:lineRule="atLeast"/>
      <w:jc w:val="both"/>
    </w:pPr>
    <w:rPr>
      <w:rFonts w:ascii="Arial" w:eastAsia="Arial Unicode MS" w:hAnsi="Arial" w:cs="Arial"/>
      <w:b/>
      <w:i/>
      <w:color w:val="000000"/>
      <w:sz w:val="28"/>
      <w:szCs w:val="20"/>
    </w:rPr>
  </w:style>
  <w:style w:type="paragraph" w:customStyle="1" w:styleId="DraftingnoteSection4Para">
    <w:name w:val="Draftingnote Section4 Para"/>
    <w:basedOn w:val="Normal"/>
    <w:rsid w:val="00BA5D42"/>
    <w:pPr>
      <w:spacing w:after="120" w:line="300" w:lineRule="atLeast"/>
      <w:jc w:val="both"/>
    </w:pPr>
    <w:rPr>
      <w:rFonts w:ascii="Arial" w:eastAsia="Arial Unicode MS" w:hAnsi="Arial" w:cs="Arial"/>
      <w:color w:val="000000"/>
      <w:szCs w:val="20"/>
    </w:rPr>
  </w:style>
  <w:style w:type="paragraph" w:customStyle="1" w:styleId="DraftingnoteSection4Title">
    <w:name w:val="Draftingnote Section4 Title"/>
    <w:basedOn w:val="Normal"/>
    <w:rsid w:val="00BA5D42"/>
    <w:pPr>
      <w:spacing w:after="120" w:line="300" w:lineRule="atLeast"/>
      <w:jc w:val="both"/>
    </w:pPr>
    <w:rPr>
      <w:rFonts w:ascii="Arial" w:eastAsia="Arial Unicode MS" w:hAnsi="Arial" w:cs="Arial"/>
      <w:b/>
      <w:i/>
      <w:color w:val="000000"/>
      <w:sz w:val="28"/>
      <w:szCs w:val="20"/>
    </w:rPr>
  </w:style>
  <w:style w:type="paragraph" w:customStyle="1" w:styleId="DraftingnoteTitle">
    <w:name w:val="Draftingnote Title"/>
    <w:basedOn w:val="Normal"/>
    <w:rsid w:val="00BA5D42"/>
    <w:pPr>
      <w:spacing w:after="120" w:line="300" w:lineRule="atLeast"/>
      <w:jc w:val="both"/>
    </w:pPr>
    <w:rPr>
      <w:rFonts w:ascii="Arial" w:eastAsia="Arial Unicode MS" w:hAnsi="Arial" w:cs="Arial"/>
      <w:b/>
      <w:color w:val="000000"/>
      <w:sz w:val="28"/>
      <w:szCs w:val="20"/>
    </w:rPr>
  </w:style>
  <w:style w:type="paragraph" w:customStyle="1" w:styleId="FulltextBridgehead">
    <w:name w:val="Fulltext Bridgehead"/>
    <w:basedOn w:val="Normal"/>
    <w:rsid w:val="00BA5D42"/>
    <w:pPr>
      <w:spacing w:after="120" w:line="300" w:lineRule="atLeast"/>
      <w:jc w:val="both"/>
    </w:pPr>
    <w:rPr>
      <w:rFonts w:ascii="Arial" w:eastAsia="Arial Unicode MS" w:hAnsi="Arial" w:cs="Arial"/>
      <w:b/>
      <w:color w:val="000000"/>
      <w:sz w:val="48"/>
      <w:szCs w:val="20"/>
    </w:rPr>
  </w:style>
  <w:style w:type="paragraph" w:customStyle="1" w:styleId="FulltextSection1Para">
    <w:name w:val="Fulltext Section1 Para"/>
    <w:basedOn w:val="Normal"/>
    <w:rsid w:val="00BA5D42"/>
    <w:pPr>
      <w:spacing w:after="120" w:line="300" w:lineRule="atLeast"/>
      <w:jc w:val="both"/>
    </w:pPr>
    <w:rPr>
      <w:rFonts w:ascii="Arial" w:eastAsia="Arial Unicode MS" w:hAnsi="Arial" w:cs="Arial"/>
      <w:color w:val="000000"/>
      <w:szCs w:val="20"/>
    </w:rPr>
  </w:style>
  <w:style w:type="paragraph" w:customStyle="1" w:styleId="FulltextSection1Title">
    <w:name w:val="Fulltext Section1 Title"/>
    <w:basedOn w:val="Normal"/>
    <w:rsid w:val="00BA5D42"/>
    <w:pPr>
      <w:spacing w:after="120" w:line="300" w:lineRule="atLeast"/>
      <w:jc w:val="both"/>
    </w:pPr>
    <w:rPr>
      <w:rFonts w:ascii="Arial" w:eastAsia="Arial Unicode MS" w:hAnsi="Arial" w:cs="Arial"/>
      <w:b/>
      <w:color w:val="000000"/>
      <w:sz w:val="36"/>
      <w:szCs w:val="20"/>
    </w:rPr>
  </w:style>
  <w:style w:type="paragraph" w:customStyle="1" w:styleId="FulltextSection2Para">
    <w:name w:val="Fulltext Section2 Para"/>
    <w:basedOn w:val="Normal"/>
    <w:rsid w:val="00BA5D42"/>
    <w:pPr>
      <w:spacing w:after="120" w:line="300" w:lineRule="atLeast"/>
      <w:jc w:val="both"/>
    </w:pPr>
    <w:rPr>
      <w:rFonts w:ascii="Arial" w:eastAsia="Arial Unicode MS" w:hAnsi="Arial" w:cs="Arial"/>
      <w:color w:val="000000"/>
      <w:szCs w:val="20"/>
    </w:rPr>
  </w:style>
  <w:style w:type="paragraph" w:customStyle="1" w:styleId="FulltextSection2Title">
    <w:name w:val="Fulltext Section2 Title"/>
    <w:basedOn w:val="Normal"/>
    <w:rsid w:val="00BA5D42"/>
    <w:pPr>
      <w:spacing w:after="120" w:line="300" w:lineRule="atLeast"/>
      <w:jc w:val="both"/>
    </w:pPr>
    <w:rPr>
      <w:rFonts w:ascii="Arial" w:eastAsia="Arial Unicode MS" w:hAnsi="Arial" w:cs="Arial"/>
      <w:b/>
      <w:color w:val="000000"/>
      <w:sz w:val="28"/>
      <w:szCs w:val="20"/>
    </w:rPr>
  </w:style>
  <w:style w:type="paragraph" w:customStyle="1" w:styleId="FulltextSection3Para">
    <w:name w:val="Fulltext Section3 Para"/>
    <w:basedOn w:val="Normal"/>
    <w:rsid w:val="00BA5D42"/>
    <w:pPr>
      <w:spacing w:after="120" w:line="300" w:lineRule="atLeast"/>
      <w:jc w:val="both"/>
    </w:pPr>
    <w:rPr>
      <w:rFonts w:ascii="Arial" w:eastAsia="Arial Unicode MS" w:hAnsi="Arial" w:cs="Arial"/>
      <w:color w:val="000000"/>
      <w:szCs w:val="20"/>
    </w:rPr>
  </w:style>
  <w:style w:type="paragraph" w:customStyle="1" w:styleId="FulltextSection3Title">
    <w:name w:val="Fulltext Section3 Title"/>
    <w:basedOn w:val="Normal"/>
    <w:rsid w:val="00BA5D42"/>
    <w:pPr>
      <w:spacing w:after="120" w:line="300" w:lineRule="atLeast"/>
      <w:jc w:val="both"/>
    </w:pPr>
    <w:rPr>
      <w:rFonts w:ascii="Arial" w:eastAsia="Arial Unicode MS" w:hAnsi="Arial" w:cs="Arial"/>
      <w:b/>
      <w:i/>
      <w:color w:val="000000"/>
      <w:sz w:val="28"/>
      <w:szCs w:val="20"/>
    </w:rPr>
  </w:style>
  <w:style w:type="paragraph" w:customStyle="1" w:styleId="FulltextSection4Para">
    <w:name w:val="Fulltext Section4 Para"/>
    <w:basedOn w:val="Normal"/>
    <w:rsid w:val="00BA5D42"/>
    <w:pPr>
      <w:spacing w:after="120" w:line="300" w:lineRule="atLeast"/>
      <w:jc w:val="both"/>
    </w:pPr>
    <w:rPr>
      <w:rFonts w:ascii="Arial" w:eastAsia="Arial Unicode MS" w:hAnsi="Arial" w:cs="Arial"/>
      <w:color w:val="000000"/>
      <w:szCs w:val="20"/>
    </w:rPr>
  </w:style>
  <w:style w:type="paragraph" w:customStyle="1" w:styleId="FulltextSection4Title">
    <w:name w:val="Fulltext Section4 Title"/>
    <w:basedOn w:val="Normal"/>
    <w:rsid w:val="00BA5D42"/>
    <w:pPr>
      <w:spacing w:after="120" w:line="300" w:lineRule="atLeast"/>
      <w:jc w:val="both"/>
    </w:pPr>
    <w:rPr>
      <w:rFonts w:ascii="Arial" w:eastAsia="Arial Unicode MS" w:hAnsi="Arial" w:cs="Arial"/>
      <w:b/>
      <w:i/>
      <w:color w:val="000000"/>
      <w:sz w:val="28"/>
      <w:szCs w:val="20"/>
    </w:rPr>
  </w:style>
  <w:style w:type="paragraph" w:customStyle="1" w:styleId="GlossItemGlossdefPara">
    <w:name w:val="GlossItem Glossdef Para"/>
    <w:basedOn w:val="Normal"/>
    <w:rsid w:val="00BA5D42"/>
    <w:pPr>
      <w:spacing w:after="120" w:line="300" w:lineRule="atLeast"/>
      <w:jc w:val="both"/>
    </w:pPr>
    <w:rPr>
      <w:rFonts w:ascii="Arial" w:eastAsia="Arial Unicode MS" w:hAnsi="Arial" w:cs="Arial"/>
      <w:color w:val="000000"/>
      <w:szCs w:val="20"/>
    </w:rPr>
  </w:style>
  <w:style w:type="paragraph" w:customStyle="1" w:styleId="GlossItemGlossterm">
    <w:name w:val="GlossItem Glossterm"/>
    <w:basedOn w:val="Normal"/>
    <w:rsid w:val="00BA5D42"/>
    <w:pPr>
      <w:spacing w:after="120" w:line="300" w:lineRule="atLeast"/>
      <w:jc w:val="both"/>
    </w:pPr>
    <w:rPr>
      <w:rFonts w:ascii="Arial" w:eastAsia="Arial Unicode MS" w:hAnsi="Arial" w:cs="Arial"/>
      <w:b/>
      <w:color w:val="000000"/>
      <w:sz w:val="48"/>
      <w:szCs w:val="20"/>
    </w:rPr>
  </w:style>
  <w:style w:type="paragraph" w:customStyle="1" w:styleId="HeadingAddressLine">
    <w:name w:val="Heading Address Line"/>
    <w:basedOn w:val="Normal"/>
    <w:rsid w:val="00BA5D42"/>
    <w:pPr>
      <w:spacing w:after="120" w:line="300" w:lineRule="atLeast"/>
      <w:jc w:val="both"/>
    </w:pPr>
    <w:rPr>
      <w:rFonts w:ascii="Arial" w:eastAsia="Arial Unicode MS" w:hAnsi="Arial" w:cs="Arial"/>
      <w:color w:val="000000"/>
      <w:szCs w:val="20"/>
    </w:rPr>
  </w:style>
  <w:style w:type="paragraph" w:customStyle="1" w:styleId="HeadingDate">
    <w:name w:val="Heading Date"/>
    <w:basedOn w:val="Normal"/>
    <w:rsid w:val="00BA5D42"/>
    <w:pPr>
      <w:spacing w:after="120" w:line="300" w:lineRule="atLeast"/>
      <w:jc w:val="both"/>
    </w:pPr>
    <w:rPr>
      <w:rFonts w:ascii="Arial" w:eastAsia="Arial Unicode MS" w:hAnsi="Arial" w:cs="Arial"/>
      <w:color w:val="000000"/>
      <w:szCs w:val="20"/>
    </w:rPr>
  </w:style>
  <w:style w:type="paragraph" w:customStyle="1" w:styleId="HeadingLetterheadBasedOnAttribute">
    <w:name w:val="Heading Letterhead Based On Attribute"/>
    <w:basedOn w:val="Normal"/>
    <w:rsid w:val="00BA5D42"/>
    <w:pPr>
      <w:spacing w:after="120" w:line="300" w:lineRule="atLeast"/>
      <w:jc w:val="both"/>
    </w:pPr>
    <w:rPr>
      <w:rFonts w:ascii="Arial" w:eastAsia="Arial Unicode MS" w:hAnsi="Arial" w:cs="Arial"/>
      <w:color w:val="000000"/>
      <w:szCs w:val="20"/>
    </w:rPr>
  </w:style>
  <w:style w:type="paragraph" w:customStyle="1" w:styleId="HeadingSalutation">
    <w:name w:val="Heading Salutation"/>
    <w:basedOn w:val="Normal"/>
    <w:rsid w:val="00BA5D42"/>
    <w:pPr>
      <w:spacing w:after="120" w:line="300" w:lineRule="atLeast"/>
      <w:jc w:val="both"/>
    </w:pPr>
    <w:rPr>
      <w:rFonts w:ascii="Arial" w:eastAsia="Arial Unicode MS" w:hAnsi="Arial" w:cs="Arial"/>
      <w:color w:val="000000"/>
      <w:szCs w:val="20"/>
    </w:rPr>
  </w:style>
  <w:style w:type="paragraph" w:customStyle="1" w:styleId="IgnoredSpacing">
    <w:name w:val="Ignored Spacing"/>
    <w:link w:val="IgnoredSpacingChar"/>
    <w:rsid w:val="00BA5D42"/>
    <w:pPr>
      <w:spacing w:after="120" w:line="240" w:lineRule="auto"/>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BA5D42"/>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BA5D42"/>
    <w:pPr>
      <w:spacing w:after="120" w:line="240" w:lineRule="auto"/>
    </w:pPr>
    <w:rPr>
      <w:rFonts w:ascii="Arial" w:eastAsia="Arial Unicode MS" w:hAnsi="Arial" w:cs="Arial"/>
      <w:color w:val="000000"/>
      <w:sz w:val="24"/>
      <w:lang w:val="en-US" w:eastAsia="en-US"/>
    </w:rPr>
  </w:style>
  <w:style w:type="character" w:customStyle="1" w:styleId="InternalAuthorChar">
    <w:name w:val="Internal Author Char"/>
    <w:link w:val="InternalAuthor"/>
    <w:rsid w:val="00BA5D42"/>
    <w:rPr>
      <w:rFonts w:ascii="Arial" w:eastAsia="Arial Unicode MS" w:hAnsi="Arial" w:cs="Arial"/>
      <w:color w:val="000000"/>
      <w:sz w:val="24"/>
      <w:lang w:val="en-US" w:eastAsia="en-US"/>
    </w:rPr>
  </w:style>
  <w:style w:type="paragraph" w:customStyle="1" w:styleId="MaintenanceEditor">
    <w:name w:val="Maintenance Editor"/>
    <w:link w:val="MaintenanceEditorChar"/>
    <w:rsid w:val="00BA5D42"/>
    <w:pPr>
      <w:spacing w:after="120" w:line="240" w:lineRule="auto"/>
    </w:pPr>
    <w:rPr>
      <w:rFonts w:ascii="Arial" w:eastAsia="Arial Unicode MS" w:hAnsi="Arial" w:cs="Arial"/>
      <w:color w:val="000000"/>
      <w:sz w:val="24"/>
      <w:lang w:val="en-US" w:eastAsia="en-US"/>
    </w:rPr>
  </w:style>
  <w:style w:type="character" w:customStyle="1" w:styleId="MaintenanceEditorChar">
    <w:name w:val="Maintenance Editor Char"/>
    <w:link w:val="MaintenanceEditor"/>
    <w:rsid w:val="00BA5D42"/>
    <w:rPr>
      <w:rFonts w:ascii="Arial" w:eastAsia="Arial Unicode MS" w:hAnsi="Arial" w:cs="Arial"/>
      <w:color w:val="000000"/>
      <w:sz w:val="24"/>
      <w:lang w:val="en-US" w:eastAsia="en-US"/>
    </w:rPr>
  </w:style>
  <w:style w:type="paragraph" w:customStyle="1" w:styleId="ParaClause">
    <w:name w:val="Para Clause"/>
    <w:basedOn w:val="Normal"/>
    <w:rsid w:val="00BA5D42"/>
    <w:pPr>
      <w:spacing w:before="120" w:after="120" w:line="300" w:lineRule="atLeast"/>
      <w:ind w:left="720"/>
      <w:jc w:val="both"/>
    </w:pPr>
    <w:rPr>
      <w:rFonts w:ascii="Arial" w:eastAsia="Arial Unicode MS" w:hAnsi="Arial" w:cs="Arial"/>
      <w:color w:val="000000"/>
      <w:szCs w:val="20"/>
    </w:rPr>
  </w:style>
  <w:style w:type="paragraph" w:customStyle="1" w:styleId="Parasubclause1">
    <w:name w:val="Para subclause 1"/>
    <w:aliases w:val="BIWS Heading 2"/>
    <w:basedOn w:val="Normal"/>
    <w:rsid w:val="00BA5D42"/>
    <w:pPr>
      <w:spacing w:before="240" w:after="120" w:line="300" w:lineRule="atLeast"/>
      <w:ind w:left="720"/>
      <w:jc w:val="both"/>
    </w:pPr>
    <w:rPr>
      <w:rFonts w:ascii="Arial" w:eastAsia="Arial Unicode MS" w:hAnsi="Arial" w:cs="Arial"/>
      <w:color w:val="000000"/>
      <w:szCs w:val="20"/>
    </w:rPr>
  </w:style>
  <w:style w:type="paragraph" w:customStyle="1" w:styleId="Untitledsubclause1">
    <w:name w:val="Untitled subclause 1"/>
    <w:basedOn w:val="Normal"/>
    <w:rsid w:val="00BA5D42"/>
    <w:pPr>
      <w:numPr>
        <w:ilvl w:val="1"/>
        <w:numId w:val="44"/>
      </w:numPr>
      <w:spacing w:before="280" w:after="120" w:line="300" w:lineRule="atLeast"/>
      <w:jc w:val="both"/>
      <w:outlineLvl w:val="1"/>
    </w:pPr>
    <w:rPr>
      <w:rFonts w:ascii="Arial" w:eastAsia="Arial Unicode MS" w:hAnsi="Arial" w:cs="Arial"/>
      <w:color w:val="000000"/>
      <w:szCs w:val="20"/>
    </w:rPr>
  </w:style>
  <w:style w:type="paragraph" w:customStyle="1" w:styleId="Parasubclause2">
    <w:name w:val="Para subclause 2"/>
    <w:aliases w:val="BIWS Heading 3"/>
    <w:basedOn w:val="Normal"/>
    <w:rsid w:val="00BA5D42"/>
    <w:pPr>
      <w:spacing w:after="240" w:line="300" w:lineRule="atLeast"/>
      <w:ind w:left="1559"/>
      <w:jc w:val="both"/>
    </w:pPr>
    <w:rPr>
      <w:rFonts w:ascii="Arial" w:eastAsia="Arial Unicode MS" w:hAnsi="Arial" w:cs="Arial"/>
      <w:color w:val="000000"/>
      <w:szCs w:val="20"/>
    </w:rPr>
  </w:style>
  <w:style w:type="paragraph" w:customStyle="1" w:styleId="Untitledsubclause2">
    <w:name w:val="Untitled subclause 2"/>
    <w:basedOn w:val="Normal"/>
    <w:rsid w:val="00BA5D42"/>
    <w:pPr>
      <w:numPr>
        <w:ilvl w:val="2"/>
        <w:numId w:val="44"/>
      </w:numPr>
      <w:spacing w:after="120" w:line="300" w:lineRule="atLeast"/>
      <w:jc w:val="both"/>
      <w:outlineLvl w:val="2"/>
    </w:pPr>
    <w:rPr>
      <w:rFonts w:ascii="Arial" w:eastAsia="Arial Unicode MS" w:hAnsi="Arial" w:cs="Arial"/>
      <w:color w:val="000000"/>
      <w:szCs w:val="20"/>
    </w:rPr>
  </w:style>
  <w:style w:type="paragraph" w:customStyle="1" w:styleId="Parasubclause3">
    <w:name w:val="Para subclause 3"/>
    <w:aliases w:val="BIWS Heading 4"/>
    <w:basedOn w:val="Normal"/>
    <w:next w:val="Untitledsubclause2"/>
    <w:rsid w:val="00BA5D42"/>
    <w:pPr>
      <w:spacing w:after="120" w:line="300" w:lineRule="atLeast"/>
      <w:ind w:left="2268"/>
      <w:jc w:val="both"/>
    </w:pPr>
    <w:rPr>
      <w:rFonts w:ascii="Arial" w:eastAsia="Arial Unicode MS" w:hAnsi="Arial" w:cs="Arial"/>
      <w:color w:val="000000"/>
      <w:szCs w:val="20"/>
    </w:rPr>
  </w:style>
  <w:style w:type="paragraph" w:customStyle="1" w:styleId="Untitledsubclause3">
    <w:name w:val="Untitled subclause 3"/>
    <w:basedOn w:val="Normal"/>
    <w:rsid w:val="00BA5D42"/>
    <w:pPr>
      <w:numPr>
        <w:ilvl w:val="3"/>
        <w:numId w:val="44"/>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Parasubclause4">
    <w:name w:val="Para subclause 4"/>
    <w:aliases w:val="BIWS Heading 5"/>
    <w:basedOn w:val="Parasubclause3"/>
    <w:rsid w:val="00BA5D42"/>
    <w:pPr>
      <w:spacing w:after="240"/>
      <w:ind w:left="3028"/>
    </w:pPr>
  </w:style>
  <w:style w:type="paragraph" w:customStyle="1" w:styleId="Untitledsubclause4">
    <w:name w:val="Untitled subclause 4"/>
    <w:basedOn w:val="Normal"/>
    <w:rsid w:val="00BA5D42"/>
    <w:pPr>
      <w:numPr>
        <w:ilvl w:val="4"/>
        <w:numId w:val="44"/>
      </w:numPr>
      <w:spacing w:after="120" w:line="300" w:lineRule="atLeast"/>
      <w:jc w:val="both"/>
      <w:outlineLvl w:val="4"/>
    </w:pPr>
    <w:rPr>
      <w:rFonts w:ascii="Arial" w:eastAsia="Arial Unicode MS" w:hAnsi="Arial" w:cs="Arial"/>
      <w:color w:val="000000"/>
      <w:szCs w:val="20"/>
    </w:rPr>
  </w:style>
  <w:style w:type="paragraph" w:customStyle="1" w:styleId="Para">
    <w:name w:val="Para"/>
    <w:aliases w:val="PLC Style - Normal"/>
    <w:basedOn w:val="Normal"/>
    <w:rsid w:val="00BA5D42"/>
    <w:pPr>
      <w:spacing w:after="120" w:line="300" w:lineRule="atLeast"/>
      <w:jc w:val="both"/>
    </w:pPr>
    <w:rPr>
      <w:rFonts w:ascii="Arial" w:eastAsia="Arial Unicode MS" w:hAnsi="Arial" w:cs="Arial"/>
      <w:color w:val="000000"/>
      <w:szCs w:val="20"/>
    </w:rPr>
  </w:style>
  <w:style w:type="paragraph" w:customStyle="1" w:styleId="Parties">
    <w:name w:val="Parties"/>
    <w:aliases w:val="(1) Parties"/>
    <w:basedOn w:val="Normal"/>
    <w:rsid w:val="00BA5D42"/>
    <w:pPr>
      <w:numPr>
        <w:numId w:val="5"/>
      </w:numPr>
      <w:spacing w:before="120" w:after="120" w:line="300" w:lineRule="atLeast"/>
      <w:jc w:val="both"/>
    </w:pPr>
    <w:rPr>
      <w:rFonts w:ascii="Arial" w:eastAsia="Arial Unicode MS" w:hAnsi="Arial" w:cs="Arial"/>
      <w:color w:val="000000"/>
      <w:szCs w:val="20"/>
    </w:rPr>
  </w:style>
  <w:style w:type="paragraph" w:customStyle="1" w:styleId="ResourceHistoryAuthor">
    <w:name w:val="Resource History Author"/>
    <w:link w:val="ResourceHistoryAuthorChar"/>
    <w:rsid w:val="00BA5D42"/>
    <w:pPr>
      <w:spacing w:after="120" w:line="240" w:lineRule="auto"/>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BA5D42"/>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BA5D42"/>
    <w:pPr>
      <w:spacing w:after="120" w:line="240" w:lineRule="auto"/>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BA5D42"/>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BA5D42"/>
    <w:pPr>
      <w:spacing w:after="120" w:line="240" w:lineRule="auto"/>
    </w:pPr>
    <w:rPr>
      <w:rFonts w:ascii="Verdana" w:eastAsia="Times New Roman" w:hAnsi="Verdana" w:cs="Verdana"/>
      <w:color w:val="000000"/>
      <w:sz w:val="18"/>
      <w:szCs w:val="24"/>
      <w:lang w:val="en-US" w:eastAsia="en-US"/>
    </w:rPr>
  </w:style>
  <w:style w:type="character" w:customStyle="1" w:styleId="ResourceHistoryDescChar">
    <w:name w:val="Resource History Desc Char"/>
    <w:link w:val="ResourceHistoryDesc"/>
    <w:rsid w:val="00BA5D42"/>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BA5D42"/>
    <w:pPr>
      <w:spacing w:after="120" w:line="240" w:lineRule="auto"/>
    </w:pPr>
    <w:rPr>
      <w:rFonts w:ascii="Arial" w:eastAsia="Arial Unicode MS" w:hAnsi="Arial" w:cs="Arial"/>
      <w:b/>
      <w:bCs/>
      <w:color w:val="000000"/>
      <w:sz w:val="24"/>
      <w:lang w:val="en-US" w:eastAsia="en-US"/>
    </w:rPr>
  </w:style>
  <w:style w:type="character" w:customStyle="1" w:styleId="ResourceHistoryTitleChar">
    <w:name w:val="Resource History Title Char"/>
    <w:link w:val="ResourceHistoryTitle"/>
    <w:rsid w:val="00BA5D42"/>
    <w:rPr>
      <w:rFonts w:ascii="Arial" w:eastAsia="Arial Unicode MS" w:hAnsi="Arial" w:cs="Arial"/>
      <w:b/>
      <w:bCs/>
      <w:color w:val="000000"/>
      <w:sz w:val="24"/>
      <w:lang w:val="en-US" w:eastAsia="en-US"/>
    </w:rPr>
  </w:style>
  <w:style w:type="paragraph" w:customStyle="1" w:styleId="ResourceType">
    <w:name w:val="Resource Type"/>
    <w:link w:val="ResourceTypeChar"/>
    <w:rsid w:val="00BA5D42"/>
    <w:pPr>
      <w:spacing w:after="120" w:line="240" w:lineRule="auto"/>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BA5D42"/>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BA5D42"/>
    <w:pPr>
      <w:numPr>
        <w:numId w:val="6"/>
      </w:numPr>
      <w:spacing w:before="240" w:after="360" w:line="300" w:lineRule="atLeast"/>
      <w:jc w:val="both"/>
    </w:pPr>
    <w:rPr>
      <w:rFonts w:ascii="Arial" w:eastAsia="Arial Unicode MS" w:hAnsi="Arial" w:cs="Arial"/>
      <w:b/>
      <w:color w:val="000000"/>
      <w:kern w:val="28"/>
      <w:szCs w:val="20"/>
    </w:rPr>
  </w:style>
  <w:style w:type="paragraph" w:customStyle="1" w:styleId="ScheduleHeading">
    <w:name w:val="Schedule Heading"/>
    <w:aliases w:val="Sch   main head"/>
    <w:basedOn w:val="Normal"/>
    <w:next w:val="Normal"/>
    <w:autoRedefine/>
    <w:rsid w:val="00BA5D42"/>
    <w:pPr>
      <w:keepNext/>
      <w:pageBreakBefore/>
      <w:numPr>
        <w:numId w:val="7"/>
      </w:numPr>
      <w:spacing w:before="240" w:after="360" w:line="300" w:lineRule="atLeast"/>
      <w:jc w:val="center"/>
      <w:outlineLvl w:val="0"/>
    </w:pPr>
    <w:rPr>
      <w:rFonts w:ascii="Arial" w:eastAsia="Arial Unicode MS" w:hAnsi="Arial" w:cs="Arial"/>
      <w:b/>
      <w:color w:val="000000"/>
      <w:kern w:val="28"/>
      <w:szCs w:val="20"/>
    </w:rPr>
  </w:style>
  <w:style w:type="paragraph" w:customStyle="1" w:styleId="SectionHeading">
    <w:name w:val="Section Heading"/>
    <w:aliases w:val="1stIntroHeadings"/>
    <w:basedOn w:val="Normal"/>
    <w:next w:val="Normal"/>
    <w:rsid w:val="00BA5D42"/>
    <w:pPr>
      <w:tabs>
        <w:tab w:val="left" w:pos="709"/>
      </w:tabs>
      <w:spacing w:before="120" w:after="120" w:line="300" w:lineRule="atLeast"/>
      <w:jc w:val="both"/>
    </w:pPr>
    <w:rPr>
      <w:rFonts w:ascii="Arial" w:eastAsia="Arial Unicode MS" w:hAnsi="Arial" w:cs="Arial"/>
      <w:b/>
      <w:smallCaps/>
      <w:color w:val="000000"/>
      <w:sz w:val="24"/>
      <w:szCs w:val="20"/>
    </w:rPr>
  </w:style>
  <w:style w:type="paragraph" w:customStyle="1" w:styleId="Shortquestion">
    <w:name w:val="Shortquestion"/>
    <w:basedOn w:val="Normal"/>
    <w:rsid w:val="00BA5D42"/>
    <w:pPr>
      <w:spacing w:after="120" w:line="300" w:lineRule="atLeast"/>
      <w:jc w:val="both"/>
    </w:pPr>
    <w:rPr>
      <w:rFonts w:ascii="Arial" w:eastAsia="Arial Unicode MS" w:hAnsi="Arial" w:cs="Arial"/>
      <w:color w:val="000000"/>
      <w:szCs w:val="20"/>
    </w:rPr>
  </w:style>
  <w:style w:type="paragraph" w:customStyle="1" w:styleId="SpeedreadPara">
    <w:name w:val="Speedread Para"/>
    <w:basedOn w:val="Normal"/>
    <w:rsid w:val="00BA5D42"/>
    <w:pPr>
      <w:spacing w:after="120" w:line="300" w:lineRule="atLeast"/>
      <w:jc w:val="both"/>
    </w:pPr>
    <w:rPr>
      <w:rFonts w:ascii="Arial" w:eastAsia="Arial Unicode MS" w:hAnsi="Arial" w:cs="Arial"/>
      <w:color w:val="000000"/>
      <w:szCs w:val="20"/>
    </w:rPr>
  </w:style>
  <w:style w:type="paragraph" w:customStyle="1" w:styleId="SpeedreadSection1Para">
    <w:name w:val="Speedread Section1 Para"/>
    <w:basedOn w:val="Normal"/>
    <w:rsid w:val="00BA5D42"/>
    <w:pPr>
      <w:spacing w:after="120" w:line="300" w:lineRule="atLeast"/>
      <w:jc w:val="both"/>
    </w:pPr>
    <w:rPr>
      <w:rFonts w:ascii="Arial" w:eastAsia="Arial Unicode MS" w:hAnsi="Arial" w:cs="Arial"/>
      <w:color w:val="000000"/>
      <w:szCs w:val="20"/>
    </w:rPr>
  </w:style>
  <w:style w:type="paragraph" w:customStyle="1" w:styleId="SpeedreadSection1Text">
    <w:name w:val="Speedread Section1 Text"/>
    <w:basedOn w:val="Normal"/>
    <w:rsid w:val="00BA5D42"/>
    <w:pPr>
      <w:spacing w:after="120" w:line="300" w:lineRule="atLeast"/>
      <w:jc w:val="both"/>
    </w:pPr>
    <w:rPr>
      <w:rFonts w:ascii="Arial" w:eastAsia="Arial Unicode MS" w:hAnsi="Arial" w:cs="Arial"/>
      <w:color w:val="000000"/>
      <w:szCs w:val="20"/>
    </w:rPr>
  </w:style>
  <w:style w:type="paragraph" w:customStyle="1" w:styleId="SpeedreadText">
    <w:name w:val="Speedread Text"/>
    <w:basedOn w:val="Normal"/>
    <w:rsid w:val="00BA5D42"/>
    <w:pPr>
      <w:spacing w:after="120" w:line="300" w:lineRule="atLeast"/>
      <w:jc w:val="both"/>
    </w:pPr>
    <w:rPr>
      <w:rFonts w:ascii="Arial" w:eastAsia="Arial Unicode MS" w:hAnsi="Arial" w:cs="Arial"/>
      <w:color w:val="000000"/>
      <w:szCs w:val="20"/>
    </w:rPr>
  </w:style>
  <w:style w:type="paragraph" w:customStyle="1" w:styleId="SpeedreadTitle">
    <w:name w:val="Speedread Title"/>
    <w:basedOn w:val="Normal"/>
    <w:rsid w:val="00BA5D42"/>
    <w:pPr>
      <w:spacing w:after="120" w:line="300" w:lineRule="atLeast"/>
      <w:jc w:val="both"/>
    </w:pPr>
    <w:rPr>
      <w:rFonts w:ascii="Arial" w:eastAsia="Arial Unicode MS" w:hAnsi="Arial" w:cs="Arial"/>
      <w:b/>
      <w:color w:val="000000"/>
      <w:sz w:val="36"/>
      <w:szCs w:val="20"/>
    </w:rPr>
  </w:style>
  <w:style w:type="paragraph" w:customStyle="1" w:styleId="TemplateType">
    <w:name w:val="Template Type"/>
    <w:link w:val="TemplateTypeChar"/>
    <w:rsid w:val="00BA5D42"/>
    <w:pPr>
      <w:spacing w:after="120" w:line="240" w:lineRule="auto"/>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BA5D42"/>
    <w:rPr>
      <w:rFonts w:ascii="Arial" w:eastAsia="Arial Unicode MS" w:hAnsi="Arial" w:cs="Arial"/>
      <w:color w:val="000000"/>
      <w:sz w:val="24"/>
      <w:szCs w:val="24"/>
      <w:lang w:val="en-US" w:eastAsia="en-US"/>
    </w:rPr>
  </w:style>
  <w:style w:type="paragraph" w:styleId="Title">
    <w:name w:val="Title"/>
    <w:link w:val="TitleChar"/>
    <w:rsid w:val="00BA5D42"/>
    <w:pPr>
      <w:spacing w:after="120" w:line="240" w:lineRule="auto"/>
    </w:pPr>
    <w:rPr>
      <w:rFonts w:ascii="Arial" w:eastAsia="Arial Unicode MS" w:hAnsi="Arial" w:cs="Arial"/>
      <w:color w:val="000000"/>
      <w:sz w:val="24"/>
      <w:lang w:val="en-US" w:eastAsia="en-US"/>
    </w:rPr>
  </w:style>
  <w:style w:type="character" w:customStyle="1" w:styleId="TitleChar">
    <w:name w:val="Title Char"/>
    <w:link w:val="Title"/>
    <w:rsid w:val="00BA5D42"/>
    <w:rPr>
      <w:rFonts w:ascii="Arial" w:eastAsia="Arial Unicode MS" w:hAnsi="Arial" w:cs="Arial"/>
      <w:color w:val="000000"/>
      <w:sz w:val="24"/>
      <w:lang w:val="en-US" w:eastAsia="en-US"/>
    </w:rPr>
  </w:style>
  <w:style w:type="paragraph" w:styleId="Footer">
    <w:name w:val="footer"/>
    <w:basedOn w:val="Normal"/>
    <w:link w:val="FooterChar"/>
    <w:rsid w:val="00BA5D42"/>
    <w:pPr>
      <w:tabs>
        <w:tab w:val="center" w:pos="4153"/>
        <w:tab w:val="right" w:pos="8306"/>
      </w:tabs>
      <w:spacing w:after="240" w:line="300" w:lineRule="atLeast"/>
      <w:jc w:val="both"/>
    </w:pPr>
    <w:rPr>
      <w:rFonts w:ascii="Times New Roman" w:eastAsia="Times New Roman" w:hAnsi="Times New Roman" w:cs="Times New Roman"/>
      <w:color w:val="000000"/>
      <w:szCs w:val="20"/>
    </w:rPr>
  </w:style>
  <w:style w:type="character" w:customStyle="1" w:styleId="FooterChar">
    <w:name w:val="Footer Char"/>
    <w:basedOn w:val="DefaultParagraphFont"/>
    <w:link w:val="Footer"/>
    <w:rsid w:val="00BA5D42"/>
    <w:rPr>
      <w:rFonts w:ascii="Times New Roman" w:eastAsia="Times New Roman" w:hAnsi="Times New Roman" w:cs="Times New Roman"/>
      <w:color w:val="000000"/>
      <w:szCs w:val="20"/>
      <w:lang w:eastAsia="en-US"/>
    </w:rPr>
  </w:style>
  <w:style w:type="character" w:styleId="Hyperlink">
    <w:name w:val="Hyperlink"/>
    <w:basedOn w:val="DefaultParagraphFont"/>
    <w:uiPriority w:val="99"/>
    <w:rsid w:val="00BA5D42"/>
    <w:rPr>
      <w:i/>
      <w:color w:val="000000"/>
      <w:u w:val="single"/>
    </w:rPr>
  </w:style>
  <w:style w:type="paragraph" w:customStyle="1" w:styleId="Bullet4">
    <w:name w:val="Bullet4"/>
    <w:basedOn w:val="Normal"/>
    <w:rsid w:val="00BA5D42"/>
    <w:pPr>
      <w:numPr>
        <w:numId w:val="8"/>
      </w:numPr>
      <w:spacing w:after="240" w:line="240" w:lineRule="auto"/>
      <w:jc w:val="both"/>
    </w:pPr>
    <w:rPr>
      <w:rFonts w:ascii="Times New Roman" w:eastAsia="Times New Roman" w:hAnsi="Times New Roman" w:cs="Times New Roman"/>
      <w:color w:val="000000"/>
      <w:szCs w:val="20"/>
    </w:rPr>
  </w:style>
  <w:style w:type="paragraph" w:customStyle="1" w:styleId="Paragraph">
    <w:name w:val="Paragraph"/>
    <w:basedOn w:val="Normal"/>
    <w:link w:val="ParagraphChar"/>
    <w:qFormat/>
    <w:rsid w:val="00BA5D42"/>
    <w:pPr>
      <w:spacing w:after="120" w:line="300" w:lineRule="atLeast"/>
      <w:jc w:val="both"/>
    </w:pPr>
    <w:rPr>
      <w:rFonts w:ascii="Arial" w:eastAsia="Arial Unicode MS" w:hAnsi="Arial" w:cs="Arial"/>
      <w:color w:val="000000"/>
      <w:szCs w:val="20"/>
    </w:rPr>
  </w:style>
  <w:style w:type="paragraph" w:customStyle="1" w:styleId="IgnoredTemplateText">
    <w:name w:val="Ignored Template Text"/>
    <w:link w:val="IgnoredTemplateTextChar"/>
    <w:rsid w:val="00BA5D42"/>
    <w:pPr>
      <w:pBdr>
        <w:top w:val="single" w:sz="4" w:space="1" w:color="auto"/>
        <w:left w:val="single" w:sz="4" w:space="4" w:color="auto"/>
        <w:bottom w:val="single" w:sz="4" w:space="1" w:color="auto"/>
        <w:right w:val="single" w:sz="4" w:space="4" w:color="auto"/>
      </w:pBdr>
      <w:shd w:val="pct15" w:color="auto" w:fill="FBD4B4" w:themeFill="accent6" w:themeFillTint="66"/>
      <w:spacing w:after="120" w:line="240" w:lineRule="auto"/>
    </w:pPr>
    <w:rPr>
      <w:rFonts w:ascii="Arial" w:eastAsia="Arial Unicode MS" w:hAnsi="Arial" w:cs="Arial"/>
      <w:b/>
      <w:i/>
      <w:color w:val="000000"/>
      <w:szCs w:val="18"/>
      <w:lang w:val="en-US" w:eastAsia="en-US"/>
    </w:rPr>
  </w:style>
  <w:style w:type="character" w:customStyle="1" w:styleId="IgnoredTemplateTextChar">
    <w:name w:val="Ignored Template Text Char"/>
    <w:link w:val="IgnoredTemplateText"/>
    <w:rsid w:val="00BA5D42"/>
    <w:rPr>
      <w:rFonts w:ascii="Arial" w:eastAsia="Arial Unicode MS" w:hAnsi="Arial" w:cs="Arial"/>
      <w:b/>
      <w:i/>
      <w:color w:val="000000"/>
      <w:szCs w:val="18"/>
      <w:shd w:val="pct15" w:color="auto" w:fill="FBD4B4" w:themeFill="accent6" w:themeFillTint="66"/>
      <w:lang w:val="en-US" w:eastAsia="en-US"/>
    </w:rPr>
  </w:style>
  <w:style w:type="paragraph" w:customStyle="1" w:styleId="InternalTOC">
    <w:name w:val="Internal TOC"/>
    <w:rsid w:val="00BA5D42"/>
    <w:pPr>
      <w:spacing w:after="120" w:line="240" w:lineRule="auto"/>
    </w:pPr>
    <w:rPr>
      <w:rFonts w:ascii="Arial" w:eastAsia="Arial Unicode MS" w:hAnsi="Arial" w:cs="Arial"/>
      <w:color w:val="000000"/>
      <w:lang w:val="en-US" w:eastAsia="en-US"/>
    </w:rPr>
  </w:style>
  <w:style w:type="paragraph" w:customStyle="1" w:styleId="HeadingLevel1">
    <w:name w:val="Heading Level 1"/>
    <w:basedOn w:val="Normal"/>
    <w:next w:val="Paragraph"/>
    <w:rsid w:val="00BA5D42"/>
    <w:pPr>
      <w:keepNext/>
      <w:spacing w:after="120" w:line="300" w:lineRule="atLeast"/>
      <w:jc w:val="both"/>
      <w:outlineLvl w:val="1"/>
    </w:pPr>
    <w:rPr>
      <w:rFonts w:ascii="Arial" w:eastAsia="Arial Unicode MS" w:hAnsi="Arial" w:cs="Arial"/>
      <w:b/>
      <w:color w:val="000000"/>
      <w:sz w:val="36"/>
      <w:szCs w:val="20"/>
    </w:rPr>
  </w:style>
  <w:style w:type="paragraph" w:customStyle="1" w:styleId="HeadingLevel2">
    <w:name w:val="Heading Level 2"/>
    <w:basedOn w:val="Normal"/>
    <w:next w:val="Paragraph"/>
    <w:rsid w:val="00BA5D42"/>
    <w:pPr>
      <w:keepNext/>
      <w:spacing w:after="120" w:line="300" w:lineRule="atLeast"/>
      <w:jc w:val="both"/>
      <w:outlineLvl w:val="2"/>
    </w:pPr>
    <w:rPr>
      <w:rFonts w:ascii="Arial" w:eastAsia="Arial Unicode MS" w:hAnsi="Arial" w:cs="Arial"/>
      <w:b/>
      <w:color w:val="000000"/>
      <w:sz w:val="28"/>
      <w:szCs w:val="20"/>
    </w:rPr>
  </w:style>
  <w:style w:type="paragraph" w:customStyle="1" w:styleId="HeadingLevel3">
    <w:name w:val="Heading Level 3"/>
    <w:basedOn w:val="Normal"/>
    <w:next w:val="Paragraph"/>
    <w:rsid w:val="00BA5D42"/>
    <w:pPr>
      <w:keepNext/>
      <w:spacing w:after="120" w:line="300" w:lineRule="atLeast"/>
      <w:jc w:val="both"/>
      <w:outlineLvl w:val="3"/>
    </w:pPr>
    <w:rPr>
      <w:rFonts w:ascii="Arial" w:eastAsia="Arial Unicode MS" w:hAnsi="Arial" w:cs="Arial"/>
      <w:b/>
      <w:i/>
      <w:color w:val="000000"/>
      <w:sz w:val="28"/>
      <w:szCs w:val="20"/>
    </w:rPr>
  </w:style>
  <w:style w:type="paragraph" w:styleId="Header">
    <w:name w:val="header"/>
    <w:basedOn w:val="Normal"/>
    <w:link w:val="HeaderChar"/>
    <w:uiPriority w:val="99"/>
    <w:unhideWhenUsed/>
    <w:rsid w:val="00BA5D42"/>
    <w:pPr>
      <w:tabs>
        <w:tab w:val="center" w:pos="4513"/>
        <w:tab w:val="right" w:pos="9026"/>
      </w:tabs>
      <w:spacing w:after="0" w:line="240" w:lineRule="auto"/>
    </w:pPr>
    <w:rPr>
      <w:color w:val="000000"/>
    </w:rPr>
  </w:style>
  <w:style w:type="character" w:customStyle="1" w:styleId="HeaderChar">
    <w:name w:val="Header Char"/>
    <w:basedOn w:val="DefaultParagraphFont"/>
    <w:link w:val="Header"/>
    <w:uiPriority w:val="99"/>
    <w:rsid w:val="00BA5D42"/>
    <w:rPr>
      <w:color w:val="000000"/>
    </w:rPr>
  </w:style>
  <w:style w:type="character" w:styleId="PlaceholderText">
    <w:name w:val="Placeholder Text"/>
    <w:basedOn w:val="DefaultParagraphFont"/>
    <w:uiPriority w:val="99"/>
    <w:rsid w:val="00BA5D42"/>
    <w:rPr>
      <w:color w:val="000000"/>
    </w:rPr>
  </w:style>
  <w:style w:type="paragraph" w:styleId="BalloonText">
    <w:name w:val="Balloon Text"/>
    <w:basedOn w:val="Normal"/>
    <w:link w:val="BalloonTextChar"/>
    <w:uiPriority w:val="99"/>
    <w:semiHidden/>
    <w:unhideWhenUsed/>
    <w:rsid w:val="00BA5D42"/>
    <w:pPr>
      <w:spacing w:after="0" w:line="240" w:lineRule="auto"/>
    </w:pPr>
    <w:rPr>
      <w:rFonts w:ascii="Tahoma" w:hAnsi="Tahoma" w:cs="Tahoma"/>
      <w:color w:val="000000"/>
      <w:sz w:val="16"/>
      <w:szCs w:val="16"/>
    </w:rPr>
  </w:style>
  <w:style w:type="character" w:customStyle="1" w:styleId="BalloonTextChar">
    <w:name w:val="Balloon Text Char"/>
    <w:basedOn w:val="DefaultParagraphFont"/>
    <w:link w:val="BalloonText"/>
    <w:uiPriority w:val="99"/>
    <w:semiHidden/>
    <w:rsid w:val="00BA5D42"/>
    <w:rPr>
      <w:rFonts w:ascii="Tahoma" w:hAnsi="Tahoma" w:cs="Tahoma"/>
      <w:color w:val="000000"/>
      <w:sz w:val="16"/>
      <w:szCs w:val="16"/>
    </w:rPr>
  </w:style>
  <w:style w:type="paragraph" w:customStyle="1" w:styleId="PinPointRef">
    <w:name w:val="PinPoint Ref"/>
    <w:link w:val="PinPointRefChar"/>
    <w:qFormat/>
    <w:rsid w:val="00BA5D42"/>
    <w:pPr>
      <w:spacing w:after="0" w:line="240" w:lineRule="auto"/>
    </w:pPr>
    <w:rPr>
      <w:rFonts w:ascii="Times New Roman" w:eastAsia="Times New Roman" w:hAnsi="Times New Roman" w:cs="Times New Roman"/>
      <w:b/>
      <w:vanish/>
      <w:color w:val="000000"/>
      <w:sz w:val="18"/>
      <w:szCs w:val="20"/>
      <w:lang w:eastAsia="en-US"/>
    </w:rPr>
  </w:style>
  <w:style w:type="character" w:customStyle="1" w:styleId="PinPointRefChar">
    <w:name w:val="PinPoint Ref Char"/>
    <w:basedOn w:val="DefaultParagraphFont"/>
    <w:link w:val="PinPointRef"/>
    <w:rsid w:val="00BA5D42"/>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BA5D42"/>
    <w:pPr>
      <w:spacing w:before="120" w:after="0" w:line="240" w:lineRule="auto"/>
      <w:ind w:left="720"/>
    </w:pPr>
    <w:rPr>
      <w:rFonts w:ascii="Arial" w:eastAsia="Arial Unicode MS" w:hAnsi="Arial" w:cs="Arial"/>
      <w:color w:val="000000"/>
      <w:sz w:val="18"/>
      <w:szCs w:val="20"/>
      <w:lang w:eastAsia="en-US"/>
    </w:rPr>
  </w:style>
  <w:style w:type="character" w:customStyle="1" w:styleId="BlockQuoteChar">
    <w:name w:val="Block Quote Char"/>
    <w:basedOn w:val="DefaultParagraphFont"/>
    <w:link w:val="BlockQuote"/>
    <w:rsid w:val="00BA5D42"/>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BA5D42"/>
    <w:pPr>
      <w:spacing w:after="120" w:line="240" w:lineRule="auto"/>
      <w:ind w:left="357"/>
      <w:jc w:val="both"/>
    </w:pPr>
    <w:rPr>
      <w:rFonts w:ascii="Arial" w:eastAsia="Arial Unicode MS" w:hAnsi="Arial" w:cs="Arial"/>
      <w:color w:val="000000"/>
      <w:szCs w:val="24"/>
      <w:lang w:val="en-US" w:eastAsia="en-US"/>
    </w:rPr>
  </w:style>
  <w:style w:type="paragraph" w:customStyle="1" w:styleId="ListParagraphLevel2">
    <w:name w:val="List Paragraph Level 2"/>
    <w:link w:val="ListParagraphLevel2Char"/>
    <w:qFormat/>
    <w:rsid w:val="00BA5D42"/>
    <w:pPr>
      <w:spacing w:after="120" w:line="240" w:lineRule="auto"/>
      <w:ind w:left="1077"/>
      <w:jc w:val="both"/>
    </w:pPr>
    <w:rPr>
      <w:rFonts w:ascii="Arial" w:eastAsia="Arial Unicode MS" w:hAnsi="Arial" w:cs="Arial"/>
      <w:color w:val="000000"/>
      <w:szCs w:val="24"/>
      <w:lang w:val="en-US" w:eastAsia="en-US"/>
    </w:rPr>
  </w:style>
  <w:style w:type="character" w:customStyle="1" w:styleId="ListParagraphLevel1Char">
    <w:name w:val="List Paragraph Level 1 Char"/>
    <w:basedOn w:val="DefaultParagraphFont"/>
    <w:link w:val="ListParagraphLevel1"/>
    <w:rsid w:val="00BA5D42"/>
    <w:rPr>
      <w:rFonts w:ascii="Arial" w:eastAsia="Arial Unicode MS" w:hAnsi="Arial" w:cs="Arial"/>
      <w:color w:val="000000"/>
      <w:szCs w:val="24"/>
      <w:lang w:val="en-US" w:eastAsia="en-US"/>
    </w:rPr>
  </w:style>
  <w:style w:type="character" w:customStyle="1" w:styleId="ListParagraphLevel2Char">
    <w:name w:val="List Paragraph Level 2 Char"/>
    <w:basedOn w:val="DefaultParagraphFont"/>
    <w:link w:val="ListParagraphLevel2"/>
    <w:rsid w:val="00BA5D42"/>
    <w:rPr>
      <w:rFonts w:ascii="Arial" w:eastAsia="Arial Unicode MS" w:hAnsi="Arial" w:cs="Arial"/>
      <w:color w:val="000000"/>
      <w:szCs w:val="24"/>
      <w:lang w:val="en-US" w:eastAsia="en-US"/>
    </w:rPr>
  </w:style>
  <w:style w:type="paragraph" w:customStyle="1" w:styleId="IntroDefault">
    <w:name w:val="Intro Default"/>
    <w:basedOn w:val="Paragraph"/>
    <w:qFormat/>
    <w:rsid w:val="00BA5D42"/>
  </w:style>
  <w:style w:type="paragraph" w:customStyle="1" w:styleId="IntroCustom">
    <w:name w:val="Intro Custom"/>
    <w:basedOn w:val="Paragraph"/>
    <w:qFormat/>
    <w:rsid w:val="00BA5D42"/>
  </w:style>
  <w:style w:type="paragraph" w:customStyle="1" w:styleId="PrecedentType">
    <w:name w:val="Precedent Type"/>
    <w:basedOn w:val="IgnoredSpacing"/>
    <w:qFormat/>
    <w:rsid w:val="00BA5D42"/>
  </w:style>
  <w:style w:type="paragraph" w:customStyle="1" w:styleId="Operative">
    <w:name w:val="Operative"/>
    <w:basedOn w:val="IgnoredSpacing"/>
    <w:qFormat/>
    <w:rsid w:val="00BA5D42"/>
    <w:rPr>
      <w:vanish/>
    </w:rPr>
  </w:style>
  <w:style w:type="paragraph" w:customStyle="1" w:styleId="SpeedreadBulletList1">
    <w:name w:val="Speedread Bullet List 1"/>
    <w:basedOn w:val="BulletList1"/>
    <w:qFormat/>
    <w:rsid w:val="00BA5D42"/>
  </w:style>
  <w:style w:type="paragraph" w:customStyle="1" w:styleId="PartiesTitle">
    <w:name w:val="Parties Title"/>
    <w:basedOn w:val="Paragraph"/>
    <w:qFormat/>
    <w:rsid w:val="00BA5D42"/>
    <w:rPr>
      <w:b/>
    </w:rPr>
  </w:style>
  <w:style w:type="table" w:styleId="TableGrid">
    <w:name w:val="Table Grid"/>
    <w:basedOn w:val="TableNormal"/>
    <w:rsid w:val="00BA5D42"/>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BA5D42"/>
    <w:pPr>
      <w:numPr>
        <w:numId w:val="9"/>
      </w:numPr>
      <w:shd w:val="clear" w:color="auto" w:fill="D9D9D9" w:themeFill="background1" w:themeFillShade="D9"/>
      <w:spacing w:after="120" w:line="240" w:lineRule="auto"/>
      <w:ind w:left="357" w:hanging="357"/>
      <w:outlineLvl w:val="0"/>
    </w:pPr>
    <w:rPr>
      <w:rFonts w:ascii="Arial" w:eastAsia="Arial Unicode MS" w:hAnsi="Arial" w:cs="Arial"/>
      <w:color w:val="000000"/>
      <w:lang w:val="en-US" w:eastAsia="en-US"/>
    </w:rPr>
  </w:style>
  <w:style w:type="paragraph" w:customStyle="1" w:styleId="BulletList1Pattern">
    <w:name w:val="Bullet List 1 + Pattern"/>
    <w:basedOn w:val="BulletList1"/>
    <w:qFormat/>
    <w:rsid w:val="00BA5D42"/>
    <w:pPr>
      <w:shd w:val="clear" w:color="auto" w:fill="D9D9D9" w:themeFill="background1" w:themeFillShade="D9"/>
      <w:spacing w:after="120" w:line="240" w:lineRule="auto"/>
      <w:ind w:left="714" w:hanging="357"/>
    </w:pPr>
  </w:style>
  <w:style w:type="character" w:customStyle="1" w:styleId="QuestionParagraphChar">
    <w:name w:val="Question Paragraph Char"/>
    <w:basedOn w:val="DefaultParagraphFont"/>
    <w:link w:val="QuestionParagraph"/>
    <w:rsid w:val="00BA5D42"/>
    <w:rPr>
      <w:rFonts w:ascii="Arial" w:eastAsia="Arial Unicode MS" w:hAnsi="Arial" w:cs="Arial"/>
      <w:color w:val="000000"/>
      <w:shd w:val="clear" w:color="auto" w:fill="D9D9D9" w:themeFill="background1" w:themeFillShade="D9"/>
      <w:lang w:val="en-US" w:eastAsia="en-US"/>
    </w:rPr>
  </w:style>
  <w:style w:type="paragraph" w:customStyle="1" w:styleId="BulletList2Pattern">
    <w:name w:val="Bullet List 2 + Pattern"/>
    <w:basedOn w:val="BulletList2"/>
    <w:qFormat/>
    <w:rsid w:val="00BA5D42"/>
    <w:pPr>
      <w:shd w:val="clear" w:color="auto" w:fill="D9D9D9" w:themeFill="background1" w:themeFillShade="D9"/>
      <w:ind w:left="1077"/>
    </w:pPr>
  </w:style>
  <w:style w:type="paragraph" w:customStyle="1" w:styleId="TestimoniumContract">
    <w:name w:val="Testimonium Contract"/>
    <w:basedOn w:val="Paragraph"/>
    <w:qFormat/>
    <w:rsid w:val="00BA5D42"/>
  </w:style>
  <w:style w:type="paragraph" w:customStyle="1" w:styleId="TestimoniumDeed">
    <w:name w:val="Testimonium Deed"/>
    <w:basedOn w:val="Paragraph"/>
    <w:qFormat/>
    <w:rsid w:val="00BA5D42"/>
  </w:style>
  <w:style w:type="paragraph" w:customStyle="1" w:styleId="Titlesubclause2">
    <w:name w:val="Title subclause2"/>
    <w:basedOn w:val="Untitledsubclause2"/>
    <w:qFormat/>
    <w:rsid w:val="00BA5D42"/>
    <w:rPr>
      <w:b/>
    </w:rPr>
  </w:style>
  <w:style w:type="paragraph" w:customStyle="1" w:styleId="Titlesubclause3">
    <w:name w:val="Title subclause3"/>
    <w:basedOn w:val="Untitledsubclause3"/>
    <w:qFormat/>
    <w:rsid w:val="00BA5D42"/>
    <w:rPr>
      <w:b/>
    </w:rPr>
  </w:style>
  <w:style w:type="paragraph" w:customStyle="1" w:styleId="Titlesubclause4">
    <w:name w:val="Title subclause4"/>
    <w:basedOn w:val="Untitledsubclause4"/>
    <w:qFormat/>
    <w:rsid w:val="00BA5D42"/>
    <w:rPr>
      <w:b/>
    </w:rPr>
  </w:style>
  <w:style w:type="paragraph" w:customStyle="1" w:styleId="UntitledClause">
    <w:name w:val="Untitled Clause"/>
    <w:basedOn w:val="TitleClause"/>
    <w:qFormat/>
    <w:rsid w:val="00BA5D42"/>
    <w:pPr>
      <w:spacing w:before="120"/>
    </w:pPr>
    <w:rPr>
      <w:b w:val="0"/>
    </w:rPr>
  </w:style>
  <w:style w:type="paragraph" w:customStyle="1" w:styleId="Titlesubclause1">
    <w:name w:val="Title subclause1"/>
    <w:basedOn w:val="Untitledsubclause1"/>
    <w:qFormat/>
    <w:rsid w:val="00BA5D42"/>
    <w:pPr>
      <w:spacing w:before="120"/>
    </w:pPr>
    <w:rPr>
      <w:b/>
    </w:rPr>
  </w:style>
  <w:style w:type="paragraph" w:customStyle="1" w:styleId="Schedule">
    <w:name w:val="Schedule"/>
    <w:qFormat/>
    <w:rsid w:val="00BA5D42"/>
    <w:pPr>
      <w:numPr>
        <w:numId w:val="25"/>
      </w:numPr>
      <w:spacing w:before="240" w:after="240" w:line="240" w:lineRule="atLeast"/>
    </w:pPr>
    <w:rPr>
      <w:rFonts w:ascii="Arial" w:eastAsia="Arial Unicode MS" w:hAnsi="Arial" w:cs="Arial"/>
      <w:b/>
      <w:color w:val="000000"/>
      <w:lang w:val="en-US" w:eastAsia="en-US"/>
    </w:rPr>
  </w:style>
  <w:style w:type="character" w:customStyle="1" w:styleId="Heading1Char">
    <w:name w:val="Heading 1 Char"/>
    <w:basedOn w:val="DefaultParagraphFont"/>
    <w:link w:val="Heading1"/>
    <w:uiPriority w:val="9"/>
    <w:rsid w:val="00BA5D42"/>
    <w:rPr>
      <w:rFonts w:asciiTheme="majorHAnsi" w:eastAsiaTheme="majorEastAsia" w:hAnsiTheme="majorHAnsi" w:cstheme="majorBidi"/>
      <w:b/>
      <w:bCs/>
      <w:color w:val="000000"/>
      <w:kern w:val="2"/>
      <w:sz w:val="28"/>
      <w:szCs w:val="28"/>
      <w:lang w:eastAsia="en-US"/>
      <w14:ligatures w14:val="standardContextual"/>
    </w:rPr>
  </w:style>
  <w:style w:type="character" w:customStyle="1" w:styleId="Heading2Char">
    <w:name w:val="Heading 2 Char"/>
    <w:basedOn w:val="DefaultParagraphFont"/>
    <w:link w:val="Heading2"/>
    <w:uiPriority w:val="9"/>
    <w:semiHidden/>
    <w:rsid w:val="00BA5D42"/>
    <w:rPr>
      <w:rFonts w:asciiTheme="majorHAnsi" w:eastAsiaTheme="majorEastAsia" w:hAnsiTheme="majorHAnsi" w:cstheme="majorBidi"/>
      <w:b/>
      <w:bCs/>
      <w:color w:val="000000"/>
      <w:kern w:val="2"/>
      <w:sz w:val="26"/>
      <w:szCs w:val="26"/>
      <w:lang w:eastAsia="en-US"/>
      <w14:ligatures w14:val="standardContextual"/>
    </w:rPr>
  </w:style>
  <w:style w:type="character" w:customStyle="1" w:styleId="Heading3Char">
    <w:name w:val="Heading 3 Char"/>
    <w:basedOn w:val="DefaultParagraphFont"/>
    <w:link w:val="Heading3"/>
    <w:uiPriority w:val="9"/>
    <w:semiHidden/>
    <w:rsid w:val="00BA5D42"/>
    <w:rPr>
      <w:rFonts w:asciiTheme="majorHAnsi" w:eastAsiaTheme="majorEastAsia" w:hAnsiTheme="majorHAnsi" w:cstheme="majorBidi"/>
      <w:b/>
      <w:bCs/>
      <w:color w:val="000000"/>
      <w:kern w:val="2"/>
      <w:lang w:eastAsia="en-US"/>
      <w14:ligatures w14:val="standardContextual"/>
    </w:rPr>
  </w:style>
  <w:style w:type="character" w:customStyle="1" w:styleId="Heading4Char">
    <w:name w:val="Heading 4 Char"/>
    <w:basedOn w:val="DefaultParagraphFont"/>
    <w:link w:val="Heading4"/>
    <w:uiPriority w:val="9"/>
    <w:semiHidden/>
    <w:rsid w:val="00BA5D42"/>
    <w:rPr>
      <w:rFonts w:asciiTheme="majorHAnsi" w:eastAsiaTheme="majorEastAsia" w:hAnsiTheme="majorHAnsi" w:cstheme="majorBidi"/>
      <w:b/>
      <w:bCs/>
      <w:i/>
      <w:iCs/>
      <w:color w:val="000000"/>
      <w:kern w:val="2"/>
      <w:lang w:eastAsia="en-US"/>
      <w14:ligatures w14:val="standardContextual"/>
    </w:rPr>
  </w:style>
  <w:style w:type="character" w:customStyle="1" w:styleId="Heading5Char">
    <w:name w:val="Heading 5 Char"/>
    <w:basedOn w:val="DefaultParagraphFont"/>
    <w:link w:val="Heading5"/>
    <w:uiPriority w:val="9"/>
    <w:semiHidden/>
    <w:rsid w:val="00BA5D42"/>
    <w:rPr>
      <w:rFonts w:asciiTheme="majorHAnsi" w:eastAsiaTheme="majorEastAsia" w:hAnsiTheme="majorHAnsi" w:cstheme="majorBidi"/>
      <w:color w:val="000000"/>
      <w:kern w:val="2"/>
      <w:lang w:eastAsia="en-US"/>
      <w14:ligatures w14:val="standardContextual"/>
    </w:rPr>
  </w:style>
  <w:style w:type="character" w:customStyle="1" w:styleId="Heading6Char">
    <w:name w:val="Heading 6 Char"/>
    <w:basedOn w:val="DefaultParagraphFont"/>
    <w:link w:val="Heading6"/>
    <w:uiPriority w:val="9"/>
    <w:semiHidden/>
    <w:rsid w:val="00BA5D42"/>
    <w:rPr>
      <w:rFonts w:asciiTheme="majorHAnsi" w:eastAsiaTheme="majorEastAsia" w:hAnsiTheme="majorHAnsi" w:cstheme="majorBidi"/>
      <w:i/>
      <w:iCs/>
      <w:color w:val="000000"/>
      <w:kern w:val="2"/>
      <w:lang w:eastAsia="en-US"/>
      <w14:ligatures w14:val="standardContextual"/>
    </w:rPr>
  </w:style>
  <w:style w:type="character" w:customStyle="1" w:styleId="Heading7Char">
    <w:name w:val="Heading 7 Char"/>
    <w:basedOn w:val="DefaultParagraphFont"/>
    <w:link w:val="Heading7"/>
    <w:uiPriority w:val="9"/>
    <w:semiHidden/>
    <w:rsid w:val="00BA5D42"/>
    <w:rPr>
      <w:rFonts w:asciiTheme="majorHAnsi" w:eastAsiaTheme="majorEastAsia" w:hAnsiTheme="majorHAnsi" w:cstheme="majorBidi"/>
      <w:i/>
      <w:iCs/>
      <w:color w:val="000000"/>
      <w:kern w:val="2"/>
      <w:lang w:eastAsia="en-US"/>
      <w14:ligatures w14:val="standardContextual"/>
    </w:rPr>
  </w:style>
  <w:style w:type="character" w:customStyle="1" w:styleId="Heading8Char">
    <w:name w:val="Heading 8 Char"/>
    <w:basedOn w:val="DefaultParagraphFont"/>
    <w:link w:val="Heading8"/>
    <w:uiPriority w:val="9"/>
    <w:semiHidden/>
    <w:rsid w:val="00BA5D42"/>
    <w:rPr>
      <w:rFonts w:asciiTheme="majorHAnsi" w:eastAsiaTheme="majorEastAsia" w:hAnsiTheme="majorHAnsi" w:cstheme="majorBidi"/>
      <w:color w:val="000000"/>
      <w:kern w:val="2"/>
      <w:sz w:val="20"/>
      <w:szCs w:val="20"/>
      <w:lang w:eastAsia="en-US"/>
      <w14:ligatures w14:val="standardContextual"/>
    </w:rPr>
  </w:style>
  <w:style w:type="character" w:customStyle="1" w:styleId="Heading9Char">
    <w:name w:val="Heading 9 Char"/>
    <w:basedOn w:val="DefaultParagraphFont"/>
    <w:link w:val="Heading9"/>
    <w:uiPriority w:val="9"/>
    <w:semiHidden/>
    <w:rsid w:val="00BA5D42"/>
    <w:rPr>
      <w:rFonts w:asciiTheme="majorHAnsi" w:eastAsiaTheme="majorEastAsia" w:hAnsiTheme="majorHAnsi" w:cstheme="majorBidi"/>
      <w:i/>
      <w:iCs/>
      <w:color w:val="000000"/>
      <w:kern w:val="2"/>
      <w:sz w:val="20"/>
      <w:szCs w:val="20"/>
      <w:lang w:eastAsia="en-US"/>
      <w14:ligatures w14:val="standardContextual"/>
    </w:rPr>
  </w:style>
  <w:style w:type="paragraph" w:customStyle="1" w:styleId="ScheduleTitle">
    <w:name w:val="Schedule Title"/>
    <w:basedOn w:val="Paragraph"/>
    <w:qFormat/>
    <w:rsid w:val="00BA5D42"/>
    <w:rPr>
      <w:b/>
    </w:rPr>
  </w:style>
  <w:style w:type="paragraph" w:customStyle="1" w:styleId="Part">
    <w:name w:val="Part"/>
    <w:basedOn w:val="Paragraph"/>
    <w:qFormat/>
    <w:rsid w:val="00BA5D42"/>
    <w:pPr>
      <w:numPr>
        <w:numId w:val="28"/>
      </w:numPr>
      <w:spacing w:before="240" w:after="240"/>
      <w:jc w:val="left"/>
    </w:pPr>
    <w:rPr>
      <w:b/>
    </w:rPr>
  </w:style>
  <w:style w:type="paragraph" w:customStyle="1" w:styleId="AnnexTitle">
    <w:name w:val="Annex Title"/>
    <w:basedOn w:val="Paragraph"/>
    <w:next w:val="Paragraph"/>
    <w:qFormat/>
    <w:rsid w:val="00BA5D42"/>
    <w:pPr>
      <w:spacing w:before="240" w:after="240"/>
    </w:pPr>
    <w:rPr>
      <w:b/>
    </w:rPr>
  </w:style>
  <w:style w:type="paragraph" w:customStyle="1" w:styleId="PartTitle">
    <w:name w:val="Part Title"/>
    <w:basedOn w:val="Paragraph"/>
    <w:qFormat/>
    <w:rsid w:val="00BA5D42"/>
    <w:rPr>
      <w:b/>
    </w:rPr>
  </w:style>
  <w:style w:type="paragraph" w:customStyle="1" w:styleId="Testimonium">
    <w:name w:val="Testimonium"/>
    <w:basedOn w:val="Paragraph"/>
    <w:qFormat/>
    <w:rsid w:val="00BA5D42"/>
  </w:style>
  <w:style w:type="character" w:customStyle="1" w:styleId="apple-converted-space">
    <w:name w:val="apple-converted-space"/>
    <w:basedOn w:val="DefaultParagraphFont"/>
    <w:rsid w:val="00BA5D42"/>
    <w:rPr>
      <w:color w:val="000000"/>
    </w:rPr>
  </w:style>
  <w:style w:type="character" w:styleId="Emphasis">
    <w:name w:val="Emphasis"/>
    <w:basedOn w:val="DefaultParagraphFont"/>
    <w:uiPriority w:val="20"/>
    <w:qFormat/>
    <w:rsid w:val="00BA5D42"/>
    <w:rPr>
      <w:i/>
      <w:iCs/>
      <w:color w:val="000000"/>
    </w:rPr>
  </w:style>
  <w:style w:type="paragraph" w:customStyle="1" w:styleId="NoNumTitle-Clause">
    <w:name w:val="No Num Title - Clause"/>
    <w:basedOn w:val="TitleClause"/>
    <w:qFormat/>
    <w:rsid w:val="00BA5D42"/>
    <w:pPr>
      <w:numPr>
        <w:numId w:val="0"/>
      </w:numPr>
      <w:ind w:left="720"/>
    </w:pPr>
  </w:style>
  <w:style w:type="paragraph" w:customStyle="1" w:styleId="NoNumTitlesubclause1">
    <w:name w:val="No Num Title subclause1"/>
    <w:basedOn w:val="Titlesubclause1"/>
    <w:qFormat/>
    <w:rsid w:val="00BA5D42"/>
    <w:pPr>
      <w:numPr>
        <w:ilvl w:val="0"/>
        <w:numId w:val="0"/>
      </w:numPr>
      <w:ind w:left="720"/>
    </w:pPr>
  </w:style>
  <w:style w:type="paragraph" w:customStyle="1" w:styleId="AddressLine">
    <w:name w:val="Address Line"/>
    <w:basedOn w:val="Paragraph"/>
    <w:qFormat/>
    <w:rsid w:val="00BA5D42"/>
  </w:style>
  <w:style w:type="paragraph" w:styleId="Date">
    <w:name w:val="Date"/>
    <w:basedOn w:val="Paragraph"/>
    <w:qFormat/>
    <w:rsid w:val="00BA5D42"/>
  </w:style>
  <w:style w:type="paragraph" w:customStyle="1" w:styleId="SalutationPara">
    <w:name w:val="Salutation Para"/>
    <w:basedOn w:val="Paragraph"/>
    <w:next w:val="Paragraph"/>
    <w:qFormat/>
    <w:rsid w:val="00BA5D42"/>
    <w:pPr>
      <w:spacing w:before="240"/>
    </w:pPr>
  </w:style>
  <w:style w:type="character" w:styleId="FollowedHyperlink">
    <w:name w:val="FollowedHyperlink"/>
    <w:basedOn w:val="DefaultParagraphFont"/>
    <w:uiPriority w:val="99"/>
    <w:semiHidden/>
    <w:unhideWhenUsed/>
    <w:rsid w:val="00BA5D42"/>
    <w:rPr>
      <w:i/>
      <w:color w:val="000000"/>
      <w:u w:val="single"/>
    </w:rPr>
  </w:style>
  <w:style w:type="character" w:customStyle="1" w:styleId="DefTerm">
    <w:name w:val="DefTerm"/>
    <w:basedOn w:val="DefaultParagraphFont"/>
    <w:uiPriority w:val="1"/>
    <w:qFormat/>
    <w:rsid w:val="00BA5D42"/>
    <w:rPr>
      <w:b/>
      <w:color w:val="000000"/>
    </w:rPr>
  </w:style>
  <w:style w:type="table" w:customStyle="1" w:styleId="ShadedTable">
    <w:name w:val="Shaded Table"/>
    <w:basedOn w:val="TableNormal"/>
    <w:uiPriority w:val="99"/>
    <w:rsid w:val="00BA5D42"/>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Letterhead">
    <w:name w:val="Letterhead"/>
    <w:basedOn w:val="Paragraph"/>
    <w:qFormat/>
    <w:rsid w:val="00BA5D42"/>
    <w:rPr>
      <w:i/>
    </w:rPr>
  </w:style>
  <w:style w:type="paragraph" w:customStyle="1" w:styleId="LetterTitle">
    <w:name w:val="Letter Title"/>
    <w:basedOn w:val="Paragraph"/>
    <w:qFormat/>
    <w:rsid w:val="00BA5D42"/>
    <w:rPr>
      <w:b/>
    </w:rPr>
  </w:style>
  <w:style w:type="paragraph" w:customStyle="1" w:styleId="LongQuestionPara">
    <w:name w:val="Long Question Para"/>
    <w:basedOn w:val="Paragraph"/>
    <w:link w:val="LongQuestionParaChar"/>
    <w:rsid w:val="00BA5D42"/>
    <w:pPr>
      <w:numPr>
        <w:numId w:val="12"/>
      </w:numPr>
      <w:spacing w:before="240" w:after="240" w:line="240" w:lineRule="auto"/>
      <w:outlineLvl w:val="1"/>
    </w:pPr>
    <w:rPr>
      <w:sz w:val="20"/>
      <w:lang w:val="en-US"/>
    </w:rPr>
  </w:style>
  <w:style w:type="character" w:customStyle="1" w:styleId="LongQuestionParaChar">
    <w:name w:val="Long Question Para Char"/>
    <w:basedOn w:val="DefaultParagraphFont"/>
    <w:link w:val="LongQuestionPara"/>
    <w:rsid w:val="00BA5D42"/>
    <w:rPr>
      <w:rFonts w:ascii="Arial" w:eastAsia="Arial Unicode MS" w:hAnsi="Arial" w:cs="Arial"/>
      <w:color w:val="000000"/>
      <w:kern w:val="2"/>
      <w:sz w:val="20"/>
      <w:szCs w:val="20"/>
      <w:lang w:val="en-US" w:eastAsia="en-US"/>
      <w14:ligatures w14:val="standardContextual"/>
    </w:rPr>
  </w:style>
  <w:style w:type="paragraph" w:customStyle="1" w:styleId="ShortQuestionPara">
    <w:name w:val="Short Question Para"/>
    <w:basedOn w:val="Paragraph"/>
    <w:link w:val="ShortQuestionParaChar"/>
    <w:rsid w:val="00BA5D42"/>
    <w:pPr>
      <w:shd w:val="clear" w:color="auto" w:fill="D9D9D9" w:themeFill="background1" w:themeFillShade="D9"/>
      <w:tabs>
        <w:tab w:val="left" w:pos="270"/>
      </w:tabs>
      <w:spacing w:after="40" w:line="240" w:lineRule="auto"/>
      <w:outlineLvl w:val="1"/>
    </w:pPr>
    <w:rPr>
      <w:bCs/>
      <w:sz w:val="20"/>
      <w:lang w:val="en-US"/>
    </w:rPr>
  </w:style>
  <w:style w:type="character" w:customStyle="1" w:styleId="ShortQuestionParaChar">
    <w:name w:val="Short Question Para Char"/>
    <w:basedOn w:val="DefaultParagraphFont"/>
    <w:link w:val="ShortQuestionPara"/>
    <w:rsid w:val="00BA5D42"/>
    <w:rPr>
      <w:rFonts w:ascii="Arial" w:eastAsia="Arial Unicode MS" w:hAnsi="Arial" w:cs="Arial"/>
      <w:bCs/>
      <w:color w:val="000000"/>
      <w:sz w:val="20"/>
      <w:szCs w:val="20"/>
      <w:shd w:val="clear" w:color="auto" w:fill="D9D9D9" w:themeFill="background1" w:themeFillShade="D9"/>
      <w:lang w:val="en-US" w:eastAsia="en-US"/>
    </w:rPr>
  </w:style>
  <w:style w:type="character" w:customStyle="1" w:styleId="ParagraphChar">
    <w:name w:val="Paragraph Char"/>
    <w:basedOn w:val="DefaultParagraphFont"/>
    <w:link w:val="Paragraph"/>
    <w:rsid w:val="00BA5D42"/>
    <w:rPr>
      <w:rFonts w:ascii="Arial" w:eastAsia="Arial Unicode MS" w:hAnsi="Arial" w:cs="Arial"/>
      <w:color w:val="000000"/>
      <w:szCs w:val="20"/>
      <w:lang w:eastAsia="en-US"/>
    </w:rPr>
  </w:style>
  <w:style w:type="paragraph" w:customStyle="1" w:styleId="811D3A974D454A258B71E3C4DE24C4F210">
    <w:name w:val="811D3A974D454A258B71E3C4DE24C4F210"/>
    <w:rsid w:val="00C87527"/>
    <w:pPr>
      <w:spacing w:after="120" w:line="240" w:lineRule="auto"/>
    </w:pPr>
    <w:rPr>
      <w:rFonts w:ascii="Arial" w:eastAsia="Arial Unicode MS" w:hAnsi="Arial" w:cs="Arial"/>
      <w:color w:val="000000"/>
      <w:sz w:val="24"/>
      <w:lang w:val="en-US" w:eastAsia="en-US"/>
    </w:rPr>
  </w:style>
  <w:style w:type="paragraph" w:customStyle="1" w:styleId="ListParagraphLevel3">
    <w:name w:val="List Paragraph Level 3"/>
    <w:qFormat/>
    <w:rsid w:val="00BA5D42"/>
    <w:pPr>
      <w:spacing w:after="120" w:line="240" w:lineRule="auto"/>
      <w:ind w:left="2160"/>
    </w:pPr>
    <w:rPr>
      <w:rFonts w:ascii="Times New Roman" w:eastAsia="Times New Roman" w:hAnsi="Times New Roman" w:cs="Times New Roman"/>
      <w:color w:val="000000"/>
      <w:sz w:val="24"/>
      <w:szCs w:val="20"/>
      <w:lang w:eastAsia="en-US"/>
    </w:rPr>
  </w:style>
  <w:style w:type="paragraph" w:customStyle="1" w:styleId="DocumentTitle">
    <w:name w:val="Document Title"/>
    <w:basedOn w:val="Paragraph"/>
    <w:qFormat/>
    <w:rsid w:val="00BA5D42"/>
    <w:pPr>
      <w:jc w:val="center"/>
    </w:pPr>
    <w:rPr>
      <w:sz w:val="28"/>
    </w:rPr>
  </w:style>
  <w:style w:type="paragraph" w:customStyle="1" w:styleId="Title-Clause">
    <w:name w:val="Title - Clause"/>
    <w:aliases w:val="BIWS Heading 1"/>
    <w:basedOn w:val="Normal"/>
    <w:rsid w:val="00BA5D42"/>
    <w:pPr>
      <w:keepNext/>
      <w:tabs>
        <w:tab w:val="num" w:pos="720"/>
      </w:tabs>
      <w:spacing w:before="240" w:after="240" w:line="300" w:lineRule="atLeast"/>
      <w:ind w:left="720" w:hanging="720"/>
      <w:jc w:val="both"/>
      <w:outlineLvl w:val="0"/>
    </w:pPr>
    <w:rPr>
      <w:rFonts w:ascii="Arial" w:eastAsia="Arial Unicode MS" w:hAnsi="Arial" w:cs="Arial"/>
      <w:b/>
      <w:color w:val="000000"/>
      <w:kern w:val="28"/>
      <w:szCs w:val="20"/>
    </w:rPr>
  </w:style>
  <w:style w:type="paragraph" w:customStyle="1" w:styleId="Para-Clause-nonum">
    <w:name w:val="Para - Clause - no num"/>
    <w:aliases w:val="Body  clause"/>
    <w:basedOn w:val="Normal"/>
    <w:next w:val="Title-Clause"/>
    <w:rsid w:val="00BA5D42"/>
    <w:pPr>
      <w:spacing w:before="120" w:after="120" w:line="300" w:lineRule="atLeast"/>
      <w:ind w:left="720"/>
      <w:jc w:val="both"/>
    </w:pPr>
    <w:rPr>
      <w:rFonts w:ascii="Arial" w:eastAsia="Arial Unicode MS" w:hAnsi="Arial" w:cs="Arial"/>
      <w:color w:val="000000"/>
      <w:szCs w:val="20"/>
    </w:rPr>
  </w:style>
  <w:style w:type="paragraph" w:customStyle="1" w:styleId="Para-Clause">
    <w:name w:val="Para - Clause"/>
    <w:basedOn w:val="Title-Clause"/>
    <w:qFormat/>
    <w:rsid w:val="00BA5D42"/>
    <w:pPr>
      <w:spacing w:before="120"/>
    </w:pPr>
    <w:rPr>
      <w:b w:val="0"/>
    </w:rPr>
  </w:style>
  <w:style w:type="paragraph" w:customStyle="1" w:styleId="CoversheetParagraph">
    <w:name w:val="Coversheet Paragraph"/>
    <w:basedOn w:val="Normal"/>
    <w:autoRedefine/>
    <w:rsid w:val="00BA5D42"/>
    <w:pPr>
      <w:spacing w:after="0" w:line="300" w:lineRule="atLeast"/>
      <w:jc w:val="center"/>
    </w:pPr>
    <w:rPr>
      <w:rFonts w:ascii="Times New Roman" w:eastAsia="Times New Roman" w:hAnsi="Times New Roman" w:cs="Times New Roman"/>
      <w:color w:val="000000"/>
      <w:szCs w:val="20"/>
    </w:rPr>
  </w:style>
  <w:style w:type="paragraph" w:customStyle="1" w:styleId="CoversheetIntro">
    <w:name w:val="Coversheet Intro"/>
    <w:basedOn w:val="CoversheetTitle"/>
    <w:qFormat/>
    <w:rsid w:val="00BA5D42"/>
    <w:rPr>
      <w:smallCaps w:val="0"/>
      <w:sz w:val="22"/>
    </w:rPr>
  </w:style>
  <w:style w:type="paragraph" w:customStyle="1" w:styleId="CoversheetStaticText">
    <w:name w:val="Coversheet Static Text"/>
    <w:basedOn w:val="CoversheetIntro"/>
    <w:qFormat/>
    <w:rsid w:val="00BA5D42"/>
    <w:rPr>
      <w:b w:val="0"/>
    </w:rPr>
  </w:style>
  <w:style w:type="paragraph" w:customStyle="1" w:styleId="CoversheetParty">
    <w:name w:val="Coversheet Party"/>
    <w:basedOn w:val="CoversheetIntro"/>
    <w:qFormat/>
    <w:rsid w:val="00BA5D42"/>
  </w:style>
  <w:style w:type="paragraph" w:customStyle="1" w:styleId="NoNumUntitledClause">
    <w:name w:val="No Num Untitled Clause"/>
    <w:basedOn w:val="UntitledClause"/>
    <w:qFormat/>
    <w:rsid w:val="00BA5D42"/>
    <w:pPr>
      <w:numPr>
        <w:numId w:val="0"/>
      </w:numPr>
      <w:ind w:left="720"/>
    </w:pPr>
  </w:style>
  <w:style w:type="paragraph" w:customStyle="1" w:styleId="BackgroundSubclause1">
    <w:name w:val="Background Subclause1"/>
    <w:basedOn w:val="Background"/>
    <w:qFormat/>
    <w:rsid w:val="00BA5D42"/>
    <w:pPr>
      <w:numPr>
        <w:ilvl w:val="1"/>
      </w:numPr>
    </w:pPr>
  </w:style>
  <w:style w:type="paragraph" w:customStyle="1" w:styleId="BackgroundSubclause2">
    <w:name w:val="Background Subclause2"/>
    <w:basedOn w:val="Background"/>
    <w:qFormat/>
    <w:rsid w:val="00BA5D42"/>
    <w:pPr>
      <w:numPr>
        <w:ilvl w:val="3"/>
      </w:numPr>
    </w:pPr>
  </w:style>
  <w:style w:type="paragraph" w:customStyle="1" w:styleId="HeadingLevel2CQA">
    <w:name w:val="Heading Level 2 CQA"/>
    <w:basedOn w:val="HeadingLevel2"/>
    <w:qFormat/>
    <w:rsid w:val="00BA5D42"/>
  </w:style>
  <w:style w:type="paragraph" w:customStyle="1" w:styleId="ClauseBullet1">
    <w:name w:val="Clause Bullet 1"/>
    <w:basedOn w:val="ParaClause"/>
    <w:qFormat/>
    <w:rsid w:val="00BA5D42"/>
    <w:pPr>
      <w:numPr>
        <w:numId w:val="13"/>
      </w:numPr>
      <w:ind w:left="1077" w:hanging="357"/>
      <w:outlineLvl w:val="0"/>
    </w:pPr>
  </w:style>
  <w:style w:type="paragraph" w:customStyle="1" w:styleId="ClauseBullet2">
    <w:name w:val="Clause Bullet 2"/>
    <w:basedOn w:val="ParaClause"/>
    <w:qFormat/>
    <w:rsid w:val="00BA5D42"/>
    <w:pPr>
      <w:numPr>
        <w:numId w:val="14"/>
      </w:numPr>
      <w:ind w:left="1434" w:hanging="357"/>
      <w:outlineLvl w:val="1"/>
    </w:pPr>
  </w:style>
  <w:style w:type="paragraph" w:customStyle="1" w:styleId="subclause1Bullet1">
    <w:name w:val="subclause 1 Bullet 1"/>
    <w:basedOn w:val="Parasubclause1"/>
    <w:qFormat/>
    <w:rsid w:val="00BA5D42"/>
    <w:pPr>
      <w:numPr>
        <w:numId w:val="15"/>
      </w:numPr>
      <w:ind w:left="1077" w:hanging="357"/>
    </w:pPr>
  </w:style>
  <w:style w:type="paragraph" w:customStyle="1" w:styleId="subclause2Bullet1">
    <w:name w:val="subclause 2 Bullet 1"/>
    <w:basedOn w:val="Parasubclause2"/>
    <w:qFormat/>
    <w:rsid w:val="00BA5D42"/>
    <w:pPr>
      <w:numPr>
        <w:numId w:val="17"/>
      </w:numPr>
      <w:ind w:left="1434" w:hanging="357"/>
    </w:pPr>
  </w:style>
  <w:style w:type="paragraph" w:customStyle="1" w:styleId="subclause3Bullet1">
    <w:name w:val="subclause 3 Bullet 1"/>
    <w:basedOn w:val="Parasubclause3"/>
    <w:qFormat/>
    <w:rsid w:val="00BA5D42"/>
    <w:pPr>
      <w:numPr>
        <w:numId w:val="16"/>
      </w:numPr>
      <w:ind w:left="2273" w:hanging="357"/>
    </w:pPr>
  </w:style>
  <w:style w:type="paragraph" w:customStyle="1" w:styleId="subclause1Bullet2">
    <w:name w:val="subclause 1 Bullet 2"/>
    <w:basedOn w:val="Parasubclause1"/>
    <w:qFormat/>
    <w:rsid w:val="00BA5D42"/>
    <w:pPr>
      <w:numPr>
        <w:numId w:val="18"/>
      </w:numPr>
      <w:ind w:left="1434" w:hanging="357"/>
    </w:pPr>
  </w:style>
  <w:style w:type="paragraph" w:customStyle="1" w:styleId="subclause2Bullet2">
    <w:name w:val="subclause 2 Bullet 2"/>
    <w:basedOn w:val="Parasubclause2"/>
    <w:qFormat/>
    <w:rsid w:val="00BA5D42"/>
    <w:pPr>
      <w:numPr>
        <w:numId w:val="19"/>
      </w:numPr>
      <w:ind w:left="2273" w:hanging="357"/>
    </w:pPr>
  </w:style>
  <w:style w:type="paragraph" w:customStyle="1" w:styleId="subclause3Bullet2">
    <w:name w:val="subclause 3 Bullet 2"/>
    <w:basedOn w:val="Parasubclause3"/>
    <w:qFormat/>
    <w:rsid w:val="00BA5D42"/>
    <w:pPr>
      <w:numPr>
        <w:numId w:val="20"/>
      </w:numPr>
      <w:ind w:left="2982" w:hanging="357"/>
    </w:pPr>
  </w:style>
  <w:style w:type="paragraph" w:customStyle="1" w:styleId="DefinedTermBullet">
    <w:name w:val="Defined Term Bullet"/>
    <w:basedOn w:val="DefinedTermPara"/>
    <w:qFormat/>
    <w:rsid w:val="00BA5D42"/>
    <w:pPr>
      <w:numPr>
        <w:numId w:val="21"/>
      </w:numPr>
    </w:pPr>
  </w:style>
  <w:style w:type="paragraph" w:customStyle="1" w:styleId="DefinedTermNumber">
    <w:name w:val="Defined Term Number"/>
    <w:basedOn w:val="DefinedTermPara"/>
    <w:qFormat/>
    <w:rsid w:val="00BA5D42"/>
    <w:pPr>
      <w:numPr>
        <w:ilvl w:val="1"/>
      </w:numPr>
    </w:pPr>
  </w:style>
  <w:style w:type="paragraph" w:customStyle="1" w:styleId="AdditionalTitle">
    <w:name w:val="Additional Title"/>
    <w:basedOn w:val="Paragraph"/>
    <w:qFormat/>
    <w:rsid w:val="00BA5D42"/>
    <w:pPr>
      <w:jc w:val="left"/>
    </w:pPr>
    <w:rPr>
      <w:b/>
      <w:sz w:val="24"/>
    </w:rPr>
  </w:style>
  <w:style w:type="character" w:customStyle="1" w:styleId="error">
    <w:name w:val="error"/>
    <w:basedOn w:val="DefaultParagraphFont"/>
    <w:rsid w:val="00BA5D42"/>
    <w:rPr>
      <w:color w:val="000000"/>
    </w:rPr>
  </w:style>
  <w:style w:type="paragraph" w:customStyle="1" w:styleId="NoNumUntitledsubclause1">
    <w:name w:val="No Num Untitled subclause 1"/>
    <w:basedOn w:val="Untitledsubclause1"/>
    <w:qFormat/>
    <w:rsid w:val="00BA5D42"/>
    <w:pPr>
      <w:numPr>
        <w:ilvl w:val="0"/>
        <w:numId w:val="0"/>
      </w:numPr>
      <w:ind w:left="720"/>
    </w:pPr>
  </w:style>
  <w:style w:type="paragraph" w:customStyle="1" w:styleId="BackgroundParaClause">
    <w:name w:val="Background Para Clause"/>
    <w:basedOn w:val="Background"/>
    <w:qFormat/>
    <w:rsid w:val="00BA5D42"/>
    <w:pPr>
      <w:numPr>
        <w:numId w:val="0"/>
      </w:numPr>
    </w:pPr>
  </w:style>
  <w:style w:type="paragraph" w:customStyle="1" w:styleId="BackgroundParaSubclause1">
    <w:name w:val="Background Para Subclause1"/>
    <w:basedOn w:val="BackgroundSubclause1"/>
    <w:qFormat/>
    <w:rsid w:val="00BA5D42"/>
    <w:pPr>
      <w:numPr>
        <w:ilvl w:val="0"/>
        <w:numId w:val="0"/>
      </w:numPr>
      <w:ind w:left="994"/>
    </w:pPr>
    <w:rPr>
      <w:lang w:val="en-US"/>
    </w:rPr>
  </w:style>
  <w:style w:type="paragraph" w:customStyle="1" w:styleId="BackgroundParaSubclause2">
    <w:name w:val="Background Para Subclause2"/>
    <w:basedOn w:val="BackgroundSubclause2"/>
    <w:qFormat/>
    <w:rsid w:val="00BA5D42"/>
    <w:pPr>
      <w:numPr>
        <w:ilvl w:val="0"/>
        <w:numId w:val="0"/>
      </w:numPr>
      <w:ind w:left="1701"/>
    </w:pPr>
    <w:rPr>
      <w:lang w:val="en-US"/>
    </w:rPr>
  </w:style>
  <w:style w:type="paragraph" w:customStyle="1" w:styleId="ClauseBulletPara">
    <w:name w:val="Clause Bullet Para"/>
    <w:basedOn w:val="ClauseBullet1"/>
    <w:qFormat/>
    <w:rsid w:val="00BA5D42"/>
    <w:pPr>
      <w:numPr>
        <w:numId w:val="0"/>
      </w:numPr>
      <w:ind w:left="1080"/>
    </w:pPr>
    <w:rPr>
      <w:lang w:val="en-US"/>
    </w:rPr>
  </w:style>
  <w:style w:type="paragraph" w:customStyle="1" w:styleId="ClauseBullet2Para">
    <w:name w:val="Clause Bullet 2 Para"/>
    <w:basedOn w:val="ClauseBullet2"/>
    <w:qFormat/>
    <w:rsid w:val="00BA5D42"/>
    <w:pPr>
      <w:numPr>
        <w:numId w:val="0"/>
      </w:numPr>
      <w:ind w:left="1440"/>
    </w:pPr>
    <w:rPr>
      <w:lang w:val="en-US"/>
    </w:rPr>
  </w:style>
  <w:style w:type="paragraph" w:customStyle="1" w:styleId="ACTJurisdictionCheckList">
    <w:name w:val="ACTJurisdictionCheckList"/>
    <w:basedOn w:val="Normal"/>
    <w:rsid w:val="00BA5D42"/>
    <w:pPr>
      <w:spacing w:after="120" w:line="300" w:lineRule="atLeast"/>
    </w:pPr>
    <w:rPr>
      <w:rFonts w:ascii="Arial" w:eastAsia="Arial Unicode MS" w:hAnsi="Arial" w:cs="Arial"/>
      <w:b/>
      <w:color w:val="000000"/>
      <w:sz w:val="28"/>
    </w:rPr>
  </w:style>
  <w:style w:type="paragraph" w:customStyle="1" w:styleId="JurisdictionDraftingnoteTitle">
    <w:name w:val="Jurisdiction Draftingnote Title"/>
    <w:basedOn w:val="DraftingnoteTitle"/>
    <w:qFormat/>
    <w:rsid w:val="00BA5D42"/>
  </w:style>
  <w:style w:type="paragraph" w:customStyle="1" w:styleId="ScheduleTitleClause">
    <w:name w:val="Schedule Title Clause"/>
    <w:basedOn w:val="Normal"/>
    <w:rsid w:val="00BA5D42"/>
    <w:pPr>
      <w:keepNext/>
      <w:numPr>
        <w:numId w:val="31"/>
      </w:numPr>
      <w:spacing w:before="240" w:after="240" w:line="300" w:lineRule="atLeast"/>
      <w:jc w:val="both"/>
      <w:outlineLvl w:val="0"/>
    </w:pPr>
    <w:rPr>
      <w:rFonts w:ascii="Arial" w:eastAsia="Arial Unicode MS" w:hAnsi="Arial" w:cs="Arial"/>
      <w:b/>
      <w:color w:val="000000"/>
      <w:kern w:val="28"/>
      <w:szCs w:val="20"/>
    </w:rPr>
  </w:style>
  <w:style w:type="paragraph" w:customStyle="1" w:styleId="ScheduleUntitledsubclause1">
    <w:name w:val="Schedule Untitled subclause 1"/>
    <w:basedOn w:val="Normal"/>
    <w:rsid w:val="00BA5D42"/>
    <w:pPr>
      <w:numPr>
        <w:ilvl w:val="1"/>
        <w:numId w:val="31"/>
      </w:numPr>
      <w:spacing w:before="280" w:after="120" w:line="300" w:lineRule="atLeast"/>
      <w:jc w:val="both"/>
      <w:outlineLvl w:val="1"/>
    </w:pPr>
    <w:rPr>
      <w:rFonts w:ascii="Arial" w:eastAsia="Arial Unicode MS" w:hAnsi="Arial" w:cs="Arial"/>
      <w:color w:val="000000"/>
      <w:szCs w:val="20"/>
    </w:rPr>
  </w:style>
  <w:style w:type="paragraph" w:customStyle="1" w:styleId="ScheduleUntitledsubclause2">
    <w:name w:val="Schedule Untitled subclause 2"/>
    <w:basedOn w:val="Normal"/>
    <w:rsid w:val="00BA5D42"/>
    <w:pPr>
      <w:numPr>
        <w:ilvl w:val="2"/>
        <w:numId w:val="31"/>
      </w:numPr>
      <w:spacing w:after="120" w:line="300" w:lineRule="atLeast"/>
      <w:jc w:val="both"/>
      <w:outlineLvl w:val="2"/>
    </w:pPr>
    <w:rPr>
      <w:rFonts w:ascii="Arial" w:eastAsia="Arial Unicode MS" w:hAnsi="Arial" w:cs="Arial"/>
      <w:color w:val="000000"/>
      <w:szCs w:val="20"/>
    </w:rPr>
  </w:style>
  <w:style w:type="paragraph" w:customStyle="1" w:styleId="ScheduleUntitledsubclause3">
    <w:name w:val="Schedule Untitled subclause 3"/>
    <w:basedOn w:val="Normal"/>
    <w:rsid w:val="00BA5D42"/>
    <w:pPr>
      <w:numPr>
        <w:ilvl w:val="3"/>
        <w:numId w:val="31"/>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ScheduleUntitledsubclause4">
    <w:name w:val="Schedule Untitled subclause 4"/>
    <w:basedOn w:val="Normal"/>
    <w:rsid w:val="00BA5D42"/>
    <w:pPr>
      <w:spacing w:after="120" w:line="300" w:lineRule="atLeast"/>
      <w:jc w:val="both"/>
      <w:outlineLvl w:val="4"/>
    </w:pPr>
    <w:rPr>
      <w:rFonts w:ascii="Arial" w:eastAsia="Arial Unicode MS" w:hAnsi="Arial" w:cs="Arial"/>
      <w:color w:val="000000"/>
      <w:szCs w:val="20"/>
    </w:rPr>
  </w:style>
  <w:style w:type="paragraph" w:customStyle="1" w:styleId="BulletListPattern1">
    <w:name w:val="Bullet List Pattern 1"/>
    <w:basedOn w:val="BulletList1"/>
    <w:qFormat/>
    <w:rsid w:val="00BA5D42"/>
    <w:pPr>
      <w:shd w:val="clear" w:color="auto" w:fill="D9D9D9" w:themeFill="background1" w:themeFillShade="D9"/>
      <w:spacing w:after="120" w:line="240" w:lineRule="auto"/>
      <w:ind w:left="714" w:hanging="357"/>
    </w:pPr>
  </w:style>
  <w:style w:type="paragraph" w:customStyle="1" w:styleId="BulletListPattern2">
    <w:name w:val="Bullet List Pattern 2"/>
    <w:basedOn w:val="BulletList2"/>
    <w:qFormat/>
    <w:rsid w:val="00BA5D42"/>
    <w:pPr>
      <w:shd w:val="clear" w:color="auto" w:fill="D9D9D9" w:themeFill="background1" w:themeFillShade="D9"/>
      <w:ind w:left="1077"/>
    </w:pPr>
  </w:style>
  <w:style w:type="paragraph" w:customStyle="1" w:styleId="ScheduleUntitledClause">
    <w:name w:val="Schedule Untitled Clause"/>
    <w:basedOn w:val="ScheduleTitleClause"/>
    <w:qFormat/>
    <w:rsid w:val="00BA5D42"/>
    <w:pPr>
      <w:spacing w:before="120"/>
    </w:pPr>
    <w:rPr>
      <w:b w:val="0"/>
    </w:rPr>
  </w:style>
  <w:style w:type="paragraph" w:customStyle="1" w:styleId="EmptyClausePara">
    <w:name w:val="Empty Clause Para"/>
    <w:basedOn w:val="IgnoredSpacing"/>
    <w:qFormat/>
    <w:rsid w:val="00BA5D42"/>
  </w:style>
  <w:style w:type="paragraph" w:styleId="ListParagraph">
    <w:name w:val="List Paragraph"/>
    <w:basedOn w:val="Normal"/>
    <w:uiPriority w:val="1"/>
    <w:qFormat/>
    <w:rsid w:val="00BA5D42"/>
    <w:pPr>
      <w:ind w:left="720"/>
      <w:contextualSpacing/>
    </w:pPr>
    <w:rPr>
      <w:color w:val="000000"/>
    </w:rPr>
  </w:style>
  <w:style w:type="paragraph" w:customStyle="1" w:styleId="ScheduleTitlesubclause1">
    <w:name w:val="Schedule Title subclause1"/>
    <w:basedOn w:val="ScheduleUntitledsubclause1"/>
    <w:qFormat/>
    <w:rsid w:val="00BA5D42"/>
    <w:pPr>
      <w:spacing w:before="120"/>
    </w:pPr>
    <w:rPr>
      <w:b/>
    </w:rPr>
  </w:style>
  <w:style w:type="paragraph" w:customStyle="1" w:styleId="835FF0B0D5344FE4A8EE41F54AA7E17C16">
    <w:name w:val="835FF0B0D5344FE4A8EE41F54AA7E17C16"/>
    <w:rsid w:val="00A3443C"/>
    <w:pPr>
      <w:spacing w:after="120" w:line="240" w:lineRule="auto"/>
    </w:pPr>
    <w:rPr>
      <w:rFonts w:ascii="Arial" w:eastAsia="Times New Roman" w:hAnsi="Arial" w:cs="Times New Roman"/>
      <w:color w:val="000000"/>
      <w:sz w:val="24"/>
      <w:szCs w:val="24"/>
      <w:lang w:val="en-US" w:eastAsia="en-US"/>
    </w:rPr>
  </w:style>
  <w:style w:type="character" w:styleId="CommentReference">
    <w:name w:val="annotation reference"/>
    <w:basedOn w:val="DefaultParagraphFont"/>
    <w:uiPriority w:val="99"/>
    <w:semiHidden/>
    <w:unhideWhenUsed/>
    <w:rsid w:val="00D37B5B"/>
    <w:rPr>
      <w:color w:val="000000"/>
      <w:sz w:val="16"/>
      <w:szCs w:val="16"/>
    </w:rPr>
  </w:style>
  <w:style w:type="paragraph" w:styleId="CommentText">
    <w:name w:val="annotation text"/>
    <w:basedOn w:val="Normal"/>
    <w:link w:val="CommentTextChar"/>
    <w:uiPriority w:val="99"/>
    <w:unhideWhenUsed/>
    <w:rsid w:val="00D37B5B"/>
    <w:pPr>
      <w:spacing w:line="240" w:lineRule="auto"/>
    </w:pPr>
    <w:rPr>
      <w:color w:val="000000"/>
      <w:sz w:val="20"/>
      <w:szCs w:val="20"/>
    </w:rPr>
  </w:style>
  <w:style w:type="character" w:customStyle="1" w:styleId="CommentTextChar">
    <w:name w:val="Comment Text Char"/>
    <w:basedOn w:val="DefaultParagraphFont"/>
    <w:link w:val="CommentText"/>
    <w:uiPriority w:val="99"/>
    <w:rsid w:val="00D37B5B"/>
    <w:rPr>
      <w:color w:val="000000"/>
      <w:sz w:val="20"/>
      <w:szCs w:val="20"/>
    </w:rPr>
  </w:style>
  <w:style w:type="paragraph" w:styleId="CommentSubject">
    <w:name w:val="annotation subject"/>
    <w:basedOn w:val="CommentText"/>
    <w:next w:val="CommentText"/>
    <w:link w:val="CommentSubjectChar"/>
    <w:uiPriority w:val="99"/>
    <w:semiHidden/>
    <w:unhideWhenUsed/>
    <w:rsid w:val="00F766AC"/>
    <w:rPr>
      <w:b/>
      <w:bCs/>
    </w:rPr>
  </w:style>
  <w:style w:type="character" w:customStyle="1" w:styleId="CommentSubjectChar">
    <w:name w:val="Comment Subject Char"/>
    <w:basedOn w:val="CommentTextChar"/>
    <w:link w:val="CommentSubject"/>
    <w:uiPriority w:val="99"/>
    <w:semiHidden/>
    <w:rsid w:val="00F766AC"/>
    <w:rPr>
      <w:b/>
      <w:bCs/>
      <w:color w:val="000000"/>
      <w:sz w:val="20"/>
      <w:szCs w:val="20"/>
    </w:rPr>
  </w:style>
  <w:style w:type="paragraph" w:customStyle="1" w:styleId="SectorSpecificNoteTitle">
    <w:name w:val="Sector Specific Note Title"/>
    <w:basedOn w:val="JurisdictionDraftingnoteTitle"/>
    <w:qFormat/>
    <w:rsid w:val="00BA5D42"/>
  </w:style>
  <w:style w:type="character" w:customStyle="1" w:styleId="UnresolvedMention1">
    <w:name w:val="Unresolved Mention1"/>
    <w:basedOn w:val="DefaultParagraphFont"/>
    <w:uiPriority w:val="99"/>
    <w:semiHidden/>
    <w:unhideWhenUsed/>
    <w:rsid w:val="003F6479"/>
    <w:rPr>
      <w:color w:val="000000"/>
      <w:shd w:val="clear" w:color="auto" w:fill="E6E6E6"/>
    </w:rPr>
  </w:style>
  <w:style w:type="table" w:customStyle="1" w:styleId="ShadedTable1">
    <w:name w:val="Shaded Table1"/>
    <w:basedOn w:val="TableNormal"/>
    <w:uiPriority w:val="99"/>
    <w:rsid w:val="00BA5D42"/>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IgnoredEmptysubclause">
    <w:name w:val="Ignored Empty subclause"/>
    <w:basedOn w:val="Normal"/>
    <w:link w:val="IgnoredEmptysubclauseChar"/>
    <w:qFormat/>
    <w:rsid w:val="00BA5D42"/>
    <w:rPr>
      <w:color w:val="000000"/>
    </w:rPr>
  </w:style>
  <w:style w:type="paragraph" w:styleId="Revision">
    <w:name w:val="Revision"/>
    <w:hidden/>
    <w:uiPriority w:val="99"/>
    <w:semiHidden/>
    <w:rsid w:val="00D52D76"/>
    <w:pPr>
      <w:spacing w:after="0" w:line="240" w:lineRule="auto"/>
    </w:pPr>
    <w:rPr>
      <w:color w:val="000000"/>
    </w:rPr>
  </w:style>
  <w:style w:type="character" w:customStyle="1" w:styleId="IgnoredEmptysubclauseChar">
    <w:name w:val="Ignored Empty subclause Char"/>
    <w:basedOn w:val="DefaultParagraphFont"/>
    <w:link w:val="IgnoredEmptysubclause"/>
    <w:rsid w:val="00BA5D42"/>
    <w:rPr>
      <w:color w:val="000000"/>
    </w:rPr>
  </w:style>
  <w:style w:type="paragraph" w:customStyle="1" w:styleId="6B1115FCC3DC4C6AB2CF846F0C50B663">
    <w:name w:val="6B1115FCC3DC4C6AB2CF846F0C50B663"/>
    <w:rsid w:val="00A16840"/>
    <w:pPr>
      <w:spacing w:line="276" w:lineRule="auto"/>
    </w:pPr>
    <w:rPr>
      <w:color w:val="000000"/>
    </w:rPr>
  </w:style>
  <w:style w:type="numbering" w:customStyle="1" w:styleId="ScheduleListStyle">
    <w:name w:val="ScheduleListStyle"/>
    <w:pPr>
      <w:numPr>
        <w:numId w:val="24"/>
      </w:numPr>
    </w:pPr>
  </w:style>
  <w:style w:type="numbering" w:customStyle="1" w:styleId="PartListStyle">
    <w:name w:val="PartListStyle"/>
    <w:pPr>
      <w:numPr>
        <w:numId w:val="27"/>
      </w:numPr>
    </w:pPr>
  </w:style>
  <w:style w:type="numbering" w:customStyle="1" w:styleId="ClauseListStyle">
    <w:name w:val="ClauseListStyle"/>
    <w:pPr>
      <w:numPr>
        <w:numId w:val="30"/>
      </w:numPr>
    </w:pPr>
  </w:style>
  <w:style w:type="paragraph" w:styleId="TOC1">
    <w:name w:val="toc 1"/>
    <w:basedOn w:val="Normal"/>
    <w:next w:val="Normal"/>
    <w:autoRedefine/>
    <w:rsid w:val="00395996"/>
    <w:pPr>
      <w:tabs>
        <w:tab w:val="left" w:pos="1540"/>
        <w:tab w:val="right" w:leader="dot" w:pos="9350"/>
      </w:tabs>
      <w:spacing w:after="100" w:line="240" w:lineRule="auto"/>
    </w:pPr>
  </w:style>
  <w:style w:type="paragraph" w:customStyle="1" w:styleId="paragraph0">
    <w:name w:val="paragraph"/>
    <w:basedOn w:val="Normal"/>
    <w:rsid w:val="00D36E8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D36E80"/>
  </w:style>
  <w:style w:type="character" w:customStyle="1" w:styleId="eop">
    <w:name w:val="eop"/>
    <w:basedOn w:val="DefaultParagraphFont"/>
    <w:rsid w:val="00D36E80"/>
  </w:style>
  <w:style w:type="character" w:customStyle="1" w:styleId="tabchar">
    <w:name w:val="tabchar"/>
    <w:basedOn w:val="DefaultParagraphFont"/>
    <w:rsid w:val="00275867"/>
  </w:style>
  <w:style w:type="character" w:styleId="Mention">
    <w:name w:val="Mention"/>
    <w:basedOn w:val="DefaultParagraphFont"/>
    <w:uiPriority w:val="99"/>
    <w:rsid w:val="00B83BE3"/>
    <w:rPr>
      <w:color w:val="2B579A"/>
      <w:shd w:val="clear" w:color="auto" w:fill="E1DFDD"/>
    </w:rPr>
  </w:style>
  <w:style w:type="character" w:styleId="UnresolvedMention">
    <w:name w:val="Unresolved Mention"/>
    <w:basedOn w:val="DefaultParagraphFont"/>
    <w:uiPriority w:val="99"/>
    <w:rsid w:val="00E838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126416">
      <w:bodyDiv w:val="1"/>
      <w:marLeft w:val="0"/>
      <w:marRight w:val="0"/>
      <w:marTop w:val="0"/>
      <w:marBottom w:val="0"/>
      <w:divBdr>
        <w:top w:val="none" w:sz="0" w:space="0" w:color="auto"/>
        <w:left w:val="none" w:sz="0" w:space="0" w:color="auto"/>
        <w:bottom w:val="none" w:sz="0" w:space="0" w:color="auto"/>
        <w:right w:val="none" w:sz="0" w:space="0" w:color="auto"/>
      </w:divBdr>
      <w:divsChild>
        <w:div w:id="1776169246">
          <w:marLeft w:val="0"/>
          <w:marRight w:val="0"/>
          <w:marTop w:val="0"/>
          <w:marBottom w:val="0"/>
          <w:divBdr>
            <w:top w:val="none" w:sz="0" w:space="0" w:color="auto"/>
            <w:left w:val="none" w:sz="0" w:space="0" w:color="auto"/>
            <w:bottom w:val="none" w:sz="0" w:space="0" w:color="auto"/>
            <w:right w:val="none" w:sz="0" w:space="0" w:color="auto"/>
          </w:divBdr>
          <w:divsChild>
            <w:div w:id="392966207">
              <w:marLeft w:val="0"/>
              <w:marRight w:val="0"/>
              <w:marTop w:val="0"/>
              <w:marBottom w:val="0"/>
              <w:divBdr>
                <w:top w:val="none" w:sz="0" w:space="0" w:color="auto"/>
                <w:left w:val="none" w:sz="0" w:space="0" w:color="auto"/>
                <w:bottom w:val="none" w:sz="0" w:space="0" w:color="auto"/>
                <w:right w:val="none" w:sz="0" w:space="0" w:color="auto"/>
              </w:divBdr>
            </w:div>
          </w:divsChild>
        </w:div>
        <w:div w:id="1771461183">
          <w:marLeft w:val="0"/>
          <w:marRight w:val="0"/>
          <w:marTop w:val="0"/>
          <w:marBottom w:val="0"/>
          <w:divBdr>
            <w:top w:val="none" w:sz="0" w:space="0" w:color="auto"/>
            <w:left w:val="none" w:sz="0" w:space="0" w:color="auto"/>
            <w:bottom w:val="none" w:sz="0" w:space="0" w:color="auto"/>
            <w:right w:val="none" w:sz="0" w:space="0" w:color="auto"/>
          </w:divBdr>
        </w:div>
      </w:divsChild>
    </w:div>
    <w:div w:id="1221595025">
      <w:bodyDiv w:val="1"/>
      <w:marLeft w:val="0"/>
      <w:marRight w:val="0"/>
      <w:marTop w:val="0"/>
      <w:marBottom w:val="0"/>
      <w:divBdr>
        <w:top w:val="none" w:sz="0" w:space="0" w:color="auto"/>
        <w:left w:val="none" w:sz="0" w:space="0" w:color="auto"/>
        <w:bottom w:val="none" w:sz="0" w:space="0" w:color="auto"/>
        <w:right w:val="none" w:sz="0" w:space="0" w:color="auto"/>
      </w:divBdr>
      <w:divsChild>
        <w:div w:id="1613315561">
          <w:marLeft w:val="0"/>
          <w:marRight w:val="0"/>
          <w:marTop w:val="0"/>
          <w:marBottom w:val="0"/>
          <w:divBdr>
            <w:top w:val="none" w:sz="0" w:space="0" w:color="auto"/>
            <w:left w:val="none" w:sz="0" w:space="0" w:color="auto"/>
            <w:bottom w:val="none" w:sz="0" w:space="0" w:color="auto"/>
            <w:right w:val="none" w:sz="0" w:space="0" w:color="auto"/>
          </w:divBdr>
          <w:divsChild>
            <w:div w:id="545408271">
              <w:marLeft w:val="0"/>
              <w:marRight w:val="0"/>
              <w:marTop w:val="0"/>
              <w:marBottom w:val="0"/>
              <w:divBdr>
                <w:top w:val="none" w:sz="0" w:space="0" w:color="auto"/>
                <w:left w:val="none" w:sz="0" w:space="0" w:color="auto"/>
                <w:bottom w:val="none" w:sz="0" w:space="0" w:color="auto"/>
                <w:right w:val="none" w:sz="0" w:space="0" w:color="auto"/>
              </w:divBdr>
            </w:div>
            <w:div w:id="1687631501">
              <w:marLeft w:val="0"/>
              <w:marRight w:val="0"/>
              <w:marTop w:val="0"/>
              <w:marBottom w:val="0"/>
              <w:divBdr>
                <w:top w:val="none" w:sz="0" w:space="0" w:color="auto"/>
                <w:left w:val="none" w:sz="0" w:space="0" w:color="auto"/>
                <w:bottom w:val="none" w:sz="0" w:space="0" w:color="auto"/>
                <w:right w:val="none" w:sz="0" w:space="0" w:color="auto"/>
              </w:divBdr>
            </w:div>
            <w:div w:id="78798774">
              <w:marLeft w:val="0"/>
              <w:marRight w:val="0"/>
              <w:marTop w:val="0"/>
              <w:marBottom w:val="0"/>
              <w:divBdr>
                <w:top w:val="none" w:sz="0" w:space="0" w:color="auto"/>
                <w:left w:val="none" w:sz="0" w:space="0" w:color="auto"/>
                <w:bottom w:val="none" w:sz="0" w:space="0" w:color="auto"/>
                <w:right w:val="none" w:sz="0" w:space="0" w:color="auto"/>
              </w:divBdr>
            </w:div>
            <w:div w:id="1992518307">
              <w:marLeft w:val="0"/>
              <w:marRight w:val="0"/>
              <w:marTop w:val="0"/>
              <w:marBottom w:val="0"/>
              <w:divBdr>
                <w:top w:val="none" w:sz="0" w:space="0" w:color="auto"/>
                <w:left w:val="none" w:sz="0" w:space="0" w:color="auto"/>
                <w:bottom w:val="none" w:sz="0" w:space="0" w:color="auto"/>
                <w:right w:val="none" w:sz="0" w:space="0" w:color="auto"/>
              </w:divBdr>
            </w:div>
            <w:div w:id="447353940">
              <w:marLeft w:val="0"/>
              <w:marRight w:val="0"/>
              <w:marTop w:val="0"/>
              <w:marBottom w:val="0"/>
              <w:divBdr>
                <w:top w:val="none" w:sz="0" w:space="0" w:color="auto"/>
                <w:left w:val="none" w:sz="0" w:space="0" w:color="auto"/>
                <w:bottom w:val="none" w:sz="0" w:space="0" w:color="auto"/>
                <w:right w:val="none" w:sz="0" w:space="0" w:color="auto"/>
              </w:divBdr>
            </w:div>
          </w:divsChild>
        </w:div>
        <w:div w:id="353503878">
          <w:marLeft w:val="0"/>
          <w:marRight w:val="0"/>
          <w:marTop w:val="0"/>
          <w:marBottom w:val="0"/>
          <w:divBdr>
            <w:top w:val="none" w:sz="0" w:space="0" w:color="auto"/>
            <w:left w:val="none" w:sz="0" w:space="0" w:color="auto"/>
            <w:bottom w:val="none" w:sz="0" w:space="0" w:color="auto"/>
            <w:right w:val="none" w:sz="0" w:space="0" w:color="auto"/>
          </w:divBdr>
          <w:divsChild>
            <w:div w:id="1907034108">
              <w:marLeft w:val="0"/>
              <w:marRight w:val="0"/>
              <w:marTop w:val="0"/>
              <w:marBottom w:val="0"/>
              <w:divBdr>
                <w:top w:val="none" w:sz="0" w:space="0" w:color="auto"/>
                <w:left w:val="none" w:sz="0" w:space="0" w:color="auto"/>
                <w:bottom w:val="none" w:sz="0" w:space="0" w:color="auto"/>
                <w:right w:val="none" w:sz="0" w:space="0" w:color="auto"/>
              </w:divBdr>
            </w:div>
            <w:div w:id="1192762800">
              <w:marLeft w:val="0"/>
              <w:marRight w:val="0"/>
              <w:marTop w:val="0"/>
              <w:marBottom w:val="0"/>
              <w:divBdr>
                <w:top w:val="none" w:sz="0" w:space="0" w:color="auto"/>
                <w:left w:val="none" w:sz="0" w:space="0" w:color="auto"/>
                <w:bottom w:val="none" w:sz="0" w:space="0" w:color="auto"/>
                <w:right w:val="none" w:sz="0" w:space="0" w:color="auto"/>
              </w:divBdr>
            </w:div>
            <w:div w:id="2733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524642">
      <w:bodyDiv w:val="1"/>
      <w:marLeft w:val="0"/>
      <w:marRight w:val="0"/>
      <w:marTop w:val="0"/>
      <w:marBottom w:val="0"/>
      <w:divBdr>
        <w:top w:val="none" w:sz="0" w:space="0" w:color="auto"/>
        <w:left w:val="none" w:sz="0" w:space="0" w:color="auto"/>
        <w:bottom w:val="none" w:sz="0" w:space="0" w:color="auto"/>
        <w:right w:val="none" w:sz="0" w:space="0" w:color="auto"/>
      </w:divBdr>
      <w:divsChild>
        <w:div w:id="249853073">
          <w:marLeft w:val="0"/>
          <w:marRight w:val="0"/>
          <w:marTop w:val="0"/>
          <w:marBottom w:val="0"/>
          <w:divBdr>
            <w:top w:val="none" w:sz="0" w:space="0" w:color="auto"/>
            <w:left w:val="none" w:sz="0" w:space="0" w:color="auto"/>
            <w:bottom w:val="none" w:sz="0" w:space="0" w:color="auto"/>
            <w:right w:val="none" w:sz="0" w:space="0" w:color="auto"/>
          </w:divBdr>
          <w:divsChild>
            <w:div w:id="1432965600">
              <w:marLeft w:val="0"/>
              <w:marRight w:val="0"/>
              <w:marTop w:val="0"/>
              <w:marBottom w:val="0"/>
              <w:divBdr>
                <w:top w:val="none" w:sz="0" w:space="0" w:color="auto"/>
                <w:left w:val="none" w:sz="0" w:space="0" w:color="auto"/>
                <w:bottom w:val="none" w:sz="0" w:space="0" w:color="auto"/>
                <w:right w:val="none" w:sz="0" w:space="0" w:color="auto"/>
              </w:divBdr>
            </w:div>
          </w:divsChild>
        </w:div>
        <w:div w:id="143474027">
          <w:marLeft w:val="0"/>
          <w:marRight w:val="0"/>
          <w:marTop w:val="0"/>
          <w:marBottom w:val="0"/>
          <w:divBdr>
            <w:top w:val="none" w:sz="0" w:space="0" w:color="auto"/>
            <w:left w:val="none" w:sz="0" w:space="0" w:color="auto"/>
            <w:bottom w:val="none" w:sz="0" w:space="0" w:color="auto"/>
            <w:right w:val="none" w:sz="0" w:space="0" w:color="auto"/>
          </w:divBdr>
        </w:div>
      </w:divsChild>
    </w:div>
    <w:div w:id="1400320098">
      <w:bodyDiv w:val="1"/>
      <w:marLeft w:val="0"/>
      <w:marRight w:val="0"/>
      <w:marTop w:val="0"/>
      <w:marBottom w:val="0"/>
      <w:divBdr>
        <w:top w:val="none" w:sz="0" w:space="0" w:color="auto"/>
        <w:left w:val="none" w:sz="0" w:space="0" w:color="auto"/>
        <w:bottom w:val="none" w:sz="0" w:space="0" w:color="auto"/>
        <w:right w:val="none" w:sz="0" w:space="0" w:color="auto"/>
      </w:divBdr>
      <w:divsChild>
        <w:div w:id="704991039">
          <w:marLeft w:val="0"/>
          <w:marRight w:val="0"/>
          <w:marTop w:val="0"/>
          <w:marBottom w:val="0"/>
          <w:divBdr>
            <w:top w:val="none" w:sz="0" w:space="0" w:color="auto"/>
            <w:left w:val="none" w:sz="0" w:space="0" w:color="auto"/>
            <w:bottom w:val="none" w:sz="0" w:space="0" w:color="auto"/>
            <w:right w:val="none" w:sz="0" w:space="0" w:color="auto"/>
          </w:divBdr>
          <w:divsChild>
            <w:div w:id="558174225">
              <w:marLeft w:val="0"/>
              <w:marRight w:val="0"/>
              <w:marTop w:val="0"/>
              <w:marBottom w:val="0"/>
              <w:divBdr>
                <w:top w:val="none" w:sz="0" w:space="0" w:color="auto"/>
                <w:left w:val="none" w:sz="0" w:space="0" w:color="auto"/>
                <w:bottom w:val="none" w:sz="0" w:space="0" w:color="auto"/>
                <w:right w:val="none" w:sz="0" w:space="0" w:color="auto"/>
              </w:divBdr>
            </w:div>
            <w:div w:id="1976443507">
              <w:marLeft w:val="0"/>
              <w:marRight w:val="0"/>
              <w:marTop w:val="0"/>
              <w:marBottom w:val="0"/>
              <w:divBdr>
                <w:top w:val="none" w:sz="0" w:space="0" w:color="auto"/>
                <w:left w:val="none" w:sz="0" w:space="0" w:color="auto"/>
                <w:bottom w:val="none" w:sz="0" w:space="0" w:color="auto"/>
                <w:right w:val="none" w:sz="0" w:space="0" w:color="auto"/>
              </w:divBdr>
            </w:div>
            <w:div w:id="1719890421">
              <w:marLeft w:val="0"/>
              <w:marRight w:val="0"/>
              <w:marTop w:val="0"/>
              <w:marBottom w:val="0"/>
              <w:divBdr>
                <w:top w:val="none" w:sz="0" w:space="0" w:color="auto"/>
                <w:left w:val="none" w:sz="0" w:space="0" w:color="auto"/>
                <w:bottom w:val="none" w:sz="0" w:space="0" w:color="auto"/>
                <w:right w:val="none" w:sz="0" w:space="0" w:color="auto"/>
              </w:divBdr>
            </w:div>
            <w:div w:id="2134788030">
              <w:marLeft w:val="0"/>
              <w:marRight w:val="0"/>
              <w:marTop w:val="0"/>
              <w:marBottom w:val="0"/>
              <w:divBdr>
                <w:top w:val="none" w:sz="0" w:space="0" w:color="auto"/>
                <w:left w:val="none" w:sz="0" w:space="0" w:color="auto"/>
                <w:bottom w:val="none" w:sz="0" w:space="0" w:color="auto"/>
                <w:right w:val="none" w:sz="0" w:space="0" w:color="auto"/>
              </w:divBdr>
            </w:div>
            <w:div w:id="1317148187">
              <w:marLeft w:val="0"/>
              <w:marRight w:val="0"/>
              <w:marTop w:val="0"/>
              <w:marBottom w:val="0"/>
              <w:divBdr>
                <w:top w:val="none" w:sz="0" w:space="0" w:color="auto"/>
                <w:left w:val="none" w:sz="0" w:space="0" w:color="auto"/>
                <w:bottom w:val="none" w:sz="0" w:space="0" w:color="auto"/>
                <w:right w:val="none" w:sz="0" w:space="0" w:color="auto"/>
              </w:divBdr>
            </w:div>
          </w:divsChild>
        </w:div>
        <w:div w:id="299264270">
          <w:marLeft w:val="0"/>
          <w:marRight w:val="0"/>
          <w:marTop w:val="0"/>
          <w:marBottom w:val="0"/>
          <w:divBdr>
            <w:top w:val="none" w:sz="0" w:space="0" w:color="auto"/>
            <w:left w:val="none" w:sz="0" w:space="0" w:color="auto"/>
            <w:bottom w:val="none" w:sz="0" w:space="0" w:color="auto"/>
            <w:right w:val="none" w:sz="0" w:space="0" w:color="auto"/>
          </w:divBdr>
          <w:divsChild>
            <w:div w:id="850946844">
              <w:marLeft w:val="0"/>
              <w:marRight w:val="0"/>
              <w:marTop w:val="0"/>
              <w:marBottom w:val="0"/>
              <w:divBdr>
                <w:top w:val="none" w:sz="0" w:space="0" w:color="auto"/>
                <w:left w:val="none" w:sz="0" w:space="0" w:color="auto"/>
                <w:bottom w:val="none" w:sz="0" w:space="0" w:color="auto"/>
                <w:right w:val="none" w:sz="0" w:space="0" w:color="auto"/>
              </w:divBdr>
            </w:div>
            <w:div w:id="174144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37839">
      <w:bodyDiv w:val="1"/>
      <w:marLeft w:val="0"/>
      <w:marRight w:val="0"/>
      <w:marTop w:val="0"/>
      <w:marBottom w:val="0"/>
      <w:divBdr>
        <w:top w:val="none" w:sz="0" w:space="0" w:color="auto"/>
        <w:left w:val="none" w:sz="0" w:space="0" w:color="auto"/>
        <w:bottom w:val="none" w:sz="0" w:space="0" w:color="auto"/>
        <w:right w:val="none" w:sz="0" w:space="0" w:color="auto"/>
      </w:divBdr>
      <w:divsChild>
        <w:div w:id="677734301">
          <w:marLeft w:val="0"/>
          <w:marRight w:val="0"/>
          <w:marTop w:val="0"/>
          <w:marBottom w:val="0"/>
          <w:divBdr>
            <w:top w:val="none" w:sz="0" w:space="0" w:color="auto"/>
            <w:left w:val="none" w:sz="0" w:space="0" w:color="auto"/>
            <w:bottom w:val="none" w:sz="0" w:space="0" w:color="auto"/>
            <w:right w:val="none" w:sz="0" w:space="0" w:color="auto"/>
          </w:divBdr>
        </w:div>
        <w:div w:id="414322056">
          <w:marLeft w:val="0"/>
          <w:marRight w:val="0"/>
          <w:marTop w:val="0"/>
          <w:marBottom w:val="0"/>
          <w:divBdr>
            <w:top w:val="none" w:sz="0" w:space="0" w:color="auto"/>
            <w:left w:val="none" w:sz="0" w:space="0" w:color="auto"/>
            <w:bottom w:val="none" w:sz="0" w:space="0" w:color="auto"/>
            <w:right w:val="none" w:sz="0" w:space="0" w:color="auto"/>
          </w:divBdr>
        </w:div>
        <w:div w:id="789476458">
          <w:marLeft w:val="0"/>
          <w:marRight w:val="0"/>
          <w:marTop w:val="0"/>
          <w:marBottom w:val="0"/>
          <w:divBdr>
            <w:top w:val="none" w:sz="0" w:space="0" w:color="auto"/>
            <w:left w:val="none" w:sz="0" w:space="0" w:color="auto"/>
            <w:bottom w:val="none" w:sz="0" w:space="0" w:color="auto"/>
            <w:right w:val="none" w:sz="0" w:space="0" w:color="auto"/>
          </w:divBdr>
        </w:div>
        <w:div w:id="1034117066">
          <w:marLeft w:val="0"/>
          <w:marRight w:val="0"/>
          <w:marTop w:val="0"/>
          <w:marBottom w:val="0"/>
          <w:divBdr>
            <w:top w:val="none" w:sz="0" w:space="0" w:color="auto"/>
            <w:left w:val="none" w:sz="0" w:space="0" w:color="auto"/>
            <w:bottom w:val="none" w:sz="0" w:space="0" w:color="auto"/>
            <w:right w:val="none" w:sz="0" w:space="0" w:color="auto"/>
          </w:divBdr>
        </w:div>
        <w:div w:id="1710451674">
          <w:marLeft w:val="0"/>
          <w:marRight w:val="0"/>
          <w:marTop w:val="0"/>
          <w:marBottom w:val="0"/>
          <w:divBdr>
            <w:top w:val="none" w:sz="0" w:space="0" w:color="auto"/>
            <w:left w:val="none" w:sz="0" w:space="0" w:color="auto"/>
            <w:bottom w:val="none" w:sz="0" w:space="0" w:color="auto"/>
            <w:right w:val="none" w:sz="0" w:space="0" w:color="auto"/>
          </w:divBdr>
        </w:div>
        <w:div w:id="1132479387">
          <w:marLeft w:val="0"/>
          <w:marRight w:val="0"/>
          <w:marTop w:val="0"/>
          <w:marBottom w:val="0"/>
          <w:divBdr>
            <w:top w:val="none" w:sz="0" w:space="0" w:color="auto"/>
            <w:left w:val="none" w:sz="0" w:space="0" w:color="auto"/>
            <w:bottom w:val="none" w:sz="0" w:space="0" w:color="auto"/>
            <w:right w:val="none" w:sz="0" w:space="0" w:color="auto"/>
          </w:divBdr>
        </w:div>
        <w:div w:id="793786978">
          <w:marLeft w:val="0"/>
          <w:marRight w:val="0"/>
          <w:marTop w:val="0"/>
          <w:marBottom w:val="0"/>
          <w:divBdr>
            <w:top w:val="none" w:sz="0" w:space="0" w:color="auto"/>
            <w:left w:val="none" w:sz="0" w:space="0" w:color="auto"/>
            <w:bottom w:val="none" w:sz="0" w:space="0" w:color="auto"/>
            <w:right w:val="none" w:sz="0" w:space="0" w:color="auto"/>
          </w:divBdr>
        </w:div>
        <w:div w:id="1360351949">
          <w:marLeft w:val="0"/>
          <w:marRight w:val="0"/>
          <w:marTop w:val="0"/>
          <w:marBottom w:val="0"/>
          <w:divBdr>
            <w:top w:val="none" w:sz="0" w:space="0" w:color="auto"/>
            <w:left w:val="none" w:sz="0" w:space="0" w:color="auto"/>
            <w:bottom w:val="none" w:sz="0" w:space="0" w:color="auto"/>
            <w:right w:val="none" w:sz="0" w:space="0" w:color="auto"/>
          </w:divBdr>
        </w:div>
        <w:div w:id="312488242">
          <w:marLeft w:val="0"/>
          <w:marRight w:val="0"/>
          <w:marTop w:val="0"/>
          <w:marBottom w:val="0"/>
          <w:divBdr>
            <w:top w:val="none" w:sz="0" w:space="0" w:color="auto"/>
            <w:left w:val="none" w:sz="0" w:space="0" w:color="auto"/>
            <w:bottom w:val="none" w:sz="0" w:space="0" w:color="auto"/>
            <w:right w:val="none" w:sz="0" w:space="0" w:color="auto"/>
          </w:divBdr>
        </w:div>
        <w:div w:id="1363551163">
          <w:marLeft w:val="0"/>
          <w:marRight w:val="0"/>
          <w:marTop w:val="0"/>
          <w:marBottom w:val="0"/>
          <w:divBdr>
            <w:top w:val="none" w:sz="0" w:space="0" w:color="auto"/>
            <w:left w:val="none" w:sz="0" w:space="0" w:color="auto"/>
            <w:bottom w:val="none" w:sz="0" w:space="0" w:color="auto"/>
            <w:right w:val="none" w:sz="0" w:space="0" w:color="auto"/>
          </w:divBdr>
        </w:div>
      </w:divsChild>
    </w:div>
    <w:div w:id="1733505362">
      <w:bodyDiv w:val="1"/>
      <w:marLeft w:val="0"/>
      <w:marRight w:val="0"/>
      <w:marTop w:val="0"/>
      <w:marBottom w:val="0"/>
      <w:divBdr>
        <w:top w:val="none" w:sz="0" w:space="0" w:color="auto"/>
        <w:left w:val="none" w:sz="0" w:space="0" w:color="auto"/>
        <w:bottom w:val="none" w:sz="0" w:space="0" w:color="auto"/>
        <w:right w:val="none" w:sz="0" w:space="0" w:color="auto"/>
      </w:divBdr>
      <w:divsChild>
        <w:div w:id="698236093">
          <w:marLeft w:val="0"/>
          <w:marRight w:val="0"/>
          <w:marTop w:val="0"/>
          <w:marBottom w:val="0"/>
          <w:divBdr>
            <w:top w:val="none" w:sz="0" w:space="0" w:color="auto"/>
            <w:left w:val="none" w:sz="0" w:space="0" w:color="auto"/>
            <w:bottom w:val="none" w:sz="0" w:space="0" w:color="auto"/>
            <w:right w:val="none" w:sz="0" w:space="0" w:color="auto"/>
          </w:divBdr>
        </w:div>
        <w:div w:id="1009794342">
          <w:marLeft w:val="0"/>
          <w:marRight w:val="0"/>
          <w:marTop w:val="0"/>
          <w:marBottom w:val="0"/>
          <w:divBdr>
            <w:top w:val="none" w:sz="0" w:space="0" w:color="auto"/>
            <w:left w:val="none" w:sz="0" w:space="0" w:color="auto"/>
            <w:bottom w:val="none" w:sz="0" w:space="0" w:color="auto"/>
            <w:right w:val="none" w:sz="0" w:space="0" w:color="auto"/>
          </w:divBdr>
        </w:div>
        <w:div w:id="27682407">
          <w:marLeft w:val="0"/>
          <w:marRight w:val="0"/>
          <w:marTop w:val="0"/>
          <w:marBottom w:val="0"/>
          <w:divBdr>
            <w:top w:val="none" w:sz="0" w:space="0" w:color="auto"/>
            <w:left w:val="none" w:sz="0" w:space="0" w:color="auto"/>
            <w:bottom w:val="none" w:sz="0" w:space="0" w:color="auto"/>
            <w:right w:val="none" w:sz="0" w:space="0" w:color="auto"/>
          </w:divBdr>
        </w:div>
        <w:div w:id="781219386">
          <w:marLeft w:val="0"/>
          <w:marRight w:val="0"/>
          <w:marTop w:val="0"/>
          <w:marBottom w:val="0"/>
          <w:divBdr>
            <w:top w:val="none" w:sz="0" w:space="0" w:color="auto"/>
            <w:left w:val="none" w:sz="0" w:space="0" w:color="auto"/>
            <w:bottom w:val="none" w:sz="0" w:space="0" w:color="auto"/>
            <w:right w:val="none" w:sz="0" w:space="0" w:color="auto"/>
          </w:divBdr>
        </w:div>
        <w:div w:id="1217860524">
          <w:marLeft w:val="0"/>
          <w:marRight w:val="0"/>
          <w:marTop w:val="0"/>
          <w:marBottom w:val="0"/>
          <w:divBdr>
            <w:top w:val="none" w:sz="0" w:space="0" w:color="auto"/>
            <w:left w:val="none" w:sz="0" w:space="0" w:color="auto"/>
            <w:bottom w:val="none" w:sz="0" w:space="0" w:color="auto"/>
            <w:right w:val="none" w:sz="0" w:space="0" w:color="auto"/>
          </w:divBdr>
        </w:div>
        <w:div w:id="1185169950">
          <w:marLeft w:val="0"/>
          <w:marRight w:val="0"/>
          <w:marTop w:val="0"/>
          <w:marBottom w:val="0"/>
          <w:divBdr>
            <w:top w:val="none" w:sz="0" w:space="0" w:color="auto"/>
            <w:left w:val="none" w:sz="0" w:space="0" w:color="auto"/>
            <w:bottom w:val="none" w:sz="0" w:space="0" w:color="auto"/>
            <w:right w:val="none" w:sz="0" w:space="0" w:color="auto"/>
          </w:divBdr>
        </w:div>
        <w:div w:id="597835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dm:cachedDataManifest xmlns:cdm="http://schemas.microsoft.com/2004/VisualStudio/Tools/Applications/CachedDataManifest.xsd" cdm:revision="1"/>
</file>

<file path=customXml/item2.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xml><?xml version="1.0" encoding="utf-8"?>
<n-document xmlns:xsd="http://www.w3.org/2001/XMLSchema" xmlns:xsi="http://www.w3.org/2001/XMLSchema-instance" guid="0" synced="true" validated="true">
  <n-docbody>
    <standard.doc precedenttype="agreement">
      <prelim>
        <product.name>product.name0</product.name>
        <title>Consultancy agreement via a service company</title>
        <author>
          <link href="http://uk.practicallaw.com/about/our-team/uk-employment" style="ACTLinkURL">
            <ital>Practical Law Employment</ital>
          </link>
        </author>
        <resource.type>Standard documents</resource.type>
        <juris>juris0</juris>
        <juris>juris1</juris>
      </prelim>
      <abstract>
        <para>
          <paratext>A contract for services where an individual's services are provided through a personal service company. This contract is intended for use by clients when they are engaging a consultant company to provide professional services and where the parties intend that the engagement will not be deemed employment for the purposes of the IR35 or off-payroll working rules.</paratext>
        </para>
      </abstract>
      <toc.identifier hasToc="true"/>
      <body>
        <drafting.note id="a618327" jurisdiction="">
          <head align="left" preservecase="true">
            <headtext>About this document</headtext>
          </head>
          <division id="a000006" level="1">
            <para>
              <paratext>This consultancy agreement is designed to be used where an individual's professional services are provided to a client company through an intermediary service company (referred to as the Consultant Company in this agreement) which is usually controlled by the individual.</paratext>
            </para>
            <para>
              <paratext>
                The client is likely to want direct undertakings from the individual regarding certain key matters (for example, confidentiality and intellectual property). See 
                <link href="3-200-2963" style="ACTLinkPLCtoPLC">
                  <ital>Standard document, Side letter to the consultancy agreement via a service company</ital>
                </link>
                .
              </paratext>
            </para>
            <para>
              <paratext>
                This consultancy agreement is drafted on the basis that the parties intend that the engagement will not be deemed employment for the purposes of the IR35 or off-payroll working rules and assumes that the client has made (or will make) a deemed status determination of self-employment (see 
                <link href="w-007-7709" style="ACTLinkPLCtoPLC">
                  <ital>Workers' services provided through intermediaries (off-payroll working rules): checklist for the client) </ital>
                </link>
                ). For more information on deemed employment status for tax purposes and the extension of the off-payroll working rules to the private sector, see 
                <internal.reference refid="a793362">Drafting note, Tax: deemed employment status</internal.reference>
                . For information on the approach that HMRC has taken in respect of compliance, see 
                <link anchor="a493265" href="7-520-0316" style="ACTLinkPLCtoPLC">
                  <ital>Practice note, Consultants: Increasing scrutiny</ital>
                </link>
                . HMRC has also published a policy paper outlining its off-payroll working compliance approach more generally (see 
                <link href="w-029-6773" style="ACTLinkPLCtoPLC">
                  <ital>Legal update, HMRC outlines off-payroll working compliance approach</ital>
                </link>
                ).
              </paratext>
            </para>
            <para>
              <paratext>
                For drafting issues related to the extension of the off-payroll working rules and details of the approach that we have taken in this standard document, see 
                <internal.reference refid="a502468">Drafting note, Off-payroll working rules</internal.reference>
                .
              </paratext>
            </para>
            <para>
              <paratext>If your client is the consultant company or individual, keep in mind that this standard document is written in favour of the client company and amendment will therefore be required.</paratext>
            </para>
          </division>
          <division id="a289598" level="1">
            <head align="left" preservecase="true">
              <headtext>Legal issues</headtext>
            </head>
            <division id="a793362" level="2">
              <head align="left" preservecase="true">
                <headtext>Tax: deemed employment status</headtext>
              </head>
              <para>
                <paratext>Where an individual provides services to a client through an intermediary, they might be deemed an employee for tax purposes under the following regimes:</paratext>
              </para>
              <list type="bulleted">
                <list.item>
                  <para>
                    <paratext>IR35.</paratext>
                  </para>
                </list.item>
                <list.item>
                  <para>
                    <paratext>Off-payroll working.</paratext>
                  </para>
                </list.item>
                <list.item>
                  <para>
                    <paratext>Managed service companies (MSCs).</paratext>
                  </para>
                </list.item>
              </list>
              <para>
                <paratext>
                  The MSC regime applies by virtue of providing services through an MSC (see 
                  <internal.reference refid="a540066">Drafting note, Managed service companies</internal.reference>
                  ).
                </paratext>
              </para>
              <para>
                <paratext>Broadly speaking, the IR35 and off-payroll working regimes only apply in circumstances where, if the arrangements had been directly with the client and not the intermediary, the consultant would have been treated as an employee of the client for tax purposes.</paratext>
              </para>
              <division id="a110521" level="3">
                <head align="left" preservecase="true">
                  <headtext>IR35</headtext>
                </head>
                <para>
                  <paratext>
                    Under the IR35 regime under Chapter 8 of Part 2 of the Income Tax (Earnings and Pensions) Act 2003 (ITEPA), the 
                    <bold>intermediary</bold>
                     is required to determine whether the arrangements meet the deemed employment test. If they do, the intermediary must deduct tax and NICs through PAYE and it will also be liable for employer NICs and, if applicable, the apprenticeship levy.
                  </paratext>
                </para>
              </division>
              <division id="a886915" level="3">
                <head align="left" preservecase="true">
                  <headtext>Off-payroll working</headtext>
                </head>
                <para>
                  <paratext>
                    Under the off-payroll working rules under Chapter 10 of Part 2 of ITEPA, the 
                    <bold>client</bold>
                     is required to determine whether the arrangements meet the deemed employment test (taking account of the contractual terms and how the arrangements work in practice). It will, therefore, be important to involve the department(s) where the services will be provided when determining whether the arrangements meet this test. If they do, the 
                    <bold>"fee-payer"</bold>
                     is responsible for deducting tax and employee NICs through PAYE and is liable to pay employer NICs and the apprenticeship levy. In the tripartite arrangement created by this agreement (client / PSC / consultant), the client would be the fee-payer. In an arrangement with a longer chain, the fee-payer would usually (but not always) be the person immediately above the PSC in the chain.
                  </paratext>
                </para>
                <para>
                  <paratext>
                    The off-payroll working rules have applied in the public sector since April 2017. They were due to be extended to private sector "medium" and "large" businesses with a UK connection in April 2020 (defined as entities that are not "small"; see 
                    <link anchor="a169638" href="w-028-8377" style="ACTLinkPLCtoPLC">
                      <ital>Practice note, Workers' services provided through intermediaries: off-payroll working rules for private sector entities: Definition of small and UK connection</ital>
                    </link>
                    ). Intermediaries providing the services of workers to "small" businesses would continue to be subject to the IR35 (Chapter 8) regime. However, due to the COVID-19 outbreak, the extension was delayed by a year to 6 April 2021. As a result, the IR35 regime under Chapter 8 of Part 2 of ITEPA continued to apply in the private sector where services were provided through an intermediary, which includes a personal service company, until 6 April 2021. After this date, the Chapter 8 regime has only applied where services are provided to private sector clients that are small, or private sector clients that have no UK connection.
                  </paratext>
                </para>
                <para>
                  <paratext>
                    For more information, see 
                    <link anchor="a365633" href="7-520-0316" style="ACTLinkPLCtoPLC">
                      <ital>Practice note, Consultants: Tax status of consultants: Consultancy via a service company</ital>
                    </link>
                    . For detailed explanations, see 
                    <link href="9-201-7626" style="ACTLinkPLCtoPLC">
                      <ital>Practice notes, IR35</ital>
                    </link>
                    , 
                    <link href="w-028-8377" style="ACTLinkPLCtoPLC">
                      <ital>Workers' services provided through intermediaries: off-payroll working rules for private sector entities</ital>
                    </link>
                     and 
                    <link href="w-006-3549" style="ACTLinkPLCtoPLC">
                      <ital>Workers' services provided through intermediaries: off-payroll working rules for public authorities</ital>
                    </link>
                    .
                  </paratext>
                </para>
                <para>
                  <paratext>
                    As the second practice note explains, under the extended off-payroll working rules, private sector clients are required to provide a status determination statement to the individual providing their personal services (see 
                    <link anchor="a840256" href="w-006-3549" style="ACTLinkPLCtoPLC">
                      <ital>Information flow of status determination and dispute resolution process</ital>
                    </link>
                    ). It is not necessary to replicate that obligation in this agreement.
                  </paratext>
                </para>
                <para>
                  <paratext>
                    <link href="w-007-7709" style="ACTLinkPLCtoPLC">
                      <ital>Checklist, Workers' services provided through intermediaries (off-payroll working rules): checklist for the client </ital>
                    </link>
                    includes detailed information on steps that need to be taken by a client to comply with the off-payroll working rules.
                  </paratext>
                </para>
              </division>
              <division id="a540066" level="3">
                <head align="left" preservecase="true">
                  <headtext>Managed service companies</headtext>
                </head>
                <para>
                  <paratext>
                    The worker's intermediary could be caught by the off-payroll working rules/IR35 rules (depending on the client) and the 
                    <link href="3-223-1993" style="ACTLinkPLCtoPLC">
                      <bold>
                        <ital>Managed service companies</ital>
                      </bold>
                    </link>
                     (MSCs) rules. The tax legislation therefore provides the following order of priority:
                  </paratext>
                </para>
                <list type="bulleted">
                  <list.item>
                    <para>
                      <paratext>If both the IR35 rules and MSC rules apply, the MSC rules apply.</paratext>
                    </para>
                  </list.item>
                  <list.item>
                    <para>
                      <paratext>If both the off-payroll working rules and MSC rules apply, the off-payroll working rules apply.</paratext>
                    </para>
                  </list.item>
                </list>
                <para>
                  <paratext>
                    MSCs must operate PAYE and employed earner NICs on 
                    <bold>all</bold>
                     payments made to the individual in return for their services. Third parties, including the client to whom the services of the worker are supplied, can be liable for the unpaid PAYE and NICs debts of an MSC. For further information on this regime, see 
                    <link href="6-225-4030" style="ACTLinkPLCtoPLC">
                      <ital>Practice note, Managed service companies</ital>
                    </link>
                    .
                  </paratext>
                </para>
              </division>
            </division>
            <division id="a499180" level="2">
              <head align="left" preservecase="true">
                <headtext>Is the individual an employee of the client?</headtext>
              </head>
              <para>
                <paratext>The employment tribunal or the courts determine employment status in relation to employment protection legislation. The reality of the relationship, rather than the legal form or any labels that the parties give to the relationship, will be determinative. For more information, including the criteria that are applied to determine employment status, see:</paratext>
              </para>
              <list type="bulleted">
                <list.item>
                  <para>
                    <paratext>
                      <link anchor="a1045629" href="7-520-0316" style="ACTLinkPLCtoPLC">
                        <ital>Practice note, Consultants: Employment status of consultants</ital>
                      </link>
                      .
                    </paratext>
                  </para>
                </list.item>
                <list.item>
                  <para>
                    <paratext>
                      <link href="6-200-4244" style="ACTLinkPLCtoPLC">
                        <ital>Practice note, Employment status (1): employee, worker or self-employed?</ital>
                      </link>
                       (which includes a summary of why employment status matters).
                    </paratext>
                  </para>
                </list.item>
              </list>
              <para>
                <paratext>HMRC, subject to the taxpayer's right of appeal, is responsible for determining questions of status in relation to tax. However, the basic approach of HMRC to determining employment status for tax purposes is similar to that of the employment tribunal. In particular, the reality of the relationship (where these differ from the terms of any written agreement) will be key. For further details, see:</paratext>
              </para>
              <list type="bulleted">
                <list.item>
                  <para>
                    <paratext>
                      <link href="6-200-2122" style="ACTLinkPLCtoPLC">
                        <ital>Practice note, Taxation of employees</ital>
                      </link>
                      .
                    </paratext>
                  </para>
                </list.item>
                <list.item>
                  <para>
                    <paratext>
                      <link href="w-022-7907" style="ACTLinkPLCtoPLC">
                        <ital>Checklist, Employment status for tax purposes</ital>
                      </link>
                      .
                    </paratext>
                  </para>
                </list.item>
              </list>
              <para>
                <paratext>
                  The above said, there has been some divergence between the approaches of courts to determining employment status for tax and employment law purposes over recent years (see 
                  <link anchor="a223476" href="7-520-0316" style="ACTLinkPLCtoPLC">
                    <ital>Practice note, Consultants: Relationship between employment status for tax and employment law purposes</ital>
                  </link>
                  ).
                </paratext>
              </para>
              <para>
                <paratext>
                  It is possible for an individual to be treated as an employee for tax purposes, but not be an employee for employment law purposes (or vice versa). Classification of an individual as a deemed employee for tax purposes will not automatically confer any employee rights on the individual (see 
                  <link href="_blank" style="ACTLinkPLCtoPLC">
                    <ital>ESM10019</ital>
                  </link>
                  ).
                </paratext>
              </para>
              <para>
                <paratext>
                  Keep in mind that the individual may have protection under discrimination legislation even if their status is not that of an employee or worker (see 
                  <link anchor="a62527" href="6-200-4244" style="ACTLinkPLCtoPLC">
                    <ital>Practice note, Employment status (1): employee, worker or self-employed?: "Employment" for other purposes: Discrimination</ital>
                  </link>
                  ).
                </paratext>
              </para>
            </division>
            <division id="a321642" level="2">
              <head align="left" preservecase="true">
                <headtext>Commercial agents regulations</headtext>
              </head>
              <para>
                <paratext>
                  Clients should be aware that the consultant company or the individual could be a "commercial agent" under the 
                  <link href="7-506-9241" style="ACTLinkPLCtoPLC">
                    <ital>Commercial Agents (Council Directive) Regulations 1993 (SI 1993/3053)</ital>
                  </link>
                   (Commercial Agents Regulations). The Commercial Agents Regulations apply to all self-employed "intermediaries" with "continuing authority" to negotiate or conclude the sale or purchase of goods on behalf of another. The definition of "commercial agent" refers to a "person", which appears to include companies and partnerships. Key features are that:
                </paratext>
              </para>
              <list type="bulleted">
                <list.item>
                  <para>
                    <paratext>Agents are entitled to the same remuneration as other agents who are engaged to sell the same goods and who are operating in the same area.</paratext>
                  </para>
                </list.item>
                <list.item>
                  <para>
                    <paratext>On termination of the agency arrangement, the agent is (in addition to any damages for breach of contract) entitled to either an "indemnity" (which is a payment the parties agree represents a certain amount of forecast loss) or, if no indemnity has been agreed, compensation for damages which the agent suffers as a result of the termination. There is no duty to mitigate in either case.</paratext>
                  </para>
                </list.item>
                <list.item>
                  <para>
                    <paratext>Minimum notice periods are implied into any agency arrangement. The minimum notice required from either party is one month during the first year of the agreement, increasing to two months during the second year and three months in the third and subsequent years. It is possible to agree a longer notice period, provided that the principal does not have to give less notice than the agent.</paratext>
                  </para>
                </list.item>
              </list>
              <para>
                <paratext>
                  For further information, see 
                  <link href="8-107-3647" style="ACTLinkPLCtoPLC">
                    <ital>Practice note: overview, Commercial agents</ital>
                  </link>
                  .
                </paratext>
              </para>
            </division>
          </division>
          <division id="a588675" level="1">
            <head align="left" preservecase="true">
              <headtext>Negotiating and drafting issues</headtext>
            </head>
            <division id="a958440" level="2">
              <head align="left" preservecase="true">
                <headtext>Employment Status</headtext>
              </head>
              <division id="a932284" level="3">
                <head align="left" preservecase="true">
                  <headtext>Tax</headtext>
                </head>
                <para>
                  <paratext>
                    The client and the consultant company will usually have a common interest in trying to ensure the consultancy agreement contains as many indicators of self-employment as possible (see 
                    <link href="w-022-7907" style="ACTLinkPLCtoPLC">
                      <ital>Practice note, Employment status for tax purposes</ital>
                    </link>
                     for more information regarding an individual's status for tax purposes). However, as stated above, this will not determine that the consultancy agreement is a contract for services if the substance of the underlying relationship suggests otherwise (see 
                    <internal.reference refid="a289598">Drafting note, Legal issues</internal.reference>
                    ).
                  </paratext>
                </para>
              </division>
              <division id="a665163" level="3">
                <head align="left" preservecase="true">
                  <headtext>Employment rights</headtext>
                </head>
                <para>
                  <paratext>
                    The standard document is drafted on the basis that the individual is neither an employee nor a worker of the client for employment law purposes. In practice, for the individual (or any substitute) to be deemed to be an employee or worker of the client for employment rights purposes there would effectively need to be an implied contract between the individual (or any substitute) and the client applying the principles discussed in 
                    <link href="D-000-3014" style="ACTLinkURL">
                      <ital>James v London Borough of Greenwich [2008] EWCA Civ 35; [2008] IRLR 302</ital>
                    </link>
                     (see 
                    <link href="4-380-6456" style="ACTLinkPLCtoPLC">
                      <ital>Legal update, Court of Appeal approves EAT decision in James v London Borough of Greenwich</ital>
                    </link>
                    ). These principles have so far only been applied to agency arrangements, but it is theoretically possible that they could also be applied to a tripartite consultancy arrangement (see 
                    <link href="6-374-3062" style="ACTLinkPLCtoPLC">
                      <ital>Practice note, Employment status: agency workers</ital>
                    </link>
                    ).
                  </paratext>
                </para>
              </division>
            </division>
            <division id="a872252" level="2">
              <head align="left" preservecase="true">
                <headtext>Commercial Agents Regulations</headtext>
              </head>
              <para>
                <paratext>
                  The standard document is drafted on the basis that the 
                  <link href="7-506-9241" style="ACTLinkPLCtoPLC">
                    <ital>Commercial Agents Regulations</ital>
                  </link>
                   do not apply. If it is possible that the consultant company or the individual could be a commercial agent within the Commercial Agents Regulations and a reasonable indemnity cannot be agreed, the client should consider if it would be preferable to engage the consultant as an employee rather than take the risk of an expensive compensation claim on termination of the arrangement.
                </paratext>
              </para>
            </division>
            <division id="a502468" level="2">
              <head align="left" preservecase="true">
                <headtext>Off-payroll working rules</headtext>
              </head>
              <para>
                <paratext>
                  This document provides wording and clauses catering for the off-payroll working rules (see 
                  <internal.reference refid="a793362">Drafting note, Tax: deemed employment status</internal.reference>
                  , as well as  
                  <internal.reference refid="a448054">clause 3.11</internal.reference>
                  , 
                  <internal.reference refid="a466114">clause 4.1</internal.reference>
                  , 
                  <internal.reference refid="a940790">clause 11.1(i)</internal.reference>
                   and 
                  <internal.reference refid="a258500">clause 13.3</internal.reference>
                  ). Both for commercial and status reasons, many clients are moving away from time-based engagements to engagements based on outcomes and deliverables. For this reason, this document includes alternative wording and clauses for a deliverables-based approach (see, in particular, 
                  <internal.reference refid="a291552">clause 3.1</internal.reference>
                   and 
                  <internal.reference refid="a942940">clause 4</internal.reference>
                  ). However, note that the adoption of a deliverables-based approach is not necessarily an easy solution. A scoping exercise will need to be completed, and clear deliverables and milestones identified. In addition, the client will need to consider any applicable acceptance criteria and any amendments to this agreement to address any acceptance criteria. For further discussion on acceptance criteria in a commercial context, see 
                  <link anchor="a753641" href="3-623-0753" style="ACTLinkPLCtoPLC">
                    <ital>Standard document, Services agreement (pro-customer): Drafting note: Milestones and acceptance</ital>
                  </link>
                  .
                </paratext>
              </para>
              <para>
                <paratext>
                  Under the off-payroll working rules, if the engagement is caught by the rules and the individual has a material interest (broadly, beneficial ownership of or ability to control more than 5% of the ordinary share capital or rights that entitle the individual to more than 5% of distributions or assets on a winding-up) in the service company 
                  <bold>or </bold>
                  one of the other relevant conditions are met (see 
                  <link anchor="a870984" href="w-028-8377" style="ACTLinkPLCtoPLC">
                    <ital>Practice note, Workers' services provided through intermediaries: off-payroll working rules for private sector entities: Relevant intermediaries</ital>
                  </link>
                  , where we explain why the Finance Act 2020 introduced new measures to prevent avoidance arrangements that seek to circumvent the material interest test), the client must determine the individual's deemed employment status for tax purposes (see 
                  <link anchor="a648984" href="w-028-8377" style="ACTLinkPLCtoPLC">
                    <ital>Practice note, Workers' services provided through intermediaries: off-payroll working rules for private sector entities: Engagements to which the rules apply: gateway tests</ital>
                  </link>
                  ).
                </paratext>
              </para>
              <para>
                <paratext>
                  HMRC may later disagree with the client's determination, or the deemed employment status may change during the engagement. As a result, we have included provisions that reflect the fact that deemed employment status may be found after the consultancy agreement is entered into (although, as detailed in 
                  <internal.reference refid="a618327">Drafting note, About this document</internal.reference>
                   above, the agreement is drafted on the basis that a determination of self-employment has been made at the outset). The agreement could be used where a client is a "small" business (see 
                  <internal.reference refid="a886915">Drafting note, Off-payroll working</internal.reference>
                  ), given that this will put the client in a better position if its status changes (and it is no longer classed as "small") and it therefore becomes subject to the off-payroll working regime.
                </paratext>
              </para>
              <para>
                <paratext>
                  Ultimately, deemed employment status under IR35 and the off-payroll working rules depends on the reality of the relationship between the parties rather than the terms of the consultancy agreement (see 
                  <internal.reference refid="a499180">Drafting note, Is the individual an employee of the client?</internal.reference>
                  ). It is not possible to prepare a consultancy agreement via a service company which guarantees that neither IR35 nor the off-payroll working rules will apply. However, to have a greater chance of demonstrating that neither IR35 nor the off-payroll working rules apply, clients choosing to engage individuals via personal service companies should consider adopting a deliverables-based approach (see 
                  <internal.reference refid="a468483">Drafting note, General duties</internal.reference>
                  ) and giving the consultant company an unfettered right of substitution (see 
                  <internal.reference refid="a606941">Drafting note, Appointment of substitute (optional wording)</internal.reference>
                  ).
                </paratext>
              </para>
              <para>
                <paratext>
                  The reason for adopting a deliverables-based approach is that it means that fees are not payable based on time spent but instead on the achievement of specific deliverables. This more commercial approach can be contrasted to an employment relationship, where an employee is typically paid a basic salary by reference to the number of days they work. Note also that a genuine right of substitution, where it is practicable and plausible for the consultant company to send a substitute and the consultant company rather than the client pays the substitute, is a determinative factor in HMRC's CEST tool (see 
                  <link anchor="a657572" href="w-022-7907" style="ACTLinkPLCtoPLC">
                    <ital>Employment status for tax purposes: HMRC guidance and CEST tool</ital>
                  </link>
                  ).
                </paratext>
              </para>
              <para>
                <paratext>
                  For detailed information on relevant intermediaries, see 
                  <link anchor="a870984" href="w-028-8377" style="ACTLinkPLCtoPLC">
                    <ital>Practice note, Workers' services provided through intermediaries: off-payroll working rules for private sector entities: Relevant intermediaries</ital>
                  </link>
                  . For information on HMRC's revised off-payroll working guidance from March 2021, including confirmation of the status of companies in which a worker has no interest, see 
                  <link href="w-030-0199" style="ACTLinkPLCtoPLC">
                    <ital>Legal update, HMRC revises off-payroll working guidance</ital>
                  </link>
                  .
                </paratext>
              </para>
              <division id="a764714" level="3">
                <head align="left" preservecase="true">
                  <headtext>Services or labour?</headtext>
                </head>
                <para>
                  <paratext>
                    IR35 and the off-payroll working rules are focused on the provision of labour (in other words, where an individual contractor is providing their personal services), rather than services generally. Fully outsourced services, such as fully outsourced IT or catering services, are therefore out of the scope of the rules (see 
                    <link anchor="a379478" href="w-028-8377" style="ACTLinkPLCtoPLC">
                      <ital>Practice note, Workers' services provided through intermediaries: off-payroll working rules for private sector entities: Outsourcing arrangements</ital>
                    </link>
                    ).
                  </paratext>
                </para>
                <para>
                  <paratext>
                    This agreement is not suitable for use in a fully outsourced arrangement. For example services agreements, see 
                    <link href="7-623-0751" style="ACTLinkPLCtoPLC">
                      <ital>Standard documents, Services agreement (pro-supplier)</ital>
                    </link>
                     and 
                    <link href="3-623-0753" style="ACTLinkPLCtoPLC">
                      <ital>Services agreement (pro-customer)</ital>
                    </link>
                    .
                  </paratext>
                </para>
              </division>
            </division>
          </division>
        </drafting.note>
        <cover.sheet>
          <head align="left" preservecase="true">
            <headtext>Consultancy agreement via a service company</headtext>
          </head>
          <party.name>[FULL COMPANY NAME]</party.name>
          <AdditionalPartyType>
            <static.and>and</static.and>
            <party.name>[CONSULTANT COMPANY NAME]</party.name>
          </AdditionalPartyType>
        </cover.sheet>
        <intro default="false">
          <intro.date>This agreement is dated [DATE].</intro.date>
        </intro>
        <parties>
          <head align="left" preservecase="true">
            <headtext>PARTIES</headtext>
          </head>
          <drafting.note id="a183487" jurisdiction="">
            <head align="left" preservecase="true">
              <headtext>Parties</headtext>
            </head>
            <division id="a000007" level="1">
              <para>
                <paratext>
                  The individual is not a party to the agreement (to avoid any direct relationship between the individual and the client). The consultant company is required to procure that the individual complies with certain obligations under the agreement. Therefore, if the individual fails to comply with such obligations, the consultant company would be in breach of contract and the client's remedies would be against the consultant company. However, from a commercial point of view, the client company will usually want a side letter from the individual consultant in which they give direct undertakings (see 
                  <link href="3-200-2963" style="ACTLinkPLCtoPLC">
                    <ital>Standard document, Side letter to the consultancy agreement via a service company</ital>
                  </link>
                  ).
                </paratext>
              </para>
            </division>
          </drafting.note>
          <party executionmethod="contract" id="a122546" status="individual">
            <identifier>(1)</identifier>
            <defn.item>
              <defn>
                <para>
                  <paratext>[FULL COMPANY NAME] incorporated and registered in England and Wales with company number [NUMBER] whose registered office is at [REGISTERED OFFICE ADDRESS]</paratext>
                </para>
              </defn>
              <defn.term>Client</defn.term>
            </defn.item>
          </party>
          <party executionmethod="contract" id="a169657" status="individual">
            <identifier>(2)</identifier>
            <defn.item>
              <defn>
                <para>
                  <paratext>[FULL COMPANY NAME] incorporated and registered in England and Wales with company number [NUMBER] whose registered office is at [REGISTERED OFFICE ADDRESS]</paratext>
                </para>
              </defn>
              <defn.term>Consultant Company</defn.term>
            </defn.item>
          </party>
        </parties>
        <operative xrefname="clause">
          <head align="left" preservecase="true">
            <headtext>Agreed terms</headtext>
          </head>
          <clause id="a274564">
            <identifier>1.</identifier>
            <head align="left" preservecase="true">
              <headtext>Interpretation</headtext>
            </head>
            <subclause1 id="a1054300">
              <identifier>1.1</identifier>
              <para>
                <paratext>The following definitions and rules of interpretation apply in this agreement (unless the context requires otherwise).</paratext>
              </para>
              <defn.item id="a405968">
                <defn.term>Board</defn.term>
                <defn>
                  <para>
                    <paratext>the board of directors of the Client (including any committee of the board duly appointed by it).</paratext>
                  </para>
                </defn>
              </defn.item>
              <defn.item id="a369898">
                <defn.term>Business of the Client</defn.term>
                <defn>
                  <para>
                    <paratext>[THE CLIENT'S MAIN BUSINESS PURPOSE AND ACTIVITIES].</paratext>
                  </para>
                </defn>
                <drafting.note id="a820321" jurisdiction="">
                  <head align="left" preservecase="true">
                    <headtext>Business of the Client</headtext>
                  </head>
                  <division id="a000008" level="1">
                    <para>
                      <paratext>The client's specific instructions should be sought to produce a sufficiently clear and comprehensive definition of the nature of its business.</paratext>
                    </para>
                  </division>
                </drafting.note>
              </defn.item>
              <defn.item id="a514394">
                <defn.term>Business Opportunities</defn.term>
                <defn>
                  <para>
                    <paratext>any opportunities which the Consultant Company or the Individual becomes aware of during the Engagement which relate to the Business of the Client [or any Group Company] or which the Board reasonably considers might be of benefit to the Client [or any Group Company].</paratext>
                  </para>
                </defn>
              </defn.item>
              <defn.item id="a913334">
                <defn.term>Business Day</defn.term>
                <defn>
                  <para>
                    <paratext>a day, other than a Saturday, Sunday or public holiday in England, when banks in London are open for business.</paratext>
                  </para>
                </defn>
              </defn.item>
              <defn.item id="a304413">
                <defn.term>Capacity</defn.term>
                <defn>
                  <para>
                    <paratext>as agent, consultant, director, employee, owner, partner, shareholder or in any other capacity.</paratext>
                  </para>
                </defn>
              </defn.item>
              <defn.item id="a883626">
                <defn.term>Client Property</defn.term>
                <defn>
                  <para>
                    <paratext>all documents, books, manuals, materials, records, correspondence, papers and information (on whatever media and wherever located) relating to the Business or affairs of the Client [or Group Company] or its [or their] customers and business contacts, and any equipment, keys, hardware or software provided for the Consultant Company or the Individual's use by the Client during the Engagement, and any data or documents (including copies) produced, maintained or stored by the Consultant Company or the Individual on the computer systems or other electronic equipment of the Client, the Consultant Company or the Individual during the Engagement.</paratext>
                  </para>
                </defn>
                <drafting.note id="a286255" jurisdiction="">
                  <head align="left" preservecase="true">
                    <headtext>Client Property</headtext>
                  </head>
                  <division id="a000009" level="1">
                    <para>
                      <paratext>The client's confirmation that the definition covers all property and equipment provided to the consultant should be sought.</paratext>
                    </para>
                  </division>
                </drafting.note>
              </defn.item>
              <defn.item id="a656311">
                <defn.term>Confidential Information</defn.term>
                <defn>
                  <para>
                    <paratext>information in whatever form (including, without limitation, in written, oral, visual or electronic form or on any magnetic or optical disk or memory and wherever located) relating to the business, customers, clients, suppliers, products, affairs and finances of the Client [or any Group Company] for the time being confidential to the Client [or any Group Company] and trade secrets including, without limitation, technical data and know-how relating to the Business of the Client [or any Group Company] or any of its [or their] suppliers, customers, clients, agents, distributors, shareholders, management or business contacts, including in particular (by way of illustration only and without limitation) [EXAMPLES] and including (but not limited to) information that the Consultant Company or the Individual creates, develops, receives or obtains in connection with this Engagement, whether or not such information (if in anything other than oral form) is marked confidential.</paratext>
                  </para>
                </defn>
                <drafting.note id="a817903" jurisdiction="">
                  <head align="left" preservecase="true">
                    <headtext>Confidential Information</headtext>
                  </head>
                  <division id="a000010" level="1">
                    <para>
                      <paratext>The client's specific instructions should be sought regarding the nature of its business and the type of information that it considers as confidential. The definition should then be amended as appropriate.</paratext>
                    </para>
                  </division>
                </drafting.note>
              </defn.item>
              <defn.item id="a817217">
                <defn.term>Data Protection Legislation</defn.term>
                <defn>
                  <para>
                    <paratext>
                      all applicable data protection and privacy legislation in force from time to time in the UK including the retained EU law version of the General Data Protection Regulation ((EU) 2016/679) (UK GDPR), the Data Protection Act 2018 (and regulations made thereunder)
                      <ital> </ital>
                      or any successor legislation, and all other legislation and regulatory requirements in force from time to time which apply to a party relating to the use of personal data (including, without limitation, the privacy of electronic communications).
                    </paratext>
                  </para>
                </defn>
                <drafting.note id="a849441" jurisdiction="">
                  <head align="left" preservecase="true">
                    <headtext>Data Protection Legislation</headtext>
                  </head>
                  <division id="a000011" level="1">
                    <para>
                      <paratext>
                        This consultancy agreement has been drafted on the basis that the consultant company will be subject to the UK data protection regime only (see 
                        <internal.reference refid="a179897">Drafting note, Data protection</internal.reference>
                         for more information on the post-Brexit position in the UK). However, the EU GDPR continues to have extra-territorial effect, meaning that it may continue to apply to UK suppliers who act as 
                        <link href="https://uk.practicallaw.thomsonreuters.com/5-107-5723?originationContext=document&amp;amp;transitionType=DocumentItem&amp;amp;contextData=(sc.Default)" style="ACTLinkURL">
                          <ital>controllers</ital>
                        </link>
                         or 
                        <link href="https://uk.practicallaw.thomsonreuters.com/2-384-8947?originationContext=document&amp;amp;transitionType=DocumentItem&amp;amp;contextData=(sc.Default)" style="ACTLinkURL">
                          <ital>processors</ital>
                        </link>
                         and have an establishment in the EU, or who offer goods or services to data subjects in the EU. Some suppliers of consultancy services may, therefore, find themselves subject to parallel data protection regimes under the UK GDPR and the EU GDPR (see 
                        <link href="w-026-2740" style="ACTLinkPLCtoPLC">
                          <ital>Practice note, Brexit post-transition period: data protection (UK): Determining which regimes apply</ital>
                        </link>
                        ). If this is the case, the definition of Data Protection Legislation should be expanded to expressly refer to the EU GDPR and any other European Union legislation relating to personal data.
                      </paratext>
                    </para>
                  </division>
                </drafting.note>
              </defn.item>
              <defn.item id="a745663">
                <defn.term>Deemed Employment</defn.term>
                <defn>
                  <para>
                    <paratext>an engagement to which section 61M(1)(d) of the Income Tax (Earnings and Pensions) Act 2003 applies.</paratext>
                  </para>
                </defn>
              </defn.item>
              <defn.item id="a682690">
                <defn.term>[Deliverable</defn.term>
                <defn>
                  <para>
                    <paratext>
                      any outputs of the Services and any other documents or materials provided by the Consultant Company to the Client as specified in 
                      <internal.reference refid="a943751">Schedule 1</internal.reference>
                       or in relation to the Services (excluding the Consultant Company's equipment).]
                    </paratext>
                  </para>
                </defn>
                <drafting.note id="a872798" jurisdiction="">
                  <head align="left" preservecase="true">
                    <headtext>Deliverable (optional definition)</headtext>
                  </head>
                  <division id="a000012" level="1">
                    <para>
                      <paratext>
                        This definition should be included if a deliverables-based approach will be taken (see 
                        <internal.reference refid="a468483">Drafting note, General duties</internal.reference>
                        ).
                      </paratext>
                    </para>
                  </division>
                </drafting.note>
              </defn.item>
              <defn.item id="a771544">
                <defn.term>Engagement</defn.term>
                <defn>
                  <para>
                    <paratext>
                      the engagement of the Consultant Company by the Client on the terms of this agreement
                      <bold>.</bold>
                    </paratext>
                  </para>
                </defn>
              </defn.item>
              <defn.item condition="optional" id="a144492">
                <defn.term>Group Company</defn.term>
                <defn>
                  <para>
                    <paratext>the Client, its subsidiaries or holding companies from time to time and any subsidiary of any holding company from time to time.</paratext>
                  </para>
                </defn>
                <drafting.note id="a713784" jurisdiction="">
                  <head align="left" preservecase="true">
                    <headtext>Group Company, subsidiary and holding company (optional definitions)</headtext>
                  </head>
                  <division id="a000013" level="1">
                    <para>
                      <paratext>
                        These definitions are relevant if the client is part of a corporate group and the consultant company may have duties in connection with other companies within the group. The definition of Group Company and subsidiary should be amended to ensure that they reflect the nature of the client's group. If the client is not part of a corporate group, the definitions are not strictly necessary. However, it is usually a good idea to include them if it is possible that the situation could change in the future. The optional wording in brackets has been introduced to take account of the effect of the decision in the 
                        <ital>Enviroco</ital>
                         case (see 
                        <link href="5-505-6169" style="ACTLinkPLCtoPLC">
                          <ital>Legal update, Interpretation of contract: definition of subsidiary (Supreme Court)</ital>
                        </link>
                        ).
                      </paratext>
                    </para>
                  </division>
                </drafting.note>
              </defn.item>
              <defn.item condition="optional" id="a210254">
                <defn.term>holding company</defn.term>
                <defn>
                  <para>
                    <paratext>
                      has the meaning given in 
                      <internal.reference refid="a356000">clause 1.6</internal.reference>
                      .
                    </paratext>
                  </para>
                </defn>
              </defn.item>
              <defn.item id="a689395">
                <defn.term>Individual</defn.term>
                <defn>
                  <para>
                    <paratext>[NAME]</paratext>
                  </para>
                </defn>
                <drafting.note id="a441622" jurisdiction="">
                  <head align="left" preservecase="true">
                    <headtext>Individual</headtext>
                  </head>
                  <division id="a000014" level="1">
                    <para>
                      <paratext>Naming a specific individual in the agreement suggests that that individual's personal service is required. If an individual's personal service is not required and the consultant company has more than one employee, consider amending this definition to allow for such individual or individuals as the consultant company may nominate. If this approach is taken, references to Individual in this agreement should be checked to ensure that they still work alongside any amended definition.</paratext>
                    </para>
                  </division>
                </drafting.note>
              </defn.item>
              <defn.item id="a178558">
                <defn.term>Insurance Policies</defn.term>
                <defn>
                  <para>
                    <paratext>[commercial general liability insurance cover,] [employer's liability insurance cover,] [professional indemnity insurance cover,] [cyber insurance cover,] [[and] public liability insurance cover].</paratext>
                  </para>
                </defn>
                <drafting.note id="a885790" jurisdiction="">
                  <head align="left" preservecase="true">
                    <headtext>Insurance Policies</headtext>
                  </head>
                  <division id="a000015" level="1">
                    <para>
                      <paratext>
                        The consultant company will be exempt from the requirement to take out employers' liability insurance if it is run by the individual and the individual is its sole employee (
                        <link href="7-512-5044" style="ACTLinkPLCtoPLC">
                          <ital>Employers' liability (compulsory insurance) (Amendment) Regulations 2004 (SI 2004/2882)</ital>
                        </link>
                        ). However, if the consultant company employs any staff to help the individual in the performance of the services under the agreement, it will be required to have employers' liability insurance which must be at least in accordance with the statutory minimum (which is currently £5 million). Public liability insurance protects the insured against claims brought by members of the public. Professional indemnity insurance may be desirable or may be required if the individual is a member of certain professions. For example, the regulatory bodies of accountants, solicitors, insurance brokers, financial advisers and architects all require their members to take out appropriate professional indemnity insurance.
                      </paratext>
                    </para>
                    <para>
                      <paratext>If a consultant is a processor under the UK GDPR, a cyber insurance policy can insure against the costs associated with a data breach (although it may not insure against any fines imposed by the ICO as a result of a breach of the UK GDPR).  Clients and consultants should both satisfy themselves that an insurance policy with the appropriate level of cover is in place.</paratext>
                    </para>
                    <para>
                      <paratext>
                        For more information, see 
                        <link href="7-520-0316#a207345" style="ACTLinkPLCtoPLC">
                          <ital>Practice note, Consultants: Insurance</ital>
                        </link>
                        .
                      </paratext>
                    </para>
                  </division>
                </drafting.note>
              </defn.item>
              <defn.item id="a831268">
                <defn.term>Intellectual Property Rights</defn.term>
                <defn>
                  <para>
                    <paratext>patents, [utility models,] rights to Inventions, copyright and [neighbouring and] related rights, [moral rights,] trade marks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paratext>
                  </para>
                </defn>
                <drafting.note id="a601170" jurisdiction="">
                  <head align="left" preservecase="true">
                    <headtext>Intellectual Property Rights</headtext>
                  </head>
                  <division id="a000016" level="1">
                    <para>
                      <paratext>This standard definition of IP rights has been drafted as widely as possible to cover all rights potentially subsisting in the relevant work. The definition is based on UK law but includes optional references in square brackets to the main types of rights which subsist outside the UK. Consider whether to include all or any of them in your definition if the individual is likely to be working outside the UK.</paratext>
                    </para>
                  </division>
                </drafting.note>
              </defn.item>
              <defn.item id="a488616">
                <defn.term>Invention</defn.term>
                <defn>
                  <para>
                    <paratext>any invention, idea, discovery, development, improvement or innovation made by the Consultant Company or by the Individual in connection with the provision of the Services, whether or not patentable or capable of registration, and whether or not recorded in any medium.</paratext>
                  </para>
                </defn>
              </defn.item>
              <defn.item id="a863466">
                <defn.term>Off-payroll Working rules</defn.term>
                <defn>
                  <para>
                    <paratext>the rules in Chapter 10 of Part 2 of the Income Tax (Earnings and Pensions) Act 2003.</paratext>
                  </para>
                </defn>
              </defn.item>
              <defn.item id="a486162">
                <defn.term>Services</defn.term>
                <defn>
                  <para>
                    <paratext>
                      the services described in the 
                      <internal.reference refid="a943751">Schedule 1</internal.reference>
                      .
                    </paratext>
                  </para>
                </defn>
              </defn.item>
              <defn.item id="a297798">
                <defn.term>Start Date: [START DATE OF ENGAGEMENT].</defn.term>
                <defn>
                  <para>
                    <paratext/>
                  </para>
                </defn>
              </defn.item>
              <defn.item condition="optional" id="a322379">
                <defn.term>subsidiary</defn.term>
                <defn>
                  <para>
                    <paratext>
                      has the meaning given in 
                      <internal.reference refid="a356000">clause 1.6</internal.reference>
                      .
                    </paratext>
                  </para>
                </defn>
              </defn.item>
              <defn.item condition="optional" id="a801427">
                <defn.term>Substitute</defn.term>
                <defn>
                  <para>
                    <paratext>
                      a substitute for the Individual appointed under the terms of 
                      <internal.reference refid="a358025">clause 3.3</internal.reference>
                      .
                    </paratext>
                  </para>
                </defn>
                <drafting.note id="a503063" jurisdiction="">
                  <head align="left" preservecase="true">
                    <headtext>Substitute</headtext>
                  </head>
                  <division id="a000017" level="1">
                    <para>
                      <paratext>
                        As noted in  
                        <internal.reference refid="a606941">Drafting note, Appointment of substitute (optional wording)</internal.reference>
                        , if a genuine unfettered right of substitution exists, this negates the individual's obligation to perform work personally and is therefore inconsistent with employment status. A conditional right to provide a substitute may or may not be inconsistent with personal service. When assessing whether a genuine right of substitution exists, HMRC will investigate whether it is both possible and plausible for the right to be exercised. For further discussion, see 
                        <link anchor="a251217" href="w-022-7907" style="ACTLinkPLCtoPLC">
                          <ital>Employment status for tax purposes: Personal service and substitution</ital>
                        </link>
                         and, for HMRC's guidance, see 
                        <link href="https://www.gov.uk/hmrc-internal-manuals/employment-status-manual/esm0530" style="ACTLinkURL">
                          <ital>ESM0530</ital>
                        </link>
                        , 
                        <link href="https://www.gov.uk/hmrc-internal-manuals/employment-status-manual/esm0538" style="ACTLinkURL">
                          <ital>ESM0538</ital>
                        </link>
                         and 
                        <link href="https://www.gov.uk/hmrc-internal-manuals/employment-status-manual/esm11045" style="ACTLinkURL">
                          <ital>ESM11045</ital>
                        </link>
                        .
                      </paratext>
                    </para>
                    <para>
                      <paratext>
                        If the client permits a right of substitution, ensure that all clauses that impose obligations on the individual apply equally to the substitute. Likewise, ensure that 
                        <internal.reference refid="a572524">clause 8.7</internal.reference>
                         is amended appropriately.
                      </paratext>
                    </para>
                  </division>
                </drafting.note>
              </defn.item>
              <defn.item id="a104386">
                <defn.term>Termination Date</defn.term>
                <defn>
                  <para>
                    <paratext>the date of termination of this agreement, howsoever arising.</paratext>
                  </para>
                </defn>
              </defn.item>
              <defn.item id="a631467">
                <defn.term>Works</defn.term>
                <defn>
                  <para>
                    <paratext>all records, reports, documents, papers, drawings, designs, transparencies, photos, graphics, logos, typographical arrangements, software programs, inventions, ideas, discoveries, developments, improvements or innovations and all materials embodying them in whatever form, including but not limited to hard copy and electronic form, prepared by the Consultant Company or the Individual in connection with the provision of the Services.</paratext>
                  </para>
                </defn>
              </defn.item>
            </subclause1>
            <subclause1 id="a915862">
              <identifier>1.2</identifier>
              <para>
                <paratext>The headings in this agreement are inserted for convenience only and shall not affect its construction.</paratext>
              </para>
            </subclause1>
            <subclause1 id="a242266">
              <identifier>1.3</identifier>
              <para>
                <paratext>A reference to a particular law is a reference to it as it is in force for the time being taking account of any amendment, extension, or re-enactment and includes any subordinate legislation for the time being in force made under it.</paratext>
              </para>
            </subclause1>
            <subclause1 id="a809163">
              <identifier>1.4</identifier>
              <para>
                <paratext>Unless the context otherwise requires, words in the singular shall include the plural and in the plural shall include the singular.</paratext>
              </para>
            </subclause1>
            <subclause1 id="a332752">
              <identifier>1.5</identifier>
              <para>
                <paratext>The Schedules form part of this agreement and shall have effect as if set out in full in the body of this agreement. Any reference to this agreement includes the Schedules.</paratext>
              </para>
            </subclause1>
            <subclause1 condition="optional" id="a122863">
              <identifier>1.6</identifier>
              <para>
                <paratext>
                  A reference to a 
                  <bold>holding company</bold>
                   or a 
                  <bold>subsidiary</bold>
                   means a holding company or a subsidiary (as the case may be) as defined in section 1159 of the Companies Act 2006 [and a company shall be treated, for the purposes only of the membership requirement contained in sections 1159(1)(b) and (c), as a member of another company even if its shares in that other company are registered in the name of (a) another person (or its nominee), whether by way of security or in connection with the taking of security, or (b) as a nominee].
                </paratext>
              </para>
            </subclause1>
          </clause>
          <clause id="a806145">
            <identifier>2.</identifier>
            <head align="left" preservecase="true">
              <headtext>Term of engagement</headtext>
            </head>
            <drafting.note id="a858980" jurisdiction="">
              <head align="left" preservecase="true">
                <headtext>Term of engagement</headtext>
              </head>
              <division id="a000018" level="1">
                <para>
                  <paratext>If the document is to be signed after the individual has started work, this clause should specify that the agreement is deemed to have started on the date that the consultant company actually started providing the services.</paratext>
                </para>
                <para>
                  <paratext>
                    The document provides for an indefinite term. Either party can terminate the agreement by giving the same period of notice to the other. See 
                    <internal.reference refid="a321642">Drafting note, Commercial agents regulations</internal.reference>
                     with regard to minimum notice periods that will be required if the individual or consultant company is a commercial agent.
                  </paratext>
                </para>
                <para>
                  <paratext>
                    It is stated that notice must be given in writing. Consequently, the client should be advised that, if this provision is included, oral notice will not be effective (
                    <internal.reference refid="a910345">clause 2.2(b)</internal.reference>
                    ).
                  </paratext>
                </para>
                <para>
                  <paratext>It is not advisable to include either:</paratext>
                </para>
                <list type="bulleted">
                  <list.item>
                    <para>
                      <paratext>
                        A 
                        <link href="2-200-3406" style="ACTLinkPLCtoPLC">
                          <bold>
                            <ital>pay in lieu of notice</ital>
                          </bold>
                        </link>
                         (PILON) clause (giving the client the option to terminate the engagement with immediate effect on making a PILON).
                      </paratext>
                    </para>
                  </list.item>
                  <list.item>
                    <para>
                      <paratext>
                        A 
                        <link href="1-200-3242" style="ACTLinkPLCtoPLC">
                          <bold>
                            <ital>garden leave</ital>
                          </bold>
                        </link>
                         clause (giving the client, for example, the right to exclude the individual from the premises during the notice period, while still paying the consultant company during this period).
                      </paratext>
                    </para>
                  </list.item>
                </list>
                <para>
                  <paratext>These provisions are inconsistent with the nature of a self-employed relationship where pay is normally only received in exchange for services provided. For this reason, the client is likely to require a relatively short notice period.</paratext>
                </para>
                <para>
                  <paratext>
                    From a tax status perspective, there is a concern that termination on notice could be a pointer to employment. In 
                    <link href="D-000-5302" style="ACTLinkURL">
                      <ital>Island Consultants Ltd v Revenue &amp; Customs Commissioners [2007] SpC 618</ital>
                    </link>
                    , a right to four weeks' notice was considered to be more consistent with employment as "self-employment normally ends when the work is completed".
                  </paratext>
                </para>
                <para>
                  <paratext>
                    In 
                    <link href="D-104-0938" style="ACTLinkPLCtoPLC">
                      <ital>George Mantides Ltd v Revenue and Customs Commissioners [2019] UKFTT 387 (TC) (13 June 2019)</ital>
                    </link>
                    , the First-tier Tribunal ruled that termination on one day's notice was a factor that suggested self-employment. Although more recently, in 
                    <link href="_blank" style="ACTLinkPLCtoPLC">
                      <ital>George Mantides Ltd v HMRC [2021] UKUT 205 (TCC) (11 August 2021)</ital>
                    </link>
                    , the Upper Tribunal held that the factual conclusion on notice that the First-tier Tribunal reached was not supported by the evidence. The implications of this to IR35 status will be determined at a later date (see 
                    <link href="w-032-2598" style="ACTLinkPLCtoPLC">
                      <ital>Legal update, IR35: Terms of hypothetical contract (Upper Tribunal)</ital>
                    </link>
                    ) 
                    <ital>.</ital>
                  </paratext>
                </para>
                <para>
                  <paratext>
                    HMRC's guidance confirms HMRC's view that termination on notice is not determinative and refers to the case of 
                    <ital>McManus v Griffiths</ital>
                     where the judge considered a three-month notice period as "neutral" (see 
                    <link href="https://www.gov.uk/hmrc-internal-manuals/employment-status-manual/esm0546" style="ACTLinkURL">
                      <ital>ESM0546</ital>
                    </link>
                    ). Commercially, it may be unacceptable for termination to occur on one day's notice.
                  </paratext>
                </para>
              </division>
            </drafting.note>
            <subclause1 id="a993567">
              <identifier>2.1</identifier>
              <para>
                <paratext>The Client shall engage the Consultant Company and the Consultant Company shall make available to the Client the Individual to provide the Services on the terms of this agreement.</paratext>
              </para>
            </subclause1>
            <subclause1 id="a721672">
              <identifier>2.2</identifier>
              <para>
                <paratext>
                  The Engagement shall [start 
                  <bold>OR</bold>
                   be deemed to have started] on the Start Date and shall continue unless and until terminated:
                </paratext>
              </para>
              <subclause2 id="a646896">
                <identifier>(a)</identifier>
                <para>
                  <paratext>as provided by the terms of this agreement; or</paratext>
                </para>
              </subclause2>
              <subclause2 id="a910345">
                <identifier>(b)</identifier>
                <para>
                  <paratext>
                    by either party giving to the other not less than [[NUMBER] weeks' 
                    <bold>OR</bold>
                     [NUMBER] days'] prior written notice.
                  </paratext>
                </para>
              </subclause2>
            </subclause1>
          </clause>
          <clause id="a842186">
            <identifier>3.</identifier>
            <head align="left" preservecase="true">
              <headtext>Duties and obligations</headtext>
            </head>
            <drafting.note id="a476029" jurisdiction="">
              <head align="left" preservecase="true">
                <headtext>Duties and obligations</headtext>
              </head>
              <division id="a000019" level="1">
                <para>
                  <paratext>
                    Generally, 
                    <internal.reference refid="a842186">clause 3</internal.reference>
                     and 
                    <internal.reference refid="a943751">Schedule 1</internal.reference>
                     (which describes the consultant company's services) should contain provisions which evidence that the individual is not an employee of the client for employment law or tax purposes (although these provisions will not be conclusive). For example, the consultant company:
                  </paratext>
                </para>
                <list type="bulleted">
                  <list.item>
                    <para>
                      <paratext>Has control over:</paratext>
                    </para>
                    <list type="bulleted">
                      <list.item>
                        <para>
                          <paratext>
                            what services are performed. If the individual, via the consultant company, is engaged to complete a specific task and cannot be moved to a different task, the client has no control over what is done (for HMRC guidance, see 
                            <link href="https://www.gov.uk/hmrc-internal-manuals/employment-status-manual/esm0520" style="ACTLinkURL">
                              <ital>ESM0520</ital>
                            </link>
                            ); and
                          </paratext>
                        </para>
                      </list.item>
                      <list.item>
                        <para>
                          <paratext>
                            when, where and how the services are performed  (for HMRC guidance, see 
                            <link href="https://www.gov.uk/hmrc-internal-manuals/employment-status-manual/esm0522" style="ACTLinkURL">
                              <ital>ESM0522</ital>
                            </link>
                            , 
                            <link href="https://www.gov.uk/hmrc-internal-manuals/employment-status-manual/esm0524" style="ACTLinkURL">
                              <ital>ESM0524</ital>
                            </link>
                             and 
                            <link href="https://www.gov.uk/hmrc-internal-manuals/employment-status-manual/esm0526" style="ACTLinkURL">
                              <ital>ESM0526</ital>
                            </link>
                            ).
                          </paratext>
                        </para>
                        <para>
                          <paratext>A deliverables-based approach is more consistent with the consultant company having control.</paratext>
                        </para>
                      </list.item>
                    </list>
                  </list.item>
                </list>
                <list type="bulleted">
                  <list.item>
                    <para>
                      <paratext>Provides its own facilities or equipment for the individual to perform the work.</paratext>
                    </para>
                  </list.item>
                  <list.item>
                    <para>
                      <paratext>Acts as principal to hire others to assist in the work.</paratext>
                    </para>
                  </list.item>
                  <list.item>
                    <para>
                      <paratext>Undertakes a degree of financial risk and accepts responsibility for the quality of the work.</paratext>
                    </para>
                  </list.item>
                </list>
                <para>
                  <paratext>
                    For more information, see 
                    <link href="7-520-0316#a416107" style="ACTLinkPLCtoPLC">
                      <ital>Practice note, Consultants: Consultant's duties</ital>
                    </link>
                    . See also 
                    <link anchor="a657572" href="w-022-7907" style="ACTLinkPLCtoPLC">
                      <ital>Practice note, Employment status for tax purposes: HMRC guidance and CEST tool</ital>
                    </link>
                     for links to relevant HMRC guidance and 
                    <internal.reference refid="a793362">Drafting note, Tax: deemed employment status</internal.reference>
                     for commentary on the implications of the extended off-payroll working rules.
                  </paratext>
                </para>
              </division>
            </drafting.note>
            <subclause1 id="a291552">
              <identifier>3.1</identifier>
              <para>
                <paratext>During the Engagement the Consultant Company shall, and (where appropriate) shall procure that the Individual shall:</paratext>
              </para>
              <subclause2 id="a420641">
                <identifier>(a)</identifier>
                <para>
                  <paratext>provide the Services [,including the Deliverables,] with all due care, skill and ability and use its or their best endeavours to promote the interests of the Client [and any Group Company];</paratext>
                </para>
              </subclause2>
              <subclause2 condition="optional" id="a441138">
                <identifier>(b)</identifier>
                <para>
                  <paratext>
                    unless the Individual is prevented by ill health or accident, devote at least [NUMBER] [hours 
                    <bold>OR</bold>
                     days] in each calendar month to the carrying out of the Services together with such additional time if any as may be necessary for their proper performance 
                    <bold>OR</bold>
                     ensure that the Deliverables conform in all respects with, and are achieved by any deadlines specified in, 
                    <internal.reference refid="a943751">Schedule 1</internal.reference>
                     and that the Deliverables shall be fit for any purpose expressly or implicitly made known to the Consultant Company by the Client]; and
                  </paratext>
                </para>
              </subclause2>
              <subclause2 id="a886062">
                <identifier>(c)</identifier>
                <para>
                  <paratext>promptly give to the Board all such information and reports as it may reasonably require in connection with matters relating to the provision of the Services [,including the Deliverables,] or the Business of the Client [or any Group Company].</paratext>
                </para>
                <drafting.note id="a468483" jurisdiction="">
                  <head align="left" preservecase="true">
                    <headtext>General duties</headtext>
                  </head>
                  <division id="a000020" level="1">
                    <para>
                      <paratext>This clause includes optional wording requiring the client to specify the minimum number of days or hours a month the consultant company is required to provide the services.</paratext>
                    </para>
                    <para>
                      <paratext>
                        However, as noted in 
                        <internal.reference refid="a502468">Drafting note, Off-payroll working rules</internal.reference>
                        , in practice, for both commercial reasons and to reduce the risk of the engagement being deemed employment, the client should consider adopting a deliverables-based approach rather than a time-based approach (see 
                        <internal.reference refid="a618327">Drafting note, About this document</internal.reference>
                        ). This would involve the client specifying genuine deliverables, setting clear milestones and providing for staged payments linked to achievement of the deliverables. 
                        <internal.reference refid="a943751">Schedule 1</internal.reference>
                         could be used to set out the deliverables and related milestones. Clients should, however, keep in mind that simply adopting a deliverables-based approach will not in itself mean that a consultant is self-employed for employment law or tax purposes. However, a deliverables-based approach can show that it is the consultant company and not the client that has the requisite control and that the consultant company takes greater financial risk. This more commercial approach can be contrasted to an employment relationship, where an employee is typically paid a basic salary by reference to the number of days they work. For HMRC's guidance, see 
                        <link href="https://www.gov.uk/hmrc-internal-manuals/employment-status-manual/esm0542" style="ACTLinkURL">
                          <ital>ESM0542</ital>
                        </link>
                        .
                      </paratext>
                    </para>
                    <para>
                      <paratext>
                        If a deliverables-based approach is taken, the wording about devoting a minimum number of hours or days to the carrying out of the services should be removed from 
                        <internal.reference refid="a441138">clause 3.1(b)</internal.reference>
                        , and the alternative wording regarding the achievement of deliverables inserted. The optional references to deliverables in 
                        <internal.reference refid="a420641">clause 3.1(a)</internal.reference>
                         and 
                        <internal.reference refid="a886062">clause 3.1(c)</internal.reference>
                         should also be inserted.
                      </paratext>
                    </para>
                    <para>
                      <paratext>
                        Note that the adoption of a deliverables-based approach is not necessarily an easy solution. A scoping exercise will need to be completed, and clear deliverables and milestones identified. In addition, the client will need to consider any applicable acceptance criteria. For further discussion on acceptance criteria in a commercial context, see 
                        <link anchor="a753641" href="3-623-0753" style="ACTLinkPLCtoPLC">
                          <ital>Standard document, Services agreement (pro-customer): Drafting note: Milestones and acceptance</ital>
                        </link>
                        .
                      </paratext>
                    </para>
                    <para>
                      <paratext>The agreement does not include any reference to holiday or annual leave provision for the individual as this would be indicative of the individual being an employee or worker of the client for employment law purposes.</paratext>
                    </para>
                  </division>
                </drafting.note>
              </subclause2>
            </subclause1>
            <subclause1 id="a520932">
              <identifier>3.2</identifier>
              <para>
                <paratext>
                  [If the Individual is unable to provide the Services due to illness or injury, the Consultant Company shall advise the Client of that fact as soon as reasonably practicable.] For the avoidance of doubt, no fee shall be payable in accordance with 
                  <internal.reference refid="a942940">clause 4</internal.reference>
                   in respect of any period during which the Services are not provided [or if Services are provided to put right defective or inadequate work 
                  <bold>OR</bold>
                   or if Services are provided to an inadequate standard].
                </paratext>
              </para>
              <drafting.note id="a232940" jurisdiction="">
                <head align="left" preservecase="true">
                  <headtext>Absence due to illness and defective or inadequate work</headtext>
                </head>
                <division id="a000021" level="1">
                  <para>
                    <paratext>
                      This clause requires the consultant company to notify the client if the individual cannot carry out the services due to illness or injury. The consultant company will not be paid a fee for any period during which the services are not provided. The client company should consider removing the optional wording relating to notification of illness or injury if the consultant company will have an unfettered right to appoint a substitute (see 
                      <internal.reference refid="a606941">Drafting note, Appointment of substitute (optional wording)</internal.reference>
                      ).
                    </paratext>
                  </para>
                  <para>
                    <paratext>
                      This clause also includes optional wording relating to non-payment if the consultant company is required to provide additional services to put right defective or inadequate work, or if services are provided to an inadequate standard. This demonstrates a degree of financial risk on the part of the consultant company and, therefore, is an indicator of self-employment (see 
                      <link href="https://www.gov.uk/hmrc-internal-manuals/employment-status-manual/esm11115" style="ACTLinkURL">
                        <ital>ESM11115</ital>
                      </link>
                      ).
                    </paratext>
                  </para>
                  <para>
                    <paratext>
                      Note that 
                      <internal.reference refid="a520932">clause 3.2</internal.reference>
                       will not be needed if a deliverables-based approach is adopted, as payment will only become due on the achievement of specified milestones or deliverables to the satisfaction of the client. However, a client may still choose to include the optional wording relating to notification of illness or injury, subject to the comments above.
                    </paratext>
                  </para>
                </division>
              </drafting.note>
            </subclause1>
            <subclause1 condition="optional" id="a998955">
              <identifier>3.3</identifier>
              <para>
                <paratext>
                  The Consultant Company may, [with the prior written approval of the [Client 
                  <bold>OR</bold>
                   Board] and] subject to the following proviso, appoint a suitably qualified and skilled Substitute to perform the Services instead of the Individual, provided that the Substitute shall be required to enter into direct undertakings with the Client, including with regard to confidentiality. [If the Client accepts the Substitute,] [The 
                  <bold>OR</bold>
                   the] Consultant Company shall continue to invoice the Client in accordance with 
                  <internal.reference refid="a942940">clause 4</internal.reference>
                   and shall be responsible for the remuneration of the Substitute.
                </paratext>
              </para>
              <drafting.note id="a606941" jurisdiction="">
                <head align="left" preservecase="true">
                  <headtext>Appointment of substitute (optional wording)</headtext>
                </head>
                <division id="a000022" level="1">
                  <para>
                    <paratext>
                      This clause allows the consultant company to provide, at its own expense, a substitute (who may be approved by the client company) to carry out the services in place of the individual. The clause is drafted so that the substitute may be appointed at any time and not only where the individual is unable to perform the services. Case law has indicated that a limited power to appoint a substitute, for example only when the individual is unavailable, would not necessarily lead to the conclusion that an individual is self-employed for employment law or tax purposes. However, an unqualified right to use a substitute at the expense of the consultant company may indicate self-employed status. See 
                      <link anchor="a270182" href="6-200-4244" style="ACTLinkPLCtoPLC">
                        <ital>Practice note, Employment status (1): employee, worker or self-employed?: Personal service</ital>
                      </link>
                      , 
                      <link anchor="a205429" href="w-007-2099" style="ACTLinkPLCtoPLC">
                        <ital>Practice note, Employment status (2): how to identify an employment contract: Personal service and substitution rights</ital>
                      </link>
                      <ital> </ital>
                      and 
                      <link anchor="a251217" href="w-022-7907" style="ACTLinkPLCtoPLC">
                        <ital>Employment status for tax purposes: Personal service and substitution</ital>
                      </link>
                      . For HMRC's guidance, see 
                      <link href="https://www.gov.uk/hmrc-internal-manuals/employment-status-manual/esm0530" style="ACTLinkURL">
                        <ital>ESM0530</ital>
                      </link>
                      , 
                      <link href="https://www.gov.uk/hmrc-internal-manuals/employment-status-manual/esm0538" style="ACTLinkURL">
                        <ital>ESM0538</ital>
                      </link>
                       and 
                      <link href="https://www.gov.uk/hmrc-internal-manuals/employment-status-manual/esm11045" style="ACTLinkURL">
                        <ital>ESM11045</ital>
                      </link>
                      .
                    </paratext>
                  </para>
                  <division id="a000023" level="2">
                    <division id="a927628" level="3">
                      <head align="left" preservecase="true">
                        <headtext>Court of Appeal consideration</headtext>
                      </head>
                      <para>
                        <paratext>
                          The ways in which a right of substitution may be fettered or qualified, for employment law purposes, was examined by the Court of Appeal in detail in 
                          <ital>Pimlico Plumbers Ltd and Mullins v Smith [2017] EWCA Civ 51 (</ital>
                          see 
                          <link href="w-006-3303" style="ACTLinkPLCtoPLC">
                            <ital>Legal update: Plumber was a worker, not a self-employed contractor (Court of Appeal)</ital>
                          </link>
                          ). In particular, the Court of Appeal noted that a right to substitute only with the consent of another person who has an absolute and unqualified discretion to withhold consent will be consistent with personal performance (and, therefore, not with self-employment). Accordingly, in 
                          <internal.reference refid="a998955">clause 3.3</internal.reference>
                          , a client company may want to remove the optional wording in square brackets about it needing to approve any substitute. Alternatively, if it wants to retain the right to approve any substitute, it may prefer to add wording to the effect that its approval will not be unreasonably withheld or delayed (although it is unclear whether or not this approach would be sufficient to convince a court that any discretion was not absolute and unqualified). The client may, therefore, also want to specify that its approval is needed simply to ensure that the substitute has, for example, the appropriate qualifications. Note that Sir Terence Etherton MR's approach to the right of substitution in 
                          <ital>Pimlico Plumbers</ital>
                           was considered by the Court of Appeal in 
                          <link href="https://uk.practicallaw.thomsonreuters.com/D-106-3675?originationContext=document&amp;amp;transitionType=PLDocumentLink&amp;amp;contextData=(sc.Default)&amp;amp;ppcid=5fe0b26950994c1189c5a72a5af268bf&amp;amp;comp=pluk" style="ACTLinkURL">
                            <ital>Stuart Delivery Ltd v Augustine [2021] EWCA Civ 1514</ital>
                          </link>
                          . In its view, Sir Terence Etherton MR had sought to summarise the principles to be drawn from existing case law. He had not sought to establish a rigid system of classification or lay down strict rules as to what would amount to personal performance, or when a right of substitution would negate the existence of an obligation to do work personally (see 
                          <link anchor="a477377" href="w-033-0669" style="ACTLinkPLCtoPLC">
                            <ital>Legal update, Moped courier with limited right of substitution was a worker (Court of Appeal): Correct approach in assessing rights of substitution</ital>
                          </link>
                          ). At paragraph 55 of the judgment, Lewis LJ comments that "It is more appropriate to focus on the real issue, that is whether the nature and degree of any fetter on the right or ability to appoint a substitute to determine whether that was inconsistent with any obligation of personal performance".
                        </paratext>
                      </para>
                      <para>
                        <paratext>
                          To support an argument that the engagement is not deemed employment for tax purposes, an unfettered right of substitution (with no approval required by the client) is likely to be most compelling. Commercially, however, such an absolute right of substitution may not be acceptable to the client (see 
                          <internal.reference refid="a398481">Drafting note, Why have a substitution clause?</internal.reference>
                          ). In addition, it may be difficult to assess whether a right of substitution is fettered or not. The extent to which a substitition clause has been exercised in similar circumstances may be one relevant factor, even if the particular consultant company has not exercised the right to appoint a substitute. If a substitution clause has been subject to genuine negotiation between the parties, this is also likely to be helpful.
                        </paratext>
                      </para>
                    </division>
                    <division id="a825754" level="3">
                      <head align="left" preservecase="true">
                        <headtext>Is the substitution clause a sham?</headtext>
                      </head>
                      <para>
                        <paratext>
                          The court or tribunal may also consider whether the substitution clause is, in fact, a sham. This has been found to be the case in a situation where the contractual provision does not reflect the reality of the understanding between the parties (see 
                          <link anchor="a604123" href="6-200-4244" style="ACTLinkPLCtoPLC">
                            <ital>Practice note, Employment status (1): employee, worker or self-employed?: Employee status</ital>
                          </link>
                           and 
                          <link anchor="a240064" href="6-200-4244" style="ACTLinkPLCtoPLC">
                            <ital>Practice note, Employment status (1): employee, worker or self-employed?: Worker status</ital>
                          </link>
                          ).
                        </paratext>
                      </para>
                    </division>
                    <division id="a398481" level="3">
                      <head align="left" preservecase="true">
                        <headtext>Why have a substitution clause?</headtext>
                      </head>
                      <para>
                        <paratext>
                          Although a substitution clause may be a useful indicator of self-employed status for employment law and tax purposes (especially where the right of substitution is not fettered or qualified), commercial considerations must not be overlooked. In many instances, it is unlikely to be commercially attractive to the client for the services to be carried out by a substitute for an unlimited period, where the services in question require the personal skills of the individual. If a substitute is used, the client may want the substitute to enter into an agreement in which they give direct undertakings to the client (for example, relating to confidentiality and intellectual property) (see 
                          <internal.reference refid="a492601">Drafting note, Confidential information and Client property</internal.reference>
                           and 
                          <internal.reference refid="a950574">clause 9</internal.reference>
                          ).
                        </paratext>
                      </para>
                    </division>
                    <division id="a307656" level="3">
                      <head align="left" preservecase="true">
                        <headtext>UK GDPR</headtext>
                      </head>
                      <para>
                        <paratext>
                          If the consultant company is a processor for UK GDPR purposes, any appointment of a substitute may be subject to the relevant obligations on appointing a sub-processor (see 
                          <internal.reference refid="a876826">clause 8</internal.reference>
                          ). However, it may be worth inserting a reference to these obligations in this clause, if only for signposting purposes.
                        </paratext>
                      </para>
                      <para>
                        <paratext>
                          <link href="https://uk.westlaw.com/Document/ID9E16550149911E9A3ACBD4240CE8204/View/FullText.html" style="ACTLinkURL">
                            <ital>Article 28(2)</ital>
                          </link>
                           of the 
                          <link href="https://uk.practicallaw.thomsonreuters.com/w-027-1020?originationContext=document&amp;amp;transitionType=PLDocumentLink&amp;amp;contextData=(sc.Default)" style="ACTLinkURL">
                            <ital>UK GDPR</ital>
                          </link>
                           contains restrictions to prevent processors (such as consultant companies) from engaging sub-processors (such as substitutes) without the prior specific or general written authorisation of the controller (see 
                          <internal.reference refid="a179897">Drafting note, Data protection</internal.reference>
                          ). In this agreement, the controller is the client. If the consultant company will not be able to appoint a substitute, or the UK GDPR does not apply because, for example, there is no personal data in scope (meaning that the consultant company is not a processor), there will not be an issue. However, if the consultant company will be able to appoint a substitute and the UK GDPR applies, to the extent the consultant company is a processor, there is a tension between the benefits for employment law and tax purposes of having an unfettered right of substitution with no prior written approval required by the client (see 
                          <internal.reference refid="a927628">Drafting note, Court of Appeal consideration</internal.reference>
                          ) and the requirements of Article 28(2) of the UK GDPR. While there is no easy way to resolve this tension, given that Article 28(2) requires prior specific or general written authorisation, we have provided optional wording to meet the requirements of Article 28(2) in 
                          <internal.reference refid="a572524">clause 8.7</internal.reference>
                          .
                        </paratext>
                      </para>
                    </division>
                  </division>
                </division>
              </drafting.note>
            </subclause1>
            <subclause1 id="a237851">
              <identifier>3.4</identifier>
              <para>
                <paratext>
                  [If a Substitute is appointed, the provisions relating to sub-processor obligations in 
                  <internal.reference refid="a876826">clause 8</internal.reference>
                   will apply and references in this agreement to the Individual shall include references to the Substitute.]
                </paratext>
              </para>
            </subclause1>
            <subclause1 id="a765295">
              <identifier>3.5</identifier>
              <para>
                <paratext>The Consultant Company shall use its reasonable endeavours to ensure that the Individual is available on reasonable notice to provide such assistance or information as the Client may require.</paratext>
              </para>
            </subclause1>
            <subclause1 id="a928854">
              <identifier>3.6</identifier>
              <para>
                <paratext>Unless it or they have been specifically authorised to do so by the Client in writing:</paratext>
              </para>
              <subclause2 id="a329674">
                <identifier>(a)</identifier>
                <para>
                  <paratext>neither the Consultant Company nor the Individual shall have any authority to incur any expenditure in the name of or for the account of the Client; and</paratext>
                </para>
              </subclause2>
              <subclause2 id="a464671">
                <identifier>(b)</identifier>
                <para>
                  <paratext>the Consultant Company shall not, and shall procure that the Individual shall not, hold itself out as having authority to bind the Client.</paratext>
                </para>
              </subclause2>
            </subclause1>
            <subclause1 id="a547116">
              <identifier>3.7</identifier>
              <para>
                <paratext>The Consultant Company shall, and shall procure that the Individual shall, comply with all reasonable standards of safety and comply with the Client's health and safety procedures from time to time in force at any of the Client's premises at which the Services are provided and report to the Client any unsafe working conditions or practices.</paratext>
              </para>
              <drafting.note id="a899244" jurisdiction="">
                <head align="left" preservecase="true">
                  <headtext>Compliance with health and safety standards</headtext>
                </head>
                <division id="a000024" level="1">
                  <para>
                    <paratext>
                      The client should ensure the consultant company and the individual comply with its health and safety procedures because of the client's duty to provide a safe system of work to persons not in its employment. The client could have liability under the 
                      <link href="9-503-9408" style="ACTLinkPLCtoPLC">
                        <ital>Health and Safety at Work etc Act 1974</ital>
                      </link>
                      , a general duty of care and occupier's liability.
                    </paratext>
                  </para>
                  <para>
                    <paratext>
                      For more information, see 
                      <link href="7-520-0316#a678168" style="ACTLinkPLCtoPLC">
                        <ital>Practice note, Consultants: Health and safety</ital>
                      </link>
                      .
                    </paratext>
                  </para>
                </division>
              </drafting.note>
            </subclause1>
            <subclause1 id="a569849">
              <identifier>3.8</identifier>
              <para>
                <paratext>The Consultant Company shall procure that the Individual shall comply with the Client's policies on [social media] [use of information and communication systems] [anti-harassment and bullying] [no smoking] [substance misuse] [equal opportunities] [OTHER RELEVANT POLICY].</paratext>
              </para>
              <drafting.note id="a825437" jurisdiction="">
                <head align="left" preservecase="true">
                  <headtext>Compliance with policies</headtext>
                </head>
                <division id="a000025" level="1">
                  <para>
                    <paratext>
                      It is likely that the client will want the individual to comply with certain policies or procedures, such as its social media or anti-bullying and harassment policies. Any relevant policies or procedures with which the individual is required to comply should be set out in this agreement (see 
                      <internal.reference refid="a569849">clause 3.8</internal.reference>
                      ).  As a general rule, however, these policies and procedures should be kept to minimum and not relate to day-to-day management issues such as discipline and performance. The latter type of policy indicates control over the individual and will point towards employment status.
                    </paratext>
                  </para>
                </division>
              </drafting.note>
            </subclause1>
            <subclause1 id="a399361">
              <identifier>3.9</identifier>
              <para>
                <paratext>The Consultant Company undertakes to the Client that during the Engagement it shall, and shall procure that the Individual shall, take all reasonable steps to offer (or cause to be offered) to the Client any Business Opportunities as soon as practicable after the same shall have come to its or their knowledge and, in any event, before the same shall have been offered by the Consultant Company or the Individual (or caused by the Consultant Company or the Individual to be offered) to any other party [provided that nothing in this clause shall require the Consultant Company or the Individual to disclose any Business Opportunities to the Client if to do so would result in a breach by the Consultant Company or the Individual of any obligation of confidentiality or of any fiduciary duty owed by it or them to any third party].</paratext>
              </para>
              <drafting.note id="a476011" jurisdiction="">
                <head align="left" preservecase="true">
                  <headtext>Disclosure of business opportunities</headtext>
                </head>
                <division id="a000026" level="1">
                  <para>
                    <paratext>Depending on the nature of the consultancy services, it is feasible that the consultant company or the individual may become aware of business opportunities that could benefit the client (for example, a consultant company which provides real estate investment advice might find out about investment possibilities in the course of providing services for other clients). This clause requires the consultant company or the individual to offer such business opportunities to the client in the first instance (subject to any restrictions regarding confidentiality).</paratext>
                  </para>
                </division>
              </drafting.note>
            </subclause1>
            <subclause1 id="a151026">
              <identifier>3.10</identifier>
              <para>
                <paratext>The Consultant Company may use a third party to perform any administrative, clerical or secretarial functions which are reasonably incidental to the provision of the Services provided that:</paratext>
              </para>
              <subclause2 id="a666557">
                <identifier>(a)</identifier>
                <para>
                  <paratext>the Client will not be liable to bear the cost of such functions; and</paratext>
                </para>
              </subclause2>
              <subclause2 id="a117139">
                <identifier>(b)</identifier>
                <para>
                  <paratext>at the Client's request the third party shall be required to enter into direct undertakings with the Client, including with regard to confidentiality.</paratext>
                </para>
                <drafting.note id="a542970" jurisdiction="">
                  <head align="left" preservecase="true">
                    <headtext>Consultant company's business support</headtext>
                  </head>
                  <division id="a000027" level="1">
                    <para>
                      <paratext>This clause seeks to avoid any inference that the consultant company (or the individual) is integrated into the client company's business by providing that the consultant company should supply its own administrative staff at its own cost (rather than the client making its facilities available to the consultant company free of charge, which would be an indicator of an employment relationship). The client should consider if it will require confidentiality undertakings from these staff.</paratext>
                    </para>
                  </division>
                </drafting.note>
              </subclause2>
            </subclause1>
            <subclause1 id="a448054">
              <identifier>3.11</identifier>
              <para>
                <paratext>
                  The Consultant Company shall, and shall procure that the Individual shall, promptly give to the Board all such information and documentation as it may reasonably require from time to time in order for the Client to determine whether the Engagement is or will be within the Off-payroll Working rules and is or will be Deemed Employment and, if the Client determines the Engagement is Deemed Employment, in order to comply with any obligation on the Client to deduct and account for tax or national insurance contributions from the fees due under 
                  <internal.reference refid="a942940">clause 4</internal.reference>
                  . The Consultant Company shall, and shall procure that the Individual shall, promptly inform the Board of any material change to any information or documentation previously provided in compliance with this clause and shall also promptly provide any other information or documentation that it considers (or ought reasonably to consider) to be materially relevant to determining whether the Engagement is Deemed Employment. Subject to clause 16, the Client reserves the right to amend the terms of the Engagement, and this agreement, if the Engagement is determined to be Deemed Employment.
                </paratext>
              </para>
              <drafting.note id="a456885" jurisdiction="">
                <head align="left" preservecase="true">
                  <headtext>Requirement to provide information</headtext>
                </head>
                <division id="a000028" level="1">
                  <para>
                    <paratext>
                      Public authorities and, from 6 April 2021,  "medium" and "large" clients with a UK connection that engage individuals via intermediaries must determine whether the off-payroll working rules apply and, if they do, determine the individual's deemed employment status for tax purposes (see 
                      <internal.reference refid="a793362">Drafting note, Tax: deemed employment status</internal.reference>
                      ). This clause seeks to ensure that the individual and the consultant company pass on any relevant information that they have to the client to help it determine whether the rules apply. If the rules do apply, this clause also requires the consultant company and the individual to pass on the necessary information and documentation to set the individual up on the client's payroll. (The drafting note mentioned above explains why the obligation to account for tax would fall on the client.) The information would include the individual's:
                    </paratext>
                  </para>
                  <list type="bulleted">
                    <list.item>
                      <para>
                        <paratext>Full name.</paratext>
                      </para>
                    </list.item>
                    <list.item>
                      <para>
                        <paratext>Date of birth.</paratext>
                      </para>
                    </list.item>
                    <list.item>
                      <para>
                        <paratext>National insurance number.</paratext>
                      </para>
                    </list.item>
                    <list.item>
                      <para>
                        <paratext>Bank account into which the payments are to be made (this should be the account of the consultant company).</paratext>
                      </para>
                    </list.item>
                  </list>
                  <para>
                    <paratext>
                      However, please read 
                      <internal.reference refid="a618327">Drafting note, About this document</internal.reference>
                      . This agreement is not intended to be used when deemed employment under the off-payroll working rules is found at the outset of the relationship. We have included provisions, such as 
                      <internal.reference refid="a448054">clause 3.11</internal.reference>
                      , to address the fact that the status of the engagement may change and that clients should keep the status of the engagement under review.
                    </paratext>
                  </para>
                </division>
              </drafting.note>
            </subclause1>
            <subclause1 id="a338894">
              <identifier>3.12</identifier>
              <para>
                <paratext>The Consultant Company shall, and shall procure that the Individual shall:</paratext>
              </para>
              <subclause2 id="a920922">
                <identifier>(a)</identifier>
                <para>
                  <paratext>
                    comply with all applicable laws, regulations, codes and sanctions relating to anti-bribery and anti-corruption including but not limited to the Bribery Act 2010 (
                    <defn.term>Relevant Requirements</defn.term>
                    );
                  </paratext>
                </para>
              </subclause2>
              <subclause2 condition="optional" id="a758982">
                <identifier>(b)</identifier>
                <para>
                  <paratext>not engage in any activity, practice or conduct which would constitute an offence under sections 1, 2 or 6 of the Bribery Act 2010 if such activity, practice or conduct had been carried out in the UK;</paratext>
                </para>
              </subclause2>
              <subclause2 id="a112586">
                <identifier>(c)</identifier>
                <para>
                  <paratext>
                    comply with the Client's [ethics and] anti-bribery and anti-corruption policies [(annexed to this agreement at Schedule [NUMBER])] [and [RELEVANT INDUSTRY CODE ON ANTI-BRIBERY] [annexed to this agreement at Schedule [NUMBER]]], in each case as the Client [or the relevant industry body] may update them from time to time (
                    <defn.term>Relevant Policies</defn.term>
                    );
                  </paratext>
                </para>
              </subclause2>
              <subclause2 id="a671913">
                <identifier>(d)</identifier>
                <para>
                  <paratext>
                    have and shall maintain in place throughout the term of this agreement its own policies and procedures, including but not limited to adequate procedures under the Bribery Act 2010, to ensure compliance with the Relevant Requirements[, the Relevant Policies] [and 
                    <internal.reference refid="a240895">clause 3.12(b)</internal.reference>
                    ], and will enforce them where appropriate;
                  </paratext>
                </para>
              </subclause2>
              <subclause2 id="a898106">
                <identifier>(e)</identifier>
                <para>
                  <paratext>promptly report to the Client any request or demand for any undue financial or other advantage of any kind received by the Consultant Company or the Individual in connection with the performance of this agreement;</paratext>
                </para>
              </subclause2>
              <subclause2 id="a145024">
                <identifier>(f)</identifier>
                <para>
                  <paratext>immediately notify the Client if a foreign public official becomes an officer or employee of the Consultant Company or acquires a direct or indirect interest in the Consultant Company (and the Consultant Company warrants that it has no foreign public officials as officers, employees or direct or indirect owners at the date of this agreement);</paratext>
                </para>
              </subclause2>
              <subclause2 id="a436315">
                <identifier>(g)</identifier>
                <para>
                  <paratext>
                    ensure that all persons associated with the Consultant Company or other persons who are performing services [or providing goods] in connection with this agreement comply with this 
                    <internal.reference refid="a338894">clause 3.12</internal.reference>
                    ; and
                  </paratext>
                </para>
              </subclause2>
              <subclause2 id="a432943">
                <identifier>(h)</identifier>
                <para>
                  <paratext>
                    within [NUMBER] months of the date of this agreement, and annually thereafter, certify to the Client in writing signed by an officer of the Consultant Company, compliance with this 
                    <internal.reference refid="a338894">clause 3.12</internal.reference>
                     by the Consultant Company and all persons associated with it, including the Individual, and all other persons for whom the Consultant Company is responsible under 
                    <internal.reference refid="a436315">clause 3.12(g)</internal.reference>
                    . The Consultant Company shall provide such supporting evidence of compliance as the Client may reasonably request.
                  </paratext>
                </para>
              </subclause2>
            </subclause1>
            <subclause1 id="a982130">
              <identifier>3.13</identifier>
              <para>
                <paratext>
                  Failure to comply with 
                  <internal.reference refid="a338894">clause 3.12</internal.reference>
                   may result in the immediate termination of this agreement.
                </paratext>
              </para>
            </subclause1>
            <subclause1 id="a871444">
              <identifier>3.14</identifier>
              <para>
                <paratext>
                  For the purpose of 
                  <internal.reference refid="a338894">clause 3.12</internal.reference>
                  , the meaning of adequate procedures and foreign public official and whether a person is associated with another person shall be determined in accordance with section 7(2) of the Bribery Act 2010 (and any guidance issued under section 9 of that Act), sections 6(5) and 6(6) of that Act and section 8 of that Act respectively. For the purposes of 
                  <internal.reference refid="a338894">clause 3.12</internal.reference>
                  , a person associated with the Consultant Company includes [but is not limited to] any Substitute for the Individual.
                </paratext>
              </para>
              <drafting.note id="a632510" jurisdiction="">
                <head align="left" preservecase="true">
                  <headtext>Bribery Act 2010</headtext>
                </head>
                <division id="a000029" level="1">
                  <para>
                    <paratext>
                      <internal.reference refid="a338894">clause 3.12</internal.reference>
                       to 
                      <internal.reference refid="a871444">clause 3.14</internal.reference>
                       insert 
                      <link href="6-503-5299" style="ACTLinkPLCtoPLC">
                        <ital>Standard clause, Anti-bribery clause (short form)</ital>
                      </link>
                       into the agreement. See the drafting notes to the standard clause for further information.
                    </paratext>
                  </para>
                </division>
              </drafting.note>
            </subclause1>
            <subclause1 id="a408920">
              <identifier>3.15</identifier>
              <para>
                <paratext>The Consultant Company shall, and shall procure that the Individual shall:</paratext>
              </para>
              <subclause2 id="a314637">
                <identifier>(a)</identifier>
                <para>
                  <paratext>not engage in any activity, practice or conduct which would constitute either:</paratext>
                </para>
                <subclause3 id="a983408">
                  <identifier>(i)</identifier>
                  <para>
                    <paratext>
                      a UK tax evasion facilitation offence under section 45(1) of the 
                      <ital>Criminal Finances Act</ital>
                      ; or
                    </paratext>
                  </para>
                </subclause3>
                <subclause3 id="a934270">
                  <identifier>(ii)</identifier>
                  <para>
                    <paratext>
                      a foreign tax evasion facilitation offence under section 46(1) of the 
                      <ital>Criminal Finances Act 2017</ital>
                      ;
                    </paratext>
                  </para>
                </subclause3>
              </subclause2>
              <subclause2 id="a815206">
                <identifier>(b)</identifier>
                <para>
                  <paratext>
                    [comply with the Client's [anti-facilitation of tax evasion policy 
                    <bold>OR</bold>
                     anti-bribery and anti-corruption policies] [annexed to this agreement at Schedule [NUMBER]] [and [RELEVANT INDUSTRY CODE ON ANTI-FACILITATION OF TAX EVASION] [annexed to this agreement at Schedule [NUMBER]], [in each case] as [the Client] [or] [the relevant body] may update [them 
                    <bold>OR</bold>
                     it] from time to time;]
                  </paratext>
                </para>
              </subclause2>
              <subclause2 id="a668294">
                <identifier>(c)</identifier>
                <para>
                  <paratext>have and shall maintain in place throughout the term of this agreement such policies and procedures as are reasonable in all the circumstances to prevent the facilitation of tax evasion by another person (including without limitation employees of the Consultant Company and any Substitute), in accordance with any guidance issued under section 47 of the Criminal Finances Act 2017;</paratext>
                </para>
              </subclause2>
              <subclause2 id="a193684">
                <identifier>(d)</identifier>
                <para>
                  <paratext>promptly report to the Client any request or demand received by the Consultant Company or the Individual from a third party to facilitate the evasion of tax within the meaning of Part 3 of the Criminal Finances Act 2017 in connection with the performance of this agreement;</paratext>
                </para>
              </subclause2>
              <subclause2 id="a164712">
                <identifier>(e)</identifier>
                <para>
                  <paratext>
                    ensure that all persons associated with the Consultant Company or other persons who are performing services [or providing goods] in connection with this agreement comply with this 
                    <internal.reference refid="a408920">clause 3.15</internal.reference>
                    ; and
                  </paratext>
                </para>
              </subclause2>
              <subclause2 id="a491997">
                <identifier>(f)</identifier>
                <para>
                  <paratext>
                    within [NUMBER] months of the date of this agreement, and annually thereafter, certify to the Client in writing signed by an officer of the Consultant Company compliance with this 
                    <internal.reference refid="a408920">clause 3.15</internal.reference>
                     by the Consultant Company and all persons associated with it, including the Individual, and all other persons for whom the Consultant Company is responsible under 
                    <internal.reference refid="a164712">clause 3.15(e)</internal.reference>
                    . The Consultant shall provide such supporting evidence of compliance as the Client may reasonably request.
                  </paratext>
                </para>
              </subclause2>
            </subclause1>
            <subclause1 id="a282225">
              <identifier>3.16</identifier>
              <para>
                <paratext>
                  Failure to comply with 
                  <internal.reference refid="a408920">clause 3.15</internal.reference>
                   may result in the immediate termination of this agreement.
                </paratext>
              </para>
              <drafting.note id="a463229" jurisdiction="">
                <head align="left" preservecase="true">
                  <headtext>Criminal Finances Act 2017</headtext>
                </head>
                <division id="a000030" level="1">
                  <para>
                    <paratext>
                      <internal.reference refid="a408920">clause 3.15</internal.reference>
                      <ital> </ital>
                      to 
                      <internal.reference refid="a282225">clause 3.16</internal.reference>
                       insert 
                      <link href="w-010-1361" style="ACTLinkPLCtoPLC">
                        <ital>Standard clause, Anti-facilitation of tax evasion clause (short form</ital>
                      </link>
                      <ital>)</ital>
                       into the agreement. See the drafting notes to the standard clause for further information.
                    </paratext>
                  </para>
                </division>
              </drafting.note>
            </subclause1>
          </clause>
          <clause id="a942940">
            <identifier>4.</identifier>
            <head align="left" preservecase="true">
              <headtext>Fees</headtext>
            </head>
            <drafting.note id="a906178" jurisdiction="">
              <head align="left" preservecase="true">
                <headtext>Fees</headtext>
              </head>
              <division id="a000031" level="1">
                <para>
                  <paratext>
                    How the consultant company is paid, and if the individual enjoys any benefits from the client, will be a relevant factor in determining employment status for employment law and tax purposes. 
                    <internal.reference refid="a942940">Clause 4</internal.reference>
                     assumes that the consultant company is paid its fee within a certain period after receipt by the client of an invoice from the consultant company.
                  </paratext>
                </para>
                <para>
                  <paratext>
                    <internal.reference refid="a466114">Clause 4.1</internal.reference>
                     includes wording for the deduction of tax and NICs. We suggest that this wording is included as a matter of course given that the status of the engagement may change (although this agreement is drafted on the basis that the engagement will not, at the outset, be deemed employment for tax purposes; see 
                    <internal.reference refid="a618327">Drafting note, About this document</internal.reference>
                    ).
                  </paratext>
                </para>
                <para>
                  <paratext>
                    If deemed employment under the off-payroll working rules may be found, the client should consider whether the additional costs they will create (in particular, employer NICs and the apprenticeship levy) affect the fee it is prepared to offer.  The client should also consider whether it may be more appropriate to engage the individual as a worker or employee for employment law purposes (although it is possible for an individual to be an employee for tax purposes and not for employment law purposes; see 
                    <link anchor="a695572" href="7-520-0316" style="ACTLinkPLCtoPLC">
                      <ital>Practice note, Consultants: Self-employed</ital>
                    </link>
                    ). See also 
                    <internal.reference refid="a665163">Drafting note, Employment rights</internal.reference>
                     for commentary on the Court of Appeal's decision in 
                    <link href="D-000-3014" style="ACTLinkURL">
                      <ital>James v London Borough of Greenwich [2008] EWCA Civ 35; [2008] IRLR 302</ital>
                    </link>
                    . In practice, however, a determination of deemed employment status for tax purposes may make it difficult for a client to argue that an individual is not a worker for employment law purposes.
                  </paratext>
                </para>
                <para>
                  <paratext>
                    The consultant company will be required to be registered for VAT if its taxable supplies exceed a certain amount each year (see 
                    <link href="6-201-2606#a79581" style="ACTLinkPLCtoPLC">
                      <ital>Practice note, Tax rates and limits: Value added tax</ital>
                    </link>
                    ).
                  </paratext>
                </para>
                <para>
                  <paratext>
                    <bold>Staged payments</bold>
                  </paratext>
                </para>
                <para>
                  <paratext>
                    As detailed in 
                    <internal.reference refid="a476029">Drafting note, Duties and obligations</internal.reference>
                    , a client should consider providing for staged payments (meaning that the consultant company is paid a set fee when certain deliverables are achieved, as specified in 
                    <internal.reference refid="a943751">Schedule 1</internal.reference>
                    <ital>,</ital>
                     rather than receiving an hourly or daily rate). This may help to reduce the risk of the engagement being deemed employment for tax purposes, although it will be only one factor in any determination. If this approach is taken, the first option in 
                    <internal.reference refid="a466114">clause 4.1</internal.reference>
                     (paying the consultant company an hourly or daily rate) should be deleted. The list of deliverables and related fees can be added to or shortened, as appropriate, to reflect the deliverables that will be included in 
                    <internal.reference refid="a943751">Schedule 1</internal.reference>
                    . For information on why a deliverables-based approach is recommended, as well as some of the challenges associated with this approach, see 
                    <internal.reference refid="a618327">Drafting note, About this document</internal.reference>
                    .
                  </paratext>
                </para>
              </division>
            </drafting.note>
            <subclause1 id="a466114">
              <identifier>4.1</identifier>
              <para>
                <paratext>
                  [The Client shall pay the Consultant Company a fee of £[AMOUNT] per [hour 
                  <bold>OR</bold>
                   day] [exclusive 
                  <bold>OR</bold>
                   inclusive] of VAT, less any deductions for income tax and national insurance contributions as required by law. On the last working day of each month during the Engagement the Consultant Company shall submit to the Client an invoice which gives details of the [hours 
                  <bold>OR</bold>
                   days] which the Individual [or any Substitute] has worked, the Services provided and the amount of the fee payable (plus VAT, if applicable) for the Services during that month.
                </paratext>
              </para>
              <para>
                <paratext>
                  <bold>OR</bold>
                </paratext>
              </para>
              <para>
                <paratext>The Client shall pay the Consultant Company the fees set out below [exclusive OR inclusive] of VAT, less any deductions for income tax and national insurance contributions as required by law, following the receipt of appropriate invoices from the Consultant Company, in each case giving details of the Services provided, the Deliverable achieved to the satisfaction of the Client in accordance with Schedule 1, the dates on the which the Services were provided and the amount of the fee payable (plus VAT, if applicable) for the achievement of the Deliverable:</paratext>
              </para>
              <subclause2 id="a121280">
                <identifier>(a)</identifier>
                <para>
                  <paratext>[DETAILS OF DELIVERABLE ONE]:  £[FEE PAYABLE].</paratext>
                </para>
              </subclause2>
              <subclause2 id="a965126">
                <identifier>(b)</identifier>
                <para>
                  <paratext>[DETAILS OF DELIVERABLE TWO]:  £[FEE PAYABLE].</paratext>
                </para>
              </subclause2>
              <subclause2 id="a835036">
                <identifier>(c)</identifier>
                <para>
                  <paratext>[DETAILS OF DELIVERABLE THREE]:  £[FEE PAYABLE].</paratext>
                </para>
              </subclause2>
              <para>
                <paratext>
                  The fees set out in this 
                  <internal.reference refid="a466114">clause 4.1</internal.reference>
                   shall only be payable to the Consultant Company following the achievement of a Deliverable (as set out more particularly in 
                  <internal.reference refid="a943751">Schedule 1</internal.reference>
                  ) to the satisfaction of the Client. Subject to 
                  <internal.reference refid="a503792">clause 4.3</internal.reference>
                  , the Consultant Company shall submit invoices, in each case, within [INSERT TIME PERIOD] of achievement of a Deliverable to the satisfaction of the Client.]
                </paratext>
              </para>
            </subclause1>
            <subclause1 id="a801925">
              <identifier>4.2</identifier>
              <para>
                <paratext>
                  In consideration of the provision of the Services, and subject to 
                  <internal.reference refid="a503792">clause 4.3</internal.reference>
                  , the Client shall pay each invoice submitted by the Consultant Company in accordance with 
                  <internal.reference refid="a466114">clause 4.1</internal.reference>
                   within [NUMBER] weeks of receipt.
                </paratext>
              </para>
            </subclause1>
            <subclause1 id="a503792">
              <identifier>4.3</identifier>
              <para>
                <paratext>
                  Should the Client become required by law to deduct income tax and national insurance contributions from the fees, the Client shall inform the Consultant Company of the deadline by which invoices must be submitted for payment to be included in the next monthly payroll and payment shall not be made until the Consultant Company has supplied to the Client all relevant information, in accordance with 
                  <internal.reference refid="a448054">clause 3.11</internal.reference>
                  , required for the purpose of making the relevant deductions.
                </paratext>
              </para>
              <drafting.note id="a250056" jurisdiction="">
                <head align="left" preservecase="true">
                  <headtext>Timing of payment: deemed employment and payroll arrangements</headtext>
                </head>
                <division id="a000032" level="1">
                  <para>
                    <paratext>The client should take into account the potential requirement for it to have to make deductions for income tax and NICs from the fees payable to the consultant company, if the status of the engagement changes and it becomes deemed employment under the off-payroll working rules. In practice, the Consultant Company's invoice must be submitted in time for capture in the next month’s payroll run, which means that there cannot be a fixed number of weeks between submission and payment.</paratext>
                  </para>
                  <para>
                    <paratext>For private sector clients, where deemed employment status applies, deductions under the off-payroll rules applied to services performed on or after 6 April 2021. Accordingly, we previously included a sub-clause in this agreement to address apportionment where services or work on a deliverable started before 6 April 2021 but finished after that date. We removed this sub-clause on the basis that consultant companies will now have invoiced for any services or deliverables which bridged 6 April 2021.</paratext>
                  </para>
                </division>
              </drafting.note>
            </subclause1>
            <subclause1 id="a688734">
              <identifier>4.4</identifier>
              <para>
                <paratext>The Client shall be entitled to deduct from the fees (and any other sums) due to the Consultant Company any sums that the Consultant Company or the Individual may owe to the Client [or any Group Company] at any time.</paratext>
              </para>
              <drafting.note id="a904830" jurisdiction="">
                <head align="left" preservecase="true">
                  <headtext>Deductions</headtext>
                </head>
                <division id="a000033" level="1">
                  <para>
                    <paratext>
                      This clause is necessary as, under 
                      <link href="5-509-0427" style="ACTLinkPLCtoPLC">
                        <ital>section 13(1)</ital>
                      </link>
                       of 
                      <link href="2-503-9360" style="ACTLinkPLCtoPLC">
                        <ital>ERA 1996</ital>
                      </link>
                       (which applies to workers as well as to employees), deductions cannot be made to wages unless either:
                    </paratext>
                  </para>
                  <list type="bulleted">
                    <list.item>
                      <para>
                        <paratext>It is required or authorised to be made by a statutory provision or a relevant provision in the worker's contract.</paratext>
                      </para>
                    </list.item>
                    <list.item>
                      <para>
                        <paratext>The worker has previously consented in writing to the deduction.</paratext>
                      </para>
                    </list.item>
                  </list>
                  <para>
                    <paratext>This clause provides the client with the necessary contractual authority if the individual is held to be a worker or employee.</paratext>
                  </para>
                </division>
              </drafting.note>
            </subclause1>
            <subclause1 id="a639497">
              <identifier>4.5</identifier>
              <para>
                <paratext>
                  Payment in full or in part of the fees claimed under 
                  <internal.reference refid="a942940">clause 4</internal.reference>
                   [or any expenses claimed under 
                  <internal.reference refid="a295069">clause 5</internal.reference>
                  ] shall be without prejudice to any claims or rights of the Client [or any Group Company] against the Consultant Company or the Individual in respect of the provision of the Services.
                </paratext>
              </para>
            </subclause1>
          </clause>
          <clause id="a295069">
            <identifier>5.</identifier>
            <head align="left" preservecase="true">
              <headtext>Expenses</headtext>
            </head>
            <subclause1 id="a565936">
              <identifier>5.1</identifier>
              <para>
                <paratext>
                  [The Client shall reimburse all reasonable expenses properly and necessarily incurred by the Consultant Company or the Individual in the course of the Engagement, subject to production of receipts or other appropriate evidence of payment 
                  <bold>OR</bold>
                   The Consultant Company shall bear its own expenses incurred in the course of the Engagement].
                </paratext>
              </para>
            </subclause1>
            <subclause1 id="a867188">
              <identifier>5.2</identifier>
              <para>
                <paratext>If the Individual is required to travel abroad in the course of the Engagement, the Consultant Company shall be responsible for any necessary insurances, inoculations and immigration requirements.</paratext>
              </para>
              <drafting.note id="a883830" jurisdiction="">
                <head align="left" preservecase="true">
                  <headtext>Foreign travel</headtext>
                </head>
                <division id="a000034" level="1">
                  <para>
                    <paratext>The requirement for the consultant company to arrange and pay for any travel insurance, inoculations, visas or work permits required by the individual is intended to indicate that the individual is not an employee of the client.</paratext>
                  </para>
                </division>
              </drafting.note>
            </subclause1>
          </clause>
          <clause id="a893358">
            <identifier>6.</identifier>
            <head align="left" preservecase="true">
              <headtext>Other activities</headtext>
            </head>
            <drafting.note id="a131727" jurisdiction="">
              <head align="left" preservecase="true">
                <headtext>Other activities</headtext>
              </head>
              <division id="a000035" level="1">
                <para>
                  <paratext>It is not advisable to place an absolute restriction on the consultant company or the individual undertaking any other work during the term of the engagement because an obligation to provide services exclusively for one client points to employment. The fact that the consultant company has other clients, and the individual does other work, will be a useful indicator of self-employment for employment law and tax purposes. On the other hand, it may not be commercially acceptable to the client to allow the consultant company or the individual to work for its competitors or to undertake other work that could adversely affect its ability to properly perform the services.</paratext>
                </para>
                <para>
                  <paratext>
                    <internal.reference refid="a893358">Clause 6</internal.reference>
                     seeks to provide a middle ground by requiring the consultant company to obtain the prior written consent of the client before the consultant company or the individual undertakes any activity which may be competitive with the business of the client. The client should be advised that their consent should not be unreasonably withheld. The greater the number of restrictions placed on the consultant company's (or the individual's) activities, the more likely this would be a pointer to employment status for employment law and tax purposes.
                  </paratext>
                </para>
                <para>
                  <paratext>
                    Ensure that the "Business of the Client" is adequately defined in 
                    <internal.reference refid="a274564">clause 1</internal.reference>
                    , so that 
                    <internal.reference refid="a937337">clause 6(b)</internal.reference>
                     provides adequate protection.
                  </paratext>
                </para>
              </division>
            </drafting.note>
            <subclause1 id="a564984">
              <para>
                <paratext>Nothing in this agreement shall prevent the Consultant Company or the Individual from being engaged, concerned or having any financial interest in any Capacity in any other business, trade, profession or occupation during the Engagement provided that:</paratext>
              </para>
              <subclause2 id="a127800">
                <identifier>(a)</identifier>
                <para>
                  <paratext>such activity does not cause a breach of any of the Consultant Company's obligations under this agreement;</paratext>
                </para>
              </subclause2>
              <subclause2 id="a937337">
                <identifier>(b)</identifier>
                <para>
                  <paratext>
                    the Consultant Company shall not, and shall procure that the Individual shall not, engage in any such activity if it relates to a business which is similar to or in any way competitive with the Business of the Client [or any Group Company] without the prior written consent of the [Client 
                    <bold>OR</bold>
                     Board] [(such consent not to be unreasonably withheld)]; and
                  </paratext>
                </para>
              </subclause2>
              <subclause2 id="a516516">
                <identifier>(c)</identifier>
                <para>
                  <paratext>the Consultant Company shall give priority to the provision of the Services to the Client over any other business activities undertaken by it during the Engagement.</paratext>
                </para>
              </subclause2>
            </subclause1>
          </clause>
          <clause id="a184723">
            <identifier>7.</identifier>
            <head align="left" preservecase="true">
              <headtext>Confidential information and Client property</headtext>
            </head>
            <drafting.note id="a492601" jurisdiction="">
              <head align="left" preservecase="true">
                <headtext>Confidential information and Client property</headtext>
              </head>
              <division id="a000036" level="1">
                <para>
                  <paratext>
                    There is no implied duty of confidentiality owed by one company to another or by a self-employed individual (as there would be for an employee). Therefore, it is important to impose express confidentiality obligations on the consultant company and the individual which cover their activities both during and after the engagement (see 
                    <link href="9-200-2045" style="ACTLinkPLCtoPLC">
                      <ital>Practice note, Implied terms in employment contracts</ital>
                    </link>
                    ).
                  </paratext>
                </para>
                <para>
                  <paratext>
                    For more information, see 
                    <link href="7-520-0316#a384883" style="ACTLinkPLCtoPLC">
                      <ital>Practice note, Consultants: Confidentiality</ital>
                    </link>
                    <ital>.</ital>
                     For a more detailed confidentiality clause, see 
                    <link href="9-200-2130" style="ACTLinkPLCtoPLC">
                      <ital>Standard clause, Confidentiality clause (long-form)</ital>
                    </link>
                    . For a confidentiality agreement for use with a consultant in the IT field, see 
                    <link href="1-204-6072" style="ACTLinkPLCtoPLC">
                      <ital>Standard document, Non-disclosure agreement with consultant</ital>
                    </link>
                    .
                  </paratext>
                </para>
                <para>
                  <paratext>
                    A client may want to insert the optional wording included in square brackets at 
                    <internal.reference refid="a964886">clause 7.4</internal.reference>
                    . While this wording reflects common practice for employees rather than consultants, in light of the increased scrutiny of the use of non-disclosure and confidentiality agreements, it could be included in a consultancy agreement where a client wants to make it clear what the confidentiality provisions do not prevent the consultant company or individual from doing.
                  </paratext>
                </para>
                <para>
                  <paratext>
                    It may be commercially attractive for the client to place additional restrictions on the consultant company and the individual after the termination of the engagement (for example, a non-solicitation restriction with regard to the client's employees or customers). However, restrictions of this kind suggest that the client has control over the activities of the consultant company and the individual and may therefore point towards an employment relationship between the individual and the client. The client will have to weigh up the commercial reasons for including such clauses against the risk that the individual may be found to be an employee of the client for employment law or tax purposes. If such clauses are required, see 
                    <link href="2-200-2157" style="ACTLinkPLCtoPLC">
                      <ital>Standard clauses, Restrictive covenant clauses</ital>
                    </link>
                    .
                  </paratext>
                </para>
              </division>
            </drafting.note>
            <subclause1 id="a216755">
              <identifier>7.1</identifier>
              <para>
                <paratext>
                  The Consultant Company acknowledges that during the Engagement it and the Individual will have access to Confidential Information. The Consultant Company has therefore agreed to accept the restrictions in this 
                  <internal.reference refid="a184723">clause 7</internal.reference>
                  .
                </paratext>
              </para>
            </subclause1>
            <subclause1 id="a851349">
              <identifier>7.2</identifier>
              <para>
                <paratext>
                  [Subject to 
                  <internal.reference refid="a964886">clause 7.4</internal.reference>
                  ,] [the 
                  <bold>OR</bold>
                   The] Consultant Company shall not, and shall procure that the Individual shall not (except in the proper course of its or their duties), either during the Engagement or at any time after the Termination Date, use or disclose to any third party (and shall use its best endeavours to prevent the publication and disclosure of) any Confidential Information. This restriction does not apply to:
                </paratext>
              </para>
              <subclause2 id="a448844">
                <identifier>(a)</identifier>
                <para>
                  <paratext>any use or disclosure authorised by the Client or required by law; or</paratext>
                </para>
              </subclause2>
              <subclause2 id="a449285">
                <identifier>(b)</identifier>
                <para>
                  <paratext>any information which is already in, or comes into, the public domain otherwise than through the Consultant Company's or the Individual's unauthorised disclosure.</paratext>
                </para>
              </subclause2>
            </subclause1>
            <subclause1 id="a383341">
              <identifier>7.3</identifier>
              <para>
                <paratext>At any stage during the Engagement, the Consultant Company will promptly on request return to the Client all and any Client Property in its or the Individual's possession.</paratext>
              </para>
            </subclause1>
            <subclause1 id="a964886">
              <identifier>7.4</identifier>
              <para>
                <paratext>[Nothing in this clause 7 shall prevent the Consultant Company (or the Individual) or, where applicable, the Client (or any of its officers, employees, workers or agents) from:</paratext>
              </para>
              <subclause2 id="a156668">
                <identifier>(a)</identifier>
                <para>
                  <paratext>reporting a suspected criminal offence to the police or any law enforcement agency or co-operating with the police or any law enforcement agency regarding a criminal investigation or prosecution;</paratext>
                </para>
              </subclause2>
              <subclause2 id="a557693">
                <identifier>(b)</identifier>
                <para>
                  <paratext>doing or saying anything that is required by HMRC or a regulator, ombudsman or supervisory authority;</paratext>
                </para>
              </subclause2>
              <subclause2 id="a816041">
                <identifier>(c)</identifier>
                <para>
                  <paratext>whether required to or not, making a disclosure to, or co-operating with any investigation by, HMRC or a regulator, ombudsman or supervisory authority regarding any misconduct, wrongdoing or serious breach of regulatory requirements (including giving evidence at a hearing);</paratext>
                </para>
              </subclause2>
              <subclause2 id="a206407">
                <identifier>(d)</identifier>
                <para>
                  <paratext>complying with an order from a court or tribunal to disclose or give evidence;</paratext>
                </para>
              </subclause2>
              <subclause2 id="a305799">
                <identifier>(e)</identifier>
                <para>
                  <paratext>making any other disclosure as required by law; or</paratext>
                </para>
              </subclause2>
              <subclause2 id="a512706">
                <identifier>(f)</identifier>
                <para>
                  <paratext>disclosing information to any person who owes a duty of confidentiality (which the Consultant Company, the Individual and the Client agree not to waive) in respect of information disclosed to them, including legal or tax advisers or, in the Individual's case, persons providing them with medical, therapeutic, counselling or support services.]</paratext>
                </para>
              </subclause2>
            </subclause1>
          </clause>
          <clause id="a876826">
            <identifier>8.</identifier>
            <head align="left" preservecase="true">
              <headtext>Data protection</headtext>
            </head>
            <drafting.note id="a179897" jurisdiction="">
              <head align="left" preservecase="true">
                <headtext>Data protection</headtext>
              </head>
              <division id="a000037" level="1">
                <para>
                  <paratext>
                    The General Data Protection Regulation (EU) 2016/679 (GDPR) continued to apply in the UK until the end of the 
                    <link href="_blank" style="ACTLinkPLCtoPLC">
                      <ital>UK-EU transition period</ital>
                    </link>
                     (transition period), alongside the Data Protection Act 2018 (DPA 2018) (see 
                    <link anchor="co_anchor_a181376" href="_blank" style="ACTLinkPLCtoPLC">
                      <ital>Practice note, Brexit post-transition period: data protection (UK): UK data protection law during the transition period</ital>
                    </link>
                    ). For further information on the GDPR and the DPA 2018, see 
                    <link href="_blank" style="ACTLinkPLCtoPLC">
                      <ital>Practice notes, Overview of GDPR: UK perspective</ital>
                    </link>
                     and 
                    <link href="_blank" style="ACTLinkPLCtoPLC">
                      <ital>Data Protection Act 2018: overview</ital>
                    </link>
                    .
                  </paratext>
                </para>
                <para>
                  <paratext>
                    At the end of the transition period, the GDPR and parts of the DPA 2018 became part of the new body of 
                    <link href="_blank" style="ACTLinkPLCtoPLC">
                      <ital>retained EU law</ital>
                    </link>
                    . The 
                    <link href="_blank" style="ACTLinkPLCtoPLC">
                      <ital>Data Protection, Privacy and Electronic Communications (Amendments etc) (EU Exit) Regulations 2019 (SI 2019/419)</ital>
                    </link>
                     (DP Brexit Regulations) amend this retained EU law version of the GDPR (renaming it the 
                    <link href="_blank" style="ACTLinkPLCtoPLC">
                      <ital>UK GDPR</ital>
                    </link>
                    ), as well as the DPA 2018. See 
                    <link anchor="co_anchor_a106981" href="_blank" style="ACTLinkPLCtoPLC">
                      <ital>Practice note, Brexit post-transition period: data protection (UK): UK data protection law at end of the transition period: summary</ital>
                    </link>
                    .
                  </paratext>
                </para>
                <para>
                  <paratext>
                    The data protection legislation in the UK now comprises the UK GDPR and the DPA 2018. The GDPR is known as the 
                    <link href="_blank" style="ACTLinkPLCtoPLC">
                      <ital>EU GDPR</ital>
                    </link>
                     in the UK (see 
                    <link anchor="co_anchor_a131252" href="_blank" style="ACTLinkPLCtoPLC">
                      <ital>Practice note, Brexit post-transition period: data protection (UK): New and amended data protection legislation</ital>
                    </link>
                    ).
                  </paratext>
                </para>
                <para>
                  <paratext>
                    The UK GDPR imposes direct obligations on a processor. A processor is defined as a natural or legal person, public authority, agency or other body which processes personal data on behalf of a data controller (
                    <ital>Article 4(8), UK GDPR</ital>
                    ).
                  </paratext>
                </para>
                <para>
                  <paratext>
                    <internal.reference refid="a631017">Clause 8.1</internal.reference>
                     refers to the privacy notice, which the client must provide to the consultant company under the UK GDPR, setting out details of how the client will use information about the individual. For an example privacy notice, see 
                    <link href="w-011-4217" style="ACTLinkPLCtoPLC">
                      <ital>Standard document, UK GDPR Privacy notice for employees, workers and contractors</ital>
                    </link>
                    . The notice might need to include the fact that the client may need to process data for the purposes of determining whether the individual is in deemed employment under the off-payroll working rules and, if they do, the fact that the client will have to give a status determination statement to the consultant company (see 
                    <internal.reference refid="a793362">Drafting note, Tax: deemed employment status</internal.reference>
                    ).
                  </paratext>
                </para>
                <para>
                  <paratext>
                    Depending on what the consultant company's services are, they may be a processor.  If they are, they will be subject to certain obligations and there are certain terms which must be written into the consultancy agreement. 
                    <internal.reference refid="a578337">clause 8.2</internal.reference>
                     to 
                    <internal.reference refid="a718281">clause 8.8</internal.reference>
                     reflect the UK GDPR requirements for written provisions to be in place between a controller and a processor.
                  </paratext>
                </para>
                <para>
                  <paratext>
                    <internal.reference refid="a898243">clause 8.6</internal.reference>
                     reflects the requirement in the UK GDPR for a processor to implement appropriate technical and organisational measures to secure personal data (
                    <ital>Articles 28 and 32</ital>
                    ).
                  </paratext>
                </para>
                <para>
                  <paratext>
                    The first option in 
                    <internal.reference refid="a572524">clause 8.7</internal.reference>
                     is relevant if there is no ability for the consultant company to appoint a substitute (see the optional wording at 
                    <internal.reference refid="a998955">clause 3.3</internal.reference>
                    ). If the consultant company is a processor and will be able to appoint a substitute or any sub-processor, the second option is relevant. 
                    <link href="https://uk.westlaw.com/Document/ID9E16550149911E9A3ACBD4240CE8204/View/FullText.html" style="ACTLinkURL">
                      <ital>Article 28(2)</ital>
                    </link>
                     of the 
                    <link href="https://uk.practicallaw.thomsonreuters.com/w-027-1020?originationContext=document&amp;amp;transitionType=PLDocumentLink&amp;amp;contextData=(sc.Default)" style="ACTLinkURL">
                      <ital>UK GDPR</ital>
                    </link>
                     contains restrictions to prevent processors from engaging sub-processors without the prior specific or general written authorisation of the controller. We have assumed that the client is the controller and the consultant company is a processor. The restrictions apply to any substitute who would be considered a sub-processor under the UK GDPR. In the case of a general written authorisation to engage sub-processors, the processor (consultant company) must inform the controller (client) of any intended changes to existing sub-processors or new sub-processors (including, where relevant, any substitutes) and give it the right (and time) to object to these changes. The client may exercise its right for a specific written authorisation prior to the engagement of any sub-processor by the processor (including, where relevant, any substitutes). However, the requirements of Article 28(2) of the UK GDPR sit somewhat awkwardly alongside the benefits of having an unfettered right of substitution for employment law and tax purposes. For commentary on this point, see 
                    <internal.reference refid="a606941">Drafting note, Appointment of substitute (optional wording)</internal.reference>
                    .
                  </paratext>
                </para>
                <para>
                  <paratext>
                    Depending on the risks identified under the UK GDPR owing to the nature of the personal data and/or data subjects, a client and consultant company or the consultant company (processor) and sub-processor may wish to execute a separate data processing agreement under this agreement (see, for example, 
                    <link href="w-013-2951" style="ACTLinkPLCtoPLC">
                      <ital>Standard document, Data processing agreement (controller-to-processor) (UK to non-EEA)</ital>
                    </link>
                    ).
                  </paratext>
                </para>
                <para>
                  <paratext>
                    Certain types of consultant may be a controller. The ICO, in its guidance 
                    <link href="https://ico.org.uk/media/for-organisations/documents/1546/data-controllers-and-data-processors-dp-guidance.pdf" style="ACTLinkURL">
                      <ital>Data controllers and data processors: what the difference is and what the governance implications are</ital>
                    </link>
                    , sets out examples of when a consultant might be considered to be a controller (page 9). While this guidance was produced for the purposes of the DPA 1998, it is still relevant to the definitions contained in the UK GDPR and the DPA 2018. For the purposes of this agreement, however, we have assumed that the client is the controller and the consultant company is a processor, if they are anything at all. Where consultancy services are provided directly by an individual to a client company, see 
                    <link href="2-200-2143" style="ACTLinkPLCtoPLC">
                      <ital>Standard document, Consultancy agreement</ital>
                    </link>
                    .
                  </paratext>
                </para>
                <para>
                  <paratext>
                    <internal.reference refid="a718281">Clause 8.8</internal.reference>
                     is drafted widely in favour of the client. If acting for the consultant company, consider whether liability should be limited (for example, by excluding liability where the consultant company can prove it has not acted contrary to the client’s instruction or is in no way responsible for the event giving rise to the damage). Similarly, consider whether the liability provision at the end of 
                    <internal.reference refid="a572524">clause 8.7</internal.reference>
                     should be limited to where the sub-processor fails to fulfil its obligations under the written agreement with the consultant company which contains terms substantially the same as those set out in this agreement (see 
                    <link anchor="a907170" href="w-013-2951" style="ACTLinkPLCtoPLC">
                      <ital>Standard document, Data processing agreement (controller-to-processor) (UK to non-EEA): Clause 8.4</ital>
                    </link>
                    ).
                  </paratext>
                </para>
                <division id="a000038" level="2">
                  <division id="a601278" level="3">
                    <head align="left" preservecase="true">
                      <headtext>Transfers of personal data outside the UK</headtext>
                    </head>
                    <para>
                      <paratext>
                        If the consultant company may be transferring personal data outside of the UK, the second optional wording set out in 
                        <internal.reference refid="a202357">clause 8.5(e)</internal.reference>
                         should be used. However, in many cases, we anticipate that the client will not want data to be transferred outside of the UK.
                      </paratext>
                    </para>
                  </division>
                </division>
              </division>
            </drafting.note>
            <subclause1 id="a631017">
              <identifier>8.1</identifier>
              <para>
                <paratext>
                  The Client will collect and process information relating to the Individual in accordance with the privacy notice which is [on the intranet 
                  <bold>OR</bold>
                   annexed to this agreement].
                </paratext>
              </para>
            </subclause1>
            <subclause1 condition="optional" id="a578337">
              <identifier>8.2</identifier>
              <para>
                <paratext>The Consultant Company and the Client acknowledge that for the purposes of the Data Protection Legislation, the Client is the controller and the Consultant Company is the processor.</paratext>
              </para>
            </subclause1>
            <subclause1 condition="optional" id="a281475">
              <identifier>8.3</identifier>
              <para>
                <paratext>The Consultant Company and the Client will comply with the Data Protection Legislation.</paratext>
              </para>
            </subclause1>
            <subclause1 condition="optional" id="a981608">
              <identifier>8.4</identifier>
              <para>
                <paratext>Schedule [NUMBER] sets out the scope, nature and purpose of the processing by the Consultant Company, the duration of the processing and the types of personal data (as defined in the Data Protection Legislation (Personal Data)) and categories of data subject.</paratext>
              </para>
            </subclause1>
            <subclause1 condition="optional" id="a258864">
              <identifier>8.5</identifier>
              <para>
                <paratext>The Consultant Company shall, and shall procure that the Individual shall, in relation to any Personal Data processed in connection with the Engagement:</paratext>
              </para>
              <subclause2 id="a625902">
                <identifier>(a)</identifier>
                <para>
                  <paratext>process that Personal Data only on written instructions of the Client;</paratext>
                </para>
              </subclause2>
              <subclause2 id="a178578">
                <identifier>(b)</identifier>
                <para>
                  <paratext>keep the Personal Data confidential;</paratext>
                </para>
              </subclause2>
              <subclause2 id="a394772">
                <identifier>(c)</identifier>
                <para>
                  <paratext>comply with the Client's [privacy standard OR data protection policy] [data retention guidelines] [LIST OTHER POLICIES];</paratext>
                </para>
              </subclause2>
              <subclause2 id="a620136">
                <identifier>(d)</identifier>
                <para>
                  <paratext>comply with the Client's reasonable instructions with respect to processing Personal Data;</paratext>
                </para>
              </subclause2>
              <subclause2 id="a202357">
                <identifier>(e)</identifier>
                <para>
                  <paratext>[not transfer any Personal Data outside of the UK;</paratext>
                </para>
                <para>
                  <paratext>
                    <bold>OR</bold>
                  </paratext>
                </para>
                <para>
                  <paratext>not transfer any Personal Data outside of the UK unless, in accordance with the Data Protection Legislation, the Consultant Company ensures that (i) the transfer is to a country approved as providing an adequate level of protection for Personal Data; or (ii) there are appropriate safeguards in place for the transfer of Personal Data; or (iii) binding corporate rules are in place; or (iv) one of the derogations for specific situations applies to the transfer;]</paratext>
                </para>
              </subclause2>
              <subclause2 id="a326495">
                <identifier>(f)</identifier>
                <para>
                  <paratext>assist the Client [at the Client's cost] in responding to any data subject access request and to ensure compliance with its obligations under the Data Protection Legislation with respect to security, breach notifications, privacy impact assessments and consultations with supervisory authorities or regulators;</paratext>
                </para>
              </subclause2>
              <subclause2 id="a280881">
                <identifier>(g)</identifier>
                <para>
                  <paratext>notify the Client without undue delay on becoming aware of a Personal Data breach or communication which relates to the Client's or Consultant Company's compliance with the Data Protection Legislation;</paratext>
                </para>
              </subclause2>
              <subclause2 id="a598638">
                <identifier>(h)</identifier>
                <para>
                  <paratext>at the written request of the Client, delete or return Personal Data (and any copies of the same) to the Client on termination of the Engagement unless required by the Data Protection Legislation to store the Personal Data; and</paratext>
                </para>
              </subclause2>
              <subclause2 id="a250497">
                <identifier>(i)</identifier>
                <para>
                  <paratext>maintain complete and accurate records and information to demonstrate compliance with this clause [NUMBER] [and allow for audits by the Client or the Client's designated auditor].</paratext>
                </para>
              </subclause2>
            </subclause1>
            <subclause1 condition="optional" id="a898243">
              <identifier>8.6</identifier>
              <para>
                <paratext>The Consultant Company shall ensure that it has in place appropriate technical or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Such measures may include, where appropriate:</paratext>
              </para>
              <subclause2 id="a915140">
                <identifier>(a)</identifier>
                <para>
                  <paratext>pseudonymising and encrypting Personal Data;</paratext>
                </para>
              </subclause2>
              <subclause2 id="a968840">
                <identifier>(b)</identifier>
                <para>
                  <paratext>ensuring confidentiality, integrity, availability and resilience of its systems and services;</paratext>
                </para>
              </subclause2>
              <subclause2 id="a949597">
                <identifier>(c)</identifier>
                <para>
                  <paratext>ensuring that availability of and access to Personal Data can be restored in a timely manner after an incident; and</paratext>
                </para>
              </subclause2>
              <subclause2 id="a936555">
                <identifier>(d)</identifier>
                <para>
                  <paratext>regularly assessing and evaluating the effectiveness of the technical and organisational measures adopted by it.</paratext>
                </para>
              </subclause2>
            </subclause1>
            <subclause1 condition="optional" id="a572524">
              <identifier>8.7</identifier>
              <para>
                <paratext>The Client does not agree to the Consultant Company appointing any third-party processor of Personal Data under this agreement.</paratext>
              </para>
              <para>
                <paratext>
                  <bold>OR</bold>
                </paratext>
              </para>
              <para>
                <paratext>The Consultant Company may only authorise a sub-processor to process Personal Data if:</paratext>
              </para>
              <subclause2 id="a207010">
                <identifier>(a)</identifier>
                <para>
                  <paratext>
                    the Client [provides written consent prior to the appointment of each sub-processor] 
                    <bold>OR </bold>
                    [is provided with an opportunity to object to the appointment of each sub-processor within [NUMBER] working days after the Consultant Company supplies the Client with full details in writing regarding such sub-processor];
                  </paratext>
                </para>
              </subclause2>
              <subclause2 id="a960552">
                <identifier>(b)</identifier>
                <para>
                  <paratext>the Consultant Company enters into a written contract with the sub-processor that contains terms substantially the same as those set out in this agreement, in particular in relation to requiring appropriate technical and organisational data security measures with regards to Article 32 of the UK GDPR and any relevant requirements under Article 28 of the UK GDPR, including but not limited to the sub-processor allowing for and contributing to audits by or on behalf of the Client and, where relevant, aiding the Client to respond to subject access requests, and, upon the Client's written request, provides the Client with copies of the relevant excerpts from such contracts;</paratext>
                </para>
              </subclause2>
              <subclause2 id="a636764">
                <identifier>(c)</identifier>
                <para>
                  <paratext>the Consultant Company maintains control over all of the Personal Data it entrusts to the sub-processor; and</paratext>
                </para>
              </subclause2>
              <subclause2 id="a980350">
                <identifier>(d)</identifier>
                <para>
                  <paratext>the sub-processor's contract terminates automatically on termination of this agreement for any reason.</paratext>
                </para>
              </subclause2>
              <para>
                <paratext>
                  The Consultant Company shall remain fully liable for all acts or omissions of any third-party processor appointed by it pursuant to this 
                  <internal.reference refid="a572524">clause 8.7</internal.reference>
                  .
                </paratext>
              </para>
            </subclause1>
            <subclause1 condition="optional" id="a718281">
              <identifier>8.8</identifier>
              <para>
                <paratext>The Consultant Company shall have personal liability for and shall indemnify the Client [and any Group Company] for any loss, liability, costs (including legal costs), damages, or expenses resulting from any breach by the Consultant Company [or a sub-processor engaged by the Consultant Company] of the Data Protection Legislation, and shall maintain in force full and comprehensive Insurance Policies.</paratext>
              </para>
            </subclause1>
          </clause>
          <clause id="a950574">
            <identifier>9.</identifier>
            <head align="left" preservecase="true">
              <headtext>Intellectual property</headtext>
            </head>
            <drafting.note id="a154947" jurisdiction="">
              <head align="left" preservecase="true">
                <headtext>Intellectual property</headtext>
              </head>
              <division id="a000039" level="1">
                <para>
                  <paratext>
                    Some intellectual property rights (notably copyright and rights in designs) arising as a result of services provided under a consultancy agreement will normally belong to the consultant company. As the client will usually want to take ownership of these rights, it is important to include specific assignment provisions in the consultancy agreement. For more information, see 
                    <link href="7-520-0316#a390644" style="ACTLinkPLCtoPLC">
                      <ital>Practice note, Consultants: Intellectual property</ital>
                    </link>
                     and 
                    <link href="2-201-2608" style="ACTLinkPLCtoPLC">
                      <ital>Standard clause, Intellectual property clause in a consultancy agreement with an individual or service company</ital>
                    </link>
                    . HMRC considers that where IP rights arise from the agreement and these are kept by the individual/consultant company or sold to the client, that is indicative of self-employment. Conversely, if the rights are assigned (at no cost) to the client, this is a pointer to employment (see 
                    <link href="https://www.gov.uk/hmrc-internal-manuals/employment-status-manual/esm11150" style="ACTLinkURL">
                      <ital>ESM11150</ital>
                    </link>
                    ).
                  </paratext>
                </para>
                <para>
                  <paratext>
                    If 
                    <internal.reference refid="a357651">clause 9.8</internal.reference>
                     is included, the agreement must be executed as a deed.
                  </paratext>
                </para>
              </division>
            </drafting.note>
            <subclause1 id="a340683">
              <identifier>9.1</identifier>
              <para>
                <paratext>The Consultant Company warrants to the Client that it has obtained from the Individual a written and valid assignment of all existing and future Intellectual Property Rights in the Works and the Inventions and of all materials embodying such rights and a written irrevocable waiver of all the Individual's statutory moral rights in the Works, to the fullest extent permissible by law, and that the Individual has agreed to hold on trust for the Consultant Company any such rights in which the legal title has not passed (or will not pass) to the Consultant Company. The Consultant Company agrees to provide to the Client a copy of this assignment on or before the date of this agreement.</paratext>
              </para>
            </subclause1>
            <subclause1 id="a367559">
              <identifier>9.2</identifier>
              <para>
                <paratext>The Consultant Company hereby assigns to the Client all existing and future Intellectual Property Rights in the Works and the Inventions and all materials embodying these rights to the fullest extent permitted by law. Insofar as they do not vest automatically by operation of law or under this agreement, the Consultant Company holds legal title in these rights and inventions on trust for the Client.</paratext>
              </para>
            </subclause1>
            <subclause1 id="a285168">
              <identifier>9.3</identifier>
              <para>
                <paratext>The Consultant Company undertakes to the Client:</paratext>
              </para>
              <subclause2 id="a632065">
                <identifier>(a)</identifier>
                <para>
                  <paratext>to notify to the Client in writing full details of all Inventions promptly on their creation;</paratext>
                </para>
              </subclause2>
              <subclause2 id="a447137">
                <identifier>(b)</identifier>
                <para>
                  <paratext>to keep confidential the details of all Inventions;</paratext>
                </para>
              </subclause2>
              <subclause2 id="a823455">
                <identifier>(c)</identifier>
                <para>
                  <paratext>whenever requested to do so by the Client and in any event on the termination of the Engagement, promptly to deliver to the Client all correspondence, documents, papers and records on all media (and all copies or abstracts of them), recording or relating to any part of the Works and the process of their creation which are in its or the Individual's possession, custody or power;</paratext>
                </para>
              </subclause2>
              <subclause2 id="a188662">
                <identifier>(d)</identifier>
                <para>
                  <paratext>not to register nor attempt to register any of the Intellectual Property Rights in the Works, nor any of the Inventions, unless requested to do so by the Client; and</paratext>
                </para>
              </subclause2>
              <subclause2 id="a360137">
                <identifier>(e)</identifier>
                <para>
                  <paratext>to do all acts necessary to confirm that absolute title in all Intellectual Property Rights in the Works and the Inventions has passed, or will pass, to the Client,</paratext>
                </para>
              </subclause2>
              <para>
                <paratext>and confirms that the Individual has given written undertakings in the same terms to the Consultant Company.</paratext>
              </para>
            </subclause1>
            <subclause1 id="a990360">
              <identifier>9.4</identifier>
              <para>
                <paratext>The Consultant Company warrants that:</paratext>
              </para>
              <subclause2 id="a803933">
                <identifier>(a)</identifier>
                <para>
                  <paratext>it has not given and will not give permission to any third party to use any of the Works or the Inventions, nor any of the Intellectual Property Rights in the Works;</paratext>
                </para>
              </subclause2>
              <subclause2 id="a392079">
                <identifier>(b)</identifier>
                <para>
                  <paratext>it is unaware of any use by any third party of any of the Works or Intellectual Property Rights in the Works; and</paratext>
                </para>
              </subclause2>
              <subclause2 id="a500709">
                <identifier>(c)</identifier>
                <para>
                  <paratext>the use of the Works or the Intellectual Property Rights in the Works by the Client will not infringe the rights of any third party,</paratext>
                </para>
              </subclause2>
              <para>
                <paratext>and confirms that the Individual has given written undertakings in the same terms to the Consultant Company.</paratext>
              </para>
            </subclause1>
            <subclause1 id="a986646">
              <identifier>9.5</identifier>
              <para>
                <paratext>The Consultant Company agrees to indemnify the Client and keep it indemnified at all times against all or any costs, claims, damages or expenses incurred by the Client, or for which the Client may become liable, with respect to any intellectual property infringement claim or other claim relating to the Works or Inventions supplied by the Consultant Company to the Client during the course of providing the Services. The Consultant Company shall maintain adequate liability insurance coverage, and ensure that the Client's interest is noted on the policy, and shall supply a copy of the policy to the Client on request. The Client may at its option satisfy such indemnity (in whole or in part) by way of deduction from any payments due to the Consultant Company.</paratext>
              </para>
            </subclause1>
            <subclause1 id="a846324">
              <identifier>9.6</identifier>
              <para>
                <paratext>
                  The Consultant Company acknowledges that no further remuneration or compensation other than that provided for in this agreement is or may become due to the Consultant Company in respect of the performance of its obligations under this 
                  <internal.reference refid="a950574">clause 9</internal.reference>
                  .
                </paratext>
              </para>
            </subclause1>
            <subclause1 id="a955727">
              <identifier>9.7</identifier>
              <para>
                <paratext>
                  The Consultant Company undertakes to execute all documents, make all applications, give all assistance and do all acts and things, at the expense of the Client and at any time either during or after the Engagement, as may, in the opinion of the [Client 
                  <bold>OR</bold>
                   Board], be necessary or desirable to vest the Intellectual Property Rights in, and register or obtain patents or registered designs in, the name of the Client and to defend the Client against claims that works embodying Intellectual Property Rights or Inventions infringe third party rights, and otherwise to protect and maintain the Intellectual Property Rights in the Works. The Consultant Company confirms that the Individual has given written undertakings in the same terms to the Consultant Company.
                </paratext>
              </para>
            </subclause1>
            <subclause1 id="a357651">
              <identifier>9.8</identifier>
              <para>
                <paratext>The Consultant Company irrevocably appoints the Client to be its attorney in its name and on its behalf to execute documents, use the Consultant Company's name and do all things which are necessary or desirable for the Client to obtain for itself or its nominee the full benefit of this clause.</paratext>
              </para>
            </subclause1>
          </clause>
          <clause id="a558820">
            <identifier>10.</identifier>
            <head align="left" preservecase="true">
              <headtext>Insurance and liability</headtext>
            </head>
            <drafting.note id="a414023" jurisdiction="">
              <head align="left" preservecase="true">
                <headtext>Insurance and liability</headtext>
              </head>
              <division id="a000040" level="1">
                <para>
                  <paratext>
                    The consultant company will have liability for loss incurred by the client in connection with the provision of the services. Accordingly, this clause requires the consultant company to take out comprehensive insurance (with insurers that are acceptable to the client company) to cover the risk of any claims (see 
                    <internal.reference refid="a885790">Drafting note, Insurance Policies</internal.reference>
                    ).
                  </paratext>
                </para>
                <para>
                  <paratext>
                    As a starting point in English law, in a business to business arrangement, parties have a general freedom to agree whatever commercial terms they believe are appropriate. There is no general rule that requires a limitation of liability to be introduced. Courts will not usually intervene if the commercial deal is a poor one because they are reluctant to impose their commercial (rather than legal) judgment on the parties. In this agreement, we do not provide for a general limitation of liability. The agreement is drafted from the perspective of the client company and, if acting for the consultant company or individual, amendment may be required. We do, however, include optional wording in square brackets in 
                    <internal.reference refid="a821981">clause 10.1</internal.reference>
                    . This wording limits the consultant company's liability for losses incurred by the client due to the consultant company, the individual's or any substitute's breach of contract, negligence, recklessness or some other omission or default in the provision of the services.
                  </paratext>
                </para>
                <para>
                  <paratext>
                    <internal.reference refid="a222790">clause 10.4</internal.reference>
                     requires the consultant company to ensure that, in the event of a claim by the client, the insurers will indemnify the client directly (rather than paying the consultant company, as policyholder). The consultant company is required to pay to the client any shortfall between the insurance monies and the amount claimed. In practice, it may be difficult to get the insurer to agree to this.
                  </paratext>
                </para>
              </division>
            </drafting.note>
            <subclause1 id="a821981">
              <identifier>10.1</identifier>
              <para>
                <paratext>The Consultant Company shall have liability for and shall indemnify the Client [and any Group Company] for any loss, liability, costs (including reasonable legal costs), damages or expenses arising from [any breach by the Consultant Company or the Individual [or any Substitute engaged by it] of the terms of this agreement including any negligent or reckless act, omission or default in] the provision of the Services and shall accordingly maintain in force during the Engagement full and comprehensive Insurance Policies.</paratext>
              </para>
            </subclause1>
            <subclause1 id="a331212">
              <identifier>10.2</identifier>
              <para>
                <paratext>The Consultant Company shall ensure that the Insurance Policies are taken out with reputable insurers acceptable to the Client and that the level of cover and other terms of insurance are acceptable to and agreed by the Client.</paratext>
              </para>
            </subclause1>
            <subclause1 id="a346486">
              <identifier>10.3</identifier>
              <para>
                <paratext>The Consultant Company shall on request supply to the Client copies of the Insurance Policies and evidence that the relevant premiums have been paid.</paratext>
              </para>
            </subclause1>
            <subclause1 id="a222790">
              <identifier>10.4</identifier>
              <para>
                <paratext>The Consultant Company shall notify the insurers of the Client's interest and shall cause the interest to be noted on the Insurance Policies [together with a provision to the effect that, if any claim is brought or made by the Client against the Consultant Company in respect of which the Consultant Company would be entitled to receive indemnity under any of the Insurance Policies, the relevant insurer will indemnify the Client directly against such claim and any charges, costs and expenses in respect of such claim. If the relevant insurer does not so indemnify the Client, the Consultant Company shall use all insurance monies received by it to indemnify the Client in respect of any claim and shall make good any deficiency from its own resources.]</paratext>
              </para>
            </subclause1>
            <subclause1 id="a202460">
              <identifier>10.5</identifier>
              <para>
                <paratext>The Consultant Company shall comply (and shall procure that the Individual complies) with all terms and conditions of the Insurance Policies at all times. If cover under the Insurance Policies shall lapse or not be renewed or be changed in any material way, or if the Consultant Company is aware of any reason why the cover under the Insurance Policies may lapse or not be renewed or be changed in any material way, the Consultant Company shall notify the Client without delay.</paratext>
              </para>
            </subclause1>
          </clause>
          <clause id="a466248">
            <identifier>11.</identifier>
            <head align="left" preservecase="true">
              <headtext>Termination</headtext>
            </head>
            <drafting.note id="a906170" jurisdiction="">
              <head align="left" preservecase="true">
                <headtext>Termination</headtext>
              </head>
              <division id="a000041" level="1">
                <para>
                  <paratext>This clause sets out the circumstances in which the client may lawfully terminate the consultant company's engagement without notice.</paratext>
                </para>
                <para>
                  <paratext>
                    When exercising its rights under 
                    <internal.reference refid="a680441">clause 11.1(g)</internal.reference>
                     (termination where the individual has been off sick for more than a specified period), the client should be aware of possible breaches of the disability discrimination provisions in the 
                    <link href="0-505-5271" style="ACTLinkPLCtoPLC">
                      <ital>Equality Act 2010</ital>
                    </link>
                     as the individual may have protection under the Act even if their status is not that of an employee or a worker. For more information, see 
                    <link href="8-502-3484#a724193" style="ACTLinkPLCtoPLC">
                      <ital>Practice note, Discrimination in employment: who is protected and who is liable? (EqA 2010): Who is protected?</ital>
                    </link>
                    . In addition, due to the risk of this clause 11.1(g) suggesting deemed employment for tax and employment law purposes (given the indication of personal service), clients may choose to remove this provision altogether.
                  </paratext>
                </para>
                <para>
                  <paratext>
                    <internal.reference refid="a523389">Clause 11.1(h)</internal.reference>
                     is only relevant is the individual has signed a side letter to the agreement, in which they have warranted that they own all of the issued share capital (see 
                    <link href="3-200-2963" style="ACTLinkPLCtoPLC">
                      <ital>Standard document, Side letter to the consultancy agreement via a service company</ital>
                    </link>
                    ).
                  </paratext>
                </para>
                <para>
                  <paratext>
                    In relation to 
                    <internal.reference refid="a940790">clause 11.1(i)</internal.reference>
                    , if, in reality, the individual is an employee of the client for employment law purposes as well as tax purposes, they will have employment law rights including the right to a minimum period of notice (see 
                    <link href="6-501-7813" style="ACTLinkPLCtoPLC">
                      <ital>Practice note, Notice of termination of employment</ital>
                    </link>
                    ). However, a finding of employment status for tax purposes will not necessarily mean that an individual is an employee or worker of the client for employment law purposes (see 
                    <link anchor="a774496" href="7-520-0316" style="ACTLinkPLCtoPLC">
                      <ital>Practice note, Consultants: Tax status of consultants</ital>
                    </link>
                    ).
                  </paratext>
                </para>
              </division>
            </drafting.note>
            <subclause1 id="a659448">
              <identifier>11.1</identifier>
              <para>
                <paratext>
                  Notwithstanding the provisions of 
                  <internal.reference refid="a721672">clause 2.2</internal.reference>
                  , the Client may terminate the Engagement with immediate effect without notice and without any liability to make any further payment to the Consultant Company (other than in respect of amounts accrued before the Termination Date) if at any time:
                </paratext>
              </para>
              <subclause2 id="a900900">
                <identifier>(a)</identifier>
                <para>
                  <paratext>the Consultant Company or the Individual commits any gross misconduct affecting the Business of the Client [or any Group Company];</paratext>
                </para>
              </subclause2>
              <subclause2 id="a237565">
                <identifier>(b)</identifier>
                <para>
                  <paratext>the Consultant Company or, where applicable, the Individual commits any serious or repeated breach or non-observance of any of the provisions of this agreement or refuses or neglects to comply with any reasonable and lawful directions of the Client;</paratext>
                </para>
              </subclause2>
              <subclause2 id="a356200">
                <identifier>(c)</identifier>
                <para>
                  <paratext>the Individual is convicted of any criminal offence (other than an offence under any road traffic legislation in the United Kingdom or elsewhere for which a fine or non-custodial penalty is imposed);</paratext>
                </para>
              </subclause2>
              <subclause2 id="a940270">
                <identifier>(d)</identifier>
                <para>
                  <paratext>the Consultant Company or the Individual is, in the reasonable opinion of the Board, negligent or incompetent in the performance of the Services;</paratext>
                </para>
              </subclause2>
              <subclause2 id="a607371">
                <identifier>(e)</identifier>
                <para>
                  <paratext>the Individual is declared bankrupt or makes any arrangement with or for the benefit of their creditors or has a county court administration order made against them under the County Court Act 1984;</paratext>
                </para>
              </subclause2>
              <subclause2 id="a882996">
                <identifier>(f)</identifier>
                <para>
                  <paratext>the Consultant Company makes a resolution for its winding up, makes an arrangement or composition with its creditors or makes an application to a court of competent jurisdiction for protection from its creditors or an administration or winding-up order is made or an administrator or receiver is appointed in relation to the Consultant Company;</paratext>
                </para>
              </subclause2>
              <subclause2 id="a680441">
                <identifier>(g)</identifier>
                <para>
                  <paratext>[the Individual is incapacitated (including by reason of illness or accident) from providing the Services for an aggregate period of [NUMBER] days in any [52-week] consecutive period;]</paratext>
                </para>
              </subclause2>
              <subclause2 id="a523389">
                <identifier>(h)</identifier>
                <para>
                  <paratext>the Individual does not own all of the issued share capital (from time to time) of the Consultant Company;</paratext>
                </para>
              </subclause2>
              <subclause2 id="a940790">
                <identifier>(i)</identifier>
                <para>
                  <paratext>the Engagement is determined by the Client or, subsequently, HM Revenue &amp; Customs to be Deemed Employment;</paratext>
                </para>
              </subclause2>
              <subclause2 id="a714049">
                <identifier>(j)</identifier>
                <para>
                  <paratext>
                    the Consultant Company or the Individual breaches the obligations contained in 
                    <internal.reference refid="a408920">clause 3.15</internal.reference>
                     to 
                    <internal.reference refid="a282225">clause 3.16</internal.reference>
                    ;
                  </paratext>
                </para>
              </subclause2>
              <subclause2 id="a973695">
                <identifier>(k)</identifier>
                <para>
                  <paratext>the Consultant Company or the Individual commits any breach of the Client's policies and procedures; or</paratext>
                </para>
              </subclause2>
              <subclause2 id="a993835">
                <identifier>(l)</identifier>
                <para>
                  <paratext>the Consultant Company or the Individual commits any offence under the Bribery Act 2010 or the Criminal Finances Act 2017.</paratext>
                </para>
              </subclause2>
            </subclause1>
            <subclause1 id="a731439">
              <identifier>11.2</identifier>
              <para>
                <paratext>
                  The rights of the Client under 
                  <internal.reference refid="a659448">clause 11.1</internal.reference>
                   are without prejudice to any other rights that it might have at law to terminate the Engagement or to accept any breach of this agreement on the part of the Consultant Company as having brought the agreement to an end. Any delay by the Client in exercising its rights to terminate shall not constitute a waiver of these rights.
                </paratext>
              </para>
            </subclause1>
          </clause>
          <clause id="a571316">
            <identifier>12.</identifier>
            <head align="left" preservecase="true">
              <headtext>Obligations on termination</headtext>
            </head>
            <drafting.note id="a531474" jurisdiction="">
              <head align="left" preservecase="true">
                <headtext>Obligations on termination</headtext>
              </head>
              <division id="a000042" level="1">
                <para>
                  <paratext>This clause sets out the consultant company's obligations to return property, including documents, and delete confidential information stored, for example, on the individual's computer when the engagement terminates.</paratext>
                </para>
              </division>
            </drafting.note>
            <subclause1 id="a842219">
              <para>
                <paratext>On the Termination Date the Consultant Company shall, and shall procure that the Individual shall:</paratext>
              </para>
              <subclause2 id="a336134">
                <identifier>(a)</identifier>
                <para>
                  <paratext>immediately deliver to the Client all Client Property and original Confidential Information which is in its or their possession or under its or their control;</paratext>
                </para>
              </subclause2>
              <subclause2 id="a476946">
                <identifier>(b)</identifier>
                <para>
                  <paratext>subject to the Client's data retention guidelines, irretrievably delete any information relating to the Business of the Client [or any Group Company] stored on any magnetic or optical disk or memory (including but not limited to any Confidential Information) and all matter derived from such sources which is in its or their possession or under its or their control outside the premises of the Client. This obligation includes requiring any Substitute to delete such information where applicable. For the avoidance of doubt, the contact details of business contacts made during the Engagement are regarded as Confidential Information and, as such, must be deleted from personal social or professional networking accounts; and</paratext>
                </para>
              </subclause2>
              <subclause2 id="a306558">
                <identifier>(c)</identifier>
                <para>
                  <paratext>
                    provide a signed statement that it or they have complied fully with its or their obligations under this 
                    <internal.reference refid="a571316">clause 12</internal.reference>
                    , together with such evidence of compliance as the Client may reasonably request.
                  </paratext>
                </para>
              </subclause2>
            </subclause1>
          </clause>
          <clause id="a749786">
            <identifier>13.</identifier>
            <head align="left" preservecase="true">
              <headtext>Status</headtext>
            </head>
            <subclause1 id="a911596">
              <identifier>13.1</identifier>
              <para>
                <paratext>The relationship of the Consultant Company (and the Individual) to the Client will be that of independent contractor and nothing in this agreement shall render it (nor the Individual) an employee, worker, agent or partner of the Client and the Consultant Company shall not hold itself out as such and shall procure that the Individual shall not hold themselves out as such.</paratext>
              </para>
              <drafting.note id="a168816" jurisdiction="">
                <head align="left" preservecase="true">
                  <headtext>Parties' intention</headtext>
                </head>
                <division id="a000043" level="1">
                  <para>
                    <paratext>Although the labels that the parties attach to the arrangement will not be conclusive, it is nevertheless advisable to include a clause that evidences the parties' intentions that the agreement is a contract for services and not a contract of employment and that the individual is not an employee or worker of the client.</paratext>
                  </para>
                  <para>
                    <paratext>
                      However, note that in 
                      <link href="https://uk.practicallaw.thomsonreuters.com/D-105-6329?originationContext=document&amp;amp;transitionType=PLDocumentLink&amp;amp;contextData=(sc.Default)" style="ACTLinkURL">
                        <ital>Uber BV v Aslam [2021] UKSC 5</ital>
                      </link>
                       the Supreme Court held that since worker status was created by legislation containing provisions which prevent employers contracting out of the protections it provides, any terms purporting to classify the parties' legal relationship or limit worker protections must be disregarded (see 
                      <link href="https://uk.practicallaw.thomsonreuters.com/w-029-7733?originationContext=document&amp;amp;transitionType=DocumentItem&amp;amp;contextData=(sc.Default)" style="ACTLinkURL">
                        <ital>Legal update, Supreme Court unanimously confirms that Uber drivers are workers</ital>
                      </link>
                      ). The Supreme Court noted that worker status is a question of statutory interpretation rather than contractual interpretation. The written documentation between the parties was therefore not the correct starting point. While the written contract should not be ignored, there is no rule that a contractual document represents the parties' true agreement just because an individual has signed it.
                    </paratext>
                  </para>
                  <para>
                    <paratext>
                      For commentary on and details of the application of the 
                      <ital>Uber</ital>
                       decision, as well as some criticism of the decision, see 
                      <link anchor="co_anchor_a556014" href="https://uk.practicallaw.thomsonreuters.com/6-200-4244?originationContext=document&amp;amp;transitionType=DocumentItem&amp;amp;contextData=(sc.Default)&amp;amp;ppcid=0fd9c02a1ac742ed9d47ffb3828aae53" style="ACTLinkURL">
                        <ital>Practice note, Employment status (1): employee, worker or self-employed?: Uber and the relevance of the written contract</ital>
                      </link>
                      . While only an EAT decision, in 
                      <link href="https://uk.practicallaw.thomsonreuters.com/D-108-3554?originationContext=document&amp;amp;transitionType=PLDocumentLink&amp;amp;contextData=(sc.Default)&amp;amp;ppcid=0fd9c02a1ac742ed9d47ffb3828aae53" style="ACTLinkURL">
                        <ital>Ter-Berg v Simply Smile Manor House Ltd [2023] EAT 2</ital>
                      </link>
                       it was considered that Lord Leggatt's reference in 
                      <ital>Uber</ital>
                       to it being wrong to treat the contract as a starting point does not mean that the written terms are, in every case, irrelevant. Rather, it means that, where the true intention of the parties is in dispute, it is necessary to consider all the circumstances of the case which may cast light on whether these terms truly reflect their agreement. It is therefore not wrong for an employment tribunal to begin by looking at any written terms, as long as it does not treat this as both the beginning and end of its inquiry.
                    </paratext>
                  </para>
                </division>
              </drafting.note>
            </subclause1>
            <subclause1 id="a113112">
              <identifier>13.2</identifier>
              <para>
                <paratext>The Consultant Company shall be fully responsible for and shall indemnify the Client [or any Group Company] for and in respect of the following:</paratext>
              </para>
              <subclause2 id="a691945">
                <identifier>(a)</identifier>
                <para>
                  <paratext>
                    subject to 
                    <internal.reference refid="a258500">clause 13.3</internal.reference>
                    , any income tax, National Insurance and social security contributions and any other liability, deduction, contribution, assessment or claim arising from a determination that the Engagement is Deemed Employment or made in connection with either the performance of the Services or any payment or benefit received by the Individual in respect of the Services, where such recovery is not prohibited by law. The Consultant Company shall further indemnify the Client against all reasonable costs, expenses and any penalty, fine or interest incurred or payable by the Client in connection with or in consequence of any such liability, deduction, contribution, assessment or claim [other than where the latter arise out of the Client's negligence or wilful default];
                  </paratext>
                </para>
              </subclause2>
              <subclause2 id="a477734">
                <identifier>(b)</identifier>
                <para>
                  <paratext>any liability arising from any employment-related claim or any claim based on worker status (including reasonable costs and expenses) brought by the Individual or any Substitute against the Client arising out of or in connection with the provision of the Services, except where such claim is as a result of any act or omission of the Client.</paratext>
                </para>
              </subclause2>
            </subclause1>
            <subclause1 id="a258500">
              <identifier>13.3</identifier>
              <para>
                <paratext>
                  The indemnity in 
                  <internal.reference refid="a691945">clause 13.2(a)</internal.reference>
                   does not apply to any income tax or National Insurance contributions deducted by the Client if the Engagement is Deemed Employment and the Client makes the deductions from the fees due under 
                  <internal.reference refid="a942940">clause 4</internal.reference>
                   prior to payment to the Consultant Company.
                </paratext>
              </para>
              <drafting.note id="a896298" jurisdiction="">
                <head align="left" preservecase="true">
                  <headtext>Indemnities</headtext>
                </head>
                <division id="a000044" level="1">
                  <para>
                    <paratext>This agreement is drafted on the basis that the individual is genuinely self-employed. The indemnities address the consequences of that position changing or being challenged.</paratext>
                  </para>
                  <division id="a719361" level="2">
                    <head align="left" preservecase="true">
                      <headtext>Tax</headtext>
                    </head>
                    <para>
                      <paratext>
                        <internal.reference refid="a691945">Clause 13.2(a)</internal.reference>
                         is an indemnity in respect of any liability for taxation (including, for example, any penalties and fines) suffered by the client as a result of the individual being deemed to be an employee of the client for taxation purposes (see 
                        <internal.reference refid="a793362">Drafting note, Tax: deemed employment status</internal.reference>
                         and 
                        <internal.reference refid="a540066">Drafting note, Managed service companies</internal.reference>
                        ). It should be noted that social security legislation outlaws the recovery of secondary (class 1, class 1A and class 1B) NICs except in very limited circumstances (
                        <link href="8-509-0124" style="ACTLinkPLCtoPLC">
                          <ital>paragraph 3A, Schedule 1</ital>
                        </link>
                        , 
                        <ital>Social Security Contributions and Benefits Act 1992</ital>
                        ); this is the reason for the inclusion of the words, "where such recovery is not prohibited by law". (Similar provision applies to the apprenticeship levy.)
                      </paratext>
                    </para>
                    <para>
                      <paratext>For private sector clients, prior to the extension of off-payroll working on 6 April 2021, in the light of IR35, there would only be a slim possibility of taxation liability falling on a private sector client as a result of the individual being deemed to be an employee of the client. This is because the IR35 rules place the tax liability on the consultant company.</paratext>
                    </para>
                    <para>
                      <paratext>
                        Since April 2021, if the client is a "medium" or "large" business and the individual is considered to be in deemed employment, the liability for deducting tax has shifted to the "fee payer", which would be the client under this agreement (for the reasons explained in 
                        <link anchor="a419608" href="w-028-8377" style="ACTLinkPLCtoPLC">
                          <ital>Practice note, Workers' services provided through intermediaries: off-payroll working rules for private sector entities: Responsibility for operating PAYE</ital>
                        </link>
                        ). Under these rules, the client is responsible for determining whether the deemed employment rules apply. If they do, it should deduct tax and employee NICs. 
                        <internal.reference refid="a258500">Clause 13.3</internal.reference>
                         therefore specifies that the indemnity does not apply to such deductions (as there would be no loss to the client). The indemnity would apply, however, where the client has erroneously determined that the deemed employment rules do not apply, has therefore paid the fees gross, and later has to account for the tax it failed to deduct. Note that the consultant company might seek to limit this indemnity to only those circumstances where it had failed to provide information required to determine whether the engagement is or will be within the off-payroll working rules (in breach of 
                        <internal.reference refid="a448054">clause 3.11</internal.reference>
                        ). In addition, it may seek to limit its liability under the indemnity where the client ought reasonably to have known of deemed employment status.
                      </paratext>
                    </para>
                    <para>
                      <paratext>
                        <internal.reference refid="a691945">Clause 13.2(a)</internal.reference>
                         also provides assurance to the client that the consultant company will account for any PAYE or NIC liabilities to which it is subject. This is important because, if the consultant company is an MSC and the client has encouraged or been actively involved in the use of an MSC structure, the client company or its directors could become liable for any unpaid PAYE and NICs of the consultant company.
                      </paratext>
                    </para>
                    <division id="a724983" level="3">
                      <head align="left" preservecase="true">
                        <headtext>Proposal for tax and NICs set off in cases of error</headtext>
                      </head>
                      <para>
                        <paratext>
                          On 27 April 2023, as part of Spring 2023 Tax Day, HMRC published a consultation paper outlining a proposal for a statutory set-off mechanism for deemed employers where the client has erred in applying the off-payroll working rules (see 
                          <link href="w-039-3144" style="ACTLinkPLCtoPLC">
                            <ital>Legal update, Spring 2023 Tax Day: Consultation on set-off mechanism to address over-collection after off-payroll non-compliance </ital>
                          </link>
                          and 
                          <link anchor="a595449" href="w-028-8377" style="ACTLinkPLCtoPLC">
                            <ital>Practice note, Workers' services provided through intermediaries: off-payroll working rules for private sector entities: Proposal for tax and NICs set off in cases of error</ital>
                          </link>
                          ).
                        </paratext>
                      </para>
                      <para>
                        <paratext>
                          If the proposal is implemented, a further carve-out to 
                          <internal.reference refid="a691945">clause 13.2(a)</internal.reference>
                           will be needed so that the indemnity does not apply to the extent of any amount HMRC directs should be set off against the client's tax liability (assuming that HMRC's direction notice is final).
                        </paratext>
                      </para>
                      <para>
                        <paratext>
                          Once any statutory provisions have been published, we will update 
                          <internal.reference refid="a749786">clause 13</internal.reference>
                           accordingly. However, if the proposal takes effect, HMRC will be able to implement the set-off mechanism for liabilities assessed on or after 6 April 2024 but that arise from errors in operating the off-payroll working rules from 6 April 2017. Consequently, lawyers acting for personal service companies may wish to consider including appropriate carve-outs in consultancy agreements now.
                        </paratext>
                      </para>
                    </division>
                  </division>
                </division>
                <division id="a808460" level="1">
                  <head align="left" preservecase="true">
                    <headtext>Employment rights</headtext>
                  </head>
                  <para>
                    <paratext>
                      <internal.reference refid="a477734">clause 13.2(b)</internal.reference>
                       deals with potential claims if the individual is found to be an employee or a worker of the client for employment rights purposes. It is drafted to deal with an issue that arose in the employment tribunal's decision in  
                      <link href="https://uk.practicallaw.thomsonreuters.com/D-101-5794?originationContext=document&amp;amp;transitionType=PLDocumentLink&amp;amp;contextData=(sc.Default)" style="ACTLinkURL">
                        <ital>Gascoigne v Addison Lee Ltd ET/2200436/2016</ital>
                      </link>
                      . At paragraph 13 of the judgment, the tribunal suggests that such a clause was designed to "put people off challenging their employment status" (see 
                      <link href="https://uk.practicallaw.thomsonreuters.com/w-009-7597?originationContext=document&amp;amp;transitionType=DocumentItem&amp;amp;contextData=(sc.Default)" style="ACTLinkURL">
                        <ital>Legal update, Addison Lee cycle courier was a worker (ET)</ital>
                      </link>
                      ). As a result, we have added the words "
                      <ital>except where such claim is as a result of any act or omission of the Client</ital>
                      " in an attempt to exclude any liability where the client is at fault. However, the tribunal's finding was quite fact specific and should not necessarily deter clients from using such indemnities, particularly outside the gig economy and where there is greater equality of bargaining power between the client and the consultant company.
                    </paratext>
                  </para>
                  <para>
                    <paratext>
                      In any event, it should be made clear to the client that any attempt to limit or exclude the rights of an employee or worker under 
                      <link href="2-503-9360" style="ACTLinkPLCtoPLC">
                        <ital>ERA 1996</ital>
                      </link>
                       will be void under 
                      <link href="0-506-3389" style="ACTLinkPLCtoPLC">
                        <ital>section 203</ital>
                      </link>
                      . This clause may therefore be void if the individual or a substitute is found to be a worker or an employee (see 
                      <link href="0-380-9367" style="ACTLinkPLCtoPLC">
                        <ital>Legal update, Application of section 203 ERA to clause denying intention to create legal relations</ital>
                      </link>
                      ).
                    </paratext>
                  </para>
                </division>
              </drafting.note>
            </subclause1>
            <subclause1 id="a217893">
              <identifier>13.4</identifier>
              <para>
                <paratext>
                  The Client may at its option satisfy the indemnity in 
                  <internal.reference refid="a113112">clause 13.2</internal.reference>
                   (in whole or in part) by way of deduction from payments due to the Consultant Company.
                </paratext>
              </para>
            </subclause1>
            <subclause1 id="a265098">
              <identifier>13.5</identifier>
              <para>
                <paratext>The Consultant Company warrants that it is not, nor will it prior to the cessation of this agreement, become a managed service company within the meaning of section 61B of the Income Tax (Earnings and Pensions) Act 2003.</paratext>
              </para>
              <drafting.note id="a818918" jurisdiction="">
                <head align="left" preservecase="true">
                  <headtext>Warranty</headtext>
                </head>
                <division id="a000045" level="1">
                  <para>
                    <paratext>
                      In practice, this warranty (and the indemnity in 
                      <internal.reference refid="a691945">clause 13.2(a)</internal.reference>
                      ) is likely to be of little value if HMRC do pursue the client or its directors for unpaid PAYE and NICs of the consultant company because HMRC may only pursue clients if HMRC is of the opinion that the unpaid tax and NICs cannot be recovered from the directors, officers or associates of the MSC or MSC provider. The client and its directors should therefore consider whether they have encouraged or been actively involved in the use of an MSC structure. If it, or they, have, then the client should assess the extent of the risk that the consultant company will not comply with its PAYE and NICs obligations.
                    </paratext>
                  </para>
                </division>
              </drafting.note>
            </subclause1>
          </clause>
          <clause id="a725894">
            <identifier>14.</identifier>
            <head align="left" preservecase="true">
              <headtext>Notices</headtext>
            </head>
            <drafting.note id="a787687" jurisdiction="">
              <head align="left" preservecase="true">
                <headtext>Notices</headtext>
              </head>
              <division id="a000046" level="1">
                <para>
                  <paratext>This clause allows for notice to be either given personally, or by recorded or registered post. Provision to allow notice to be given by email is provided as an option.</paratext>
                </para>
                <para>
                  <paratext>
                    For alternative boilerplate notices clauses and drafting notes, see 
                    <link href="https://uk.practicallaw.thomsonreuters.com/5-107-3842?originationContext=document&amp;amp;transitionType=DocumentItem&amp;amp;contextData=(sc.Default)" style="ACTLinkURL">
                      <ital>Standard clauses, Notices</ital>
                    </link>
                    .
                  </paratext>
                </para>
              </division>
            </drafting.note>
            <subclause1 id="a922553">
              <identifier>14.1</identifier>
              <para>
                <paratext>Any notice given to a party under or in connection with this agreement shall be in writing and shall be:</paratext>
              </para>
              <subclause2 id="a951095">
                <identifier>(a)</identifier>
                <para>
                  <paratext>delivered by hand or by pre-paid first-class post or other next working day delivery service at the address given in this agreement or as otherwise notified in writing to the other party[.][; or]</paratext>
                </para>
              </subclause2>
              <subclause2 id="a103936">
                <identifier>(b)</identifier>
                <para>
                  <paratext>[sent by email to the following addresses (or an address substituted in writing by the party to be served):</paratext>
                </para>
                <subclause3 id="a419587">
                  <identifier>(i)</identifier>
                  <para>
                    <paratext>Client: [ADDRESS].</paratext>
                  </para>
                </subclause3>
                <subclause3 id="a539742">
                  <identifier>(ii)</identifier>
                  <para>
                    <paratext>Consultant Company: [ADDRESS].]</paratext>
                  </para>
                </subclause3>
              </subclause2>
            </subclause1>
            <subclause1 id="a150090">
              <identifier>14.2</identifier>
              <para>
                <paratext>Unless proved otherwise, any notice shall be deemed to have been received:</paratext>
              </para>
              <subclause2 id="a296561">
                <identifier>(a)</identifier>
                <para>
                  <paratext>if delivered by hand, at the time the notice is left at the address given in this agreement or given to the addressee [;][or]</paratext>
                </para>
              </subclause2>
              <subclause2 id="a509081">
                <identifier>(b)</identifier>
                <para>
                  <paratext>if sent by [pre-paid first-class post or other] next working day delivery service, at [9.00] am on the [second] Business Day after posting [.][; or]</paratext>
                </para>
              </subclause2>
              <subclause2 condition="optional" id="a820267">
                <identifier>(c)</identifier>
                <para>
                  <paratext>if sent by email, at the time of transmission.</paratext>
                </para>
              </subclause2>
            </subclause1>
            <subclause1 id="a563256">
              <identifier>14.3</identifier>
              <para>
                <paratext>
                  If deemed receipt under 
                  <internal.reference refid="a150090">clause 14.2</internal.reference>
                   would occur outside business hours in the place of receipt, it shall be deferred until business hours resume. In this 
                  <internal.reference refid="a563256">clause 14.3</internal.reference>
                  , business hours means 9.00am to 5.00pm Monday to Friday on a day that is not a public holiday in the place of receipt.
                </paratext>
              </para>
            </subclause1>
            <subclause1 id="a905532">
              <identifier>14.4</identifier>
              <para>
                <paratext>This clause does not apply to the service of any proceedings or other documents in any legal action or, where applicable, any other method of dispute resolution.</paratext>
              </para>
            </subclause1>
          </clause>
          <clause id="a383955">
            <identifier>15.</identifier>
            <head align="left" preservecase="true">
              <headtext>Entire agreement</headtext>
            </head>
            <drafting.note id="a682582" jurisdiction="">
              <head align="left" preservecase="true">
                <headtext>Entire agreement</headtext>
              </head>
              <division id="a000047" level="1">
                <para>
                  <paratext>
                    The purpose of this clause is to prevent the client being liable for any statements or representations (including pre-contractual representations) other than those expressly set out in the agreement. For more information, see 
                    <link href="2-107-3834" style="ACTLinkPLCtoPLC">
                      <ital>Standard clause, Entire agreement</ital>
                    </link>
                    .
                  </paratext>
                </para>
                <para>
                  <paratext>
                    Some entire agreement clauses contain a statement that “nothing in this agreement shall limit or exclude any liability for fraud”. This is unnecessary (see 
                    <link anchor="co_anchor_a596626" href="_blank" style="ACTLinkPLCtoPLC">
                      <ital>Practice note, Contracts: entire agreement clauses: Express carve-out in respect of fraud</ital>
                    </link>
                    ). If you do include this clause, be careful to carve out liability for fraud from any other clause in the agreement that seeks to limit the parties' liability. If liability is not carved out in this way, the courts may draw conclusions from the discrepancy.
                  </paratext>
                </para>
              </division>
            </drafting.note>
            <subclause1 id="a350664">
              <identifier>15.1</identifier>
              <para>
                <paratext>This agreement constitutes the entire agreement between the parties [and any Group Company] and supersedes and extinguishes all previous and contemporaneous agreements, promises, assurances and understandings between them, whether written or oral, relating to its subject matter.</paratext>
              </para>
            </subclause1>
            <subclause1 id="a799737">
              <identifier>15.2</identifier>
              <para>
                <paratext>Each party acknowledges that in entering into this agreement it does not rely on[, and shall have no remedies in respect of,] any statement, representation, assurance or warranty (whether made innocently or negligently) that is not set out in this agreement.</paratext>
              </para>
            </subclause1>
            <subclause1 id="a504266">
              <identifier>15.3</identifier>
              <para>
                <paratext>Each party agrees that it shall have no claim for innocent or negligent misrepresentation [or negligent misstatement] based on any statement in this agreement.</paratext>
              </para>
            </subclause1>
          </clause>
          <clause id="a725512">
            <identifier>16.</identifier>
            <head align="left" preservecase="true">
              <headtext>Variation</headtext>
            </head>
            <subclause1 id="a259689">
              <para>
                <paratext>No variation of this agreement [or of any of the documents referred to in it] shall be effective unless it is in writing and signed by the parties (or their authorised representatives).</paratext>
              </para>
            </subclause1>
          </clause>
          <clause id="a256383">
            <identifier>17.</identifier>
            <head align="left" preservecase="true">
              <headtext>Counterparts</headtext>
            </head>
            <drafting.note id="a747851" jurisdiction="">
              <head align="left" preservecase="true">
                <headtext>Counterparts</headtext>
              </head>
              <division id="a000048" level="1">
                <para>
                  <paratext>
                    <internal.reference refid="a224453">Clause 17.2</internal.reference>
                     has been included in square brackets as an optional clause, given the risk of the clause being interpreted as a subject to contract provision. For commentary on this risk, see 
                    <link anchor="a200157" href="1-107-3844" style="ACTLinkPLCtoPLC">
                      <ital>Standard clause, Counterparts: Drafting note: "Subject to contract" effect (optional clause)</ital>
                    </link>
                    .
                  </paratext>
                </para>
              </division>
            </drafting.note>
            <subclause1 id="a832084">
              <identifier>17.1</identifier>
              <para>
                <paratext>This agreement may be executed in any number of counterparts, each of which shall constitute a duplicate original, but all the counterparts shall together constitute the one agreement.</paratext>
              </para>
            </subclause1>
            <subclause1 id="a224453">
              <identifier>17.2</identifier>
              <para>
                <paratext>[No counterpart shall be effective until each party has delivered to the other at least one executed counterpart.]</paratext>
              </para>
            </subclause1>
          </clause>
          <clause id="a664254">
            <identifier>18.</identifier>
            <head align="left" preservecase="true">
              <headtext>Third party rights</headtext>
            </head>
            <drafting.note id="a562535" jurisdiction="">
              <head align="left" preservecase="true">
                <headtext>Third party rights</headtext>
              </head>
              <division id="a000049" level="1">
                <para>
                  <paratext>
                    The 
                    <link href="9-505-5610" style="ACTLinkPLCtoPLC">
                      <ital>Contracts (Rights of Third Parties) Act 1999</ital>
                    </link>
                     allows a third party to enforce a term of a contract against the parties to that contract. It is usually advisable to exclude the operation of the Act.
                  </paratext>
                </para>
                <para>
                  <paratext>However, if the client is part of a group, the words in square brackets should be included and care should be taken to ensure that the relevant clauses in the agreement are amended to expressly state that a group company has the right to enforce that clause against the consultant company.</paratext>
                </para>
                <para>
                  <paratext>
                    The clause provides that the parties can amend, vary or terminate the consultancy agreement without a third party's consent. If it is intended that the consent of a group company is required, this should be expressly stated. For more information, see 
                    <link href="6-107-3846" style="ACTLinkPLCtoPLC">
                      <ital>Standard clause, Third party rights</ital>
                    </link>
                    .
                  </paratext>
                </para>
              </division>
            </drafting.note>
            <subclause1 id="a448870">
              <identifier>18.1</identifier>
              <para>
                <paratext>
                  [Except as expressly provided elsewhere in this agreement, a 
                  <bold>OR </bold>
                  A] person who is not a party to this agreement shall not have any rights under the Contracts (Rights of Third Parties) Act 1999 to enforce any term of this agreement. [This does not affect any right or remedy of a third party which exists, or is available, apart from that Act.]
                </paratext>
              </para>
            </subclause1>
            <subclause1 id="a986696">
              <identifier>18.2</identifier>
              <para>
                <paratext>The rights of the parties to terminate, rescind or agree any variation, waiver or settlement under this agreement are not subject to the consent of any other person.</paratext>
              </para>
            </subclause1>
          </clause>
          <clause id="a961078">
            <identifier>19.</identifier>
            <head align="left" preservecase="true">
              <headtext>Governing law</headtext>
            </head>
            <drafting.note id="a714928" jurisdiction="">
              <head align="left" preservecase="true">
                <headtext>Governing law</headtext>
              </head>
              <division id="a000050" level="1">
                <para>
                  <paratext>The agreement is drafted on the basis that it is governed by English law.</paratext>
                </para>
                <para>
                  <paratext>The clause is drafted so that the matters over which jurisdiction is conferred are widely defined.</paratext>
                </para>
                <para>
                  <paratext>
                    Under 
                    <link href="3-501-0375" style="ACTLinkPLCtoPLC">
                      <bold>
                        <ital>Rome I</ital>
                      </bold>
                    </link>
                    , a choice of law clause cannot be used to avoid a country's so-called "mandatory rules". In a UK employment context, these include statutory employment rights, since the parties cannot contract out of them. The individual could potentially be covered by a range of UK statutory employment rights, including provisions on working time, whistleblowing and discrimination. Where an individual working abroad has the benefit of mandatory rights in that country, the choice of UK law in the contract will not prejudice those rights (see 
                    <link href="0-201-3492" style="ACTLinkPLCtoPLC">
                      <ital>Practice note, The territorial scope of UK statutory employment rights</ital>
                    </link>
                    ).
                  </paratext>
                </para>
                <para>
                  <paratext>
                    The clause also purports to deal with the governing law for non-contractual claims such as tort claims. The 
                    <link href="1-501-0376" style="ACTLinkPLCtoPLC">
                      <bold>
                        <ital>Rome II</ital>
                      </bold>
                    </link>
                     Regulation (which applied since 11 January 2009) allows parties to agree a governing law for non-contractual obligations. Unless entered into after a dispute has arisen, such a clause will only be effective under the Rome II Regulation if the parties are both pursuing a commercial activity and the contract is freely negotiated (see 
                    <link href="6-382-5703" style="ACTLinkPLCtoPLC">
                      <ital>Practice note, Governing law: non-contractual obligations</ital>
                    </link>
                    ).
                  </paratext>
                </para>
                <para>
                  <paratext>
                    <bold>Rome I and Rome II following the UK's departure from the EU</bold>
                  </paratext>
                </para>
                <para>
                  <paratext>The Rome I and Rome II Regulations continued to apply in the UK during the UK-EU transition period, which ended at 11 pm on 31 December 2020. They also continue to apply after this date to:</paratext>
                </para>
                <list type="bulleted">
                  <list.item>
                    <para>
                      <paratext>
                        Contracts concluded 
                        <bold>before</bold>
                         11 pm on 31 December 2020 (Rome I).
                      </paratext>
                    </para>
                  </list.item>
                  <list.item>
                    <para>
                      <paratext>
                        Events giving rise to damage, where such events occurred 
                        <bold>before</bold>
                         11 pm on 31 December 2020 (Rome II).
                      </paratext>
                    </para>
                  </list.item>
                </list>
                <para>
                  <paratext>
                    (Article 66, 
                    <link href="_blank" style="ACTLinkPLCtoPLC">
                      <ital>UK-EU Withdrawal Agreement</ital>
                    </link>
                    .)
                  </paratext>
                </para>
                <para>
                  <paratext>
                    As the UK government has unilaterally retained in domestic law Rome I (and Rome II), 
                    <link href="https://uk.practicallaw.thomsonreuters.com/w-028-1009?originationContext=document&amp;amp;transitionType=PLDocumentLink&amp;amp;contextData=(sc.Default)" style="ACTLinkURL">
                      <ital>UK Rome I</ital>
                    </link>
                     applies in the UK when determining the validity and enforceability of governing law clauses in contracts concluded 
                    <bold>after</bold>
                     31 December 2020. This means that, subject to certain exceptions relating to the application of mandatory rules, governing law clauses continue to be upheld by the English courts.
                  </paratext>
                </para>
                <para>
                  <paratext>
                    For detailed information on governing law clauses, see 
                    <link href="4-107-3852" style="ACTLinkPLCtoPLC">
                      <ital>Practice note, Governing law and jurisdiction clauses</ital>
                    </link>
                     (in particular, 
                    <link anchor="a284202" href="4-107-3852" style="ACTLinkPLCtoPLC">
                      <ital>Effect of the UK leaving the EU on governing law and jurisdiction clauses</ital>
                    </link>
                    ) and the integrated drafting notes to 
                    <link href="https://uk.practicallaw.thomsonreuters.com/8-107-3850?originationContext=document&amp;amp;transitionType=DocumentItem&amp;amp;contextData=(sc.Default)" style="ACTLinkURL">
                      <ital>Standard clause, Governing law</ital>
                    </link>
                    .
                  </paratext>
                </para>
              </division>
            </drafting.note>
            <subclause1 id="a822897">
              <para>
                <paratext>This agreement and any dispute or claim arising out of or in connection with it or its subject matter or formation (including non-contractual disputes or claims) shall be governed by and construed in accordance with the law of England and Wales.</paratext>
              </para>
            </subclause1>
          </clause>
          <clause id="a548950">
            <identifier>20.</identifier>
            <head align="left" preservecase="true">
              <headtext>Jurisdiction</headtext>
            </head>
            <drafting.note id="a254776" jurisdiction="">
              <head align="left" preservecase="true">
                <headtext>Jurisdiction</headtext>
              </head>
              <division id="a000051" level="1">
                <para>
                  <paratext>A jurisdiction clause enables the parties to agree at the outset of their contractual relationship which country's or countries' courts are to have jurisdiction to hear disputes arising from the contract. The parties may decide to confer either exclusive or non-exclusive jurisdiction on the chosen courts.</paratext>
                </para>
                <list type="bulleted">
                  <list.item>
                    <para>
                      <paratext>A choice of exclusive jurisdiction will prevent one party from bringing proceedings against the other in the courts of any country other than the country set out in the agreement (in this case, England and Wales). Were that party to do so, the other party would be entitled to have the proceedings stayed.</paratext>
                    </para>
                  </list.item>
                  <list.item>
                    <para>
                      <paratext>A choice of non-exclusive jurisdiction will enable either party to bring proceedings against the other either in the courts of the chosen country, or in the courts of any other country which has jurisdiction over the dispute under their own jurisdictional rules. The suing party need not first bring proceedings in the country designated as having non-exclusive jurisdiction.</paratext>
                    </para>
                  </list.item>
                </list>
                <para>
                  <paratext>
                    It may be appropriate to include an arbitration or alternative dispute resolution clause within the agreement. For further information, see 
                    <link href="9-107-3859" style="ACTLinkPLCtoPLC">
                      <ital>Standard clauses, Alternative dispute resolution</ital>
                    </link>
                    .
                  </paratext>
                </para>
                <para>
                  <paratext>
                    For detailed information on jurisdiction clauses, and the impact of Brexit, see 
                    <link href="4-107-3852" style="ACTLinkPLCtoPLC">
                      <ital>Practice note, Governing law and jurisdiction clauses</ital>
                    </link>
                     (in particular, 
                    <link anchor="a284202" href="4-107-3852" style="ACTLinkPLCtoPLC">
                      <ital>Effect of the UK leaving the EU on governing law and jurisdiction clauses</ital>
                    </link>
                    ) and the integrated drafting notes to 
                    <link href="https://uk.practicallaw.thomsonreuters.com/9-522-6848?originationContext=document&amp;amp;transitionType=DocumentItem&amp;amp;contextData=%28sc.Default%29&amp;amp;comp=pluk" style="ACTLinkURL">
                      <ital>Standard clause, Jurisdiction</ital>
                    </link>
                    .
                  </paratext>
                </para>
              </division>
            </drafting.note>
            <subclause1 id="a367941">
              <para>
                <paratext>
                  Each party irrevocably agrees that the courts of England and Wales shall have [exclusive 
                  <bold>OR</bold>
                   non-exclusive] jurisdiction to settle any dispute or claim arising out of or in connection with this agreement or its subject matter or formation (including non-contractual disputes or claims).
                </paratext>
              </para>
            </subclause1>
          </clause>
        </operative>
        <testimonium default="false" wording="contract">
          <para>
            <paratext>This document has been executed as a deed and is delivered and takes effect on the date stated at the beginning of it.</paratext>
          </para>
        </testimonium>
        <disclosure.schedule>
          <schedule id="a943751">
            <identifier>Schedule 1</identifier>
            <head align="left" preservecase="true">
              <headtext>Services</headtext>
            </head>
            <drafting.note id="a648761" jurisdiction="">
              <head align="left" preservecase="true">
                <headtext>Details of the services</headtext>
              </head>
              <division id="a000052" level="1">
                <para>
                  <paratext>
                    It will help to avoid potential future disputes if a client spends time determining details of the services, deliverables and milestones before the engagement starts. This schedule anticipates that specific deliverables will be identified (see 
                    <internal.reference refid="a468483">Drafting note, General duties</internal.reference>
                    ). If payments will be staged and linked to the achievement of certain deliverables, it will be particularly important that the deliverables are described precisely and accurately in this schedule. Both the client and the consultant company will want to avoid disputes about whether a deliverable has been achieved and, as a result, whether a fee has become payable (see 
                    <internal.reference refid="a942940">clause 4</internal.reference>
                    ). If a deliverables-based approach will not be taken, this schedule can be amended to remove any references to deliverables.
                  </paratext>
                </para>
                <para>
                  <paratext>
                    For a more detailed schedule, including acceptance criteria, see 
                    <link anchor="a265587" href="3-623-0753" style="ACTLinkPLCtoPLC">
                      <ital>Standard document, Services agreement (pro-customer): Services Details</ital>
                    </link>
                    .
                  </paratext>
                </para>
              </division>
            </drafting.note>
            <para>
              <paratext>[THIS SHOULD INCLUDE THE FOLLOWING MATTERS:</paratext>
            </para>
            <list type="bulleted">
              <list.item>
                <para>
                  <paratext>AN OVERVIEW OF THE SERVICES TO BE PROVIDED;</paratext>
                </para>
              </list.item>
              <list.item>
                <para>
                  <paratext>DETAILS OF THE SPECIFIC DELIVERABLES TO BE ACHIEVED IN THE PROVISION OF THE SERVICES;</paratext>
                </para>
              </list.item>
              <list.item>
                <para>
                  <paratext>THE LOCATION(S) WHERE THE SERVICES ARE TO BE PERFORMED;</paratext>
                </para>
              </list.item>
              <list.item>
                <para>
                  <paratext>CLIENT POINT OF CONTACT AND ANY REPORTS TO BE SUBMITTED;</paratext>
                </para>
              </list.item>
              <list.item>
                <para>
                  <paratext>TIMETABLE FOR PROVISION OF THE SERVICES, INCLUDING ANY MILESTONES RELATED TO THE ACHIEVEMENT OF SPECIFIC DELIVERABLES;</paratext>
                </para>
              </list.item>
              <list.item>
                <para>
                  <paratext>ANY APPLICABLE ACCEPTANCE CRITERIA; AND</paratext>
                </para>
              </list.item>
              <list.item>
                <para>
                  <paratext>WHETHER THE SERVICES WILL NEED TO BE PROVIDED TO ANY OTHER GROUP COMPANIES.]</paratext>
                </para>
              </list.item>
            </list>
          </schedule>
          <schedule id="a580378">
            <identifier>Schedule 2</identifier>
            <head align="left" preservecase="true">
              <headtext>Processing, personal data and data subjects</headtext>
            </head>
            <part id="a838282">
              <identifier>Part 1</identifier>
              <head align="left" preservecase="true">
                <headtext>PROCESSING BY THE CONSULTANT COMPANY</headtext>
              </head>
              <clause id="a286044">
                <identifier>1.</identifier>
                <head align="left" preservecase="true">
                  <headtext>SCOPE</headtext>
                </head>
              </clause>
              <clause id="a280384">
                <identifier>2.</identifier>
                <head align="left" preservecase="true">
                  <headtext>NATURE</headtext>
                </head>
              </clause>
              <clause id="a797475">
                <identifier>3.</identifier>
                <head align="left" preservecase="true">
                  <headtext>PURPOSE OF THE PROCESSING</headtext>
                </head>
              </clause>
              <clause id="a929518">
                <identifier>4.</identifier>
                <head align="left" preservecase="true">
                  <headtext>DURATION OF THE PROCESSING</headtext>
                </head>
              </clause>
            </part>
            <part id="a448339">
              <identifier>Part 2</identifier>
              <head align="left" preservecase="true">
                <headtext>TYPES OF PERSONAL DATA</headtext>
              </head>
            </part>
            <part id="a263282">
              <identifier>Part 3</identifier>
              <head align="left" preservecase="true">
                <headtext>CATEGORIES OF DATA SUBJECT</headtext>
              </head>
            </part>
          </schedule>
          <schedule condition="optional" id="a978192">
            <identifier>Schedule 3</identifier>
            <head align="left" preservecase="true">
              <headtext>Ethics and Anti-bribery and Anti-corruption policies</headtext>
            </head>
          </schedule>
          <schedule condition="optional" id="a428270">
            <identifier>Schedule 4</identifier>
            <head align="left" preservecase="true">
              <headtext>Anti-facilitation of tax evasion policy</headtext>
            </head>
          </schedule>
          <schedule condition="optional" id="a116988">
            <identifier>Schedule 5</identifier>
            <head align="left" preservecase="true">
              <headtext>Industry Codes</headtext>
            </head>
          </schedule>
        </disclosure.schedule>
        <signature default="true" pagebreak="true" signaturemessage="no">
          <para>
            <paratext>
              <table frame="none" pgwide="1">
                <tgroup cols="3">
                  <colspec colname="1" colnum="1" colwidth="33"/>
                  <colspec colname="2" colnum="2" colwidth="33"/>
                  <colspec colname="3" colnum="3" colwidth="33"/>
                  <tbody>
                    <row>
                      <entry valign="top">
                        <para align="left">
                          <paratext>Executed as a deed by [NAME OF CLIENT]</paratext>
                        </para>
                        <para align="left">
                          <paratext>acting by [NAME OF FIRST DIRECTOR], a director and [NAME OF SECOND DIRECTOR/SECRETARY], [a director OR its secretary]</paratext>
                        </para>
                      </entry>
                      <entry valign="top">
                        <para>
                          <paratext/>
                        </para>
                      </entry>
                      <entry valign="top">
                        <para align="left">
                          <paratext>....................</paratext>
                        </para>
                        <para align="left">
                          <paratext>[SIGNATURE OF FIRST DIRECTOR]</paratext>
                        </para>
                        <para align="left">
                          <paratext>Director</paratext>
                        </para>
                        <para align="left">
                          <paratext>....................</paratext>
                        </para>
                        <para align="left">
                          <paratext>[SIGNATURE OF SECOND DIRECTOR OR SECRETARY]</paratext>
                        </para>
                        <para align="left">
                          <paratext>[Director OR Secretary]</paratext>
                        </para>
                      </entry>
                    </row>
                    <row>
                      <entry valign="top">
                        <para align="left">
                          <paratext>OR</paratext>
                        </para>
                      </entry>
                    </row>
                    <row>
                      <entry valign="top">
                        <para align="left">
                          <paratext>Executed as a deed by [NAME OF CLIENT]</paratext>
                        </para>
                        <para align="left">
                          <paratext>acting by [NAME OF DIRECTOR] a director, in the presence of:</paratext>
                        </para>
                        <para align="left">
                          <paratext>....................</paratext>
                        </para>
                        <para align="left">
                          <paratext>[SIGNATURE OF WITNESS]</paratext>
                        </para>
                        <para align="left">
                          <paratext>[NAME, ADDRESS [AND OCCUPATION] OF WITNESS]</paratext>
                        </para>
                      </entry>
                      <entry valign="top">
                        <para>
                          <paratext/>
                        </para>
                      </entry>
                      <entry valign="top">
                        <para align="left">
                          <paratext>....................</paratext>
                        </para>
                        <para align="left">
                          <paratext>[SIGNATURE OF DIRECTOR]</paratext>
                        </para>
                        <para align="left">
                          <paratext>Director</paratext>
                        </para>
                      </entry>
                    </row>
                    <row>
                      <entry valign="top">
                        <para>
                          <paratext/>
                        </para>
                      </entry>
                    </row>
                    <row>
                      <entry nameend="3" namest="1" valign="top">
                        <para>
                          <paratext/>
                        </para>
                      </entry>
                    </row>
                    <row>
                      <entry valign="top">
                        <para align="left">
                          <paratext>Executed as a deed by [NAME OF CONSULTANT COMPANY]</paratext>
                        </para>
                        <para align="left">
                          <paratext>acting by [NAME OF FIRST DIRECTOR], a director and [NAME OF SECOND DIRECTOR/SECRETARY], [a director OR its secretary]</paratext>
                        </para>
                      </entry>
                      <entry valign="top">
                        <para>
                          <paratext/>
                        </para>
                      </entry>
                      <entry valign="top">
                        <para align="left">
                          <paratext>....................</paratext>
                        </para>
                        <para align="left">
                          <paratext>[SIGNATURE OF FIRST DIRECTOR]</paratext>
                        </para>
                        <para align="left">
                          <paratext>Director</paratext>
                        </para>
                        <para align="left">
                          <paratext>....................</paratext>
                        </para>
                        <para align="left">
                          <paratext>[SIGNATURE OF SECOND DIRECTOR OR SECRETARY]</paratext>
                        </para>
                        <para align="left">
                          <paratext>[Director OR Secretary]</paratext>
                        </para>
                      </entry>
                    </row>
                    <row>
                      <entry valign="top">
                        <para align="left">
                          <paratext>OR</paratext>
                        </para>
                      </entry>
                    </row>
                    <row>
                      <entry valign="top">
                        <para align="left">
                          <paratext>Executed as a deed by [NAME OF CONSULTANT COMPANY]</paratext>
                        </para>
                        <para align="left">
                          <paratext>acting by [NAME OF DIRECTOR] a director, in the presence of:</paratext>
                        </para>
                        <para align="left">
                          <paratext>....................</paratext>
                        </para>
                        <para align="left">
                          <paratext>[SIGNATURE OF WITNESS]</paratext>
                        </para>
                        <para align="left">
                          <paratext>[NAME, ADDRESS [AND OCCUPATION] OF WITNESS]</paratext>
                        </para>
                      </entry>
                      <entry valign="top">
                        <para>
                          <paratext/>
                        </para>
                      </entry>
                      <entry valign="top">
                        <para align="left">
                          <paratext>....................</paratext>
                        </para>
                        <para align="left">
                          <paratext>[SIGNATURE OF DIRECTOR]</paratext>
                        </para>
                        <para align="left">
                          <paratext>Director</paratext>
                        </para>
                      </entry>
                    </row>
                    <row>
                      <entry valign="top">
                        <para>
                          <paratext/>
                        </para>
                      </entry>
                    </row>
                    <row>
                      <entry nameend="3" namest="1" valign="top">
                        <para>
                          <paratext/>
                        </para>
                      </entry>
                    </row>
                  </tbody>
                </tgroup>
              </table>
            </paratext>
          </para>
          <drafting.note id="a771433" jurisdiction="">
            <head align="left" preservecase="true">
              <headtext>Execution</headtext>
            </head>
            <division id="a000053" level="1">
              <para>
                <paratext>The agreement should be executed as a deed as it contains a power of attorney provision (regarding the assignment of intellectual property rights by the consultant company).</paratext>
              </para>
              <para>
                <paratext>It is arguable that only the consultant company needs to execute the agreement as a deed and the client can execute as a simple agreement (that is, by an authorised signatory only as opposed to by two directors or a director and a secretary).</paratext>
              </para>
              <para>
                <paratext>However, there is uncertainty whether this would affect the validity of execution as a deed by the consultant company. In addition, there are different limitation periods for deeds and agreements (12 years and six years respectively). On balance, therefore, if execution as a deed is required, it is advisable for both parties to execute the document as a deed.</paratext>
              </para>
              <para>
                <paratext>
                  Under the 
                  <link href="3-503-8567" style="ACTLinkPLCtoPLC">
                    <ital>Companies Act 2006</ital>
                  </link>
                  , the legal requirement for private companies to appoint a company secretary was abolished from 6 April 2008. Private companies may, however, still choose to have a company secretary. Under the Companies Act 2006, a document will be validly executed if it is signed on behalf of the client company by either two authorised signatories or by a director of the client company in the presence of a witness who attests the signature. Authorised signatories are each of the client company's directors and the company secretary. These provisions took effect on 1 October 2008.
                </paratext>
              </para>
              <para>
                <paratext>
                  For further information on the execution of deeds and documents, see 
                  <link href="0-380-8400" style="ACTLinkPLCtoPLC">
                    <ital>Practice note, Execution of deeds and documents</ital>
                  </link>
                  . Signature and execution formalities should always be considered and respected. For example, a signature on an earlier version of a deed cannot be transferred to effectively execute the final version (see 
                  <link href="D-000-4017" style="ACTLinkURL">
                    <ital>R ((1) Mercury Tax Group Ltd and (2) Darren Neil Masters) v (1) HMRC, (2) Crown Court, (3) James Michael Preston and (4) David Cook [2008] EWHC 2721 (Admin)</ital>
                  </link>
                  ; 
                  <link href="4-384-2510" style="ACTLinkPLCtoPLC">
                    <ital>Legal update, A cautionary tale: High Court comments on transfer of signatures to amended versions</ital>
                  </link>
                  ).
                </paratext>
              </para>
            </division>
          </drafting.note>
        </signature>
      </body>
      <rev.history>
        <rev.item>
          <rev.title>Proposal for tax and NICs set off in cases of error (June 2023)</rev.title>
          <rev.date>20230629</rev.date>
          <rev.author>PL Employment</rev.author>
          <rev.body>
            <division id="a000001" level="1">
              <para>
                <paratext>
                  We have expanded 
                  <internal.reference refid="a719361">Drafting note, Tax</internal.reference>
                   to address HMRC's proposal for a statutory set-off mechanism for deemed employers where the client has erred in applying the off-payroll working rules.
                </paratext>
              </para>
            </division>
          </rev.body>
        </rev.item>
        <rev.item>
          <rev.title>Boilerplate provisions (March 2022)</rev.title>
          <rev.date>20220321</rev.date>
          <rev.author>PL Employment</rev.author>
          <rev.body>
            <division id="a000002" level="1">
              <para>
                <paratext>We have completed an annual review of the boilerplate provisions of this agreement, including removal of references to sending of notices by fax.</paratext>
              </para>
            </division>
          </rev.body>
        </rev.item>
        <rev.item>
          <rev.title>Removal of clause 4.3(b) and expansion of substitution drafting note (March 2022)</rev.title>
          <rev.date>20220321</rev.date>
          <rev.author>PL Employment</rev.author>
          <rev.body>
            <division id="a000003" level="1">
              <para>
                <paratext>
                  We have removed clause 4.3(b) (apportionment of fees where services or deliverables straddle 6 April 2021) given the passage of time. We have also updated 
                  <internal.reference refid="a606941">Drafting note, Appointment of substitute (optional wording)</internal.reference>
                   to refer to the Court of Appeal's decision in 
                  <ital>Stuart Delivery Ltd v Augustine [2021] EWCA Civ 1514.</ital>
                </paratext>
              </para>
            </division>
          </rev.body>
        </rev.item>
        <rev.item>
          <rev.title>Carve-outs to confidentiality provisions (March 2022)</rev.title>
          <rev.date>20220303</rev.date>
          <rev.author>PL Employment</rev.author>
          <rev.body>
            <division id="a000004" level="1">
              <para>
                <paratext>
                  We have inserted a new 
                  <internal.reference refid="a512706">clause 7.4(f)</internal.reference>
                  .
                </paratext>
              </para>
            </division>
          </rev.body>
        </rev.item>
        <rev.item>
          <rev.title>Term of engagement (August 2021)</rev.title>
          <rev.date>20210813</rev.date>
          <rev.author>PL Employment</rev.author>
          <rev.body>
            <division id="a000005" level="1">
              <para>
                <paratext>
                  <internal.reference refid="a858980">Drafting note, Term of engagement</internal.reference>
                   has been updated to refer to the decision of the Upper Tribunal in
                  <ital> George</ital>
                  <ital>Mantides Ltd v HMRC [2021] UKUT 205 (TCC) (11 August 2021).</ital>
                </paratext>
              </para>
            </division>
          </rev.body>
        </rev.item>
      </rev.history>
    </standard.doc>
  </n-docbody>
</n-document>
</file>

<file path=customXml/item4.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E1754844-7F82-4DA4-9FCD-A65F81B8D3FA}">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xml><?xml version="1.0" encoding="utf-8"?>
<ds:datastoreItem xmlns:ds="http://schemas.openxmlformats.org/officeDocument/2006/customXml" ds:itemID="{247B5D34-F602-4A52-A95A-2A1B023A9A5D}">
  <ds:schemaRefs>
    <ds:schemaRef ds:uri="http://www.w3.org/2001/XMLSchema"/>
  </ds:schemaRefs>
</ds:datastoreItem>
</file>

<file path=customXml/itemProps4.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6932</Words>
  <Characters>39519</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Lansdowne</dc:creator>
  <cp:lastModifiedBy>Rebecca Jenkins</cp:lastModifiedBy>
  <cp:revision>2</cp:revision>
  <cp:lastPrinted>2020-03-10T17:32:00Z</cp:lastPrinted>
  <dcterms:created xsi:type="dcterms:W3CDTF">2023-11-20T15:59:00Z</dcterms:created>
  <dcterms:modified xsi:type="dcterms:W3CDTF">2023-11-20T15:59:00Z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2023-09-22T09:25:32Z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5457def8-628c-4c31-a35a-a96ebd1bb6b9</vt:lpwstr>
  </property>
  <property fmtid="{D5CDD505-2E9C-101B-9397-08002B2CF9AE}" pid="8" name="MSIP_Label_de6ec094-42b0-4a3f-84e1-779791d08481_ContentBits">
    <vt:lpwstr>0</vt:lpwstr>
  </property>
</Properties>
</file>