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CE3822" w:rsidRDefault="00CE3822" w:rsidP="00CE3822"/>
    <w:p w:rsidR="00CE3822" w:rsidRDefault="007A385F" w:rsidP="00CE3822">
      <w:r>
        <w:rPr>
          <w:noProof/>
        </w:rPr>
        <w:drawing>
          <wp:anchor distT="0" distB="0" distL="114300" distR="114300" simplePos="0" relativeHeight="251659776" behindDoc="0" locked="0" layoutInCell="1" allowOverlap="1" wp14:anchorId="4753C3BC" wp14:editId="7388E1C7">
            <wp:simplePos x="0" y="0"/>
            <wp:positionH relativeFrom="margin">
              <wp:posOffset>3609340</wp:posOffset>
            </wp:positionH>
            <wp:positionV relativeFrom="margin">
              <wp:posOffset>348615</wp:posOffset>
            </wp:positionV>
            <wp:extent cx="2380615" cy="985520"/>
            <wp:effectExtent l="0" t="0" r="0" b="0"/>
            <wp:wrapSquare wrapText="bothSides"/>
            <wp:docPr id="1" name="Picture 1" descr="Image result for atkins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tkins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061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BDC">
        <w:rPr>
          <w:noProof/>
        </w:rPr>
        <w:drawing>
          <wp:anchor distT="0" distB="0" distL="114300" distR="114300" simplePos="0" relativeHeight="251657728" behindDoc="0" locked="0" layoutInCell="0" allowOverlap="1" wp14:anchorId="2E6EA735" wp14:editId="661178CA">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7A385F" w:rsidP="007A385F">
      <w:pPr>
        <w:pStyle w:val="DefaultText"/>
        <w:tabs>
          <w:tab w:val="left" w:pos="6018"/>
        </w:tabs>
        <w:rPr>
          <w:lang w:val="en-GB"/>
        </w:rPr>
      </w:pPr>
      <w:r>
        <w:rPr>
          <w:lang w:val="en-GB"/>
        </w:rPr>
        <w:tab/>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FE3811" w:rsidP="00CE3822">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7A385F" w:rsidP="00CE3822">
      <w:pPr>
        <w:pStyle w:val="DefaultText"/>
        <w:jc w:val="center"/>
        <w:rPr>
          <w:rFonts w:ascii="Arial" w:hAnsi="Arial" w:cs="Arial"/>
          <w:b/>
          <w:bCs/>
          <w:sz w:val="28"/>
          <w:lang w:val="en-GB"/>
        </w:rPr>
      </w:pPr>
      <w:r>
        <w:rPr>
          <w:rFonts w:ascii="Arial" w:hAnsi="Arial" w:cs="Arial"/>
          <w:b/>
          <w:bCs/>
          <w:sz w:val="28"/>
          <w:lang w:val="en-GB"/>
        </w:rPr>
        <w:t>ATKINS LIMITED</w:t>
      </w:r>
    </w:p>
    <w:p w:rsidR="00CE3822" w:rsidRDefault="00CE3822" w:rsidP="00CE3822">
      <w:pPr>
        <w:pStyle w:val="DefaultText"/>
        <w:jc w:val="center"/>
        <w:rPr>
          <w:rFonts w:ascii="Arial" w:hAnsi="Arial" w:cs="Arial"/>
          <w:b/>
          <w:bCs/>
          <w:sz w:val="28"/>
          <w:lang w:val="en-GB"/>
        </w:rPr>
      </w:pPr>
    </w:p>
    <w:p w:rsidR="00CE3822" w:rsidRDefault="007A385F" w:rsidP="00CE3822">
      <w:pPr>
        <w:pStyle w:val="DefaultText"/>
        <w:jc w:val="center"/>
        <w:rPr>
          <w:rFonts w:ascii="Arial" w:hAnsi="Arial" w:cs="Arial"/>
          <w:b/>
          <w:bCs/>
          <w:sz w:val="28"/>
          <w:lang w:val="en-GB"/>
        </w:rPr>
      </w:pPr>
      <w:r>
        <w:rPr>
          <w:rFonts w:ascii="Arial" w:hAnsi="Arial" w:cs="Arial"/>
          <w:b/>
          <w:bCs/>
          <w:sz w:val="28"/>
          <w:lang w:val="en-GB"/>
        </w:rPr>
        <w:t>WOODCOTE GROVE</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ASHLEY ROAD</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 xml:space="preserve">EPSOM </w:t>
      </w:r>
    </w:p>
    <w:p w:rsidR="007A385F" w:rsidRDefault="007A385F" w:rsidP="00CE3822">
      <w:pPr>
        <w:pStyle w:val="DefaultText"/>
        <w:jc w:val="center"/>
        <w:rPr>
          <w:rFonts w:ascii="Arial" w:hAnsi="Arial" w:cs="Arial"/>
          <w:b/>
          <w:bCs/>
          <w:sz w:val="28"/>
          <w:lang w:val="en-GB"/>
        </w:rPr>
      </w:pPr>
      <w:r>
        <w:rPr>
          <w:rFonts w:ascii="Arial" w:hAnsi="Arial" w:cs="Arial"/>
          <w:b/>
          <w:bCs/>
          <w:sz w:val="28"/>
          <w:lang w:val="en-GB"/>
        </w:rPr>
        <w:t>KT18 5BW</w:t>
      </w:r>
    </w:p>
    <w:p w:rsidR="00CE3822" w:rsidRDefault="00CE3822" w:rsidP="00CE3822">
      <w:pPr>
        <w:pStyle w:val="DefaultText"/>
        <w:jc w:val="center"/>
        <w:rPr>
          <w:rFonts w:ascii="Arial" w:hAnsi="Arial" w:cs="Arial"/>
          <w:b/>
          <w:bCs/>
          <w:sz w:val="28"/>
          <w:lang w:val="en-GB"/>
        </w:rPr>
      </w:pPr>
    </w:p>
    <w:p w:rsidR="005F400C" w:rsidRDefault="007A385F"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7A385F" w:rsidP="0089534B">
      <w:pPr>
        <w:pStyle w:val="DefaultText"/>
        <w:suppressAutoHyphens/>
        <w:jc w:val="both"/>
        <w:rPr>
          <w:rFonts w:ascii="Arial" w:hAnsi="Arial"/>
          <w:noProof/>
          <w:sz w:val="22"/>
          <w:szCs w:val="22"/>
          <w:lang w:val="en-GB"/>
        </w:rPr>
      </w:pPr>
      <w:r>
        <w:rPr>
          <w:rFonts w:ascii="Arial" w:hAnsi="Arial"/>
          <w:b/>
          <w:noProof/>
          <w:sz w:val="22"/>
          <w:szCs w:val="22"/>
          <w:lang w:val="en-GB"/>
        </w:rPr>
        <w:t>ATKINS LIMITED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688424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Woodcote Grove</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Duly authorised to sign on behalf of</w:t>
      </w:r>
      <w:r w:rsidR="007A385F">
        <w:rPr>
          <w:noProof/>
          <w:sz w:val="22"/>
          <w:szCs w:val="22"/>
        </w:rPr>
        <w:t xml:space="preserve"> </w:t>
      </w:r>
      <w:r w:rsidRPr="00BF7661">
        <w:rPr>
          <w:b/>
          <w:bCs/>
          <w:noProof/>
          <w:sz w:val="22"/>
          <w:szCs w:val="22"/>
        </w:rPr>
        <w:t>A</w:t>
      </w:r>
      <w:r w:rsidR="007A385F">
        <w:rPr>
          <w:b/>
          <w:bCs/>
          <w:noProof/>
          <w:sz w:val="22"/>
          <w:szCs w:val="22"/>
        </w:rPr>
        <w:t>TKINS LIMITED</w:t>
      </w:r>
    </w:p>
    <w:p w:rsidR="007969D8" w:rsidRPr="00BF7661" w:rsidRDefault="007A385F"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Woodcote</w:t>
      </w:r>
      <w:r w:rsidR="00D84934">
        <w:rPr>
          <w:bCs/>
          <w:noProof/>
          <w:sz w:val="22"/>
          <w:szCs w:val="22"/>
        </w:rPr>
        <w:t xml:space="preserve"> Grove, Ashley Road, Epsom, Surrey, KT18 5BW</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D84934" w:rsidRPr="00D84934">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D84934" w:rsidRPr="00D84934">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w:t>
      </w:r>
      <w:r w:rsidR="00D84934">
        <w:rPr>
          <w:rFonts w:cs="Arial"/>
          <w:szCs w:val="22"/>
        </w:rPr>
        <w:t xml:space="preserve"> 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1306A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D84934" w:rsidP="00082720">
      <w:pPr>
        <w:pStyle w:val="MRheading2"/>
        <w:tabs>
          <w:tab w:val="clear" w:pos="720"/>
        </w:tabs>
        <w:spacing w:line="288" w:lineRule="auto"/>
        <w:ind w:left="0" w:firstLine="720"/>
        <w:rPr>
          <w:rFonts w:cs="Arial"/>
          <w:szCs w:val="22"/>
        </w:rPr>
      </w:pPr>
      <w:r>
        <w:rPr>
          <w:rFonts w:cs="Arial"/>
          <w:szCs w:val="22"/>
        </w:rPr>
        <w:t>Not applicable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shd w:val="clear" w:color="auto" w:fill="FFFFFF"/>
        <w:jc w:val="both"/>
        <w:rPr>
          <w:rFonts w:cs="Arial"/>
          <w:sz w:val="22"/>
          <w:szCs w:val="22"/>
        </w:rPr>
      </w:pP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w:t>
      </w:r>
      <w:r w:rsidRPr="00BF7661">
        <w:rPr>
          <w:rFonts w:cs="Arial"/>
          <w:szCs w:val="22"/>
        </w:rPr>
        <w:lastRenderedPageBreak/>
        <w:t xml:space="preserve">of employment of the Transferring Employees will transfer on the Transfer Date from the </w:t>
      </w:r>
      <w:r w:rsidRPr="00D84934">
        <w:rPr>
          <w:rFonts w:cs="Arial"/>
          <w:szCs w:val="22"/>
        </w:rPr>
        <w:t xml:space="preserve">Incumbent </w:t>
      </w:r>
      <w:r w:rsidR="00557AF8" w:rsidRPr="00D84934">
        <w:rPr>
          <w:rFonts w:cs="Arial"/>
          <w:szCs w:val="22"/>
        </w:rPr>
        <w:t>Contractor</w:t>
      </w:r>
      <w:r w:rsidR="00451ECC" w:rsidRPr="00D84934">
        <w:rPr>
          <w:rFonts w:cs="Arial"/>
          <w:szCs w:val="22"/>
        </w:rPr>
        <w:t xml:space="preserve"> </w:t>
      </w:r>
      <w:r w:rsidRPr="00D84934">
        <w:rPr>
          <w:rFonts w:cs="Arial"/>
          <w:b/>
          <w:szCs w:val="22"/>
        </w:rPr>
        <w:t xml:space="preserve">OR </w:t>
      </w:r>
      <w:r w:rsidR="00557AF8" w:rsidRPr="00D84934">
        <w:rPr>
          <w:rFonts w:cs="Arial"/>
          <w:szCs w:val="22"/>
        </w:rPr>
        <w:t>ONR</w:t>
      </w:r>
      <w:r w:rsidRPr="00D84934">
        <w:rPr>
          <w:rFonts w:cs="Arial"/>
          <w:szCs w:val="22"/>
        </w:rPr>
        <w:t xml:space="preserve"> to the</w:t>
      </w:r>
      <w:r w:rsidRPr="00BF7661">
        <w:rPr>
          <w:rFonts w:cs="Arial"/>
          <w:szCs w:val="22"/>
        </w:rPr>
        <w:t xml:space="preserv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w:t>
      </w:r>
      <w:r w:rsidRPr="00D84934">
        <w:rPr>
          <w:rFonts w:cs="Arial"/>
          <w:szCs w:val="22"/>
        </w:rPr>
        <w:t xml:space="preserve">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w:t>
      </w:r>
      <w:r w:rsidRPr="00BF7661">
        <w:rPr>
          <w:rFonts w:cs="Arial"/>
          <w:szCs w:val="22"/>
        </w:rPr>
        <w:t>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1306AF">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w:t>
      </w:r>
      <w:r w:rsidRPr="00D84934">
        <w:rPr>
          <w:rFonts w:cs="Arial"/>
          <w:szCs w:val="22"/>
        </w:rPr>
        <w:t>the</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provide 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with the information required under regulation 13(4) of the Transfer Regulations, and the</w:t>
      </w:r>
      <w:r w:rsidRPr="00BF7661">
        <w:rPr>
          <w:rFonts w:cs="Arial"/>
          <w:szCs w:val="22"/>
        </w:rPr>
        <w:t xml:space="preserv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w:t>
      </w:r>
      <w:r w:rsidRPr="00D84934">
        <w:rPr>
          <w:rFonts w:cs="Arial"/>
          <w:szCs w:val="22"/>
        </w:rPr>
        <w:t xml:space="preserve">the </w:t>
      </w:r>
      <w:r w:rsidR="00451ECC" w:rsidRPr="00D84934">
        <w:rPr>
          <w:rFonts w:cs="Arial"/>
          <w:szCs w:val="22"/>
        </w:rPr>
        <w:t xml:space="preserve">Incumbent Contractor </w:t>
      </w:r>
      <w:r w:rsidR="00451ECC" w:rsidRPr="00D84934">
        <w:rPr>
          <w:rFonts w:cs="Arial"/>
          <w:b/>
          <w:szCs w:val="22"/>
        </w:rPr>
        <w:t xml:space="preserve">OR </w:t>
      </w:r>
      <w:r w:rsidR="00451ECC" w:rsidRPr="00D84934">
        <w:rPr>
          <w:rFonts w:cs="Arial"/>
          <w:szCs w:val="22"/>
        </w:rPr>
        <w:t>ONR</w:t>
      </w:r>
      <w:r w:rsidRPr="00D84934">
        <w:rPr>
          <w:rFonts w:cs="Arial"/>
          <w:szCs w:val="22"/>
        </w:rPr>
        <w:t xml:space="preserve"> has</w:t>
      </w:r>
      <w:r w:rsidRPr="00BF7661">
        <w:rPr>
          <w:rFonts w:cs="Arial"/>
          <w:szCs w:val="22"/>
        </w:rPr>
        <w:t xml:space="preserve">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1306AF">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1306AF">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 xml:space="preserve">pay the Successor an amount which fairly reflects the progress of each of the Subsequent Transferring Employees as at the Subsequent Transfer Date towards achieving any commission, bonus, profit share or other </w:t>
      </w:r>
      <w:r w:rsidRPr="00BF7661">
        <w:rPr>
          <w:rFonts w:cs="Arial"/>
          <w:szCs w:val="22"/>
        </w:rPr>
        <w:lastRenderedPageBreak/>
        <w:t>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1306AF">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lastRenderedPageBreak/>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1306AF">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1306AF">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84934"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D84934">
        <w:rPr>
          <w:rFonts w:cs="Arial"/>
          <w:szCs w:val="22"/>
        </w:rPr>
        <w:t xml:space="preserve"> </w:t>
      </w:r>
      <w:r w:rsidR="00E24696" w:rsidRPr="00D84934">
        <w:rPr>
          <w:rFonts w:cs="Arial"/>
          <w:szCs w:val="22"/>
        </w:rPr>
        <w:t xml:space="preserve">the charges properly </w:t>
      </w:r>
      <w:r w:rsidR="00E24696" w:rsidRPr="00D84934">
        <w:rPr>
          <w:rFonts w:cs="Arial"/>
          <w:szCs w:val="22"/>
        </w:rPr>
        <w:tab/>
        <w:t>paid or payable to the Contractor under this Contract</w:t>
      </w:r>
      <w:r w:rsidRPr="00D84934">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lastRenderedPageBreak/>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84934">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w:t>
      </w:r>
      <w:r w:rsidRPr="00B22ACC">
        <w:rPr>
          <w:rFonts w:cs="Arial"/>
          <w:szCs w:val="22"/>
        </w:rPr>
        <w:lastRenderedPageBreak/>
        <w:t xml:space="preserve">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BF7661" w:rsidRDefault="00AB7994" w:rsidP="00BE3C35">
      <w:pPr>
        <w:spacing w:before="240"/>
        <w:ind w:left="2520" w:hanging="720"/>
        <w:rPr>
          <w:rFonts w:cs="Arial"/>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1.1.21</w:t>
      </w:r>
      <w:r>
        <w:tab/>
      </w:r>
      <w:r w:rsidR="00D84934" w:rsidRPr="009B37B4">
        <w:rPr>
          <w:sz w:val="22"/>
          <w:szCs w:val="22"/>
        </w:rPr>
        <w:t>“</w:t>
      </w:r>
      <w:r w:rsidR="00D84934" w:rsidRPr="009B37B4">
        <w:rPr>
          <w:b/>
          <w:sz w:val="22"/>
          <w:szCs w:val="22"/>
        </w:rPr>
        <w:t>Data Protection Legislation</w:t>
      </w:r>
      <w:r w:rsidR="00D84934" w:rsidRPr="009B37B4">
        <w:rPr>
          <w:sz w:val="22"/>
          <w:szCs w:val="22"/>
        </w:rPr>
        <w:t xml:space="preserve">” (i) the GDPR, the LED and any applicable nation implementing Laws as amended from time to time (ii) the DPA 2018 </w:t>
      </w:r>
      <w:r w:rsidR="00D84934" w:rsidRPr="009B37B4">
        <w:rPr>
          <w:sz w:val="22"/>
          <w:szCs w:val="22"/>
        </w:rPr>
        <w:lastRenderedPageBreak/>
        <w:t>to the extent that it relates to processing of personal data and privacy; (iii) all applicable Law about the processing of personal data and privacy;</w:t>
      </w:r>
    </w:p>
    <w:p w:rsidR="00D84934" w:rsidRPr="009B37B4" w:rsidRDefault="00A12516" w:rsidP="00A12516">
      <w:pPr>
        <w:pStyle w:val="MRNumberedHeading3"/>
        <w:numPr>
          <w:ilvl w:val="0"/>
          <w:numId w:val="0"/>
        </w:numPr>
        <w:ind w:left="2268" w:hanging="1123"/>
        <w:rPr>
          <w:sz w:val="22"/>
          <w:szCs w:val="22"/>
        </w:rPr>
      </w:pPr>
      <w:r w:rsidRPr="009B37B4">
        <w:rPr>
          <w:sz w:val="22"/>
          <w:szCs w:val="22"/>
        </w:rPr>
        <w:t>1.1.22</w:t>
      </w:r>
      <w:r w:rsidRPr="009B37B4">
        <w:rPr>
          <w:sz w:val="22"/>
          <w:szCs w:val="22"/>
        </w:rPr>
        <w:tab/>
      </w:r>
      <w:r w:rsidR="00D84934" w:rsidRPr="009B37B4">
        <w:rPr>
          <w:b/>
          <w:sz w:val="22"/>
          <w:szCs w:val="22"/>
        </w:rPr>
        <w:t>“Data Protection Impact Assessment</w:t>
      </w:r>
      <w:r w:rsidR="00D84934" w:rsidRPr="009B37B4">
        <w:rPr>
          <w:sz w:val="22"/>
          <w:szCs w:val="22"/>
        </w:rPr>
        <w:t>” an assessment by the Controller of the</w:t>
      </w:r>
      <w:r w:rsidR="00D84934">
        <w:t xml:space="preserve"> </w:t>
      </w:r>
      <w:r w:rsidR="00D84934" w:rsidRPr="009B37B4">
        <w:rPr>
          <w:sz w:val="22"/>
          <w:szCs w:val="22"/>
        </w:rPr>
        <w:t>impact of the envisaged processing on the protection of Personal Data;</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1.1.23</w:t>
      </w:r>
      <w:r>
        <w:tab/>
      </w:r>
      <w:r w:rsidR="00D84934" w:rsidRPr="009B37B4">
        <w:rPr>
          <w:b/>
          <w:sz w:val="22"/>
          <w:szCs w:val="22"/>
        </w:rPr>
        <w:t>“Controller, Processor, Data Subject, Personal Data, Personal Data Breach, Data Protection Officer”</w:t>
      </w:r>
      <w:r w:rsidR="00D84934" w:rsidRPr="009B37B4">
        <w:rPr>
          <w:sz w:val="22"/>
          <w:szCs w:val="22"/>
        </w:rPr>
        <w:t xml:space="preserve"> take the meaning given in the GDPR;</w:t>
      </w:r>
    </w:p>
    <w:p w:rsidR="00D84934" w:rsidRPr="009B37B4" w:rsidRDefault="00A12516" w:rsidP="00A12516">
      <w:pPr>
        <w:pStyle w:val="MRNumberedHeading3"/>
        <w:numPr>
          <w:ilvl w:val="0"/>
          <w:numId w:val="0"/>
        </w:numPr>
        <w:ind w:left="2268" w:hanging="1134"/>
        <w:rPr>
          <w:sz w:val="22"/>
          <w:szCs w:val="22"/>
        </w:rPr>
      </w:pPr>
      <w:r w:rsidRPr="00A12516">
        <w:rPr>
          <w:sz w:val="22"/>
          <w:szCs w:val="22"/>
        </w:rPr>
        <w:t>1.1.24</w:t>
      </w:r>
      <w:r>
        <w:rPr>
          <w:b/>
        </w:rPr>
        <w:tab/>
      </w:r>
      <w:r w:rsidR="00D84934" w:rsidRPr="009B37B4">
        <w:rPr>
          <w:b/>
          <w:sz w:val="22"/>
          <w:szCs w:val="22"/>
        </w:rPr>
        <w:t xml:space="preserve">“Data Loss Event” </w:t>
      </w:r>
      <w:r w:rsidR="00D84934" w:rsidRPr="009B37B4">
        <w:rPr>
          <w:sz w:val="22"/>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D84934" w:rsidRPr="009B37B4" w:rsidRDefault="00A12516" w:rsidP="009B37B4">
      <w:pPr>
        <w:pStyle w:val="MRNumberedHeading3"/>
        <w:numPr>
          <w:ilvl w:val="0"/>
          <w:numId w:val="0"/>
        </w:numPr>
        <w:ind w:left="2268" w:hanging="1134"/>
        <w:rPr>
          <w:sz w:val="24"/>
        </w:rPr>
      </w:pPr>
      <w:r w:rsidRPr="00A12516">
        <w:rPr>
          <w:sz w:val="22"/>
          <w:szCs w:val="22"/>
        </w:rPr>
        <w:t>1.1.25</w:t>
      </w:r>
      <w:r>
        <w:rPr>
          <w:b/>
        </w:rPr>
        <w:tab/>
      </w:r>
      <w:r w:rsidR="00D84934" w:rsidRPr="009B37B4">
        <w:rPr>
          <w:b/>
          <w:sz w:val="24"/>
        </w:rPr>
        <w:t xml:space="preserve">“Data Subject Access Request” </w:t>
      </w:r>
      <w:r w:rsidR="00D84934" w:rsidRPr="009B37B4">
        <w:rPr>
          <w:sz w:val="24"/>
        </w:rPr>
        <w:t>a request made by, or on behalf of, a Data Subject in accordance with rights granted pursuant to the Data Protection Legislation to access their Personal Data;</w:t>
      </w:r>
    </w:p>
    <w:p w:rsidR="00D84934" w:rsidRPr="009B37B4" w:rsidRDefault="00D84934" w:rsidP="00A12516">
      <w:pPr>
        <w:pStyle w:val="MRNumberedHeading3"/>
        <w:numPr>
          <w:ilvl w:val="2"/>
          <w:numId w:val="32"/>
        </w:numPr>
        <w:rPr>
          <w:sz w:val="24"/>
        </w:rPr>
      </w:pPr>
      <w:r w:rsidRPr="009B37B4">
        <w:rPr>
          <w:b/>
          <w:sz w:val="24"/>
        </w:rPr>
        <w:t xml:space="preserve">“DPA 2018” </w:t>
      </w:r>
      <w:r w:rsidRPr="009B37B4">
        <w:rPr>
          <w:sz w:val="24"/>
        </w:rPr>
        <w:t>Data Protection Act 2018;</w:t>
      </w:r>
    </w:p>
    <w:p w:rsidR="00D84934" w:rsidRPr="009B37B4" w:rsidRDefault="00A12516" w:rsidP="009B37B4">
      <w:pPr>
        <w:pStyle w:val="MRNumberedHeading3"/>
        <w:numPr>
          <w:ilvl w:val="0"/>
          <w:numId w:val="0"/>
        </w:numPr>
        <w:ind w:left="2160" w:hanging="1026"/>
        <w:rPr>
          <w:sz w:val="22"/>
          <w:szCs w:val="22"/>
        </w:rPr>
      </w:pPr>
      <w:r w:rsidRPr="009B37B4">
        <w:rPr>
          <w:sz w:val="22"/>
          <w:szCs w:val="22"/>
        </w:rPr>
        <w:t>1.1.27</w:t>
      </w:r>
      <w:r w:rsidRPr="009B37B4">
        <w:rPr>
          <w:b/>
          <w:sz w:val="22"/>
          <w:szCs w:val="22"/>
        </w:rPr>
        <w:t xml:space="preserve"> </w:t>
      </w:r>
      <w:r w:rsidRPr="009B37B4">
        <w:rPr>
          <w:b/>
          <w:sz w:val="22"/>
          <w:szCs w:val="22"/>
        </w:rPr>
        <w:tab/>
      </w:r>
      <w:r w:rsidR="00D84934" w:rsidRPr="009B37B4">
        <w:rPr>
          <w:b/>
          <w:sz w:val="22"/>
          <w:szCs w:val="22"/>
        </w:rPr>
        <w:t>“GDPR”</w:t>
      </w:r>
      <w:r w:rsidR="00D84934" w:rsidRPr="009B37B4">
        <w:rPr>
          <w:sz w:val="22"/>
          <w:szCs w:val="22"/>
        </w:rPr>
        <w:t xml:space="preserve"> the General Data Protection Regulation (Regulation (EU) 2016/679);</w:t>
      </w:r>
    </w:p>
    <w:p w:rsidR="00D84934" w:rsidRPr="009B37B4" w:rsidRDefault="00D84934" w:rsidP="009B37B4">
      <w:pPr>
        <w:pStyle w:val="MRNumberedHeading3"/>
        <w:numPr>
          <w:ilvl w:val="2"/>
          <w:numId w:val="32"/>
        </w:numPr>
        <w:rPr>
          <w:sz w:val="22"/>
          <w:szCs w:val="22"/>
        </w:rPr>
      </w:pPr>
      <w:r w:rsidRPr="009B37B4">
        <w:rPr>
          <w:b/>
          <w:sz w:val="22"/>
          <w:szCs w:val="22"/>
        </w:rPr>
        <w:t xml:space="preserve">“LED” </w:t>
      </w:r>
      <w:r w:rsidRPr="009B37B4">
        <w:rPr>
          <w:sz w:val="22"/>
          <w:szCs w:val="22"/>
        </w:rPr>
        <w:t>Law Enforcement Directive (Directive (EU) 2016/680);</w:t>
      </w:r>
    </w:p>
    <w:p w:rsidR="00D84934" w:rsidRPr="009B37B4" w:rsidRDefault="009B37B4" w:rsidP="009B37B4">
      <w:pPr>
        <w:pStyle w:val="MRNumberedHeading3"/>
        <w:numPr>
          <w:ilvl w:val="0"/>
          <w:numId w:val="0"/>
        </w:numPr>
        <w:ind w:left="2268" w:hanging="1134"/>
        <w:rPr>
          <w:sz w:val="22"/>
          <w:szCs w:val="22"/>
        </w:rPr>
      </w:pPr>
      <w:r w:rsidRPr="009B37B4">
        <w:rPr>
          <w:sz w:val="22"/>
          <w:szCs w:val="22"/>
        </w:rPr>
        <w:t>1.1.29</w:t>
      </w:r>
      <w:r>
        <w:rPr>
          <w:b/>
          <w:sz w:val="22"/>
          <w:szCs w:val="22"/>
        </w:rPr>
        <w:tab/>
      </w:r>
      <w:r w:rsidR="00D84934" w:rsidRPr="009B37B4">
        <w:rPr>
          <w:b/>
          <w:sz w:val="22"/>
          <w:szCs w:val="22"/>
        </w:rPr>
        <w:t xml:space="preserve">“Protective Measures” </w:t>
      </w:r>
      <w:r w:rsidR="00D84934" w:rsidRPr="009B37B4">
        <w:rPr>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D84934" w:rsidRPr="009B37B4" w:rsidRDefault="009B37B4" w:rsidP="009B37B4">
      <w:pPr>
        <w:pStyle w:val="MRNumberedHeading3"/>
        <w:numPr>
          <w:ilvl w:val="0"/>
          <w:numId w:val="0"/>
        </w:numPr>
        <w:ind w:left="2268" w:hanging="1134"/>
        <w:rPr>
          <w:sz w:val="22"/>
          <w:szCs w:val="22"/>
        </w:rPr>
      </w:pPr>
      <w:r w:rsidRPr="009B37B4">
        <w:rPr>
          <w:sz w:val="22"/>
          <w:szCs w:val="22"/>
        </w:rPr>
        <w:t>1.1.30</w:t>
      </w:r>
      <w:r>
        <w:rPr>
          <w:b/>
          <w:sz w:val="22"/>
          <w:szCs w:val="22"/>
        </w:rPr>
        <w:tab/>
      </w:r>
      <w:r w:rsidR="00D84934" w:rsidRPr="009B37B4">
        <w:rPr>
          <w:b/>
          <w:sz w:val="22"/>
          <w:szCs w:val="22"/>
        </w:rPr>
        <w:t xml:space="preserve">“Sub-processor” </w:t>
      </w:r>
      <w:r w:rsidR="00D84934" w:rsidRPr="009B37B4">
        <w:rPr>
          <w:sz w:val="22"/>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lastRenderedPageBreak/>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w:t>
      </w:r>
      <w:r w:rsidRPr="00BF7661">
        <w:rPr>
          <w:rFonts w:cs="Arial"/>
          <w:szCs w:val="22"/>
        </w:rPr>
        <w:lastRenderedPageBreak/>
        <w:t xml:space="preserve">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1306AF">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lastRenderedPageBreak/>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1306AF">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1306AF">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lastRenderedPageBreak/>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1306AF">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1306AF">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lastRenderedPageBreak/>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lastRenderedPageBreak/>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1306AF">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1306AF">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9B37B4" w:rsidRDefault="00881896" w:rsidP="00881896">
      <w:pPr>
        <w:pStyle w:val="MRNumberedHeading3"/>
        <w:tabs>
          <w:tab w:val="clear" w:pos="3240"/>
          <w:tab w:val="num" w:pos="1276"/>
        </w:tabs>
        <w:ind w:hanging="2531"/>
        <w:rPr>
          <w:sz w:val="22"/>
          <w:szCs w:val="22"/>
        </w:rPr>
      </w:pPr>
      <w:r w:rsidRPr="009B37B4">
        <w:rPr>
          <w:sz w:val="22"/>
          <w:szCs w:val="22"/>
        </w:rPr>
        <w:t>any breach by the Contractor of:</w:t>
      </w:r>
    </w:p>
    <w:p w:rsidR="00881896" w:rsidRPr="009B37B4" w:rsidRDefault="008A54AC" w:rsidP="00881896">
      <w:pPr>
        <w:pStyle w:val="MRNumberedHeading4"/>
        <w:rPr>
          <w:sz w:val="22"/>
        </w:rPr>
      </w:pPr>
      <w:r w:rsidRPr="009B37B4">
        <w:rPr>
          <w:sz w:val="22"/>
        </w:rPr>
        <w:t xml:space="preserve">special terms </w:t>
      </w:r>
      <w:r w:rsidR="00C7765D" w:rsidRPr="009B37B4">
        <w:rPr>
          <w:sz w:val="22"/>
          <w:highlight w:val="yellow"/>
        </w:rPr>
        <w:fldChar w:fldCharType="begin"/>
      </w:r>
      <w:r w:rsidR="00C7765D" w:rsidRPr="009B37B4">
        <w:rPr>
          <w:sz w:val="22"/>
        </w:rPr>
        <w:instrText xml:space="preserve"> REF _Ref507429310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8.5</w:t>
      </w:r>
      <w:r w:rsidR="00C7765D" w:rsidRPr="009B37B4">
        <w:rPr>
          <w:sz w:val="22"/>
          <w:highlight w:val="yellow"/>
        </w:rPr>
        <w:fldChar w:fldCharType="end"/>
      </w:r>
      <w:r w:rsidR="00C7765D" w:rsidRPr="009B37B4">
        <w:rPr>
          <w:sz w:val="22"/>
        </w:rPr>
        <w:t xml:space="preserve"> </w:t>
      </w:r>
      <w:r w:rsidRPr="009B37B4">
        <w:rPr>
          <w:sz w:val="22"/>
        </w:rPr>
        <w:t xml:space="preserve">and </w:t>
      </w:r>
      <w:r w:rsidR="00C7765D" w:rsidRPr="009B37B4">
        <w:rPr>
          <w:sz w:val="22"/>
          <w:highlight w:val="yellow"/>
        </w:rPr>
        <w:fldChar w:fldCharType="begin"/>
      </w:r>
      <w:r w:rsidR="00C7765D" w:rsidRPr="009B37B4">
        <w:rPr>
          <w:sz w:val="22"/>
        </w:rPr>
        <w:instrText xml:space="preserve"> REF _Ref292919255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8.11</w:t>
      </w:r>
      <w:r w:rsidR="00C7765D" w:rsidRPr="009B37B4">
        <w:rPr>
          <w:sz w:val="22"/>
          <w:highlight w:val="yellow"/>
        </w:rPr>
        <w:fldChar w:fldCharType="end"/>
      </w:r>
      <w:r w:rsidR="00C7765D" w:rsidRPr="009B37B4">
        <w:rPr>
          <w:sz w:val="22"/>
        </w:rPr>
        <w:t xml:space="preserve"> </w:t>
      </w:r>
      <w:r w:rsidR="00881896" w:rsidRPr="009B37B4">
        <w:rPr>
          <w:sz w:val="22"/>
        </w:rPr>
        <w:t xml:space="preserve">(TUPE) </w:t>
      </w:r>
    </w:p>
    <w:p w:rsidR="00881896" w:rsidRPr="009B37B4" w:rsidRDefault="008A54AC" w:rsidP="00881896">
      <w:pPr>
        <w:pStyle w:val="MRNumberedHeading4"/>
        <w:rPr>
          <w:sz w:val="22"/>
        </w:rPr>
      </w:pPr>
      <w:r w:rsidRPr="009B37B4">
        <w:rPr>
          <w:sz w:val="22"/>
        </w:rPr>
        <w:t xml:space="preserve">clause </w:t>
      </w:r>
      <w:r w:rsidR="00C7765D" w:rsidRPr="009B37B4">
        <w:rPr>
          <w:sz w:val="22"/>
          <w:highlight w:val="yellow"/>
        </w:rPr>
        <w:fldChar w:fldCharType="begin"/>
      </w:r>
      <w:r w:rsidR="00C7765D" w:rsidRPr="009B37B4">
        <w:rPr>
          <w:sz w:val="22"/>
        </w:rPr>
        <w:instrText xml:space="preserve"> REF _Ref507429325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5.2</w:t>
      </w:r>
      <w:r w:rsidR="00C7765D" w:rsidRPr="009B37B4">
        <w:rPr>
          <w:sz w:val="22"/>
          <w:highlight w:val="yellow"/>
        </w:rPr>
        <w:fldChar w:fldCharType="end"/>
      </w:r>
      <w:r w:rsidR="00C7765D" w:rsidRPr="009B37B4">
        <w:rPr>
          <w:sz w:val="22"/>
        </w:rPr>
        <w:t xml:space="preserve"> (</w:t>
      </w:r>
      <w:r w:rsidRPr="009B37B4">
        <w:rPr>
          <w:sz w:val="22"/>
        </w:rPr>
        <w:t>Status</w:t>
      </w:r>
      <w:r w:rsidR="00C7765D" w:rsidRPr="009B37B4">
        <w:rPr>
          <w:sz w:val="22"/>
        </w:rPr>
        <w:t>)</w:t>
      </w:r>
      <w:r w:rsidRPr="009B37B4">
        <w:rPr>
          <w:sz w:val="22"/>
        </w:rPr>
        <w:t xml:space="preserve">, </w:t>
      </w:r>
    </w:p>
    <w:p w:rsidR="00881896" w:rsidRPr="009B37B4" w:rsidRDefault="008A54AC" w:rsidP="00881896">
      <w:pPr>
        <w:pStyle w:val="MRNumberedHeading4"/>
        <w:rPr>
          <w:sz w:val="22"/>
        </w:rPr>
      </w:pPr>
      <w:r w:rsidRPr="009B37B4">
        <w:rPr>
          <w:sz w:val="22"/>
        </w:rPr>
        <w:t xml:space="preserve">clause </w:t>
      </w:r>
      <w:r w:rsidR="00C7765D" w:rsidRPr="009B37B4">
        <w:rPr>
          <w:sz w:val="22"/>
          <w:highlight w:val="yellow"/>
        </w:rPr>
        <w:fldChar w:fldCharType="begin"/>
      </w:r>
      <w:r w:rsidR="00C7765D" w:rsidRPr="009B37B4">
        <w:rPr>
          <w:sz w:val="22"/>
        </w:rPr>
        <w:instrText xml:space="preserve"> REF _Ref507429348 \r \h </w:instrText>
      </w:r>
      <w:r w:rsidR="009B37B4">
        <w:rPr>
          <w:sz w:val="22"/>
          <w:highlight w:val="yellow"/>
        </w:rPr>
        <w:instrText xml:space="preserve"> \* MERGEFORMAT </w:instrText>
      </w:r>
      <w:r w:rsidR="00C7765D" w:rsidRPr="009B37B4">
        <w:rPr>
          <w:sz w:val="22"/>
          <w:highlight w:val="yellow"/>
        </w:rPr>
      </w:r>
      <w:r w:rsidR="00C7765D" w:rsidRPr="009B37B4">
        <w:rPr>
          <w:sz w:val="22"/>
          <w:highlight w:val="yellow"/>
        </w:rPr>
        <w:fldChar w:fldCharType="separate"/>
      </w:r>
      <w:r w:rsidR="001306AF" w:rsidRPr="009B37B4">
        <w:rPr>
          <w:sz w:val="22"/>
        </w:rPr>
        <w:t>6.7</w:t>
      </w:r>
      <w:r w:rsidR="00C7765D" w:rsidRPr="009B37B4">
        <w:rPr>
          <w:sz w:val="22"/>
          <w:highlight w:val="yellow"/>
        </w:rPr>
        <w:fldChar w:fldCharType="end"/>
      </w:r>
      <w:r w:rsidR="00C7765D" w:rsidRPr="009B37B4">
        <w:rPr>
          <w:sz w:val="22"/>
        </w:rPr>
        <w:t xml:space="preserve"> </w:t>
      </w:r>
      <w:r w:rsidRPr="009B37B4">
        <w:rPr>
          <w:sz w:val="22"/>
        </w:rPr>
        <w:t xml:space="preserve">(Price and Payment), </w:t>
      </w:r>
    </w:p>
    <w:p w:rsidR="00881896" w:rsidRPr="009B37B4" w:rsidRDefault="002450B2" w:rsidP="00881896">
      <w:pPr>
        <w:pStyle w:val="MRNumberedHeading4"/>
        <w:rPr>
          <w:sz w:val="22"/>
        </w:rPr>
      </w:pPr>
      <w:r w:rsidRPr="009B37B4">
        <w:rPr>
          <w:sz w:val="22"/>
        </w:rPr>
        <w:t xml:space="preserve">clause </w:t>
      </w:r>
      <w:r w:rsidRPr="009B37B4">
        <w:rPr>
          <w:sz w:val="22"/>
        </w:rPr>
        <w:fldChar w:fldCharType="begin"/>
      </w:r>
      <w:r w:rsidRPr="009B37B4">
        <w:rPr>
          <w:sz w:val="22"/>
        </w:rPr>
        <w:instrText xml:space="preserve"> REF _Ref381106246 \r \h </w:instrText>
      </w:r>
      <w:r w:rsidR="00BF7661" w:rsidRPr="009B37B4">
        <w:rPr>
          <w:sz w:val="22"/>
        </w:rPr>
        <w:instrText xml:space="preserve"> \* MERGEFORMAT </w:instrText>
      </w:r>
      <w:r w:rsidRPr="009B37B4">
        <w:rPr>
          <w:sz w:val="22"/>
        </w:rPr>
      </w:r>
      <w:r w:rsidRPr="009B37B4">
        <w:rPr>
          <w:sz w:val="22"/>
        </w:rPr>
        <w:fldChar w:fldCharType="separate"/>
      </w:r>
      <w:r w:rsidR="001306AF" w:rsidRPr="009B37B4">
        <w:rPr>
          <w:sz w:val="22"/>
        </w:rPr>
        <w:t>11</w:t>
      </w:r>
      <w:r w:rsidRPr="009B37B4">
        <w:rPr>
          <w:sz w:val="22"/>
        </w:rPr>
        <w:fldChar w:fldCharType="end"/>
      </w:r>
      <w:r w:rsidRPr="009B37B4">
        <w:rPr>
          <w:sz w:val="22"/>
        </w:rPr>
        <w:t xml:space="preserve"> (Confidentiality</w:t>
      </w:r>
      <w:r w:rsidR="00881896" w:rsidRPr="009B37B4">
        <w:rPr>
          <w:sz w:val="22"/>
        </w:rPr>
        <w:t xml:space="preserve"> and Freedom of Information), </w:t>
      </w:r>
    </w:p>
    <w:p w:rsidR="00881896" w:rsidRPr="009B37B4" w:rsidRDefault="002450B2" w:rsidP="00881896">
      <w:pPr>
        <w:pStyle w:val="MRNumberedHeading4"/>
        <w:rPr>
          <w:sz w:val="22"/>
        </w:rPr>
      </w:pPr>
      <w:r w:rsidRPr="009B37B4">
        <w:rPr>
          <w:sz w:val="22"/>
        </w:rPr>
        <w:t xml:space="preserve">clause </w:t>
      </w:r>
      <w:r w:rsidRPr="009B37B4">
        <w:rPr>
          <w:sz w:val="22"/>
        </w:rPr>
        <w:fldChar w:fldCharType="begin"/>
      </w:r>
      <w:r w:rsidRPr="009B37B4">
        <w:rPr>
          <w:sz w:val="22"/>
        </w:rPr>
        <w:instrText xml:space="preserve"> REF _Ref381106461 \r \h </w:instrText>
      </w:r>
      <w:r w:rsidR="00BF7661" w:rsidRPr="009B37B4">
        <w:rPr>
          <w:sz w:val="22"/>
        </w:rPr>
        <w:instrText xml:space="preserve"> \* MERGEFORMAT </w:instrText>
      </w:r>
      <w:r w:rsidRPr="009B37B4">
        <w:rPr>
          <w:sz w:val="22"/>
        </w:rPr>
      </w:r>
      <w:r w:rsidRPr="009B37B4">
        <w:rPr>
          <w:sz w:val="22"/>
        </w:rPr>
        <w:fldChar w:fldCharType="separate"/>
      </w:r>
      <w:r w:rsidR="001306AF" w:rsidRPr="009B37B4">
        <w:rPr>
          <w:sz w:val="22"/>
        </w:rPr>
        <w:t>12</w:t>
      </w:r>
      <w:r w:rsidRPr="009B37B4">
        <w:rPr>
          <w:sz w:val="22"/>
        </w:rPr>
        <w:fldChar w:fldCharType="end"/>
      </w:r>
      <w:r w:rsidRPr="009B37B4">
        <w:rPr>
          <w:sz w:val="22"/>
        </w:rPr>
        <w:t xml:space="preserve"> (Data </w:t>
      </w:r>
      <w:r w:rsidR="00A0236A" w:rsidRPr="009B37B4">
        <w:rPr>
          <w:sz w:val="22"/>
        </w:rPr>
        <w:t>P</w:t>
      </w:r>
      <w:r w:rsidRPr="009B37B4">
        <w:rPr>
          <w:sz w:val="22"/>
        </w:rPr>
        <w:t>rotection)</w:t>
      </w:r>
      <w:r w:rsidR="00881896" w:rsidRPr="009B37B4">
        <w:rPr>
          <w:sz w:val="22"/>
        </w:rPr>
        <w:t xml:space="preserve"> </w:t>
      </w:r>
    </w:p>
    <w:p w:rsidR="00881896" w:rsidRPr="009B37B4" w:rsidRDefault="00881896" w:rsidP="00881896">
      <w:pPr>
        <w:pStyle w:val="MRNumberedHeading4"/>
        <w:rPr>
          <w:sz w:val="22"/>
        </w:rPr>
      </w:pPr>
      <w:r w:rsidRPr="009B37B4">
        <w:rPr>
          <w:sz w:val="22"/>
        </w:rPr>
        <w:t>cl</w:t>
      </w:r>
      <w:r w:rsidR="007170DF" w:rsidRPr="009B37B4">
        <w:rPr>
          <w:sz w:val="22"/>
        </w:rPr>
        <w:t xml:space="preserve">ause </w:t>
      </w:r>
      <w:r w:rsidR="007170DF" w:rsidRPr="009B37B4">
        <w:rPr>
          <w:sz w:val="22"/>
        </w:rPr>
        <w:fldChar w:fldCharType="begin"/>
      </w:r>
      <w:r w:rsidR="007170DF" w:rsidRPr="009B37B4">
        <w:rPr>
          <w:sz w:val="22"/>
        </w:rPr>
        <w:instrText xml:space="preserve"> REF _Ref364760355 \r \h </w:instrText>
      </w:r>
      <w:r w:rsidR="00BF7661" w:rsidRPr="009B37B4">
        <w:rPr>
          <w:sz w:val="22"/>
        </w:rPr>
        <w:instrText xml:space="preserve"> \* MERGEFORMAT </w:instrText>
      </w:r>
      <w:r w:rsidR="007170DF" w:rsidRPr="009B37B4">
        <w:rPr>
          <w:sz w:val="22"/>
        </w:rPr>
      </w:r>
      <w:r w:rsidR="007170DF" w:rsidRPr="009B37B4">
        <w:rPr>
          <w:sz w:val="22"/>
        </w:rPr>
        <w:fldChar w:fldCharType="separate"/>
      </w:r>
      <w:r w:rsidR="001306AF" w:rsidRPr="009B37B4">
        <w:rPr>
          <w:sz w:val="22"/>
        </w:rPr>
        <w:t>9.6</w:t>
      </w:r>
      <w:r w:rsidR="007170DF" w:rsidRPr="009B37B4">
        <w:rPr>
          <w:sz w:val="22"/>
        </w:rPr>
        <w:fldChar w:fldCharType="end"/>
      </w:r>
      <w:r w:rsidR="00A0236A" w:rsidRPr="009B37B4">
        <w:rPr>
          <w:sz w:val="22"/>
        </w:rPr>
        <w:t xml:space="preserve"> (Intellectual Property R</w:t>
      </w:r>
      <w:r w:rsidR="007170DF" w:rsidRPr="009B37B4">
        <w:rPr>
          <w:sz w:val="22"/>
        </w:rPr>
        <w:t>ights)</w:t>
      </w:r>
      <w:r w:rsidRPr="009B37B4">
        <w:rPr>
          <w:sz w:val="22"/>
        </w:rPr>
        <w:t xml:space="preserve">; </w:t>
      </w:r>
      <w:r w:rsidR="00956BC2" w:rsidRPr="009B37B4">
        <w:rPr>
          <w:sz w:val="22"/>
        </w:rPr>
        <w:t xml:space="preserve">or </w:t>
      </w:r>
    </w:p>
    <w:p w:rsidR="002450B2" w:rsidRPr="009B37B4" w:rsidRDefault="00956BC2" w:rsidP="00881896">
      <w:pPr>
        <w:pStyle w:val="MRNumberedHeading3"/>
        <w:tabs>
          <w:tab w:val="clear" w:pos="3240"/>
          <w:tab w:val="num" w:pos="1276"/>
        </w:tabs>
        <w:ind w:hanging="2531"/>
        <w:rPr>
          <w:sz w:val="22"/>
          <w:szCs w:val="22"/>
        </w:rPr>
      </w:pPr>
      <w:r w:rsidRPr="009B37B4">
        <w:rPr>
          <w:sz w:val="22"/>
          <w:szCs w:val="22"/>
        </w:rPr>
        <w:t>any wilful or deliberate breach by the Contractor or Contractor Staff</w:t>
      </w:r>
      <w:r w:rsidR="002450B2" w:rsidRPr="009B37B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1306AF">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9B37B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1306AF">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1306AF">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1306AF">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1306AF">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1306AF">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1306AF">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1306AF">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9B37B4" w:rsidRPr="00CF16D6" w:rsidRDefault="009B37B4" w:rsidP="009B37B4">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9B37B4" w:rsidRPr="00CF16D6" w:rsidRDefault="009B37B4" w:rsidP="009B37B4">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9B37B4" w:rsidRDefault="009B37B4" w:rsidP="009B37B4">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9B37B4" w:rsidRDefault="009B37B4" w:rsidP="009B37B4">
      <w:pPr>
        <w:pStyle w:val="MRMainHeading"/>
        <w:numPr>
          <w:ilvl w:val="0"/>
          <w:numId w:val="0"/>
        </w:numPr>
        <w:spacing w:before="0"/>
        <w:ind w:left="720" w:hanging="720"/>
        <w:rPr>
          <w:rFonts w:ascii="Arial" w:eastAsia="Arial" w:hAnsi="Arial" w:cs="Arial"/>
          <w:color w:val="000000" w:themeColor="text1"/>
          <w:sz w:val="22"/>
        </w:rPr>
      </w:pPr>
    </w:p>
    <w:p w:rsidR="009B37B4" w:rsidRPr="00F93AFF" w:rsidRDefault="009B37B4" w:rsidP="009B37B4">
      <w:pPr>
        <w:pStyle w:val="DefaultText"/>
        <w:numPr>
          <w:ilvl w:val="0"/>
          <w:numId w:val="41"/>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9B37B4" w:rsidRPr="00F93AFF" w:rsidRDefault="009B37B4" w:rsidP="009B37B4">
      <w:pPr>
        <w:pStyle w:val="MRNumberedHeading3"/>
        <w:numPr>
          <w:ilvl w:val="0"/>
          <w:numId w:val="41"/>
        </w:numPr>
        <w:rPr>
          <w:sz w:val="22"/>
          <w:szCs w:val="22"/>
        </w:rPr>
      </w:pPr>
      <w:r w:rsidRPr="00F93AFF">
        <w:rPr>
          <w:sz w:val="22"/>
          <w:szCs w:val="22"/>
        </w:rPr>
        <w:t>an assessment of the necessity and proportionality of the processing operations in relation to the Services;</w:t>
      </w:r>
    </w:p>
    <w:p w:rsidR="009B37B4" w:rsidRPr="00697B37" w:rsidRDefault="009B37B4" w:rsidP="009B37B4">
      <w:pPr>
        <w:pStyle w:val="MRNumberedHeading3"/>
        <w:numPr>
          <w:ilvl w:val="0"/>
          <w:numId w:val="41"/>
        </w:numPr>
        <w:rPr>
          <w:rFonts w:cs="Arial"/>
          <w:sz w:val="22"/>
          <w:szCs w:val="22"/>
        </w:rPr>
      </w:pPr>
      <w:r w:rsidRPr="00697B37">
        <w:rPr>
          <w:rFonts w:cs="Arial"/>
          <w:sz w:val="22"/>
          <w:szCs w:val="22"/>
        </w:rPr>
        <w:t>an assessment of the risks to the rights and freedoms of Data Subjects; and</w:t>
      </w:r>
    </w:p>
    <w:p w:rsidR="009B37B4" w:rsidRPr="00F93AFF" w:rsidRDefault="009B37B4" w:rsidP="009B37B4">
      <w:pPr>
        <w:pStyle w:val="ListParagraph"/>
        <w:rPr>
          <w:rFonts w:cs="Arial"/>
          <w:sz w:val="22"/>
          <w:szCs w:val="22"/>
        </w:rPr>
      </w:pPr>
    </w:p>
    <w:p w:rsidR="009B37B4" w:rsidRPr="00F93AFF" w:rsidRDefault="009B37B4" w:rsidP="009B37B4">
      <w:pPr>
        <w:pStyle w:val="DefaultText"/>
        <w:numPr>
          <w:ilvl w:val="0"/>
          <w:numId w:val="41"/>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9B37B4" w:rsidRPr="00F93AFF" w:rsidRDefault="009B37B4" w:rsidP="009B37B4">
      <w:pPr>
        <w:pStyle w:val="ListParagraph"/>
        <w:rPr>
          <w:rFonts w:cs="Arial"/>
          <w:sz w:val="22"/>
          <w:szCs w:val="22"/>
        </w:rPr>
      </w:pPr>
    </w:p>
    <w:p w:rsidR="009B37B4" w:rsidRPr="00697B37" w:rsidRDefault="009B37B4" w:rsidP="009B37B4">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9B37B4" w:rsidRPr="00697B37" w:rsidRDefault="009B37B4" w:rsidP="009B37B4">
      <w:pPr>
        <w:pStyle w:val="DefaultText"/>
        <w:ind w:left="851" w:hanging="851"/>
        <w:jc w:val="both"/>
        <w:rPr>
          <w:rFonts w:ascii="Arial" w:hAnsi="Arial" w:cs="Arial"/>
          <w:sz w:val="22"/>
          <w:szCs w:val="22"/>
        </w:rPr>
      </w:pPr>
    </w:p>
    <w:p w:rsidR="009B37B4" w:rsidRDefault="009B37B4" w:rsidP="009B37B4">
      <w:pPr>
        <w:pStyle w:val="DefaultText"/>
        <w:numPr>
          <w:ilvl w:val="0"/>
          <w:numId w:val="42"/>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9B37B4" w:rsidRDefault="009B37B4" w:rsidP="009B37B4">
      <w:pPr>
        <w:pStyle w:val="MRNumberedHeading3"/>
        <w:numPr>
          <w:ilvl w:val="0"/>
          <w:numId w:val="42"/>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9B37B4" w:rsidRDefault="009B37B4" w:rsidP="009B37B4">
      <w:pPr>
        <w:pStyle w:val="MRNumberedHeading3"/>
        <w:numPr>
          <w:ilvl w:val="0"/>
          <w:numId w:val="0"/>
        </w:numPr>
        <w:spacing w:before="0"/>
        <w:ind w:left="1843" w:hanging="1134"/>
        <w:rPr>
          <w:rFonts w:cs="Arial"/>
          <w:sz w:val="22"/>
          <w:szCs w:val="22"/>
        </w:rPr>
      </w:pP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9B37B4" w:rsidRPr="00697B37" w:rsidRDefault="009B37B4" w:rsidP="009B37B4">
      <w:pPr>
        <w:pStyle w:val="DefaultText"/>
        <w:numPr>
          <w:ilvl w:val="0"/>
          <w:numId w:val="33"/>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9B37B4" w:rsidRPr="00697B37" w:rsidRDefault="009B37B4" w:rsidP="009B37B4">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9B37B4" w:rsidRDefault="009B37B4" w:rsidP="009B37B4">
      <w:pPr>
        <w:pStyle w:val="DefaultText"/>
      </w:pPr>
    </w:p>
    <w:p w:rsidR="009B37B4" w:rsidRPr="00697B37" w:rsidRDefault="009B37B4" w:rsidP="009B37B4">
      <w:pPr>
        <w:pStyle w:val="DefaultText"/>
        <w:numPr>
          <w:ilvl w:val="0"/>
          <w:numId w:val="34"/>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9B37B4" w:rsidRPr="00697B37" w:rsidRDefault="009B37B4" w:rsidP="009B37B4">
      <w:pPr>
        <w:pStyle w:val="DefaultText"/>
        <w:numPr>
          <w:ilvl w:val="0"/>
          <w:numId w:val="34"/>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9B37B4" w:rsidRDefault="009B37B4" w:rsidP="009B37B4">
      <w:pPr>
        <w:pStyle w:val="DefaultText"/>
        <w:spacing w:line="288" w:lineRule="auto"/>
        <w:ind w:left="1514"/>
      </w:pPr>
    </w:p>
    <w:p w:rsidR="009B37B4" w:rsidRPr="00697B37" w:rsidRDefault="009B37B4" w:rsidP="009B37B4">
      <w:pPr>
        <w:pStyle w:val="DefaultText"/>
        <w:numPr>
          <w:ilvl w:val="0"/>
          <w:numId w:val="35"/>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9B37B4" w:rsidRPr="00697B37" w:rsidRDefault="009B37B4" w:rsidP="009B37B4">
      <w:pPr>
        <w:pStyle w:val="DefaultText"/>
        <w:rPr>
          <w:rFonts w:ascii="Arial" w:hAnsi="Arial" w:cs="Arial"/>
          <w:sz w:val="22"/>
          <w:szCs w:val="22"/>
        </w:rPr>
      </w:pPr>
    </w:p>
    <w:p w:rsidR="009B37B4" w:rsidRPr="00697B37" w:rsidRDefault="009B37B4" w:rsidP="009B37B4">
      <w:pPr>
        <w:pStyle w:val="DefaultText"/>
        <w:numPr>
          <w:ilvl w:val="0"/>
          <w:numId w:val="35"/>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9B37B4" w:rsidRPr="00697B37" w:rsidRDefault="009B37B4" w:rsidP="009B37B4">
      <w:pPr>
        <w:pStyle w:val="ListParagraph"/>
        <w:rPr>
          <w:rFonts w:cs="Arial"/>
          <w:sz w:val="22"/>
          <w:szCs w:val="22"/>
        </w:rPr>
      </w:pPr>
    </w:p>
    <w:p w:rsidR="009B37B4" w:rsidRPr="00697B37" w:rsidRDefault="009B37B4" w:rsidP="009B37B4">
      <w:pPr>
        <w:pStyle w:val="DefaultText"/>
        <w:numPr>
          <w:ilvl w:val="0"/>
          <w:numId w:val="35"/>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9B37B4" w:rsidRPr="00697B37" w:rsidRDefault="009B37B4" w:rsidP="009B37B4">
      <w:pPr>
        <w:pStyle w:val="ListParagraph"/>
        <w:rPr>
          <w:rFonts w:cs="Arial"/>
          <w:sz w:val="22"/>
          <w:szCs w:val="22"/>
        </w:rPr>
      </w:pPr>
    </w:p>
    <w:p w:rsidR="009B37B4" w:rsidRDefault="009B37B4" w:rsidP="009B37B4">
      <w:pPr>
        <w:pStyle w:val="DefaultText"/>
        <w:numPr>
          <w:ilvl w:val="0"/>
          <w:numId w:val="35"/>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9B37B4" w:rsidRPr="00281ADD" w:rsidRDefault="009B37B4" w:rsidP="009B37B4">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9B37B4" w:rsidRDefault="009B37B4" w:rsidP="009B37B4">
      <w:pPr>
        <w:pStyle w:val="DefaultText"/>
      </w:pPr>
    </w:p>
    <w:p w:rsidR="009B37B4" w:rsidRPr="00281ADD" w:rsidRDefault="009B37B4" w:rsidP="009B37B4">
      <w:pPr>
        <w:pStyle w:val="DefaultText"/>
        <w:numPr>
          <w:ilvl w:val="0"/>
          <w:numId w:val="36"/>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9B37B4" w:rsidRPr="00281ADD" w:rsidRDefault="009B37B4" w:rsidP="009B37B4">
      <w:pPr>
        <w:pStyle w:val="DefaultText"/>
        <w:rPr>
          <w:rFonts w:ascii="Arial" w:hAnsi="Arial" w:cs="Arial"/>
          <w:sz w:val="22"/>
          <w:szCs w:val="22"/>
        </w:rPr>
      </w:pPr>
    </w:p>
    <w:p w:rsidR="009B37B4" w:rsidRPr="00281ADD" w:rsidRDefault="009B37B4" w:rsidP="009B37B4">
      <w:pPr>
        <w:pStyle w:val="DefaultText"/>
        <w:numPr>
          <w:ilvl w:val="0"/>
          <w:numId w:val="36"/>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9B37B4" w:rsidRPr="00281ADD" w:rsidRDefault="009B37B4" w:rsidP="009B37B4">
      <w:pPr>
        <w:pStyle w:val="ListParagraph"/>
        <w:rPr>
          <w:rFonts w:cs="Arial"/>
          <w:sz w:val="22"/>
          <w:szCs w:val="22"/>
        </w:rPr>
      </w:pPr>
    </w:p>
    <w:p w:rsidR="009B37B4" w:rsidRPr="00281ADD" w:rsidRDefault="009B37B4" w:rsidP="009B37B4">
      <w:pPr>
        <w:pStyle w:val="DefaultText"/>
        <w:numPr>
          <w:ilvl w:val="0"/>
          <w:numId w:val="36"/>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9B37B4" w:rsidRPr="00281ADD" w:rsidRDefault="009B37B4" w:rsidP="009B37B4">
      <w:pPr>
        <w:pStyle w:val="ListParagraph"/>
        <w:rPr>
          <w:rFonts w:cs="Arial"/>
          <w:sz w:val="22"/>
          <w:szCs w:val="22"/>
        </w:rPr>
      </w:pPr>
    </w:p>
    <w:p w:rsidR="009B37B4" w:rsidRPr="00281ADD" w:rsidRDefault="009B37B4" w:rsidP="009B37B4">
      <w:pPr>
        <w:pStyle w:val="DefaultText"/>
        <w:numPr>
          <w:ilvl w:val="0"/>
          <w:numId w:val="36"/>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9B37B4" w:rsidRDefault="009B37B4" w:rsidP="009B37B4">
      <w:pPr>
        <w:pStyle w:val="ListParagraph"/>
      </w:pPr>
    </w:p>
    <w:p w:rsidR="009B37B4" w:rsidRPr="00281ADD" w:rsidRDefault="009B37B4" w:rsidP="009B37B4">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9B37B4" w:rsidRDefault="009B37B4" w:rsidP="009B37B4">
      <w:pPr>
        <w:pStyle w:val="DefaultText"/>
        <w:spacing w:line="288" w:lineRule="auto"/>
      </w:pPr>
    </w:p>
    <w:p w:rsidR="009B37B4" w:rsidRPr="00281ADD" w:rsidRDefault="009B37B4" w:rsidP="009B37B4">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9B37B4" w:rsidRDefault="009B37B4" w:rsidP="009B37B4">
      <w:pPr>
        <w:pStyle w:val="DefaultText"/>
        <w:ind w:left="720" w:hanging="720"/>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7"/>
        </w:numPr>
        <w:jc w:val="both"/>
        <w:rPr>
          <w:rFonts w:ascii="Arial" w:hAnsi="Arial" w:cs="Arial"/>
          <w:sz w:val="22"/>
          <w:szCs w:val="22"/>
        </w:rPr>
      </w:pPr>
      <w:r w:rsidRPr="00F3584B">
        <w:rPr>
          <w:rFonts w:ascii="Arial" w:hAnsi="Arial" w:cs="Arial"/>
          <w:sz w:val="22"/>
          <w:szCs w:val="22"/>
        </w:rPr>
        <w:t>becomes aware of a Data Loss Event.</w:t>
      </w:r>
    </w:p>
    <w:p w:rsidR="009B37B4" w:rsidRPr="00F3584B" w:rsidRDefault="009B37B4" w:rsidP="009B37B4">
      <w:pPr>
        <w:pStyle w:val="ListParagraph"/>
        <w:rPr>
          <w:rFonts w:cs="Arial"/>
          <w:sz w:val="22"/>
          <w:szCs w:val="22"/>
        </w:rPr>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9B37B4" w:rsidRPr="00F3584B" w:rsidRDefault="009B37B4" w:rsidP="009B37B4">
      <w:pPr>
        <w:pStyle w:val="DefaultText"/>
        <w:ind w:left="720" w:hanging="720"/>
        <w:rPr>
          <w:rFonts w:ascii="Arial" w:hAnsi="Arial" w:cs="Arial"/>
          <w:sz w:val="22"/>
          <w:szCs w:val="22"/>
        </w:rPr>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9B37B4" w:rsidRDefault="009B37B4" w:rsidP="009B37B4">
      <w:pPr>
        <w:pStyle w:val="DefaultText"/>
        <w:ind w:left="720" w:hanging="720"/>
        <w:jc w:val="both"/>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9B37B4" w:rsidRDefault="009B37B4" w:rsidP="009B37B4">
      <w:pPr>
        <w:pStyle w:val="ListParagraph"/>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9B37B4" w:rsidRDefault="009B37B4" w:rsidP="009B37B4">
      <w:pPr>
        <w:pStyle w:val="DefaultText"/>
        <w:ind w:left="720" w:hanging="720"/>
      </w:pPr>
    </w:p>
    <w:p w:rsidR="009B37B4" w:rsidRPr="00F3584B" w:rsidRDefault="009B37B4" w:rsidP="009B37B4">
      <w:pPr>
        <w:pStyle w:val="DefaultText"/>
        <w:numPr>
          <w:ilvl w:val="0"/>
          <w:numId w:val="39"/>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39"/>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9B37B4" w:rsidRPr="00F3584B" w:rsidRDefault="009B37B4" w:rsidP="009B37B4">
      <w:pPr>
        <w:pStyle w:val="DefaultText"/>
        <w:spacing w:line="288" w:lineRule="auto"/>
        <w:rPr>
          <w:rFonts w:ascii="Arial" w:hAnsi="Arial" w:cs="Arial"/>
          <w:sz w:val="22"/>
          <w:szCs w:val="22"/>
        </w:rPr>
      </w:pPr>
    </w:p>
    <w:p w:rsidR="009B37B4" w:rsidRPr="00F3584B" w:rsidRDefault="009B37B4" w:rsidP="009B37B4">
      <w:pPr>
        <w:pStyle w:val="DefaultText"/>
        <w:numPr>
          <w:ilvl w:val="0"/>
          <w:numId w:val="39"/>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9B37B4" w:rsidRDefault="009B37B4" w:rsidP="009B37B4">
      <w:pPr>
        <w:pStyle w:val="ListParagraph"/>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9B37B4" w:rsidRPr="00F3584B" w:rsidRDefault="009B37B4" w:rsidP="009B37B4">
      <w:pPr>
        <w:pStyle w:val="DefaultText"/>
        <w:ind w:left="720"/>
        <w:rPr>
          <w:rFonts w:ascii="Arial" w:hAnsi="Arial" w:cs="Arial"/>
          <w:sz w:val="22"/>
          <w:szCs w:val="22"/>
        </w:rPr>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9B37B4" w:rsidRDefault="009B37B4" w:rsidP="009B37B4">
      <w:pPr>
        <w:pStyle w:val="DefaultText"/>
        <w:ind w:left="1134" w:hanging="1134"/>
      </w:pPr>
    </w:p>
    <w:p w:rsidR="009B37B4" w:rsidRPr="00F3584B" w:rsidRDefault="009B37B4" w:rsidP="009B37B4">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9B37B4" w:rsidRPr="00F3584B" w:rsidRDefault="009B37B4" w:rsidP="009B37B4">
      <w:pPr>
        <w:pStyle w:val="DefaultText"/>
        <w:ind w:left="1134" w:hanging="1134"/>
        <w:rPr>
          <w:rFonts w:ascii="Arial" w:hAnsi="Arial" w:cs="Arial"/>
          <w:sz w:val="22"/>
          <w:szCs w:val="22"/>
        </w:rPr>
      </w:pPr>
    </w:p>
    <w:p w:rsidR="009B37B4" w:rsidRPr="00F3584B" w:rsidRDefault="009B37B4" w:rsidP="009B37B4">
      <w:pPr>
        <w:pStyle w:val="DefaultText"/>
        <w:numPr>
          <w:ilvl w:val="0"/>
          <w:numId w:val="40"/>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9B37B4" w:rsidRPr="00F3584B" w:rsidRDefault="009B37B4" w:rsidP="009B37B4">
      <w:pPr>
        <w:pStyle w:val="DefaultText"/>
        <w:rPr>
          <w:rFonts w:ascii="Arial" w:hAnsi="Arial" w:cs="Arial"/>
          <w:sz w:val="22"/>
          <w:szCs w:val="22"/>
        </w:rPr>
      </w:pPr>
    </w:p>
    <w:p w:rsidR="009B37B4" w:rsidRPr="00F3584B" w:rsidRDefault="009B37B4" w:rsidP="009B37B4">
      <w:pPr>
        <w:pStyle w:val="DefaultText"/>
        <w:numPr>
          <w:ilvl w:val="0"/>
          <w:numId w:val="40"/>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9B37B4" w:rsidRDefault="009B37B4" w:rsidP="009B37B4">
      <w:pPr>
        <w:pStyle w:val="ListParagraph"/>
      </w:pPr>
    </w:p>
    <w:p w:rsidR="009B37B4" w:rsidRPr="00F3584B" w:rsidRDefault="009B37B4" w:rsidP="009B37B4">
      <w:pPr>
        <w:pStyle w:val="DefaultText"/>
        <w:numPr>
          <w:ilvl w:val="0"/>
          <w:numId w:val="40"/>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9B37B4" w:rsidRPr="00F3584B" w:rsidRDefault="009B37B4" w:rsidP="009B37B4">
      <w:pPr>
        <w:pStyle w:val="ListParagraph"/>
        <w:rPr>
          <w:rFonts w:cs="Arial"/>
          <w:sz w:val="22"/>
          <w:szCs w:val="22"/>
        </w:rPr>
      </w:pPr>
    </w:p>
    <w:p w:rsidR="009B37B4" w:rsidRPr="00F3584B" w:rsidRDefault="009B37B4" w:rsidP="009B37B4">
      <w:pPr>
        <w:pStyle w:val="DefaultText"/>
        <w:numPr>
          <w:ilvl w:val="0"/>
          <w:numId w:val="40"/>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9B37B4" w:rsidRDefault="009B37B4" w:rsidP="009B37B4">
      <w:pPr>
        <w:pStyle w:val="ListParagraph"/>
      </w:pPr>
    </w:p>
    <w:p w:rsidR="009B37B4" w:rsidRPr="00F3584B" w:rsidRDefault="009B37B4" w:rsidP="009B37B4">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9B37B4" w:rsidRDefault="009B37B4" w:rsidP="009B37B4">
      <w:pPr>
        <w:pStyle w:val="DefaultText"/>
        <w:ind w:left="1134" w:hanging="1134"/>
      </w:pPr>
    </w:p>
    <w:p w:rsidR="009B37B4" w:rsidRPr="00F3584B" w:rsidRDefault="009B37B4" w:rsidP="009B37B4">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9B37B4" w:rsidRDefault="009B37B4" w:rsidP="009B37B4">
      <w:pPr>
        <w:pStyle w:val="DefaultText"/>
        <w:ind w:left="1134" w:hanging="1134"/>
      </w:pPr>
    </w:p>
    <w:p w:rsidR="009B37B4" w:rsidRDefault="009B37B4" w:rsidP="009B37B4">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9B37B4" w:rsidRDefault="009B37B4" w:rsidP="009B37B4">
      <w:pPr>
        <w:pStyle w:val="DefaultText"/>
        <w:spacing w:line="24" w:lineRule="atLeast"/>
        <w:ind w:left="1134" w:hanging="1134"/>
        <w:jc w:val="both"/>
        <w:rPr>
          <w:rFonts w:ascii="Arial" w:hAnsi="Arial" w:cs="Arial"/>
          <w:sz w:val="22"/>
          <w:szCs w:val="22"/>
        </w:rPr>
      </w:pPr>
    </w:p>
    <w:p w:rsidR="009B37B4" w:rsidRPr="00F3584B" w:rsidRDefault="009B37B4" w:rsidP="009B37B4">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1306AF">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1306AF">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1306AF">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1306AF">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1306AF">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1306AF">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1306AF">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1306AF">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1306AF">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7A385F">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7A385F">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7A385F">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7A385F">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7A385F">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7A385F">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7A385F">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7A385F">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34" w:rsidRDefault="00D84934">
      <w:r>
        <w:separator/>
      </w:r>
    </w:p>
  </w:endnote>
  <w:endnote w:type="continuationSeparator" w:id="0">
    <w:p w:rsidR="00D84934" w:rsidRDefault="00D8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397935592"/>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FE3811" w:rsidRPr="00FE3811" w:rsidRDefault="00FE3811">
            <w:pPr>
              <w:pStyle w:val="Footer"/>
              <w:jc w:val="center"/>
              <w:rPr>
                <w:color w:val="auto"/>
                <w:sz w:val="16"/>
                <w:szCs w:val="16"/>
              </w:rPr>
            </w:pPr>
            <w:r w:rsidRPr="00FE3811">
              <w:rPr>
                <w:color w:val="auto"/>
                <w:sz w:val="16"/>
                <w:szCs w:val="16"/>
              </w:rPr>
              <w:t xml:space="preserve">Page </w:t>
            </w:r>
            <w:r w:rsidRPr="00FE3811">
              <w:rPr>
                <w:b/>
                <w:bCs/>
                <w:color w:val="auto"/>
                <w:sz w:val="16"/>
                <w:szCs w:val="16"/>
              </w:rPr>
              <w:fldChar w:fldCharType="begin"/>
            </w:r>
            <w:r w:rsidRPr="00FE3811">
              <w:rPr>
                <w:b/>
                <w:bCs/>
                <w:color w:val="auto"/>
                <w:sz w:val="16"/>
                <w:szCs w:val="16"/>
              </w:rPr>
              <w:instrText xml:space="preserve"> PAGE </w:instrText>
            </w:r>
            <w:r w:rsidRPr="00FE3811">
              <w:rPr>
                <w:b/>
                <w:bCs/>
                <w:color w:val="auto"/>
                <w:sz w:val="16"/>
                <w:szCs w:val="16"/>
              </w:rPr>
              <w:fldChar w:fldCharType="separate"/>
            </w:r>
            <w:r w:rsidR="0066552A">
              <w:rPr>
                <w:b/>
                <w:bCs/>
                <w:noProof/>
                <w:color w:val="auto"/>
                <w:sz w:val="16"/>
                <w:szCs w:val="16"/>
              </w:rPr>
              <w:t>1</w:t>
            </w:r>
            <w:r w:rsidRPr="00FE3811">
              <w:rPr>
                <w:b/>
                <w:bCs/>
                <w:color w:val="auto"/>
                <w:sz w:val="16"/>
                <w:szCs w:val="16"/>
              </w:rPr>
              <w:fldChar w:fldCharType="end"/>
            </w:r>
            <w:r w:rsidRPr="00FE3811">
              <w:rPr>
                <w:color w:val="auto"/>
                <w:sz w:val="16"/>
                <w:szCs w:val="16"/>
              </w:rPr>
              <w:t xml:space="preserve"> of </w:t>
            </w:r>
            <w:r w:rsidRPr="00FE3811">
              <w:rPr>
                <w:b/>
                <w:bCs/>
                <w:color w:val="auto"/>
                <w:sz w:val="16"/>
                <w:szCs w:val="16"/>
              </w:rPr>
              <w:fldChar w:fldCharType="begin"/>
            </w:r>
            <w:r w:rsidRPr="00FE3811">
              <w:rPr>
                <w:b/>
                <w:bCs/>
                <w:color w:val="auto"/>
                <w:sz w:val="16"/>
                <w:szCs w:val="16"/>
              </w:rPr>
              <w:instrText xml:space="preserve"> NUMPAGES  </w:instrText>
            </w:r>
            <w:r w:rsidRPr="00FE3811">
              <w:rPr>
                <w:b/>
                <w:bCs/>
                <w:color w:val="auto"/>
                <w:sz w:val="16"/>
                <w:szCs w:val="16"/>
              </w:rPr>
              <w:fldChar w:fldCharType="separate"/>
            </w:r>
            <w:r w:rsidR="0066552A">
              <w:rPr>
                <w:b/>
                <w:bCs/>
                <w:noProof/>
                <w:color w:val="auto"/>
                <w:sz w:val="16"/>
                <w:szCs w:val="16"/>
              </w:rPr>
              <w:t>27</w:t>
            </w:r>
            <w:r w:rsidRPr="00FE3811">
              <w:rPr>
                <w:b/>
                <w:bCs/>
                <w:color w:val="auto"/>
                <w:sz w:val="16"/>
                <w:szCs w:val="16"/>
              </w:rPr>
              <w:fldChar w:fldCharType="end"/>
            </w:r>
          </w:p>
        </w:sdtContent>
      </w:sdt>
    </w:sdtContent>
  </w:sdt>
  <w:p w:rsidR="00D84934" w:rsidRPr="00A44BDC" w:rsidRDefault="00D8493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34" w:rsidRDefault="00D84934">
      <w:r>
        <w:separator/>
      </w:r>
    </w:p>
  </w:footnote>
  <w:footnote w:type="continuationSeparator" w:id="0">
    <w:p w:rsidR="00D84934" w:rsidRDefault="00D84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34" w:rsidRDefault="00FE3811">
    <w:pPr>
      <w:pStyle w:val="Header"/>
    </w:pPr>
    <w:r w:rsidRPr="00E27B13">
      <w:rPr>
        <w:b/>
      </w:rPr>
      <w:t xml:space="preserve">Contract No. </w:t>
    </w:r>
    <w:r w:rsidR="00D84934" w:rsidRPr="00E27B13">
      <w:rPr>
        <w:b/>
      </w:rPr>
      <w:t>1.11.4.3323</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2215"/>
        </w:tabs>
        <w:ind w:left="2215"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6">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8">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0">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2">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4">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6">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8">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abstractNum w:abstractNumId="31">
    <w:nsid w:val="7E8216E6"/>
    <w:multiLevelType w:val="multilevel"/>
    <w:tmpl w:val="AE4041DA"/>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6"/>
  </w:num>
  <w:num w:numId="2">
    <w:abstractNumId w:val="5"/>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27"/>
  </w:num>
  <w:num w:numId="8">
    <w:abstractNumId w:val="29"/>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6"/>
  </w:num>
  <w:num w:numId="13">
    <w:abstractNumId w:val="6"/>
  </w:num>
  <w:num w:numId="14">
    <w:abstractNumId w:val="25"/>
  </w:num>
  <w:num w:numId="15">
    <w:abstractNumId w:val="6"/>
  </w:num>
  <w:num w:numId="16">
    <w:abstractNumId w:val="6"/>
  </w:num>
  <w:num w:numId="17">
    <w:abstractNumId w:val="23"/>
  </w:num>
  <w:num w:numId="18">
    <w:abstractNumId w:val="28"/>
  </w:num>
  <w:num w:numId="19">
    <w:abstractNumId w:val="7"/>
  </w:num>
  <w:num w:numId="20">
    <w:abstractNumId w:val="26"/>
  </w:num>
  <w:num w:numId="21">
    <w:abstractNumId w:val="18"/>
  </w:num>
  <w:num w:numId="22">
    <w:abstractNumId w:val="20"/>
  </w:num>
  <w:num w:numId="23">
    <w:abstractNumId w:val="13"/>
  </w:num>
  <w:num w:numId="24">
    <w:abstractNumId w:val="2"/>
  </w:num>
  <w:num w:numId="25">
    <w:abstractNumId w:val="22"/>
  </w:num>
  <w:num w:numId="26">
    <w:abstractNumId w:val="8"/>
  </w:num>
  <w:num w:numId="27">
    <w:abstractNumId w:val="0"/>
  </w:num>
  <w:num w:numId="28">
    <w:abstractNumId w:val="6"/>
  </w:num>
  <w:num w:numId="29">
    <w:abstractNumId w:val="6"/>
  </w:num>
  <w:num w:numId="30">
    <w:abstractNumId w:val="6"/>
  </w:num>
  <w:num w:numId="31">
    <w:abstractNumId w:val="31"/>
  </w:num>
  <w:num w:numId="32">
    <w:abstractNumId w:val="6"/>
    <w:lvlOverride w:ilvl="0">
      <w:startOverride w:val="1"/>
    </w:lvlOverride>
    <w:lvlOverride w:ilvl="1">
      <w:startOverride w:val="1"/>
    </w:lvlOverride>
    <w:lvlOverride w:ilvl="2">
      <w:startOverride w:val="26"/>
    </w:lvlOverride>
  </w:num>
  <w:num w:numId="33">
    <w:abstractNumId w:val="21"/>
  </w:num>
  <w:num w:numId="34">
    <w:abstractNumId w:val="17"/>
  </w:num>
  <w:num w:numId="35">
    <w:abstractNumId w:val="10"/>
  </w:num>
  <w:num w:numId="36">
    <w:abstractNumId w:val="24"/>
  </w:num>
  <w:num w:numId="37">
    <w:abstractNumId w:val="16"/>
  </w:num>
  <w:num w:numId="38">
    <w:abstractNumId w:val="9"/>
  </w:num>
  <w:num w:numId="39">
    <w:abstractNumId w:val="4"/>
  </w:num>
  <w:num w:numId="40">
    <w:abstractNumId w:val="11"/>
  </w:num>
  <w:num w:numId="41">
    <w:abstractNumId w:val="1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52A"/>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85F"/>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7B4"/>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516"/>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34"/>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4934"/>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B13"/>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CFC"/>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3811"/>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9B37B4"/>
    <w:pPr>
      <w:ind w:left="720"/>
      <w:contextualSpacing/>
    </w:pPr>
  </w:style>
  <w:style w:type="character" w:customStyle="1" w:styleId="ListParagraphChar">
    <w:name w:val="List Paragraph Char"/>
    <w:link w:val="ListParagraph"/>
    <w:uiPriority w:val="34"/>
    <w:rsid w:val="009B37B4"/>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9B37B4"/>
    <w:pPr>
      <w:ind w:left="720"/>
      <w:contextualSpacing/>
    </w:pPr>
  </w:style>
  <w:style w:type="character" w:customStyle="1" w:styleId="ListParagraphChar">
    <w:name w:val="List Paragraph Char"/>
    <w:link w:val="ListParagraph"/>
    <w:uiPriority w:val="34"/>
    <w:rsid w:val="009B37B4"/>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13368</Words>
  <Characters>76198</Characters>
  <Application>Microsoft Office Word</Application>
  <DocSecurity>4</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89388</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2019-07-11T10:24:00Z</dcterms:created>
  <dcterms:modified xsi:type="dcterms:W3CDTF">2019-07-11T10:24:00Z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