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694" w:rsidRPr="004C0694" w:rsidRDefault="004C0694" w:rsidP="008D2F2E">
      <w:pPr>
        <w:spacing w:before="100" w:beforeAutospacing="1" w:after="100" w:afterAutospacing="1"/>
        <w:rPr>
          <w:rFonts w:asciiTheme="minorHAnsi" w:eastAsia="Times New Roman" w:hAnsiTheme="minorHAnsi" w:cstheme="minorHAnsi"/>
          <w:b/>
          <w:sz w:val="22"/>
          <w:szCs w:val="22"/>
          <w:u w:val="single"/>
        </w:rPr>
      </w:pPr>
      <w:r w:rsidRPr="004C0694">
        <w:rPr>
          <w:rFonts w:asciiTheme="minorHAnsi" w:eastAsia="Times New Roman" w:hAnsiTheme="minorHAnsi" w:cstheme="minorHAnsi"/>
          <w:b/>
          <w:sz w:val="22"/>
          <w:szCs w:val="22"/>
          <w:u w:val="single"/>
        </w:rPr>
        <w:t>CLARIFICATION</w:t>
      </w:r>
      <w:r w:rsidR="00C004F9">
        <w:rPr>
          <w:rFonts w:asciiTheme="minorHAnsi" w:eastAsia="Times New Roman" w:hAnsiTheme="minorHAnsi" w:cstheme="minorHAnsi"/>
          <w:b/>
          <w:sz w:val="22"/>
          <w:szCs w:val="22"/>
          <w:u w:val="single"/>
        </w:rPr>
        <w:t xml:space="preserve"> NOTE</w:t>
      </w:r>
      <w:r w:rsidRPr="004C0694">
        <w:rPr>
          <w:rFonts w:asciiTheme="minorHAnsi" w:eastAsia="Times New Roman" w:hAnsiTheme="minorHAnsi" w:cstheme="minorHAnsi"/>
          <w:b/>
          <w:sz w:val="22"/>
          <w:szCs w:val="22"/>
          <w:u w:val="single"/>
        </w:rPr>
        <w:t xml:space="preserve"> TO TENDER 421 Dated </w:t>
      </w:r>
      <w:r w:rsidR="00893ECB">
        <w:rPr>
          <w:rFonts w:asciiTheme="minorHAnsi" w:eastAsia="Times New Roman" w:hAnsiTheme="minorHAnsi" w:cstheme="minorHAnsi"/>
          <w:b/>
          <w:sz w:val="22"/>
          <w:szCs w:val="22"/>
          <w:u w:val="single"/>
        </w:rPr>
        <w:t>5</w:t>
      </w:r>
      <w:r w:rsidRPr="004C0694">
        <w:rPr>
          <w:rFonts w:asciiTheme="minorHAnsi" w:eastAsia="Times New Roman" w:hAnsiTheme="minorHAnsi" w:cstheme="minorHAnsi"/>
          <w:b/>
          <w:sz w:val="22"/>
          <w:szCs w:val="22"/>
          <w:u w:val="single"/>
        </w:rPr>
        <w:t xml:space="preserve"> April 2018</w:t>
      </w:r>
    </w:p>
    <w:p w:rsidR="008D2F2E" w:rsidRPr="004C0694" w:rsidRDefault="008D2F2E" w:rsidP="004C0694">
      <w:pPr>
        <w:numPr>
          <w:ilvl w:val="0"/>
          <w:numId w:val="1"/>
        </w:numPr>
        <w:spacing w:before="100" w:beforeAutospacing="1" w:after="100" w:afterAutospacing="1"/>
        <w:rPr>
          <w:rFonts w:asciiTheme="minorHAnsi" w:eastAsia="Times New Roman" w:hAnsiTheme="minorHAnsi" w:cstheme="minorHAnsi"/>
          <w:sz w:val="22"/>
          <w:szCs w:val="22"/>
        </w:rPr>
      </w:pPr>
      <w:r w:rsidRPr="004C0694">
        <w:rPr>
          <w:rFonts w:asciiTheme="minorHAnsi" w:eastAsia="Times New Roman" w:hAnsiTheme="minorHAnsi" w:cstheme="minorHAnsi"/>
          <w:sz w:val="22"/>
          <w:szCs w:val="22"/>
        </w:rPr>
        <w:t>We note that in the Indicators Annex the output targets for 'number of enterprise receiving support' for each of the programmes are as follows - BIG2 (200), IIC (36) and CIOSGH (1,702). However, we also note in the ITT that the programmes are also currently subject to Change Requests with MHCLG, and this relates to a reduction in outputs. To help us frame the number of beneficiary contacts we may need for the Summative Assessments are you able to provide any more information about the likely number of 'enterprises supported' for each programme by the end of May 2018?</w:t>
      </w:r>
    </w:p>
    <w:p w:rsid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RESPONSE</w:t>
      </w:r>
    </w:p>
    <w:p w:rsidR="0058536A" w:rsidRP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The PCRs have yet to be agreed.  Howev</w:t>
      </w:r>
      <w:r w:rsidR="00B40A7E">
        <w:rPr>
          <w:rFonts w:asciiTheme="minorHAnsi" w:eastAsia="Times New Roman" w:hAnsiTheme="minorHAnsi" w:cstheme="minorHAnsi"/>
          <w:color w:val="FF0000"/>
          <w:sz w:val="22"/>
          <w:szCs w:val="22"/>
        </w:rPr>
        <w:t xml:space="preserve">er, if approved the </w:t>
      </w:r>
      <w:r w:rsidR="00827D23">
        <w:rPr>
          <w:rFonts w:asciiTheme="minorHAnsi" w:eastAsia="Times New Roman" w:hAnsiTheme="minorHAnsi" w:cstheme="minorHAnsi"/>
          <w:color w:val="FF0000"/>
          <w:sz w:val="22"/>
          <w:szCs w:val="22"/>
        </w:rPr>
        <w:t xml:space="preserve">overall </w:t>
      </w:r>
      <w:r w:rsidR="00B40A7E">
        <w:rPr>
          <w:rFonts w:asciiTheme="minorHAnsi" w:eastAsia="Times New Roman" w:hAnsiTheme="minorHAnsi" w:cstheme="minorHAnsi"/>
          <w:color w:val="FF0000"/>
          <w:sz w:val="22"/>
          <w:szCs w:val="22"/>
        </w:rPr>
        <w:t xml:space="preserve">BIG2 and IIC numbers could potentially </w:t>
      </w:r>
      <w:r>
        <w:rPr>
          <w:rFonts w:asciiTheme="minorHAnsi" w:eastAsia="Times New Roman" w:hAnsiTheme="minorHAnsi" w:cstheme="minorHAnsi"/>
          <w:color w:val="FF0000"/>
          <w:sz w:val="22"/>
          <w:szCs w:val="22"/>
        </w:rPr>
        <w:t>decrease by 10-15%</w:t>
      </w:r>
      <w:r w:rsidR="00B40A7E">
        <w:rPr>
          <w:rFonts w:asciiTheme="minorHAnsi" w:eastAsia="Times New Roman" w:hAnsiTheme="minorHAnsi" w:cstheme="minorHAnsi"/>
          <w:color w:val="FF0000"/>
          <w:sz w:val="22"/>
          <w:szCs w:val="22"/>
        </w:rPr>
        <w:t>.</w:t>
      </w:r>
      <w:r w:rsidR="00827D23">
        <w:rPr>
          <w:rFonts w:asciiTheme="minorHAnsi" w:eastAsia="Times New Roman" w:hAnsiTheme="minorHAnsi" w:cstheme="minorHAnsi"/>
          <w:color w:val="FF0000"/>
          <w:sz w:val="22"/>
          <w:szCs w:val="22"/>
        </w:rPr>
        <w:t xml:space="preserve"> We report data quarterly; we anticipate the cumulative figures to March 2018 to be as follows:</w:t>
      </w:r>
    </w:p>
    <w:p w:rsidR="008D2F2E" w:rsidRPr="00645EE5" w:rsidRDefault="00645EE5" w:rsidP="008D2F2E">
      <w:pPr>
        <w:spacing w:before="100" w:beforeAutospacing="1" w:after="100" w:afterAutospacing="1"/>
        <w:ind w:left="720"/>
        <w:rPr>
          <w:rFonts w:asciiTheme="minorHAnsi" w:eastAsia="Times New Roman" w:hAnsiTheme="minorHAnsi" w:cstheme="minorHAnsi"/>
          <w:color w:val="FF0000"/>
          <w:sz w:val="22"/>
          <w:szCs w:val="22"/>
        </w:rPr>
      </w:pPr>
      <w:r w:rsidRPr="00645EE5">
        <w:rPr>
          <w:rFonts w:asciiTheme="minorHAnsi" w:eastAsia="Times New Roman" w:hAnsiTheme="minorHAnsi" w:cstheme="minorHAnsi"/>
          <w:color w:val="FF0000"/>
          <w:sz w:val="22"/>
          <w:szCs w:val="22"/>
        </w:rPr>
        <w:t xml:space="preserve">BIG2 </w:t>
      </w:r>
      <w:r w:rsidRPr="00645EE5">
        <w:rPr>
          <w:rFonts w:asciiTheme="minorHAnsi" w:eastAsia="Times New Roman" w:hAnsiTheme="minorHAnsi" w:cstheme="minorHAnsi"/>
          <w:color w:val="FF0000"/>
          <w:sz w:val="22"/>
          <w:szCs w:val="22"/>
        </w:rPr>
        <w:tab/>
      </w:r>
      <w:r w:rsidRPr="00645EE5">
        <w:rPr>
          <w:rFonts w:asciiTheme="minorHAnsi" w:eastAsia="Times New Roman" w:hAnsiTheme="minorHAnsi" w:cstheme="minorHAnsi"/>
          <w:color w:val="FF0000"/>
          <w:sz w:val="22"/>
          <w:szCs w:val="22"/>
        </w:rPr>
        <w:tab/>
        <w:t>83</w:t>
      </w:r>
    </w:p>
    <w:p w:rsidR="00827D23" w:rsidRPr="00645EE5" w:rsidRDefault="00645EE5" w:rsidP="008D2F2E">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IIC</w:t>
      </w:r>
      <w:r>
        <w:rPr>
          <w:rFonts w:asciiTheme="minorHAnsi" w:eastAsia="Times New Roman" w:hAnsiTheme="minorHAnsi" w:cstheme="minorHAnsi"/>
          <w:color w:val="FF0000"/>
          <w:sz w:val="22"/>
          <w:szCs w:val="22"/>
        </w:rPr>
        <w:tab/>
      </w:r>
      <w:r>
        <w:rPr>
          <w:rFonts w:asciiTheme="minorHAnsi" w:eastAsia="Times New Roman" w:hAnsiTheme="minorHAnsi" w:cstheme="minorHAnsi"/>
          <w:color w:val="FF0000"/>
          <w:sz w:val="22"/>
          <w:szCs w:val="22"/>
        </w:rPr>
        <w:tab/>
        <w:t>19</w:t>
      </w:r>
      <w:r w:rsidR="00D55EC2">
        <w:rPr>
          <w:rFonts w:asciiTheme="minorHAnsi" w:eastAsia="Times New Roman" w:hAnsiTheme="minorHAnsi" w:cstheme="minorHAnsi"/>
          <w:color w:val="FF0000"/>
          <w:sz w:val="22"/>
          <w:szCs w:val="22"/>
        </w:rPr>
        <w:t xml:space="preserve"> landed investors (approx. 80 leads)</w:t>
      </w:r>
    </w:p>
    <w:p w:rsidR="00827D23" w:rsidRPr="00827D23" w:rsidRDefault="00F67C33" w:rsidP="008D2F2E">
      <w:pPr>
        <w:spacing w:before="100" w:beforeAutospacing="1" w:after="100" w:afterAutospacing="1"/>
        <w:ind w:left="72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CIOSGH</w:t>
      </w:r>
      <w:r w:rsidRPr="00F67C33">
        <w:rPr>
          <w:rFonts w:asciiTheme="minorHAnsi" w:eastAsia="Times New Roman" w:hAnsiTheme="minorHAnsi" w:cstheme="minorHAnsi"/>
          <w:color w:val="FF0000"/>
          <w:sz w:val="22"/>
          <w:szCs w:val="22"/>
        </w:rPr>
        <w:tab/>
      </w:r>
      <w:r w:rsidRPr="00F67C33">
        <w:rPr>
          <w:rFonts w:asciiTheme="minorHAnsi" w:eastAsia="Times New Roman" w:hAnsiTheme="minorHAnsi" w:cstheme="minorHAnsi"/>
          <w:color w:val="FF0000"/>
          <w:sz w:val="22"/>
          <w:szCs w:val="22"/>
        </w:rPr>
        <w:tab/>
        <w:t>1144</w:t>
      </w:r>
      <w:r w:rsidR="00D55EC2">
        <w:rPr>
          <w:rFonts w:asciiTheme="minorHAnsi" w:eastAsia="Times New Roman" w:hAnsiTheme="minorHAnsi" w:cstheme="minorHAnsi"/>
          <w:color w:val="FF0000"/>
          <w:sz w:val="22"/>
          <w:szCs w:val="22"/>
        </w:rPr>
        <w:t xml:space="preserve"> (see 2 below re drop-out)</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Following on, we note that the output target for 'number of enterprises receiving support' for the CIOSGH programme is 1,702. However, we also note that beneficiaries go on a client journey (as indicated in the ITT supporting information), and assume that they reach different stages (Stages 1-6) on that client journey according to their need. Therefore, can you provide any further detailed information about the breakdown of beneficiaries that reach each of the Stages of the client journey?</w:t>
      </w:r>
    </w:p>
    <w:p w:rsid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RESPONSE</w:t>
      </w:r>
    </w:p>
    <w:p w:rsidR="00645EE5" w:rsidRDefault="00645EE5"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The large majority of clients complete the client journey however, there is a degree of ‘drop out’ which is overall running at 17%</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For each of the programmes, will you be able to provide contact details for programme beneficiaries? If, so, what details will you be able to provide (</w:t>
      </w:r>
      <w:proofErr w:type="spellStart"/>
      <w:r w:rsidRPr="008D2F2E">
        <w:rPr>
          <w:rFonts w:asciiTheme="minorHAnsi" w:eastAsia="Times New Roman" w:hAnsiTheme="minorHAnsi" w:cstheme="minorHAnsi"/>
          <w:sz w:val="22"/>
          <w:szCs w:val="22"/>
        </w:rPr>
        <w:t>eg</w:t>
      </w:r>
      <w:proofErr w:type="spellEnd"/>
      <w:r w:rsidRPr="008D2F2E">
        <w:rPr>
          <w:rFonts w:asciiTheme="minorHAnsi" w:eastAsia="Times New Roman" w:hAnsiTheme="minorHAnsi" w:cstheme="minorHAnsi"/>
          <w:sz w:val="22"/>
          <w:szCs w:val="22"/>
        </w:rPr>
        <w:t xml:space="preserve"> name, telephone number, email address, </w:t>
      </w:r>
      <w:proofErr w:type="spellStart"/>
      <w:r w:rsidRPr="008D2F2E">
        <w:rPr>
          <w:rFonts w:asciiTheme="minorHAnsi" w:eastAsia="Times New Roman" w:hAnsiTheme="minorHAnsi" w:cstheme="minorHAnsi"/>
          <w:sz w:val="22"/>
          <w:szCs w:val="22"/>
        </w:rPr>
        <w:t>etc</w:t>
      </w:r>
      <w:proofErr w:type="spellEnd"/>
      <w:r w:rsidRPr="008D2F2E">
        <w:rPr>
          <w:rFonts w:asciiTheme="minorHAnsi" w:eastAsia="Times New Roman" w:hAnsiTheme="minorHAnsi" w:cstheme="minorHAnsi"/>
          <w:sz w:val="22"/>
          <w:szCs w:val="22"/>
        </w:rPr>
        <w:t>) </w:t>
      </w:r>
    </w:p>
    <w:p w:rsid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sidRPr="0058536A">
        <w:rPr>
          <w:rFonts w:asciiTheme="minorHAnsi" w:eastAsia="Times New Roman" w:hAnsiTheme="minorHAnsi" w:cstheme="minorHAnsi"/>
          <w:color w:val="FF0000"/>
          <w:sz w:val="22"/>
          <w:szCs w:val="22"/>
        </w:rPr>
        <w:t>RESPONSE</w:t>
      </w:r>
    </w:p>
    <w:p w:rsidR="0058536A" w:rsidRP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The minimum data that can be supplied is name and email address.  However, we do also hold telephone numbers for most of the contacts. </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For each of the programmes, will the beneficiaries have already agreed/opted to take part in the programme evaluation?</w:t>
      </w:r>
    </w:p>
    <w:p w:rsidR="0058536A" w:rsidRDefault="0058536A" w:rsidP="0058536A">
      <w:pPr>
        <w:spacing w:before="100" w:beforeAutospacing="1" w:after="100" w:afterAutospacing="1"/>
        <w:ind w:left="360" w:firstLine="360"/>
        <w:rPr>
          <w:rFonts w:asciiTheme="minorHAnsi" w:eastAsia="Times New Roman" w:hAnsiTheme="minorHAnsi" w:cstheme="minorHAnsi"/>
          <w:color w:val="FF0000"/>
          <w:sz w:val="22"/>
          <w:szCs w:val="22"/>
        </w:rPr>
      </w:pPr>
      <w:r w:rsidRPr="0058536A">
        <w:rPr>
          <w:rFonts w:asciiTheme="minorHAnsi" w:eastAsia="Times New Roman" w:hAnsiTheme="minorHAnsi" w:cstheme="minorHAnsi"/>
          <w:color w:val="FF0000"/>
          <w:sz w:val="22"/>
          <w:szCs w:val="22"/>
        </w:rPr>
        <w:t>RESPONSE</w:t>
      </w:r>
    </w:p>
    <w:p w:rsidR="0058536A" w:rsidRPr="0058536A" w:rsidRDefault="0058536A" w:rsidP="0058536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All of the beneficiaries will have agreed to be contacted and take part as part of the conditions of the offer of support they have rece</w:t>
      </w:r>
      <w:r w:rsidR="00B40A7E">
        <w:rPr>
          <w:rFonts w:asciiTheme="minorHAnsi" w:eastAsia="Times New Roman" w:hAnsiTheme="minorHAnsi" w:cstheme="minorHAnsi"/>
          <w:color w:val="FF0000"/>
          <w:sz w:val="22"/>
          <w:szCs w:val="22"/>
        </w:rPr>
        <w:t xml:space="preserve">ived.  However, we will contact all the </w:t>
      </w:r>
      <w:r w:rsidR="00B40A7E">
        <w:rPr>
          <w:rFonts w:asciiTheme="minorHAnsi" w:eastAsia="Times New Roman" w:hAnsiTheme="minorHAnsi" w:cstheme="minorHAnsi"/>
          <w:color w:val="FF0000"/>
          <w:sz w:val="22"/>
          <w:szCs w:val="22"/>
        </w:rPr>
        <w:lastRenderedPageBreak/>
        <w:t xml:space="preserve">beneficiaries </w:t>
      </w:r>
      <w:r w:rsidR="001A0B8A">
        <w:rPr>
          <w:rFonts w:asciiTheme="minorHAnsi" w:eastAsia="Times New Roman" w:hAnsiTheme="minorHAnsi" w:cstheme="minorHAnsi"/>
          <w:color w:val="FF0000"/>
          <w:sz w:val="22"/>
          <w:szCs w:val="22"/>
        </w:rPr>
        <w:t xml:space="preserve">in advance to </w:t>
      </w:r>
      <w:r>
        <w:rPr>
          <w:rFonts w:asciiTheme="minorHAnsi" w:eastAsia="Times New Roman" w:hAnsiTheme="minorHAnsi" w:cstheme="minorHAnsi"/>
          <w:color w:val="FF0000"/>
          <w:sz w:val="22"/>
          <w:szCs w:val="22"/>
        </w:rPr>
        <w:t xml:space="preserve">provide the background </w:t>
      </w:r>
      <w:r w:rsidR="001A0B8A">
        <w:rPr>
          <w:rFonts w:asciiTheme="minorHAnsi" w:eastAsia="Times New Roman" w:hAnsiTheme="minorHAnsi" w:cstheme="minorHAnsi"/>
          <w:color w:val="FF0000"/>
          <w:sz w:val="22"/>
          <w:szCs w:val="22"/>
        </w:rPr>
        <w:t xml:space="preserve">to the assessment process and the </w:t>
      </w:r>
      <w:r w:rsidR="00B40A7E">
        <w:rPr>
          <w:rFonts w:asciiTheme="minorHAnsi" w:eastAsia="Times New Roman" w:hAnsiTheme="minorHAnsi" w:cstheme="minorHAnsi"/>
          <w:color w:val="FF0000"/>
          <w:sz w:val="22"/>
          <w:szCs w:val="22"/>
        </w:rPr>
        <w:t>details of the successful bidder.</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Are you able to detail what beneficiary data is held by CDC? Is data collected prior to the business assist, and is post-support data also collected? If so, how long after the support is data collected? Is post-support data available for all beneficiaries? Can you confirm that this beneficiary data will be made available to the successful contractor? </w:t>
      </w:r>
    </w:p>
    <w:p w:rsidR="001A0B8A" w:rsidRDefault="001A0B8A" w:rsidP="001A0B8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RESPONSE</w:t>
      </w:r>
    </w:p>
    <w:p w:rsidR="00C435A9" w:rsidRDefault="00C435A9" w:rsidP="001A0B8A">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Data is collected prior to the business assist and limited post-</w:t>
      </w:r>
      <w:r w:rsidR="00CA5A5E">
        <w:rPr>
          <w:rFonts w:asciiTheme="minorHAnsi" w:eastAsia="Times New Roman" w:hAnsiTheme="minorHAnsi" w:cstheme="minorHAnsi"/>
          <w:color w:val="FF0000"/>
          <w:sz w:val="22"/>
          <w:szCs w:val="22"/>
        </w:rPr>
        <w:t xml:space="preserve">support data is collected which </w:t>
      </w:r>
      <w:r>
        <w:rPr>
          <w:rFonts w:asciiTheme="minorHAnsi" w:eastAsia="Times New Roman" w:hAnsiTheme="minorHAnsi" w:cstheme="minorHAnsi"/>
          <w:color w:val="FF0000"/>
          <w:sz w:val="22"/>
          <w:szCs w:val="22"/>
        </w:rPr>
        <w:t>predominately relates to the indicators</w:t>
      </w:r>
      <w:r w:rsidR="00CA5A5E">
        <w:rPr>
          <w:rFonts w:asciiTheme="minorHAnsi" w:eastAsia="Times New Roman" w:hAnsiTheme="minorHAnsi" w:cstheme="minorHAnsi"/>
          <w:color w:val="FF0000"/>
          <w:sz w:val="22"/>
          <w:szCs w:val="22"/>
        </w:rPr>
        <w:t xml:space="preserve"> identified at Enclosures 10, 11 </w:t>
      </w:r>
      <w:r>
        <w:rPr>
          <w:rFonts w:asciiTheme="minorHAnsi" w:eastAsia="Times New Roman" w:hAnsiTheme="minorHAnsi" w:cstheme="minorHAnsi"/>
          <w:color w:val="FF0000"/>
          <w:sz w:val="22"/>
          <w:szCs w:val="22"/>
        </w:rPr>
        <w:t>and 12</w:t>
      </w:r>
    </w:p>
    <w:p w:rsidR="00F67C33" w:rsidRDefault="00F67C33" w:rsidP="00C435A9">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Attached are the following documents which aid our data collection:</w:t>
      </w:r>
    </w:p>
    <w:p w:rsidR="00F67C33" w:rsidRPr="00F67C33" w:rsidRDefault="00F67C33" w:rsidP="00F67C33">
      <w:pPr>
        <w:spacing w:before="100" w:beforeAutospacing="1" w:after="100" w:afterAutospacing="1"/>
        <w:ind w:left="72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 xml:space="preserve">BIG2 </w:t>
      </w:r>
      <w:r w:rsidRPr="00F67C33">
        <w:rPr>
          <w:rFonts w:asciiTheme="minorHAnsi" w:eastAsia="Times New Roman" w:hAnsiTheme="minorHAnsi" w:cstheme="minorHAnsi"/>
          <w:color w:val="FF0000"/>
          <w:sz w:val="22"/>
          <w:szCs w:val="22"/>
        </w:rPr>
        <w:tab/>
      </w:r>
      <w:r w:rsidRPr="00F67C33">
        <w:rPr>
          <w:rFonts w:asciiTheme="minorHAnsi" w:eastAsia="Times New Roman" w:hAnsiTheme="minorHAnsi" w:cstheme="minorHAnsi"/>
          <w:color w:val="FF0000"/>
          <w:sz w:val="22"/>
          <w:szCs w:val="22"/>
        </w:rPr>
        <w:tab/>
        <w:t>Grant Application Form</w:t>
      </w:r>
    </w:p>
    <w:p w:rsidR="00F67C33" w:rsidRPr="00F67C33" w:rsidRDefault="00F67C33" w:rsidP="00F67C33">
      <w:pPr>
        <w:spacing w:before="100" w:beforeAutospacing="1" w:after="100" w:afterAutospacing="1"/>
        <w:ind w:left="72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IIC</w:t>
      </w:r>
      <w:r w:rsidRPr="00F67C33">
        <w:rPr>
          <w:rFonts w:asciiTheme="minorHAnsi" w:eastAsia="Times New Roman" w:hAnsiTheme="minorHAnsi" w:cstheme="minorHAnsi"/>
          <w:color w:val="FF0000"/>
          <w:sz w:val="22"/>
          <w:szCs w:val="22"/>
        </w:rPr>
        <w:tab/>
      </w:r>
      <w:r w:rsidRPr="00F67C33">
        <w:rPr>
          <w:rFonts w:asciiTheme="minorHAnsi" w:eastAsia="Times New Roman" w:hAnsiTheme="minorHAnsi" w:cstheme="minorHAnsi"/>
          <w:color w:val="FF0000"/>
          <w:sz w:val="22"/>
          <w:szCs w:val="22"/>
        </w:rPr>
        <w:tab/>
        <w:t>Client Agreement Form</w:t>
      </w:r>
    </w:p>
    <w:p w:rsidR="00F67C33" w:rsidRPr="00827D23" w:rsidRDefault="00F67C33" w:rsidP="00F67C33">
      <w:pPr>
        <w:spacing w:before="100" w:beforeAutospacing="1" w:after="100" w:afterAutospacing="1"/>
        <w:ind w:left="72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CIOSGH</w:t>
      </w:r>
      <w:r w:rsidRPr="00F67C33">
        <w:rPr>
          <w:rFonts w:asciiTheme="minorHAnsi" w:eastAsia="Times New Roman" w:hAnsiTheme="minorHAnsi" w:cstheme="minorHAnsi"/>
          <w:color w:val="FF0000"/>
          <w:sz w:val="22"/>
          <w:szCs w:val="22"/>
        </w:rPr>
        <w:tab/>
      </w:r>
      <w:r w:rsidRPr="00F67C33">
        <w:rPr>
          <w:rFonts w:asciiTheme="minorHAnsi" w:eastAsia="Times New Roman" w:hAnsiTheme="minorHAnsi" w:cstheme="minorHAnsi"/>
          <w:color w:val="FF0000"/>
          <w:sz w:val="22"/>
          <w:szCs w:val="22"/>
        </w:rPr>
        <w:tab/>
        <w:t>Excel spreadsheet indicating CRM fields</w:t>
      </w:r>
    </w:p>
    <w:p w:rsidR="00C435A9" w:rsidRDefault="00C435A9" w:rsidP="00C435A9">
      <w:pPr>
        <w:spacing w:before="100" w:beforeAutospacing="1" w:after="100" w:afterAutospacing="1"/>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 xml:space="preserve">Once </w:t>
      </w:r>
      <w:r>
        <w:rPr>
          <w:rFonts w:asciiTheme="minorHAnsi" w:eastAsia="Times New Roman" w:hAnsiTheme="minorHAnsi" w:cstheme="minorHAnsi"/>
          <w:color w:val="FF0000"/>
          <w:sz w:val="22"/>
          <w:szCs w:val="22"/>
        </w:rPr>
        <w:t xml:space="preserve">signed contracts are in place and hence, </w:t>
      </w:r>
      <w:r w:rsidRPr="001A0B8A">
        <w:rPr>
          <w:rFonts w:asciiTheme="minorHAnsi" w:eastAsia="Times New Roman" w:hAnsiTheme="minorHAnsi" w:cstheme="minorHAnsi"/>
          <w:color w:val="FF0000"/>
          <w:sz w:val="22"/>
          <w:szCs w:val="22"/>
        </w:rPr>
        <w:t>the successful bidder has agreed to CDC’s standard terms and conditions</w:t>
      </w:r>
      <w:r>
        <w:rPr>
          <w:rFonts w:asciiTheme="minorHAnsi" w:eastAsia="Times New Roman" w:hAnsiTheme="minorHAnsi" w:cstheme="minorHAnsi"/>
          <w:color w:val="FF0000"/>
          <w:sz w:val="22"/>
          <w:szCs w:val="22"/>
        </w:rPr>
        <w:t xml:space="preserve"> </w:t>
      </w:r>
      <w:r w:rsidRPr="001A0B8A">
        <w:rPr>
          <w:rFonts w:asciiTheme="minorHAnsi" w:eastAsia="Times New Roman" w:hAnsiTheme="minorHAnsi" w:cstheme="minorHAnsi"/>
          <w:color w:val="FF0000"/>
          <w:sz w:val="22"/>
          <w:szCs w:val="22"/>
        </w:rPr>
        <w:t>(</w:t>
      </w:r>
      <w:r>
        <w:rPr>
          <w:rFonts w:asciiTheme="minorHAnsi" w:eastAsia="Times New Roman" w:hAnsiTheme="minorHAnsi" w:cstheme="minorHAnsi"/>
          <w:color w:val="FF0000"/>
          <w:sz w:val="22"/>
          <w:szCs w:val="22"/>
        </w:rPr>
        <w:t>Enclos</w:t>
      </w:r>
      <w:r w:rsidR="00F67C33">
        <w:rPr>
          <w:rFonts w:asciiTheme="minorHAnsi" w:eastAsia="Times New Roman" w:hAnsiTheme="minorHAnsi" w:cstheme="minorHAnsi"/>
          <w:color w:val="FF0000"/>
          <w:sz w:val="22"/>
          <w:szCs w:val="22"/>
        </w:rPr>
        <w:t xml:space="preserve">ure 13 of the bidding documents) </w:t>
      </w:r>
      <w:r>
        <w:rPr>
          <w:rFonts w:asciiTheme="minorHAnsi" w:eastAsia="Times New Roman" w:hAnsiTheme="minorHAnsi" w:cstheme="minorHAnsi"/>
          <w:color w:val="FF0000"/>
          <w:sz w:val="22"/>
          <w:szCs w:val="22"/>
        </w:rPr>
        <w:t xml:space="preserve">- </w:t>
      </w:r>
      <w:r w:rsidRPr="001A0B8A">
        <w:rPr>
          <w:rFonts w:asciiTheme="minorHAnsi" w:eastAsia="Times New Roman" w:hAnsiTheme="minorHAnsi" w:cstheme="minorHAnsi"/>
          <w:color w:val="FF0000"/>
          <w:sz w:val="22"/>
          <w:szCs w:val="22"/>
        </w:rPr>
        <w:t xml:space="preserve">your attention is drawn to section 5 </w:t>
      </w:r>
      <w:r w:rsidR="00F67C33">
        <w:rPr>
          <w:rFonts w:asciiTheme="minorHAnsi" w:eastAsia="Times New Roman" w:hAnsiTheme="minorHAnsi" w:cstheme="minorHAnsi"/>
          <w:color w:val="FF0000"/>
          <w:sz w:val="22"/>
          <w:szCs w:val="22"/>
        </w:rPr>
        <w:t xml:space="preserve">of the ITT with regard to this question - </w:t>
      </w:r>
      <w:r>
        <w:rPr>
          <w:rFonts w:asciiTheme="minorHAnsi" w:eastAsia="Times New Roman" w:hAnsiTheme="minorHAnsi" w:cstheme="minorHAnsi"/>
          <w:color w:val="FF0000"/>
          <w:sz w:val="22"/>
          <w:szCs w:val="22"/>
        </w:rPr>
        <w:t xml:space="preserve">all beneficiary data will be made available as identified and agreed at the inception meeting.  </w:t>
      </w:r>
    </w:p>
    <w:p w:rsidR="00F67C33" w:rsidRDefault="00F67C33" w:rsidP="008D2F2E">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P</w:t>
      </w:r>
      <w:r w:rsidR="00C435A9" w:rsidRPr="00C435A9">
        <w:rPr>
          <w:rFonts w:asciiTheme="minorHAnsi" w:eastAsia="Times New Roman" w:hAnsiTheme="minorHAnsi" w:cstheme="minorHAnsi"/>
          <w:color w:val="FF0000"/>
          <w:sz w:val="22"/>
          <w:szCs w:val="22"/>
        </w:rPr>
        <w:t xml:space="preserve">ost support data </w:t>
      </w:r>
      <w:r>
        <w:rPr>
          <w:rFonts w:asciiTheme="minorHAnsi" w:eastAsia="Times New Roman" w:hAnsiTheme="minorHAnsi" w:cstheme="minorHAnsi"/>
          <w:color w:val="FF0000"/>
          <w:sz w:val="22"/>
          <w:szCs w:val="22"/>
        </w:rPr>
        <w:t>is not currently held for all beneficiaries, status per project as follows:</w:t>
      </w:r>
    </w:p>
    <w:p w:rsidR="00431384" w:rsidRPr="00F67C33" w:rsidRDefault="00431384" w:rsidP="00431384">
      <w:pPr>
        <w:spacing w:before="100" w:beforeAutospacing="1" w:after="100" w:afterAutospacing="1"/>
        <w:ind w:left="2160" w:hanging="144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BIG2 </w:t>
      </w:r>
      <w:r>
        <w:rPr>
          <w:rFonts w:asciiTheme="minorHAnsi" w:eastAsia="Times New Roman" w:hAnsiTheme="minorHAnsi" w:cstheme="minorHAnsi"/>
          <w:color w:val="FF0000"/>
          <w:sz w:val="22"/>
          <w:szCs w:val="22"/>
        </w:rPr>
        <w:tab/>
        <w:t xml:space="preserve">Applicants have a period of time post grant award to report outputs, project deadline for collection / reporting June 2019, awaiting PCR </w:t>
      </w:r>
      <w:proofErr w:type="gramStart"/>
      <w:r>
        <w:rPr>
          <w:rFonts w:asciiTheme="minorHAnsi" w:eastAsia="Times New Roman" w:hAnsiTheme="minorHAnsi" w:cstheme="minorHAnsi"/>
          <w:color w:val="FF0000"/>
          <w:sz w:val="22"/>
          <w:szCs w:val="22"/>
        </w:rPr>
        <w:t xml:space="preserve">approval  </w:t>
      </w:r>
      <w:r w:rsidR="00C004F9">
        <w:rPr>
          <w:rFonts w:asciiTheme="minorHAnsi" w:eastAsia="Times New Roman" w:hAnsiTheme="minorHAnsi" w:cstheme="minorHAnsi"/>
          <w:color w:val="FF0000"/>
          <w:sz w:val="22"/>
          <w:szCs w:val="22"/>
        </w:rPr>
        <w:t>(</w:t>
      </w:r>
      <w:proofErr w:type="gramEnd"/>
      <w:r w:rsidR="00C004F9">
        <w:rPr>
          <w:rFonts w:asciiTheme="minorHAnsi" w:eastAsia="Times New Roman" w:hAnsiTheme="minorHAnsi" w:cstheme="minorHAnsi"/>
          <w:color w:val="FF0000"/>
          <w:sz w:val="22"/>
          <w:szCs w:val="22"/>
        </w:rPr>
        <w:t>Enclosure 1 to Clarification Note)</w:t>
      </w:r>
    </w:p>
    <w:p w:rsidR="00431384" w:rsidRPr="00F67C33" w:rsidRDefault="00431384" w:rsidP="00431384">
      <w:pPr>
        <w:spacing w:before="100" w:beforeAutospacing="1" w:after="100" w:afterAutospacing="1"/>
        <w:ind w:left="2160" w:hanging="144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IIC</w:t>
      </w:r>
      <w:r w:rsidRPr="00F67C33">
        <w:rPr>
          <w:rFonts w:asciiTheme="minorHAnsi" w:eastAsia="Times New Roman" w:hAnsiTheme="minorHAnsi" w:cstheme="minorHAnsi"/>
          <w:color w:val="FF0000"/>
          <w:sz w:val="22"/>
          <w:szCs w:val="22"/>
        </w:rPr>
        <w:tab/>
      </w:r>
      <w:r>
        <w:rPr>
          <w:rFonts w:asciiTheme="minorHAnsi" w:eastAsia="Times New Roman" w:hAnsiTheme="minorHAnsi" w:cstheme="minorHAnsi"/>
          <w:color w:val="FF0000"/>
          <w:sz w:val="22"/>
          <w:szCs w:val="22"/>
        </w:rPr>
        <w:t xml:space="preserve">Applicants have a period of time post grant award to report outputs, project deadline </w:t>
      </w:r>
      <w:r w:rsidR="00BB6E9F">
        <w:rPr>
          <w:rFonts w:asciiTheme="minorHAnsi" w:eastAsia="Times New Roman" w:hAnsiTheme="minorHAnsi" w:cstheme="minorHAnsi"/>
          <w:color w:val="FF0000"/>
          <w:sz w:val="22"/>
          <w:szCs w:val="22"/>
        </w:rPr>
        <w:t xml:space="preserve">for collection / </w:t>
      </w:r>
      <w:proofErr w:type="gramStart"/>
      <w:r w:rsidR="00BB6E9F">
        <w:rPr>
          <w:rFonts w:asciiTheme="minorHAnsi" w:eastAsia="Times New Roman" w:hAnsiTheme="minorHAnsi" w:cstheme="minorHAnsi"/>
          <w:color w:val="FF0000"/>
          <w:sz w:val="22"/>
          <w:szCs w:val="22"/>
        </w:rPr>
        <w:t>reporting  Sept</w:t>
      </w:r>
      <w:proofErr w:type="gramEnd"/>
      <w:r>
        <w:rPr>
          <w:rFonts w:asciiTheme="minorHAnsi" w:eastAsia="Times New Roman" w:hAnsiTheme="minorHAnsi" w:cstheme="minorHAnsi"/>
          <w:color w:val="FF0000"/>
          <w:sz w:val="22"/>
          <w:szCs w:val="22"/>
        </w:rPr>
        <w:t xml:space="preserve"> 2019, awaiting PCR approval  </w:t>
      </w:r>
      <w:r w:rsidR="00C004F9" w:rsidRPr="00C004F9">
        <w:rPr>
          <w:rFonts w:asciiTheme="minorHAnsi" w:eastAsia="Times New Roman" w:hAnsiTheme="minorHAnsi" w:cstheme="minorHAnsi"/>
          <w:color w:val="FF0000"/>
          <w:sz w:val="22"/>
          <w:szCs w:val="22"/>
        </w:rPr>
        <w:t xml:space="preserve">(Enclosure </w:t>
      </w:r>
      <w:r w:rsidR="00C004F9">
        <w:rPr>
          <w:rFonts w:asciiTheme="minorHAnsi" w:eastAsia="Times New Roman" w:hAnsiTheme="minorHAnsi" w:cstheme="minorHAnsi"/>
          <w:color w:val="FF0000"/>
          <w:sz w:val="22"/>
          <w:szCs w:val="22"/>
        </w:rPr>
        <w:t>2</w:t>
      </w:r>
      <w:r w:rsidR="00C004F9" w:rsidRPr="00C004F9">
        <w:rPr>
          <w:rFonts w:asciiTheme="minorHAnsi" w:eastAsia="Times New Roman" w:hAnsiTheme="minorHAnsi" w:cstheme="minorHAnsi"/>
          <w:color w:val="FF0000"/>
          <w:sz w:val="22"/>
          <w:szCs w:val="22"/>
        </w:rPr>
        <w:t xml:space="preserve"> to Clarification Note)</w:t>
      </w:r>
    </w:p>
    <w:p w:rsidR="00431384" w:rsidRPr="00827D23" w:rsidRDefault="00431384" w:rsidP="00645EE5">
      <w:pPr>
        <w:spacing w:before="100" w:beforeAutospacing="1" w:after="100" w:afterAutospacing="1"/>
        <w:ind w:left="2160" w:hanging="1440"/>
        <w:rPr>
          <w:rFonts w:asciiTheme="minorHAnsi" w:eastAsia="Times New Roman" w:hAnsiTheme="minorHAnsi" w:cstheme="minorHAnsi"/>
          <w:color w:val="FF0000"/>
          <w:sz w:val="22"/>
          <w:szCs w:val="22"/>
        </w:rPr>
      </w:pPr>
      <w:r w:rsidRPr="00F67C33">
        <w:rPr>
          <w:rFonts w:asciiTheme="minorHAnsi" w:eastAsia="Times New Roman" w:hAnsiTheme="minorHAnsi" w:cstheme="minorHAnsi"/>
          <w:color w:val="FF0000"/>
          <w:sz w:val="22"/>
          <w:szCs w:val="22"/>
        </w:rPr>
        <w:t>CIOSGH</w:t>
      </w:r>
      <w:r w:rsidRPr="00F67C33">
        <w:rPr>
          <w:rFonts w:asciiTheme="minorHAnsi" w:eastAsia="Times New Roman" w:hAnsiTheme="minorHAnsi" w:cstheme="minorHAnsi"/>
          <w:color w:val="FF0000"/>
          <w:sz w:val="22"/>
          <w:szCs w:val="22"/>
        </w:rPr>
        <w:tab/>
      </w:r>
      <w:r>
        <w:rPr>
          <w:rFonts w:asciiTheme="minorHAnsi" w:eastAsia="Times New Roman" w:hAnsiTheme="minorHAnsi" w:cstheme="minorHAnsi"/>
          <w:color w:val="FF0000"/>
          <w:sz w:val="22"/>
          <w:szCs w:val="22"/>
        </w:rPr>
        <w:t>The applicants have no requirement to r</w:t>
      </w:r>
      <w:r w:rsidR="00645EE5">
        <w:rPr>
          <w:rFonts w:asciiTheme="minorHAnsi" w:eastAsia="Times New Roman" w:hAnsiTheme="minorHAnsi" w:cstheme="minorHAnsi"/>
          <w:color w:val="FF0000"/>
          <w:sz w:val="22"/>
          <w:szCs w:val="22"/>
        </w:rPr>
        <w:t>eport post support however, applicants are asked to complete a feedback survey.</w:t>
      </w:r>
      <w:r w:rsidR="00645EE5" w:rsidRPr="00827D23">
        <w:rPr>
          <w:rFonts w:asciiTheme="minorHAnsi" w:eastAsia="Times New Roman" w:hAnsiTheme="minorHAnsi" w:cstheme="minorHAnsi"/>
          <w:color w:val="FF0000"/>
          <w:sz w:val="22"/>
          <w:szCs w:val="22"/>
        </w:rPr>
        <w:t xml:space="preserve"> </w:t>
      </w:r>
      <w:r w:rsidR="00C004F9">
        <w:rPr>
          <w:rFonts w:asciiTheme="minorHAnsi" w:eastAsia="Times New Roman" w:hAnsiTheme="minorHAnsi" w:cstheme="minorHAnsi"/>
          <w:color w:val="FF0000"/>
          <w:sz w:val="22"/>
          <w:szCs w:val="22"/>
        </w:rPr>
        <w:t>(Enclosure 3 to Clarification Note)</w:t>
      </w:r>
    </w:p>
    <w:p w:rsidR="00F67C33" w:rsidRDefault="00F67C33" w:rsidP="008D2F2E">
      <w:pPr>
        <w:spacing w:before="100" w:beforeAutospacing="1" w:after="100" w:afterAutospacing="1"/>
        <w:ind w:left="720"/>
        <w:rPr>
          <w:rFonts w:asciiTheme="minorHAnsi" w:eastAsia="Times New Roman" w:hAnsiTheme="minorHAnsi" w:cstheme="minorHAnsi"/>
          <w:color w:val="FF0000"/>
          <w:sz w:val="22"/>
          <w:szCs w:val="22"/>
        </w:rPr>
      </w:pPr>
    </w:p>
    <w:p w:rsidR="008D2F2E" w:rsidRPr="00C435A9" w:rsidRDefault="00F67C33" w:rsidP="008D2F2E">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 </w:t>
      </w:r>
    </w:p>
    <w:p w:rsidR="008D2F2E" w:rsidRDefault="008D2F2E" w:rsidP="008D2F2E">
      <w:pPr>
        <w:numPr>
          <w:ilvl w:val="0"/>
          <w:numId w:val="1"/>
        </w:numPr>
        <w:spacing w:before="100" w:beforeAutospacing="1" w:after="100" w:afterAutospacing="1"/>
        <w:rPr>
          <w:rFonts w:asciiTheme="minorHAnsi" w:eastAsia="Times New Roman" w:hAnsiTheme="minorHAnsi" w:cstheme="minorHAnsi"/>
          <w:sz w:val="22"/>
          <w:szCs w:val="22"/>
        </w:rPr>
      </w:pPr>
      <w:r w:rsidRPr="008D2F2E">
        <w:rPr>
          <w:rFonts w:asciiTheme="minorHAnsi" w:eastAsia="Times New Roman" w:hAnsiTheme="minorHAnsi" w:cstheme="minorHAnsi"/>
          <w:sz w:val="22"/>
          <w:szCs w:val="22"/>
        </w:rPr>
        <w:t>Specifically, can you confirm whether the GVA of beneficiary businesses is estimated pre- and post-support? If possible, are you able to provide more details of how this is held (i.e. is it detailed company-level information, or data that can be used as a proxy e.g. turnover.) </w:t>
      </w:r>
    </w:p>
    <w:p w:rsidR="001A0B8A" w:rsidRDefault="001A0B8A" w:rsidP="001A0B8A">
      <w:pPr>
        <w:spacing w:before="100" w:beforeAutospacing="1" w:after="100" w:afterAutospacing="1"/>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RESPONSE</w:t>
      </w:r>
    </w:p>
    <w:p w:rsidR="001A0B8A" w:rsidRPr="001A0B8A" w:rsidRDefault="001A0B8A" w:rsidP="001A0B8A">
      <w:pPr>
        <w:spacing w:before="100" w:beforeAutospacing="1" w:after="100" w:afterAutospacing="1"/>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No GVA data is gathered</w:t>
      </w:r>
      <w:r w:rsidR="00827D23">
        <w:rPr>
          <w:rFonts w:asciiTheme="minorHAnsi" w:eastAsia="Times New Roman" w:hAnsiTheme="minorHAnsi" w:cstheme="minorHAnsi"/>
          <w:color w:val="FF0000"/>
          <w:sz w:val="22"/>
          <w:szCs w:val="22"/>
        </w:rPr>
        <w:t xml:space="preserve"> as this is not a requirement of the BIG2 / IIC or CIOSGH projects</w:t>
      </w:r>
      <w:r w:rsidRPr="001A0B8A">
        <w:rPr>
          <w:rFonts w:asciiTheme="minorHAnsi" w:eastAsia="Times New Roman" w:hAnsiTheme="minorHAnsi" w:cstheme="minorHAnsi"/>
          <w:color w:val="FF0000"/>
          <w:sz w:val="22"/>
          <w:szCs w:val="22"/>
        </w:rPr>
        <w:t>.</w:t>
      </w:r>
    </w:p>
    <w:p w:rsidR="008D2F2E" w:rsidRDefault="008D2F2E" w:rsidP="008D2F2E">
      <w:pPr>
        <w:numPr>
          <w:ilvl w:val="0"/>
          <w:numId w:val="1"/>
        </w:numPr>
        <w:spacing w:before="100" w:beforeAutospacing="1" w:after="100" w:afterAutospacing="1"/>
        <w:rPr>
          <w:rFonts w:asciiTheme="minorHAnsi" w:eastAsia="Times New Roman" w:hAnsiTheme="minorHAnsi" w:cstheme="minorHAnsi"/>
          <w:color w:val="000000"/>
          <w:sz w:val="22"/>
          <w:szCs w:val="22"/>
        </w:rPr>
      </w:pPr>
      <w:r w:rsidRPr="008D2F2E">
        <w:rPr>
          <w:rFonts w:asciiTheme="minorHAnsi" w:eastAsia="Times New Roman" w:hAnsiTheme="minorHAnsi" w:cstheme="minorHAnsi"/>
          <w:color w:val="000000"/>
          <w:sz w:val="22"/>
          <w:szCs w:val="22"/>
        </w:rPr>
        <w:lastRenderedPageBreak/>
        <w:t>Please could you clarify if point 5.2.8.5 is correct as it repeats the bullet points from point 5.2.8.4 (may be just because 'Investment Panel’ has been added)?</w:t>
      </w:r>
      <w:r w:rsidR="00030BFB">
        <w:rPr>
          <w:rFonts w:asciiTheme="minorHAnsi" w:eastAsia="Times New Roman" w:hAnsiTheme="minorHAnsi" w:cstheme="minorHAnsi"/>
          <w:color w:val="000000"/>
          <w:sz w:val="22"/>
          <w:szCs w:val="22"/>
        </w:rPr>
        <w:t xml:space="preserve"> </w:t>
      </w:r>
    </w:p>
    <w:p w:rsidR="008D2F2E" w:rsidRDefault="00C435A9" w:rsidP="008D2F2E">
      <w:pPr>
        <w:spacing w:before="100" w:beforeAutospacing="1" w:after="100" w:afterAutospacing="1"/>
        <w:ind w:left="720"/>
        <w:rPr>
          <w:rFonts w:asciiTheme="minorHAnsi" w:eastAsia="Times New Roman" w:hAnsiTheme="minorHAnsi" w:cstheme="minorHAnsi"/>
          <w:color w:val="FF0000"/>
          <w:sz w:val="22"/>
          <w:szCs w:val="22"/>
        </w:rPr>
      </w:pPr>
      <w:r w:rsidRPr="00C435A9">
        <w:rPr>
          <w:rFonts w:asciiTheme="minorHAnsi" w:eastAsia="Times New Roman" w:hAnsiTheme="minorHAnsi" w:cstheme="minorHAnsi"/>
          <w:color w:val="FF0000"/>
          <w:sz w:val="22"/>
          <w:szCs w:val="22"/>
        </w:rPr>
        <w:t>RESPONSE</w:t>
      </w:r>
    </w:p>
    <w:p w:rsidR="00C435A9" w:rsidRPr="00C435A9" w:rsidRDefault="00C435A9" w:rsidP="008D2F2E">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5.2.8.4 and 5.2.8.5 </w:t>
      </w:r>
      <w:r w:rsidR="004C0694">
        <w:rPr>
          <w:rFonts w:asciiTheme="minorHAnsi" w:eastAsia="Times New Roman" w:hAnsiTheme="minorHAnsi" w:cstheme="minorHAnsi"/>
          <w:color w:val="FF0000"/>
          <w:sz w:val="22"/>
          <w:szCs w:val="22"/>
        </w:rPr>
        <w:t>are related and do dup</w:t>
      </w:r>
      <w:r w:rsidR="00827D23">
        <w:rPr>
          <w:rFonts w:asciiTheme="minorHAnsi" w:eastAsia="Times New Roman" w:hAnsiTheme="minorHAnsi" w:cstheme="minorHAnsi"/>
          <w:color w:val="FF0000"/>
          <w:sz w:val="22"/>
          <w:szCs w:val="22"/>
        </w:rPr>
        <w:t xml:space="preserve">licate. </w:t>
      </w:r>
      <w:r w:rsidR="004C0694">
        <w:rPr>
          <w:rFonts w:asciiTheme="minorHAnsi" w:eastAsia="Times New Roman" w:hAnsiTheme="minorHAnsi" w:cstheme="minorHAnsi"/>
          <w:color w:val="FF0000"/>
          <w:sz w:val="22"/>
          <w:szCs w:val="22"/>
        </w:rPr>
        <w:t xml:space="preserve"> The assessment required is</w:t>
      </w:r>
      <w:r w:rsidR="00827D23">
        <w:rPr>
          <w:rFonts w:asciiTheme="minorHAnsi" w:eastAsia="Times New Roman" w:hAnsiTheme="minorHAnsi" w:cstheme="minorHAnsi"/>
          <w:color w:val="FF0000"/>
          <w:sz w:val="22"/>
          <w:szCs w:val="22"/>
        </w:rPr>
        <w:t>;</w:t>
      </w:r>
      <w:r w:rsidR="004C0694">
        <w:rPr>
          <w:rFonts w:asciiTheme="minorHAnsi" w:eastAsia="Times New Roman" w:hAnsiTheme="minorHAnsi" w:cstheme="minorHAnsi"/>
          <w:color w:val="FF0000"/>
          <w:sz w:val="22"/>
          <w:szCs w:val="22"/>
        </w:rPr>
        <w:t xml:space="preserve"> how good has the administration of the project been </w:t>
      </w:r>
      <w:r w:rsidR="00827D23">
        <w:rPr>
          <w:rFonts w:asciiTheme="minorHAnsi" w:eastAsia="Times New Roman" w:hAnsiTheme="minorHAnsi" w:cstheme="minorHAnsi"/>
          <w:color w:val="FF0000"/>
          <w:sz w:val="22"/>
          <w:szCs w:val="22"/>
        </w:rPr>
        <w:t xml:space="preserve">(5.2.8.5) </w:t>
      </w:r>
      <w:r w:rsidR="004C0694">
        <w:rPr>
          <w:rFonts w:asciiTheme="minorHAnsi" w:eastAsia="Times New Roman" w:hAnsiTheme="minorHAnsi" w:cstheme="minorHAnsi"/>
          <w:color w:val="FF0000"/>
          <w:sz w:val="22"/>
          <w:szCs w:val="22"/>
        </w:rPr>
        <w:t>and what lessons can be</w:t>
      </w:r>
      <w:r w:rsidR="00B40A7E">
        <w:rPr>
          <w:rFonts w:asciiTheme="minorHAnsi" w:eastAsia="Times New Roman" w:hAnsiTheme="minorHAnsi" w:cstheme="minorHAnsi"/>
          <w:color w:val="FF0000"/>
          <w:sz w:val="22"/>
          <w:szCs w:val="22"/>
        </w:rPr>
        <w:t xml:space="preserve"> learned as to how the process</w:t>
      </w:r>
      <w:r w:rsidR="00827D23">
        <w:rPr>
          <w:rFonts w:asciiTheme="minorHAnsi" w:eastAsia="Times New Roman" w:hAnsiTheme="minorHAnsi" w:cstheme="minorHAnsi"/>
          <w:color w:val="FF0000"/>
          <w:sz w:val="22"/>
          <w:szCs w:val="22"/>
        </w:rPr>
        <w:t>es</w:t>
      </w:r>
      <w:r w:rsidR="00B40A7E">
        <w:rPr>
          <w:rFonts w:asciiTheme="minorHAnsi" w:eastAsia="Times New Roman" w:hAnsiTheme="minorHAnsi" w:cstheme="minorHAnsi"/>
          <w:color w:val="FF0000"/>
          <w:sz w:val="22"/>
          <w:szCs w:val="22"/>
        </w:rPr>
        <w:t xml:space="preserve"> </w:t>
      </w:r>
      <w:r w:rsidR="004C0694">
        <w:rPr>
          <w:rFonts w:asciiTheme="minorHAnsi" w:eastAsia="Times New Roman" w:hAnsiTheme="minorHAnsi" w:cstheme="minorHAnsi"/>
          <w:color w:val="FF0000"/>
          <w:sz w:val="22"/>
          <w:szCs w:val="22"/>
        </w:rPr>
        <w:t>might have been improved or opportunities missed</w:t>
      </w:r>
      <w:r w:rsidR="00827D23">
        <w:rPr>
          <w:rFonts w:asciiTheme="minorHAnsi" w:eastAsia="Times New Roman" w:hAnsiTheme="minorHAnsi" w:cstheme="minorHAnsi"/>
          <w:color w:val="FF0000"/>
          <w:sz w:val="22"/>
          <w:szCs w:val="22"/>
        </w:rPr>
        <w:t xml:space="preserve"> (5.2.8.4)</w:t>
      </w:r>
      <w:r w:rsidR="004C0694">
        <w:rPr>
          <w:rFonts w:asciiTheme="minorHAnsi" w:eastAsia="Times New Roman" w:hAnsiTheme="minorHAnsi" w:cstheme="minorHAnsi"/>
          <w:color w:val="FF0000"/>
          <w:sz w:val="22"/>
          <w:szCs w:val="22"/>
        </w:rPr>
        <w:t>.</w:t>
      </w:r>
      <w:r>
        <w:rPr>
          <w:rFonts w:asciiTheme="minorHAnsi" w:eastAsia="Times New Roman" w:hAnsiTheme="minorHAnsi" w:cstheme="minorHAnsi"/>
          <w:color w:val="FF0000"/>
          <w:sz w:val="22"/>
          <w:szCs w:val="22"/>
        </w:rPr>
        <w:t xml:space="preserve"> </w:t>
      </w:r>
    </w:p>
    <w:p w:rsidR="008D2F2E" w:rsidRDefault="008D2F2E" w:rsidP="008D2F2E">
      <w:pPr>
        <w:numPr>
          <w:ilvl w:val="0"/>
          <w:numId w:val="1"/>
        </w:numPr>
        <w:spacing w:before="100" w:beforeAutospacing="1" w:after="100" w:afterAutospacing="1"/>
        <w:rPr>
          <w:rFonts w:asciiTheme="minorHAnsi" w:eastAsia="Times New Roman" w:hAnsiTheme="minorHAnsi" w:cstheme="minorHAnsi"/>
          <w:color w:val="000000"/>
          <w:sz w:val="22"/>
          <w:szCs w:val="22"/>
        </w:rPr>
      </w:pPr>
      <w:r w:rsidRPr="008D2F2E">
        <w:rPr>
          <w:rFonts w:asciiTheme="minorHAnsi" w:eastAsia="Times New Roman" w:hAnsiTheme="minorHAnsi" w:cstheme="minorHAnsi"/>
          <w:color w:val="000000"/>
          <w:sz w:val="22"/>
          <w:szCs w:val="22"/>
        </w:rPr>
        <w:t>Can you provide beneficiary numbers for each of the three projects (BIG2, IIC and CIOSGH)?</w:t>
      </w:r>
    </w:p>
    <w:p w:rsidR="001A0B8A" w:rsidRDefault="001A0B8A" w:rsidP="00030BFB">
      <w:pPr>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RESPONSE</w:t>
      </w:r>
    </w:p>
    <w:p w:rsidR="001A0B8A" w:rsidRDefault="001A0B8A" w:rsidP="00030BFB">
      <w:pPr>
        <w:ind w:left="720"/>
        <w:rPr>
          <w:rFonts w:asciiTheme="minorHAnsi" w:eastAsia="Times New Roman" w:hAnsiTheme="minorHAnsi" w:cstheme="minorHAnsi"/>
          <w:color w:val="FF0000"/>
          <w:sz w:val="22"/>
          <w:szCs w:val="22"/>
        </w:rPr>
      </w:pPr>
    </w:p>
    <w:p w:rsidR="00030BFB" w:rsidRPr="00030BFB" w:rsidRDefault="00030BFB" w:rsidP="00030BFB">
      <w:pPr>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The beneficiary numbers are anticipated to mirror approximately as per the enclosures 10 / 11 &amp; 12. </w:t>
      </w:r>
    </w:p>
    <w:p w:rsidR="008D2F2E" w:rsidRDefault="008D2F2E" w:rsidP="008D2F2E">
      <w:pPr>
        <w:numPr>
          <w:ilvl w:val="0"/>
          <w:numId w:val="1"/>
        </w:numPr>
        <w:spacing w:before="100" w:beforeAutospacing="1" w:after="100" w:afterAutospacing="1"/>
        <w:rPr>
          <w:rFonts w:asciiTheme="minorHAnsi" w:eastAsia="Times New Roman" w:hAnsiTheme="minorHAnsi" w:cstheme="minorHAnsi"/>
          <w:color w:val="000000"/>
          <w:sz w:val="22"/>
          <w:szCs w:val="22"/>
        </w:rPr>
      </w:pPr>
      <w:r w:rsidRPr="008D2F2E">
        <w:rPr>
          <w:rFonts w:asciiTheme="minorHAnsi" w:eastAsia="Times New Roman" w:hAnsiTheme="minorHAnsi" w:cstheme="minorHAnsi"/>
          <w:color w:val="000000"/>
          <w:sz w:val="22"/>
          <w:szCs w:val="22"/>
        </w:rPr>
        <w:t>Can you confirm whether one inception meeting will suffice, or do you require three inception meetings – one for each project?</w:t>
      </w:r>
    </w:p>
    <w:p w:rsidR="001A0B8A" w:rsidRDefault="001A0B8A" w:rsidP="00030BFB">
      <w:pPr>
        <w:spacing w:before="100" w:beforeAutospacing="1" w:after="100" w:afterAutospacing="1"/>
        <w:ind w:left="720"/>
        <w:rPr>
          <w:rFonts w:asciiTheme="minorHAnsi" w:eastAsia="Times New Roman" w:hAnsiTheme="minorHAnsi" w:cstheme="minorHAnsi"/>
          <w:color w:val="FF0000"/>
          <w:sz w:val="22"/>
          <w:szCs w:val="22"/>
        </w:rPr>
      </w:pPr>
      <w:r w:rsidRPr="001A0B8A">
        <w:rPr>
          <w:rFonts w:asciiTheme="minorHAnsi" w:eastAsia="Times New Roman" w:hAnsiTheme="minorHAnsi" w:cstheme="minorHAnsi"/>
          <w:color w:val="FF0000"/>
          <w:sz w:val="22"/>
          <w:szCs w:val="22"/>
        </w:rPr>
        <w:t>RESPONSE</w:t>
      </w:r>
    </w:p>
    <w:p w:rsidR="00030BFB" w:rsidRDefault="00030BFB" w:rsidP="00030BFB">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We are expecting there to be three inceptions m</w:t>
      </w:r>
      <w:r w:rsidR="00B40A7E">
        <w:rPr>
          <w:rFonts w:asciiTheme="minorHAnsi" w:eastAsia="Times New Roman" w:hAnsiTheme="minorHAnsi" w:cstheme="minorHAnsi"/>
          <w:color w:val="FF0000"/>
          <w:sz w:val="22"/>
          <w:szCs w:val="22"/>
        </w:rPr>
        <w:t xml:space="preserve">eetings, one for each project, </w:t>
      </w:r>
      <w:r>
        <w:rPr>
          <w:rFonts w:asciiTheme="minorHAnsi" w:eastAsia="Times New Roman" w:hAnsiTheme="minorHAnsi" w:cstheme="minorHAnsi"/>
          <w:color w:val="FF0000"/>
          <w:sz w:val="22"/>
          <w:szCs w:val="22"/>
        </w:rPr>
        <w:t>but</w:t>
      </w:r>
      <w:r w:rsidR="00827D23">
        <w:rPr>
          <w:rFonts w:asciiTheme="minorHAnsi" w:eastAsia="Times New Roman" w:hAnsiTheme="minorHAnsi" w:cstheme="minorHAnsi"/>
          <w:color w:val="FF0000"/>
          <w:sz w:val="22"/>
          <w:szCs w:val="22"/>
        </w:rPr>
        <w:t xml:space="preserve"> they will are be arranged </w:t>
      </w:r>
      <w:r>
        <w:rPr>
          <w:rFonts w:asciiTheme="minorHAnsi" w:eastAsia="Times New Roman" w:hAnsiTheme="minorHAnsi" w:cstheme="minorHAnsi"/>
          <w:color w:val="FF0000"/>
          <w:sz w:val="22"/>
          <w:szCs w:val="22"/>
        </w:rPr>
        <w:t>on the same day.</w:t>
      </w:r>
    </w:p>
    <w:p w:rsidR="005E7952" w:rsidRDefault="005E7952" w:rsidP="00030BFB">
      <w:pPr>
        <w:spacing w:before="100" w:beforeAutospacing="1" w:after="100" w:afterAutospacing="1"/>
        <w:ind w:left="720"/>
        <w:rPr>
          <w:rFonts w:asciiTheme="minorHAnsi" w:eastAsia="Times New Roman" w:hAnsiTheme="minorHAnsi" w:cstheme="minorHAnsi"/>
          <w:color w:val="FF0000"/>
          <w:sz w:val="22"/>
          <w:szCs w:val="22"/>
        </w:rPr>
      </w:pPr>
    </w:p>
    <w:p w:rsidR="005E7952" w:rsidRDefault="005E7952" w:rsidP="00030BFB">
      <w:pPr>
        <w:spacing w:before="100" w:beforeAutospacing="1" w:after="100" w:afterAutospacing="1"/>
        <w:ind w:left="720"/>
        <w:rPr>
          <w:rFonts w:asciiTheme="minorHAnsi" w:eastAsia="Times New Roman" w:hAnsiTheme="minorHAnsi" w:cstheme="minorHAnsi"/>
          <w:color w:val="FF0000"/>
          <w:sz w:val="22"/>
          <w:szCs w:val="22"/>
        </w:rPr>
      </w:pPr>
      <w:r>
        <w:rPr>
          <w:rFonts w:asciiTheme="minorHAnsi" w:eastAsia="Times New Roman" w:hAnsiTheme="minorHAnsi" w:cstheme="minorHAnsi"/>
          <w:color w:val="FF0000"/>
          <w:sz w:val="22"/>
          <w:szCs w:val="22"/>
        </w:rPr>
        <w:t xml:space="preserve">The deadline to return the tender response to CDC has been extended to 5.00pm on 13 April; the subsequent evaluation of the tenders received and the contract award date have also been amended.  These changes are shown below and have also been incorporated into a revised version of the Invitation </w:t>
      </w:r>
      <w:proofErr w:type="gramStart"/>
      <w:r>
        <w:rPr>
          <w:rFonts w:asciiTheme="minorHAnsi" w:eastAsia="Times New Roman" w:hAnsiTheme="minorHAnsi" w:cstheme="minorHAnsi"/>
          <w:color w:val="FF0000"/>
          <w:sz w:val="22"/>
          <w:szCs w:val="22"/>
        </w:rPr>
        <w:t>To</w:t>
      </w:r>
      <w:proofErr w:type="gramEnd"/>
      <w:r>
        <w:rPr>
          <w:rFonts w:asciiTheme="minorHAnsi" w:eastAsia="Times New Roman" w:hAnsiTheme="minorHAnsi" w:cstheme="minorHAnsi"/>
          <w:color w:val="FF0000"/>
          <w:sz w:val="22"/>
          <w:szCs w:val="22"/>
        </w:rPr>
        <w:t xml:space="preserve"> Tender Document TEN421 Version 050418</w:t>
      </w:r>
    </w:p>
    <w:p w:rsidR="005E7952" w:rsidRDefault="005E7952" w:rsidP="00030BFB">
      <w:pPr>
        <w:spacing w:before="100" w:beforeAutospacing="1" w:after="100" w:afterAutospacing="1"/>
        <w:ind w:left="720"/>
        <w:rPr>
          <w:rFonts w:asciiTheme="minorHAnsi" w:eastAsia="Times New Roman" w:hAnsiTheme="minorHAnsi" w:cstheme="minorHAnsi"/>
          <w:color w:val="FF0000"/>
          <w:sz w:val="22"/>
          <w:szCs w:val="22"/>
        </w:rPr>
      </w:pPr>
    </w:p>
    <w:tbl>
      <w:tblPr>
        <w:tblW w:w="0" w:type="auto"/>
        <w:jc w:val="center"/>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3189"/>
      </w:tblGrid>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b/>
                <w:sz w:val="22"/>
                <w:szCs w:val="22"/>
                <w:lang w:eastAsia="en-US"/>
              </w:rPr>
            </w:pPr>
            <w:r w:rsidRPr="005E7952">
              <w:rPr>
                <w:rFonts w:ascii="Verdana" w:eastAsia="Times New Roman" w:hAnsi="Verdana"/>
                <w:b/>
                <w:sz w:val="22"/>
                <w:szCs w:val="22"/>
                <w:lang w:eastAsia="en-US"/>
              </w:rPr>
              <w:t>Clarifications posted on Contracts finder by</w:t>
            </w:r>
          </w:p>
        </w:tc>
        <w:tc>
          <w:tcPr>
            <w:tcW w:w="3189" w:type="dxa"/>
          </w:tcPr>
          <w:p w:rsidR="005E7952" w:rsidRPr="005E7952" w:rsidRDefault="005E7952" w:rsidP="005E7952">
            <w:pPr>
              <w:spacing w:after="200"/>
              <w:rPr>
                <w:rFonts w:ascii="Verdana" w:eastAsia="Times New Roman" w:hAnsi="Verdana"/>
                <w:b/>
                <w:sz w:val="22"/>
                <w:szCs w:val="22"/>
                <w:lang w:eastAsia="en-US"/>
              </w:rPr>
            </w:pPr>
            <w:r w:rsidRPr="005E7952">
              <w:rPr>
                <w:rFonts w:ascii="Verdana" w:eastAsia="Times New Roman" w:hAnsi="Verdana"/>
                <w:b/>
                <w:sz w:val="22"/>
                <w:szCs w:val="22"/>
                <w:lang w:eastAsia="en-US"/>
              </w:rPr>
              <w:t>5 April 2018</w:t>
            </w:r>
          </w:p>
        </w:tc>
      </w:tr>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b/>
                <w:sz w:val="22"/>
                <w:szCs w:val="22"/>
                <w:lang w:eastAsia="en-US"/>
              </w:rPr>
            </w:pPr>
            <w:r w:rsidRPr="005E7952">
              <w:rPr>
                <w:rFonts w:ascii="Verdana" w:eastAsia="Times New Roman" w:hAnsi="Verdana"/>
                <w:b/>
                <w:sz w:val="22"/>
                <w:szCs w:val="22"/>
                <w:lang w:eastAsia="en-US"/>
              </w:rPr>
              <w:t>Deadline to return the Tender to CDC</w:t>
            </w:r>
          </w:p>
        </w:tc>
        <w:tc>
          <w:tcPr>
            <w:tcW w:w="3189" w:type="dxa"/>
          </w:tcPr>
          <w:p w:rsidR="005E7952" w:rsidRPr="005E7952" w:rsidRDefault="005E7952" w:rsidP="00001ACF">
            <w:pPr>
              <w:spacing w:after="200"/>
              <w:rPr>
                <w:rFonts w:ascii="Verdana" w:eastAsia="Times New Roman" w:hAnsi="Verdana"/>
                <w:b/>
                <w:sz w:val="22"/>
                <w:szCs w:val="22"/>
                <w:lang w:eastAsia="en-US"/>
              </w:rPr>
            </w:pPr>
            <w:r w:rsidRPr="005E7952">
              <w:rPr>
                <w:rFonts w:ascii="Verdana" w:eastAsia="Times New Roman" w:hAnsi="Verdana"/>
                <w:b/>
                <w:sz w:val="22"/>
                <w:szCs w:val="22"/>
                <w:lang w:eastAsia="en-US"/>
              </w:rPr>
              <w:t>1</w:t>
            </w:r>
            <w:r w:rsidR="00001ACF">
              <w:rPr>
                <w:rFonts w:ascii="Verdana" w:eastAsia="Times New Roman" w:hAnsi="Verdana"/>
                <w:b/>
                <w:sz w:val="22"/>
                <w:szCs w:val="22"/>
                <w:lang w:eastAsia="en-US"/>
              </w:rPr>
              <w:t>3</w:t>
            </w:r>
            <w:r w:rsidRPr="005E7952">
              <w:rPr>
                <w:rFonts w:ascii="Verdana" w:eastAsia="Times New Roman" w:hAnsi="Verdana"/>
                <w:b/>
                <w:sz w:val="22"/>
                <w:szCs w:val="22"/>
                <w:lang w:eastAsia="en-US"/>
              </w:rPr>
              <w:t xml:space="preserve"> April 2018</w:t>
            </w:r>
            <w:bookmarkStart w:id="0" w:name="_GoBack"/>
            <w:bookmarkEnd w:id="0"/>
          </w:p>
        </w:tc>
      </w:tr>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Evaluation of Tender by CDC</w:t>
            </w:r>
          </w:p>
        </w:tc>
        <w:tc>
          <w:tcPr>
            <w:tcW w:w="3189"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19 April 2018</w:t>
            </w:r>
          </w:p>
        </w:tc>
      </w:tr>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Award of Contract by CDC</w:t>
            </w:r>
          </w:p>
        </w:tc>
        <w:tc>
          <w:tcPr>
            <w:tcW w:w="3189"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19 April 2018</w:t>
            </w:r>
          </w:p>
        </w:tc>
      </w:tr>
      <w:tr w:rsidR="005E7952" w:rsidRPr="005E7952" w:rsidTr="0040696F">
        <w:trPr>
          <w:trHeight w:val="624"/>
          <w:jc w:val="center"/>
        </w:trPr>
        <w:tc>
          <w:tcPr>
            <w:tcW w:w="5103"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Inception (preferred bidder) meeting</w:t>
            </w:r>
          </w:p>
        </w:tc>
        <w:tc>
          <w:tcPr>
            <w:tcW w:w="3189" w:type="dxa"/>
          </w:tcPr>
          <w:p w:rsidR="005E7952" w:rsidRPr="005E7952" w:rsidRDefault="005E7952" w:rsidP="005E7952">
            <w:pPr>
              <w:spacing w:after="200"/>
              <w:rPr>
                <w:rFonts w:ascii="Verdana" w:eastAsia="Times New Roman" w:hAnsi="Verdana"/>
                <w:sz w:val="22"/>
                <w:szCs w:val="22"/>
                <w:lang w:eastAsia="en-US"/>
              </w:rPr>
            </w:pPr>
            <w:r w:rsidRPr="005E7952">
              <w:rPr>
                <w:rFonts w:ascii="Verdana" w:eastAsia="Times New Roman" w:hAnsi="Verdana"/>
                <w:sz w:val="22"/>
                <w:szCs w:val="22"/>
                <w:lang w:eastAsia="en-US"/>
              </w:rPr>
              <w:t>23 April 2018</w:t>
            </w:r>
          </w:p>
        </w:tc>
      </w:tr>
    </w:tbl>
    <w:p w:rsidR="005E7952" w:rsidRPr="00030BFB" w:rsidRDefault="005E7952" w:rsidP="00C004F9">
      <w:pPr>
        <w:spacing w:before="100" w:beforeAutospacing="1" w:after="100" w:afterAutospacing="1"/>
        <w:rPr>
          <w:rFonts w:asciiTheme="minorHAnsi" w:eastAsia="Times New Roman" w:hAnsiTheme="minorHAnsi" w:cstheme="minorHAnsi"/>
          <w:color w:val="FF0000"/>
          <w:sz w:val="22"/>
          <w:szCs w:val="22"/>
        </w:rPr>
      </w:pPr>
    </w:p>
    <w:sectPr w:rsidR="005E7952" w:rsidRPr="00030B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339"/>
    <w:multiLevelType w:val="multilevel"/>
    <w:tmpl w:val="A9EAFB84"/>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
    <w:nsid w:val="28AF6FB4"/>
    <w:multiLevelType w:val="multilevel"/>
    <w:tmpl w:val="13342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0A67DC"/>
    <w:multiLevelType w:val="multilevel"/>
    <w:tmpl w:val="3F307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2E"/>
    <w:rsid w:val="00001ACF"/>
    <w:rsid w:val="00002FD1"/>
    <w:rsid w:val="00030BFB"/>
    <w:rsid w:val="0005295E"/>
    <w:rsid w:val="001A0B8A"/>
    <w:rsid w:val="00431384"/>
    <w:rsid w:val="004C0694"/>
    <w:rsid w:val="0058536A"/>
    <w:rsid w:val="005E7952"/>
    <w:rsid w:val="00645EE5"/>
    <w:rsid w:val="007B28BA"/>
    <w:rsid w:val="00827D23"/>
    <w:rsid w:val="00893ECB"/>
    <w:rsid w:val="008D2F2E"/>
    <w:rsid w:val="00B40A7E"/>
    <w:rsid w:val="00BB6E9F"/>
    <w:rsid w:val="00C004F9"/>
    <w:rsid w:val="00C435A9"/>
    <w:rsid w:val="00CA5A5E"/>
    <w:rsid w:val="00D55EC2"/>
    <w:rsid w:val="00F6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2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F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F2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318">
      <w:bodyDiv w:val="1"/>
      <w:marLeft w:val="0"/>
      <w:marRight w:val="0"/>
      <w:marTop w:val="0"/>
      <w:marBottom w:val="0"/>
      <w:divBdr>
        <w:top w:val="none" w:sz="0" w:space="0" w:color="auto"/>
        <w:left w:val="none" w:sz="0" w:space="0" w:color="auto"/>
        <w:bottom w:val="none" w:sz="0" w:space="0" w:color="auto"/>
        <w:right w:val="none" w:sz="0" w:space="0" w:color="auto"/>
      </w:divBdr>
    </w:div>
    <w:div w:id="543323327">
      <w:bodyDiv w:val="1"/>
      <w:marLeft w:val="0"/>
      <w:marRight w:val="0"/>
      <w:marTop w:val="0"/>
      <w:marBottom w:val="0"/>
      <w:divBdr>
        <w:top w:val="none" w:sz="0" w:space="0" w:color="auto"/>
        <w:left w:val="none" w:sz="0" w:space="0" w:color="auto"/>
        <w:bottom w:val="none" w:sz="0" w:space="0" w:color="auto"/>
        <w:right w:val="none" w:sz="0" w:space="0" w:color="auto"/>
      </w:divBdr>
    </w:div>
    <w:div w:id="963925184">
      <w:bodyDiv w:val="1"/>
      <w:marLeft w:val="0"/>
      <w:marRight w:val="0"/>
      <w:marTop w:val="0"/>
      <w:marBottom w:val="0"/>
      <w:divBdr>
        <w:top w:val="none" w:sz="0" w:space="0" w:color="auto"/>
        <w:left w:val="none" w:sz="0" w:space="0" w:color="auto"/>
        <w:bottom w:val="none" w:sz="0" w:space="0" w:color="auto"/>
        <w:right w:val="none" w:sz="0" w:space="0" w:color="auto"/>
      </w:divBdr>
    </w:div>
    <w:div w:id="14731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3C1F70B4</Template>
  <TotalTime>7</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Pooley Nicky</dc:creator>
  <cp:lastModifiedBy>Woodworth Graham</cp:lastModifiedBy>
  <cp:revision>6</cp:revision>
  <dcterms:created xsi:type="dcterms:W3CDTF">2018-04-04T18:17:00Z</dcterms:created>
  <dcterms:modified xsi:type="dcterms:W3CDTF">2018-04-05T14:34:00Z</dcterms:modified>
</cp:coreProperties>
</file>