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40" w:rsidRDefault="00C73240" w:rsidP="00A85B19">
      <w:pPr>
        <w:pStyle w:val="CoverTitle"/>
      </w:pPr>
      <w:bookmarkStart w:id="0" w:name="_Hlk506984387"/>
      <w:r>
        <w:t xml:space="preserve">Notification of Supplier Day and </w:t>
      </w:r>
      <w:r w:rsidR="0082192E">
        <w:t xml:space="preserve">Request for </w:t>
      </w:r>
      <w:r w:rsidR="00260638">
        <w:t xml:space="preserve">Expressions of </w:t>
      </w:r>
      <w:r>
        <w:t>I</w:t>
      </w:r>
      <w:r w:rsidR="0082192E">
        <w:t>nterest</w:t>
      </w:r>
    </w:p>
    <w:bookmarkEnd w:id="0"/>
    <w:p w:rsidR="0082192E" w:rsidRPr="00080091" w:rsidRDefault="0082192E" w:rsidP="00A85B19">
      <w:pPr>
        <w:pStyle w:val="CoverTitle"/>
        <w:rPr>
          <w:i/>
        </w:rPr>
      </w:pPr>
      <w:r>
        <w:t xml:space="preserve">RSSB research project </w:t>
      </w:r>
      <w:r w:rsidR="00A54888" w:rsidRPr="000505AF">
        <w:t>T1145</w:t>
      </w:r>
      <w:r>
        <w:t xml:space="preserve"> </w:t>
      </w:r>
      <w:r w:rsidR="00080091" w:rsidRPr="00080091">
        <w:rPr>
          <w:i/>
        </w:rPr>
        <w:t xml:space="preserve">Planning and supporting </w:t>
      </w:r>
      <w:r w:rsidR="00ED1F36">
        <w:rPr>
          <w:i/>
        </w:rPr>
        <w:t xml:space="preserve">rail </w:t>
      </w:r>
      <w:r w:rsidR="00080091" w:rsidRPr="00080091">
        <w:rPr>
          <w:i/>
        </w:rPr>
        <w:t xml:space="preserve">decarbonisation </w:t>
      </w:r>
    </w:p>
    <w:p w:rsidR="005302A4" w:rsidRDefault="00DD7945" w:rsidP="005302A4">
      <w:pPr>
        <w:pStyle w:val="CoverSubTitle"/>
      </w:pPr>
      <w:r>
        <w:t>RSSB</w:t>
      </w:r>
      <w:r w:rsidR="008A357B">
        <w:t>, on behalf of the rail industry,</w:t>
      </w:r>
      <w:r>
        <w:t xml:space="preserve"> are seeking to </w:t>
      </w:r>
      <w:r w:rsidR="00E56E0B">
        <w:t xml:space="preserve">understand </w:t>
      </w:r>
      <w:r w:rsidR="00ED1F36">
        <w:t xml:space="preserve">options and costs for </w:t>
      </w:r>
      <w:r w:rsidR="00C12274">
        <w:t>decarbonis</w:t>
      </w:r>
      <w:r w:rsidR="00ED1F36">
        <w:t>ing</w:t>
      </w:r>
      <w:r w:rsidR="00C12274">
        <w:t xml:space="preserve"> t</w:t>
      </w:r>
      <w:r w:rsidR="00DF76E9">
        <w:t>raction</w:t>
      </w:r>
      <w:r w:rsidR="004E158D">
        <w:t xml:space="preserve"> energy</w:t>
      </w:r>
      <w:r w:rsidR="00DF76E9">
        <w:t xml:space="preserve"> throughout t</w:t>
      </w:r>
      <w:r w:rsidR="00C12274">
        <w:t>he</w:t>
      </w:r>
      <w:r w:rsidR="00260638">
        <w:t xml:space="preserve"> </w:t>
      </w:r>
      <w:r w:rsidR="0023065B">
        <w:t>GB</w:t>
      </w:r>
      <w:r w:rsidR="00260638">
        <w:t xml:space="preserve"> rail network</w:t>
      </w:r>
    </w:p>
    <w:p w:rsidR="00D81163" w:rsidRDefault="00D81163" w:rsidP="00BA4D29">
      <w:pPr>
        <w:pStyle w:val="Heading10"/>
      </w:pPr>
      <w:r>
        <w:t>Purpose</w:t>
      </w:r>
    </w:p>
    <w:p w:rsidR="00C73240" w:rsidRDefault="00D81163" w:rsidP="00D81163">
      <w:pPr>
        <w:pStyle w:val="Body"/>
      </w:pPr>
      <w:r>
        <w:t xml:space="preserve">This notification is to </w:t>
      </w:r>
      <w:r w:rsidR="00C73240">
        <w:t>invite</w:t>
      </w:r>
      <w:r>
        <w:t xml:space="preserve"> potential suppliers to attend a supplier day on </w:t>
      </w:r>
      <w:r w:rsidR="00AD2519">
        <w:rPr>
          <w:b/>
          <w:color w:val="FF0000"/>
        </w:rPr>
        <w:t>21</w:t>
      </w:r>
      <w:r w:rsidR="00AD2519" w:rsidRPr="00C12274">
        <w:rPr>
          <w:color w:val="FF0000"/>
        </w:rPr>
        <w:t xml:space="preserve"> </w:t>
      </w:r>
      <w:r w:rsidR="00AE4409" w:rsidRPr="00C12274">
        <w:rPr>
          <w:b/>
          <w:color w:val="FF0000"/>
        </w:rPr>
        <w:t>March 2018</w:t>
      </w:r>
      <w:r w:rsidR="00AE4409">
        <w:t xml:space="preserve"> </w:t>
      </w:r>
      <w:r>
        <w:t>and</w:t>
      </w:r>
      <w:r w:rsidR="00C73240">
        <w:t>/or</w:t>
      </w:r>
      <w:r>
        <w:t xml:space="preserve"> provide info</w:t>
      </w:r>
      <w:r w:rsidR="005B46B1">
        <w:t>rmation</w:t>
      </w:r>
      <w:r>
        <w:t xml:space="preserve"> </w:t>
      </w:r>
      <w:r w:rsidR="00C73240">
        <w:t xml:space="preserve">through Expression of Interest (EoI). </w:t>
      </w:r>
    </w:p>
    <w:p w:rsidR="00C73240" w:rsidRDefault="005B46B1" w:rsidP="00D81163">
      <w:pPr>
        <w:pStyle w:val="Body"/>
      </w:pPr>
      <w:r>
        <w:t xml:space="preserve">The supplier day will offer </w:t>
      </w:r>
      <w:r w:rsidR="00C73240">
        <w:t>more detail on the</w:t>
      </w:r>
      <w:r w:rsidR="00B95469">
        <w:t xml:space="preserve"> background to the research proposal and </w:t>
      </w:r>
      <w:r>
        <w:t xml:space="preserve">suppliers </w:t>
      </w:r>
      <w:r w:rsidR="00B95469">
        <w:t xml:space="preserve">will be given </w:t>
      </w:r>
      <w:r>
        <w:t>the</w:t>
      </w:r>
      <w:r w:rsidR="00B95469">
        <w:t xml:space="preserve"> opportunity to ask questions to establish a greater understanding of the project</w:t>
      </w:r>
      <w:r w:rsidR="00C73240">
        <w:t xml:space="preserve"> and support the direction of the research</w:t>
      </w:r>
      <w:r w:rsidR="00B95469">
        <w:t>.</w:t>
      </w:r>
      <w:r w:rsidR="00C73240">
        <w:t xml:space="preserve"> </w:t>
      </w:r>
    </w:p>
    <w:p w:rsidR="00D81163" w:rsidRDefault="00C73240" w:rsidP="00D81163">
      <w:pPr>
        <w:pStyle w:val="Body"/>
      </w:pPr>
      <w:r>
        <w:t xml:space="preserve">The EoI enables interested parties to put forward their capability and also </w:t>
      </w:r>
      <w:r w:rsidR="00AD2519">
        <w:t xml:space="preserve">provide </w:t>
      </w:r>
      <w:r>
        <w:t xml:space="preserve">any thinking that </w:t>
      </w:r>
      <w:r w:rsidR="00AD2519">
        <w:t xml:space="preserve">could </w:t>
      </w:r>
      <w:r>
        <w:t>support the development of the scope. To feed into the process</w:t>
      </w:r>
      <w:r w:rsidR="005C3EEB">
        <w:t>,</w:t>
      </w:r>
      <w:r>
        <w:t xml:space="preserve"> EoIs </w:t>
      </w:r>
      <w:r w:rsidR="00413D0B">
        <w:t xml:space="preserve">will </w:t>
      </w:r>
      <w:r>
        <w:t xml:space="preserve">need to be received by COP </w:t>
      </w:r>
      <w:r w:rsidR="00AD2519">
        <w:rPr>
          <w:b/>
          <w:color w:val="FF0000"/>
        </w:rPr>
        <w:t>2</w:t>
      </w:r>
      <w:r w:rsidR="00265982">
        <w:rPr>
          <w:b/>
          <w:color w:val="FF0000"/>
        </w:rPr>
        <w:t>0 March 2018.</w:t>
      </w:r>
    </w:p>
    <w:p w:rsidR="00260638" w:rsidRDefault="00260638">
      <w:pPr>
        <w:rPr>
          <w:rFonts w:ascii="Calibri" w:hAnsi="Calibri" w:cs="Arial"/>
          <w:sz w:val="22"/>
          <w:szCs w:val="22"/>
          <w:lang w:eastAsia="en-GB"/>
        </w:rPr>
      </w:pPr>
    </w:p>
    <w:p w:rsidR="00AD08D0" w:rsidRDefault="0056187C" w:rsidP="00BA4D29">
      <w:pPr>
        <w:pStyle w:val="Heading10"/>
      </w:pPr>
      <w:r>
        <w:t xml:space="preserve">Background </w:t>
      </w:r>
    </w:p>
    <w:p w:rsidR="006E63F0" w:rsidRDefault="00080091" w:rsidP="00866746">
      <w:pPr>
        <w:pStyle w:val="Body"/>
      </w:pPr>
      <w:r>
        <w:t xml:space="preserve">The Rail Technical Strategy (RTS) seeks to assist the industry’s strategic planning process, and </w:t>
      </w:r>
      <w:r w:rsidR="002C10B0">
        <w:t xml:space="preserve">a significant component of this is </w:t>
      </w:r>
      <w:r>
        <w:t xml:space="preserve">the </w:t>
      </w:r>
      <w:r w:rsidR="002C10B0">
        <w:t>‘</w:t>
      </w:r>
      <w:r w:rsidR="00866746">
        <w:t>optimum energy use</w:t>
      </w:r>
      <w:r w:rsidR="002C10B0">
        <w:t>’</w:t>
      </w:r>
      <w:r w:rsidR="00866746">
        <w:t xml:space="preserve"> key capability. This focuses on new approaches to meet the energy requirements of the railway system, including alternatives to diesel, smart grid technologies and battery/dual power systems, amongst others.</w:t>
      </w:r>
    </w:p>
    <w:p w:rsidR="00832204" w:rsidRDefault="0092127D" w:rsidP="00E90951">
      <w:pPr>
        <w:pStyle w:val="Body"/>
      </w:pPr>
      <w:r>
        <w:lastRenderedPageBreak/>
        <w:t>Th</w:t>
      </w:r>
      <w:r w:rsidR="008F329D">
        <w:t>e</w:t>
      </w:r>
      <w:r>
        <w:t xml:space="preserve"> </w:t>
      </w:r>
      <w:r w:rsidR="008F329D">
        <w:t>proposed research project is intended to</w:t>
      </w:r>
      <w:r>
        <w:t xml:space="preserve"> </w:t>
      </w:r>
      <w:r w:rsidR="00581B3B">
        <w:t xml:space="preserve">provide support on the decarbonisation of </w:t>
      </w:r>
      <w:r w:rsidR="00DF76E9">
        <w:t xml:space="preserve">traction energy </w:t>
      </w:r>
      <w:r w:rsidR="00581B3B">
        <w:t xml:space="preserve">through the development of a roadmap and </w:t>
      </w:r>
      <w:r w:rsidR="00AD2519">
        <w:t xml:space="preserve">of </w:t>
      </w:r>
      <w:r w:rsidR="00581B3B">
        <w:t xml:space="preserve">an economic model to act as a decision support tool. In addition to this, the work should </w:t>
      </w:r>
      <w:r>
        <w:t xml:space="preserve">complement a wider </w:t>
      </w:r>
      <w:r w:rsidR="008F329D">
        <w:t xml:space="preserve">industry </w:t>
      </w:r>
      <w:r>
        <w:t xml:space="preserve">response to </w:t>
      </w:r>
      <w:r w:rsidR="008F329D">
        <w:t>t</w:t>
      </w:r>
      <w:r w:rsidR="00C85A39">
        <w:t xml:space="preserve">he call </w:t>
      </w:r>
      <w:r w:rsidR="002C0219">
        <w:t>for ‘</w:t>
      </w:r>
      <w:r w:rsidR="007B25CE">
        <w:t>decarbonising rail</w:t>
      </w:r>
      <w:r w:rsidR="002C0219">
        <w:t>’</w:t>
      </w:r>
      <w:r w:rsidR="002C0219">
        <w:rPr>
          <w:rStyle w:val="FootnoteReference"/>
        </w:rPr>
        <w:footnoteReference w:id="1"/>
      </w:r>
      <w:r w:rsidR="007B25CE">
        <w:t xml:space="preserve"> by 2040</w:t>
      </w:r>
      <w:r w:rsidR="002C0219">
        <w:t xml:space="preserve"> </w:t>
      </w:r>
      <w:r w:rsidR="00C85A39">
        <w:t>from the Minister of State at the Department for Transport, Jo Johnson</w:t>
      </w:r>
      <w:r w:rsidR="002C0219">
        <w:t>.</w:t>
      </w:r>
    </w:p>
    <w:p w:rsidR="00581B3B" w:rsidRDefault="00581B3B" w:rsidP="00E90951">
      <w:pPr>
        <w:pStyle w:val="Body"/>
      </w:pPr>
    </w:p>
    <w:p w:rsidR="0056187C" w:rsidRDefault="0056187C" w:rsidP="004C3A9C">
      <w:pPr>
        <w:pStyle w:val="Heading10"/>
      </w:pPr>
      <w:r>
        <w:t>Scope of work</w:t>
      </w:r>
    </w:p>
    <w:p w:rsidR="0056187C" w:rsidRDefault="0056187C" w:rsidP="0056187C">
      <w:pPr>
        <w:pStyle w:val="Body"/>
      </w:pPr>
      <w:r>
        <w:t xml:space="preserve">The </w:t>
      </w:r>
      <w:r w:rsidR="00891DF7">
        <w:t xml:space="preserve">envisaged </w:t>
      </w:r>
      <w:r>
        <w:t xml:space="preserve">scope of work </w:t>
      </w:r>
      <w:r w:rsidR="00200238">
        <w:t>can be summarised a</w:t>
      </w:r>
      <w:r>
        <w:t>s</w:t>
      </w:r>
      <w:r w:rsidR="00AE4409">
        <w:t>:</w:t>
      </w:r>
    </w:p>
    <w:p w:rsidR="00C92E29" w:rsidRDefault="00F4795C" w:rsidP="00C92E29">
      <w:pPr>
        <w:pStyle w:val="Body"/>
        <w:rPr>
          <w:b/>
        </w:rPr>
      </w:pPr>
      <w:r>
        <w:rPr>
          <w:b/>
        </w:rPr>
        <w:t xml:space="preserve">The development of </w:t>
      </w:r>
      <w:r w:rsidR="00E90951">
        <w:rPr>
          <w:b/>
        </w:rPr>
        <w:t>scenarios</w:t>
      </w:r>
      <w:r>
        <w:rPr>
          <w:b/>
        </w:rPr>
        <w:t xml:space="preserve"> that will lead to </w:t>
      </w:r>
      <w:r w:rsidR="00981D64">
        <w:rPr>
          <w:b/>
        </w:rPr>
        <w:t>decarbonisation of t</w:t>
      </w:r>
      <w:r w:rsidR="00DF76E9">
        <w:rPr>
          <w:b/>
        </w:rPr>
        <w:t>raction energy</w:t>
      </w:r>
    </w:p>
    <w:p w:rsidR="00C92E29" w:rsidRDefault="005B46B1" w:rsidP="00C92E29">
      <w:pPr>
        <w:pStyle w:val="Body"/>
      </w:pPr>
      <w:r>
        <w:t>A</w:t>
      </w:r>
      <w:r w:rsidR="00C92E29">
        <w:t xml:space="preserve"> range of scenarios for </w:t>
      </w:r>
      <w:r w:rsidR="00A04747">
        <w:t>reducing and/or</w:t>
      </w:r>
      <w:r w:rsidR="007B25CE">
        <w:t xml:space="preserve"> </w:t>
      </w:r>
      <w:r w:rsidR="00ED1F36">
        <w:t xml:space="preserve">eliminating </w:t>
      </w:r>
      <w:r w:rsidR="00C92E29">
        <w:t>the network</w:t>
      </w:r>
      <w:r w:rsidR="00981D64">
        <w:t>’s carbon emissions</w:t>
      </w:r>
      <w:r w:rsidR="007B25CE">
        <w:t xml:space="preserve"> associated with traction energy</w:t>
      </w:r>
      <w:r>
        <w:t xml:space="preserve"> will be established</w:t>
      </w:r>
      <w:r w:rsidR="00C92E29">
        <w:t xml:space="preserve">. </w:t>
      </w:r>
      <w:r>
        <w:t>The s</w:t>
      </w:r>
      <w:r w:rsidR="00DF078D">
        <w:t xml:space="preserve">cenarios could include consideration of a range of </w:t>
      </w:r>
      <w:r w:rsidR="00025BF9">
        <w:t>factors</w:t>
      </w:r>
      <w:r w:rsidR="00DF078D">
        <w:t>:</w:t>
      </w:r>
    </w:p>
    <w:p w:rsidR="00E90951" w:rsidRDefault="00E90951" w:rsidP="00DF078D">
      <w:pPr>
        <w:pStyle w:val="Body"/>
        <w:numPr>
          <w:ilvl w:val="0"/>
          <w:numId w:val="32"/>
        </w:numPr>
      </w:pPr>
      <w:r>
        <w:t>Technology evolution over the next 20 years</w:t>
      </w:r>
      <w:r w:rsidR="00ED1F36">
        <w:t>, including other modes</w:t>
      </w:r>
    </w:p>
    <w:p w:rsidR="00E90951" w:rsidRDefault="00DF078D" w:rsidP="00DF078D">
      <w:pPr>
        <w:pStyle w:val="Body"/>
        <w:numPr>
          <w:ilvl w:val="0"/>
          <w:numId w:val="32"/>
        </w:numPr>
      </w:pPr>
      <w:r>
        <w:t>Trends in costs of electrification</w:t>
      </w:r>
      <w:r w:rsidR="00E90951">
        <w:t xml:space="preserve"> and other traction energy sources</w:t>
      </w:r>
      <w:r w:rsidR="00ED1F36">
        <w:t>, including other modes</w:t>
      </w:r>
    </w:p>
    <w:p w:rsidR="00E90951" w:rsidRDefault="00E90951" w:rsidP="00DF078D">
      <w:pPr>
        <w:pStyle w:val="Body"/>
        <w:numPr>
          <w:ilvl w:val="0"/>
          <w:numId w:val="32"/>
        </w:numPr>
      </w:pPr>
      <w:r>
        <w:t>Rolling stock life cycles</w:t>
      </w:r>
    </w:p>
    <w:p w:rsidR="00E90951" w:rsidRDefault="00E90951" w:rsidP="00DF078D">
      <w:pPr>
        <w:pStyle w:val="Body"/>
        <w:numPr>
          <w:ilvl w:val="0"/>
          <w:numId w:val="32"/>
        </w:numPr>
      </w:pPr>
      <w:r>
        <w:t>Requirements on supporting infrastructure</w:t>
      </w:r>
    </w:p>
    <w:p w:rsidR="00DF078D" w:rsidRDefault="00E90951" w:rsidP="00DF078D">
      <w:pPr>
        <w:pStyle w:val="Body"/>
        <w:numPr>
          <w:ilvl w:val="0"/>
          <w:numId w:val="32"/>
        </w:numPr>
      </w:pPr>
      <w:r>
        <w:t xml:space="preserve">Future freight and passenger services </w:t>
      </w:r>
      <w:r w:rsidR="00025BF9">
        <w:t>demand</w:t>
      </w:r>
    </w:p>
    <w:p w:rsidR="00004439" w:rsidRDefault="00004439" w:rsidP="00DF078D">
      <w:pPr>
        <w:pStyle w:val="Body"/>
        <w:numPr>
          <w:ilvl w:val="0"/>
          <w:numId w:val="32"/>
        </w:numPr>
      </w:pPr>
      <w:r>
        <w:t>Timing and scheduling requirements for</w:t>
      </w:r>
      <w:r w:rsidR="00E90951">
        <w:t xml:space="preserve"> achieving the desired outcomes </w:t>
      </w:r>
    </w:p>
    <w:p w:rsidR="00E90951" w:rsidRDefault="00004439" w:rsidP="00DF078D">
      <w:pPr>
        <w:pStyle w:val="Body"/>
        <w:numPr>
          <w:ilvl w:val="0"/>
          <w:numId w:val="32"/>
        </w:numPr>
      </w:pPr>
      <w:r>
        <w:t>T</w:t>
      </w:r>
      <w:r w:rsidR="00E90951">
        <w:t>he associated challenges</w:t>
      </w:r>
      <w:r>
        <w:t xml:space="preserve"> and risks</w:t>
      </w:r>
    </w:p>
    <w:p w:rsidR="00C92E29" w:rsidRDefault="00C92E29" w:rsidP="00C92E29">
      <w:pPr>
        <w:pStyle w:val="Body"/>
        <w:rPr>
          <w:b/>
        </w:rPr>
      </w:pPr>
      <w:r>
        <w:rPr>
          <w:b/>
        </w:rPr>
        <w:t xml:space="preserve">The development of an economic model to investigate the </w:t>
      </w:r>
      <w:r w:rsidR="00AD2519">
        <w:rPr>
          <w:b/>
        </w:rPr>
        <w:t xml:space="preserve">relative attractiveness </w:t>
      </w:r>
      <w:r>
        <w:rPr>
          <w:b/>
        </w:rPr>
        <w:t>of options</w:t>
      </w:r>
    </w:p>
    <w:p w:rsidR="00C92E29" w:rsidRDefault="00C92E29" w:rsidP="00C92E29">
      <w:pPr>
        <w:pStyle w:val="Body"/>
      </w:pPr>
      <w:r>
        <w:t>The economic model will</w:t>
      </w:r>
      <w:r w:rsidR="00DF078D">
        <w:t xml:space="preserve"> assess the costs and benefits </w:t>
      </w:r>
      <w:r w:rsidR="00E90951">
        <w:t xml:space="preserve">of different </w:t>
      </w:r>
      <w:r w:rsidR="00DF078D">
        <w:t xml:space="preserve">scenarios to </w:t>
      </w:r>
      <w:r w:rsidR="00E90951">
        <w:t xml:space="preserve">establish the most viable </w:t>
      </w:r>
      <w:r w:rsidR="00AD2519">
        <w:t xml:space="preserve">scenario and </w:t>
      </w:r>
      <w:r w:rsidR="00DF078D">
        <w:t>key milestones</w:t>
      </w:r>
      <w:r w:rsidR="00AD2519">
        <w:t xml:space="preserve"> to form a roadmap</w:t>
      </w:r>
      <w:r w:rsidR="00DF078D">
        <w:t>.</w:t>
      </w:r>
      <w:r>
        <w:t xml:space="preserve"> </w:t>
      </w:r>
      <w:r w:rsidR="00E90951">
        <w:t>The model should consider elements including:</w:t>
      </w:r>
    </w:p>
    <w:p w:rsidR="00E90951" w:rsidRDefault="00E90951" w:rsidP="00E90951">
      <w:pPr>
        <w:pStyle w:val="Body"/>
        <w:numPr>
          <w:ilvl w:val="0"/>
          <w:numId w:val="35"/>
        </w:numPr>
      </w:pPr>
      <w:r>
        <w:t>Investment requirements</w:t>
      </w:r>
      <w:r w:rsidR="00ED1F36">
        <w:t xml:space="preserve"> and funding options</w:t>
      </w:r>
    </w:p>
    <w:p w:rsidR="00E90951" w:rsidRDefault="00E90951" w:rsidP="00E90951">
      <w:pPr>
        <w:pStyle w:val="Body"/>
        <w:numPr>
          <w:ilvl w:val="0"/>
          <w:numId w:val="35"/>
        </w:numPr>
      </w:pPr>
      <w:r>
        <w:t>Opportunity costs</w:t>
      </w:r>
    </w:p>
    <w:p w:rsidR="00ED1F36" w:rsidRDefault="00ED1F36" w:rsidP="00E90951">
      <w:pPr>
        <w:pStyle w:val="Body"/>
        <w:numPr>
          <w:ilvl w:val="0"/>
          <w:numId w:val="35"/>
        </w:numPr>
      </w:pPr>
      <w:r>
        <w:t>Operational costs/savings</w:t>
      </w:r>
    </w:p>
    <w:p w:rsidR="00004439" w:rsidRPr="00004439" w:rsidRDefault="00004439" w:rsidP="00DE2BEE">
      <w:pPr>
        <w:pStyle w:val="Body"/>
        <w:numPr>
          <w:ilvl w:val="0"/>
          <w:numId w:val="35"/>
        </w:numPr>
      </w:pPr>
      <w:r>
        <w:t>Timing factors</w:t>
      </w:r>
    </w:p>
    <w:p w:rsidR="00E90951" w:rsidRDefault="00E90951" w:rsidP="00E90951">
      <w:pPr>
        <w:pStyle w:val="Body"/>
        <w:numPr>
          <w:ilvl w:val="0"/>
          <w:numId w:val="35"/>
        </w:numPr>
      </w:pPr>
      <w:r>
        <w:t>Benefit realisation</w:t>
      </w:r>
      <w:r w:rsidR="00004439">
        <w:t xml:space="preserve"> across the broad impacts of the initiative</w:t>
      </w:r>
    </w:p>
    <w:p w:rsidR="00004439" w:rsidRDefault="00004439" w:rsidP="00E90951">
      <w:pPr>
        <w:pStyle w:val="Body"/>
        <w:numPr>
          <w:ilvl w:val="0"/>
          <w:numId w:val="35"/>
        </w:numPr>
      </w:pPr>
      <w:r>
        <w:t>Risk factors</w:t>
      </w:r>
    </w:p>
    <w:p w:rsidR="00FF26A3" w:rsidRDefault="00FF26A3" w:rsidP="00E90951">
      <w:pPr>
        <w:pStyle w:val="Body"/>
        <w:numPr>
          <w:ilvl w:val="0"/>
          <w:numId w:val="35"/>
        </w:numPr>
      </w:pPr>
      <w:r>
        <w:lastRenderedPageBreak/>
        <w:t xml:space="preserve">Economic </w:t>
      </w:r>
      <w:r w:rsidR="00DF76E9">
        <w:t xml:space="preserve">and </w:t>
      </w:r>
      <w:r>
        <w:t>financial costs and benefits</w:t>
      </w:r>
    </w:p>
    <w:p w:rsidR="00025BF9" w:rsidRDefault="00715049" w:rsidP="00025BF9">
      <w:pPr>
        <w:pStyle w:val="Body"/>
      </w:pPr>
      <w:r>
        <w:t xml:space="preserve">The development is expected to include engagement with the stakeholders that will be impacted in the delivery of the plan towards </w:t>
      </w:r>
      <w:r w:rsidR="004D1C89">
        <w:t>decarbonisation</w:t>
      </w:r>
      <w:r>
        <w:t>.  This will ensure challenges can be raised and mitigated within the scenarios.</w:t>
      </w:r>
    </w:p>
    <w:p w:rsidR="004B23F1" w:rsidRDefault="004B23F1" w:rsidP="00C92E29">
      <w:pPr>
        <w:pStyle w:val="Body"/>
        <w:rPr>
          <w:b/>
        </w:rPr>
      </w:pPr>
    </w:p>
    <w:p w:rsidR="00F4795C" w:rsidRDefault="00F4795C" w:rsidP="00C92E29">
      <w:pPr>
        <w:pStyle w:val="Body"/>
        <w:rPr>
          <w:b/>
        </w:rPr>
      </w:pPr>
      <w:r>
        <w:rPr>
          <w:b/>
        </w:rPr>
        <w:t xml:space="preserve">The development of a roadmap to </w:t>
      </w:r>
      <w:r w:rsidR="007B25CE">
        <w:rPr>
          <w:b/>
        </w:rPr>
        <w:t xml:space="preserve">reduce and/or </w:t>
      </w:r>
      <w:r w:rsidR="00ED1F36">
        <w:rPr>
          <w:b/>
        </w:rPr>
        <w:t xml:space="preserve">eliminate </w:t>
      </w:r>
      <w:r w:rsidR="00DF76E9">
        <w:rPr>
          <w:b/>
        </w:rPr>
        <w:t>GB rail’s traction</w:t>
      </w:r>
      <w:r w:rsidR="00ED1F36">
        <w:rPr>
          <w:b/>
        </w:rPr>
        <w:t xml:space="preserve"> </w:t>
      </w:r>
      <w:r w:rsidR="004D1C89">
        <w:rPr>
          <w:b/>
        </w:rPr>
        <w:t>carbon emissions</w:t>
      </w:r>
    </w:p>
    <w:p w:rsidR="008E52AC" w:rsidRDefault="00F4795C" w:rsidP="008E52AC">
      <w:pPr>
        <w:pStyle w:val="Body"/>
      </w:pPr>
      <w:r>
        <w:t xml:space="preserve">After </w:t>
      </w:r>
      <w:r w:rsidR="005B46B1">
        <w:t xml:space="preserve">assessing </w:t>
      </w:r>
      <w:r w:rsidR="00E90951">
        <w:t xml:space="preserve">the economic case from the identified </w:t>
      </w:r>
      <w:r w:rsidR="005B46B1">
        <w:t xml:space="preserve">scenarios, a roadmap and key milestones </w:t>
      </w:r>
      <w:r w:rsidR="00004439">
        <w:t xml:space="preserve">will be </w:t>
      </w:r>
      <w:r w:rsidR="005B46B1">
        <w:t>established.</w:t>
      </w:r>
    </w:p>
    <w:p w:rsidR="008E52AC" w:rsidRDefault="008E52AC">
      <w:pPr>
        <w:rPr>
          <w:rFonts w:ascii="Calibri" w:hAnsi="Calibri" w:cs="Arial"/>
          <w:sz w:val="22"/>
          <w:szCs w:val="22"/>
          <w:lang w:eastAsia="en-GB"/>
        </w:rPr>
      </w:pPr>
    </w:p>
    <w:p w:rsidR="004C3A9C" w:rsidRDefault="004C3A9C" w:rsidP="004C3A9C">
      <w:pPr>
        <w:pStyle w:val="Heading10"/>
      </w:pPr>
      <w:r>
        <w:t>Delivery particulars</w:t>
      </w:r>
    </w:p>
    <w:p w:rsidR="004808C6" w:rsidRDefault="00AD2519" w:rsidP="004C3A9C">
      <w:pPr>
        <w:pStyle w:val="Bullet1"/>
        <w:numPr>
          <w:ilvl w:val="0"/>
          <w:numId w:val="0"/>
        </w:numPr>
        <w:rPr>
          <w:b/>
        </w:rPr>
      </w:pPr>
      <w:r>
        <w:t xml:space="preserve">Elements of the </w:t>
      </w:r>
      <w:r w:rsidR="002C0219">
        <w:t xml:space="preserve">research project </w:t>
      </w:r>
      <w:r>
        <w:t xml:space="preserve">are expected to </w:t>
      </w:r>
      <w:r w:rsidR="002C0219">
        <w:t xml:space="preserve">support the </w:t>
      </w:r>
      <w:r w:rsidR="004808C6">
        <w:t xml:space="preserve">industry </w:t>
      </w:r>
      <w:r w:rsidR="002C0219">
        <w:t>response to the ministerial call</w:t>
      </w:r>
      <w:r>
        <w:t xml:space="preserve"> </w:t>
      </w:r>
      <w:r w:rsidR="00ED1F36">
        <w:t>for a decarbonisation plan for rail</w:t>
      </w:r>
      <w:r w:rsidR="002C0219">
        <w:t xml:space="preserve">, therefore it is imperative that the timeframes are aligned with the broader industry response. </w:t>
      </w:r>
      <w:r>
        <w:t>To support this</w:t>
      </w:r>
      <w:r w:rsidR="002C0219">
        <w:t xml:space="preserve">, the expected date of release of ITT is </w:t>
      </w:r>
      <w:r w:rsidR="004808C6">
        <w:rPr>
          <w:b/>
          <w:color w:val="FF0000"/>
        </w:rPr>
        <w:t>6</w:t>
      </w:r>
      <w:r w:rsidR="004808C6" w:rsidRPr="00C12274">
        <w:rPr>
          <w:b/>
          <w:color w:val="FF0000"/>
        </w:rPr>
        <w:t xml:space="preserve"> </w:t>
      </w:r>
      <w:r w:rsidR="002C0219" w:rsidRPr="00C12274">
        <w:rPr>
          <w:b/>
          <w:color w:val="FF0000"/>
        </w:rPr>
        <w:t>April 2018</w:t>
      </w:r>
      <w:r w:rsidR="002C0219">
        <w:rPr>
          <w:b/>
        </w:rPr>
        <w:t>,</w:t>
      </w:r>
      <w:r w:rsidR="002C0219">
        <w:t xml:space="preserve"> </w:t>
      </w:r>
      <w:r w:rsidR="004808C6">
        <w:t xml:space="preserve">with tenders to be received by </w:t>
      </w:r>
      <w:r w:rsidR="004808C6" w:rsidRPr="00DF76E9">
        <w:rPr>
          <w:b/>
          <w:color w:val="FF0000"/>
        </w:rPr>
        <w:t>27 April 2018</w:t>
      </w:r>
      <w:r w:rsidR="004808C6" w:rsidRPr="00DF76E9">
        <w:t xml:space="preserve">. </w:t>
      </w:r>
      <w:r w:rsidR="004808C6">
        <w:t>T</w:t>
      </w:r>
      <w:r w:rsidR="002C0219">
        <w:t xml:space="preserve">he expected date of project </w:t>
      </w:r>
      <w:r w:rsidR="004808C6">
        <w:t xml:space="preserve">completion </w:t>
      </w:r>
      <w:r w:rsidR="002C0219">
        <w:t xml:space="preserve">is </w:t>
      </w:r>
      <w:r w:rsidR="00DF76E9" w:rsidRPr="00DF76E9">
        <w:rPr>
          <w:b/>
          <w:color w:val="FF0000"/>
        </w:rPr>
        <w:t>December</w:t>
      </w:r>
      <w:r w:rsidR="004808C6" w:rsidRPr="00DF76E9">
        <w:rPr>
          <w:b/>
          <w:color w:val="FF0000"/>
        </w:rPr>
        <w:t xml:space="preserve"> </w:t>
      </w:r>
      <w:r w:rsidR="002C0219" w:rsidRPr="00DF76E9">
        <w:rPr>
          <w:b/>
          <w:color w:val="FF0000"/>
        </w:rPr>
        <w:t>2018</w:t>
      </w:r>
      <w:r w:rsidR="004808C6" w:rsidRPr="00DF76E9">
        <w:t>, and suppliers will be expected to demonstrate in their tenders how interim deliverable will be prepared to support industry response to the minister</w:t>
      </w:r>
      <w:r w:rsidR="00D853F3" w:rsidRPr="00DF76E9">
        <w:t xml:space="preserve"> </w:t>
      </w:r>
      <w:r w:rsidR="00DF76E9" w:rsidRPr="00DF76E9">
        <w:t xml:space="preserve">by </w:t>
      </w:r>
      <w:r w:rsidR="00DF76E9" w:rsidRPr="00DF76E9">
        <w:rPr>
          <w:b/>
          <w:color w:val="FF0000"/>
        </w:rPr>
        <w:t>August 2018</w:t>
      </w:r>
      <w:r w:rsidR="002C0219">
        <w:rPr>
          <w:b/>
        </w:rPr>
        <w:t xml:space="preserve">. </w:t>
      </w:r>
    </w:p>
    <w:p w:rsidR="004808C6" w:rsidRDefault="004C3A9C" w:rsidP="004C3A9C">
      <w:pPr>
        <w:pStyle w:val="Bullet1"/>
        <w:numPr>
          <w:ilvl w:val="0"/>
          <w:numId w:val="0"/>
        </w:numPr>
      </w:pPr>
      <w:r>
        <w:t>The indicative budget for is £100-150k</w:t>
      </w:r>
      <w:r w:rsidR="004808C6">
        <w:t>.</w:t>
      </w:r>
    </w:p>
    <w:p w:rsidR="00F30D29" w:rsidRPr="003B6FD9" w:rsidRDefault="00F30D29" w:rsidP="004C3A9C">
      <w:pPr>
        <w:pStyle w:val="Bullet1"/>
        <w:numPr>
          <w:ilvl w:val="0"/>
          <w:numId w:val="0"/>
        </w:numPr>
      </w:pPr>
    </w:p>
    <w:p w:rsidR="00BB74E1" w:rsidRDefault="00B851E1" w:rsidP="004C3A9C">
      <w:pPr>
        <w:pStyle w:val="Heading10"/>
      </w:pPr>
      <w:bookmarkStart w:id="1" w:name="_Hlk506909856"/>
      <w:r>
        <w:t>Supplier Day</w:t>
      </w:r>
    </w:p>
    <w:bookmarkEnd w:id="1"/>
    <w:p w:rsidR="00004439" w:rsidRDefault="00004439" w:rsidP="00BB74E1">
      <w:pPr>
        <w:pStyle w:val="Body"/>
      </w:pPr>
      <w:r>
        <w:t>W</w:t>
      </w:r>
      <w:r w:rsidR="00BB74E1">
        <w:t xml:space="preserve">e welcome suppliers’ thoughts on developing </w:t>
      </w:r>
      <w:r>
        <w:t>objectives of the project to</w:t>
      </w:r>
      <w:r w:rsidR="00BB74E1">
        <w:t xml:space="preserve"> contribute to achieving a successful outcome.</w:t>
      </w:r>
      <w:r>
        <w:t xml:space="preserve"> </w:t>
      </w:r>
    </w:p>
    <w:p w:rsidR="00BB74E1" w:rsidRDefault="00004439" w:rsidP="00BB74E1">
      <w:pPr>
        <w:pStyle w:val="Body"/>
      </w:pPr>
      <w:r>
        <w:t>While there is expected to be some discussion of the approach to be taken in delivery of the objectives, the tender is expected to be left open for the supplier to define the approach to meeting those objectives.</w:t>
      </w:r>
    </w:p>
    <w:p w:rsidR="00BB74E1" w:rsidRDefault="003D3C5F" w:rsidP="00BB74E1">
      <w:pPr>
        <w:pStyle w:val="Body"/>
      </w:pPr>
      <w:r>
        <w:t>During the s</w:t>
      </w:r>
      <w:r w:rsidR="00BB74E1">
        <w:t xml:space="preserve">upplier day, </w:t>
      </w:r>
      <w:r>
        <w:t xml:space="preserve">we aim to </w:t>
      </w:r>
      <w:r w:rsidR="004808C6">
        <w:t>discuss the</w:t>
      </w:r>
      <w:r>
        <w:t xml:space="preserve"> timeframes and refine the scope further. W</w:t>
      </w:r>
      <w:r w:rsidR="00BB74E1">
        <w:t xml:space="preserve">e would like </w:t>
      </w:r>
      <w:r w:rsidR="00B33B3B">
        <w:t xml:space="preserve">suppliers </w:t>
      </w:r>
      <w:r w:rsidR="00BB74E1">
        <w:t>to consider:</w:t>
      </w:r>
    </w:p>
    <w:p w:rsidR="00BB74E1" w:rsidRDefault="00BB74E1" w:rsidP="00BB74E1">
      <w:pPr>
        <w:pStyle w:val="Body"/>
        <w:numPr>
          <w:ilvl w:val="0"/>
          <w:numId w:val="34"/>
        </w:numPr>
      </w:pPr>
      <w:r>
        <w:t xml:space="preserve">Is the industry </w:t>
      </w:r>
      <w:r w:rsidR="004808C6">
        <w:t xml:space="preserve">currently </w:t>
      </w:r>
      <w:r>
        <w:t xml:space="preserve">on the right track towards </w:t>
      </w:r>
      <w:r w:rsidR="002C0219">
        <w:t>decarbonisation and what are your initial thoughts on optimising the transition</w:t>
      </w:r>
      <w:r>
        <w:t>?</w:t>
      </w:r>
    </w:p>
    <w:p w:rsidR="00141905" w:rsidRDefault="00141905" w:rsidP="004C3A9C">
      <w:pPr>
        <w:pStyle w:val="Body"/>
        <w:numPr>
          <w:ilvl w:val="0"/>
          <w:numId w:val="34"/>
        </w:numPr>
      </w:pPr>
      <w:r>
        <w:t xml:space="preserve">What key sources of information </w:t>
      </w:r>
      <w:r w:rsidR="004808C6">
        <w:t>will be required</w:t>
      </w:r>
      <w:r>
        <w:t>?</w:t>
      </w:r>
      <w:r w:rsidR="004808C6">
        <w:t xml:space="preserve"> Where are there likely to be barriers in gaining access to this information?</w:t>
      </w:r>
    </w:p>
    <w:p w:rsidR="00141905" w:rsidRDefault="00141905" w:rsidP="00141905">
      <w:pPr>
        <w:pStyle w:val="Body"/>
        <w:numPr>
          <w:ilvl w:val="0"/>
          <w:numId w:val="34"/>
        </w:numPr>
      </w:pPr>
      <w:r>
        <w:t>What key stakeholder</w:t>
      </w:r>
      <w:r w:rsidR="002C0219">
        <w:t>s</w:t>
      </w:r>
      <w:r>
        <w:t xml:space="preserve"> should be involved throughout the project?</w:t>
      </w:r>
    </w:p>
    <w:p w:rsidR="00141905" w:rsidRDefault="00141905" w:rsidP="00141905">
      <w:pPr>
        <w:pStyle w:val="Body"/>
        <w:numPr>
          <w:ilvl w:val="0"/>
          <w:numId w:val="34"/>
        </w:numPr>
      </w:pPr>
      <w:r>
        <w:lastRenderedPageBreak/>
        <w:t xml:space="preserve">Considering the wider project responsibilities and Jo Johnson’s Autumn deadline, </w:t>
      </w:r>
      <w:r w:rsidR="004808C6">
        <w:t>what structure of the project would best support a successful outcome?</w:t>
      </w:r>
    </w:p>
    <w:p w:rsidR="00141905" w:rsidRDefault="00141905" w:rsidP="00141905">
      <w:pPr>
        <w:pStyle w:val="Body"/>
        <w:numPr>
          <w:ilvl w:val="0"/>
          <w:numId w:val="34"/>
        </w:numPr>
      </w:pPr>
      <w:r>
        <w:t xml:space="preserve">What </w:t>
      </w:r>
      <w:r w:rsidR="004808C6">
        <w:t xml:space="preserve">are the key </w:t>
      </w:r>
      <w:r>
        <w:t>skillset</w:t>
      </w:r>
      <w:r w:rsidR="004808C6">
        <w:t>s</w:t>
      </w:r>
      <w:r>
        <w:t xml:space="preserve"> </w:t>
      </w:r>
      <w:r w:rsidR="004808C6">
        <w:t>needed for each of the key project activities (scenario building and economic modelling)?</w:t>
      </w:r>
    </w:p>
    <w:p w:rsidR="00141905" w:rsidRDefault="00141905" w:rsidP="00141905">
      <w:pPr>
        <w:pStyle w:val="Body"/>
        <w:numPr>
          <w:ilvl w:val="0"/>
          <w:numId w:val="34"/>
        </w:numPr>
      </w:pPr>
      <w:r>
        <w:t xml:space="preserve">What </w:t>
      </w:r>
      <w:r w:rsidR="002B6A10">
        <w:t>are the key objectives of the work that should be included in the specification?</w:t>
      </w:r>
    </w:p>
    <w:p w:rsidR="00832204" w:rsidRDefault="00832204" w:rsidP="00832204">
      <w:pPr>
        <w:pStyle w:val="Body"/>
      </w:pPr>
      <w:bookmarkStart w:id="2" w:name="_GoBack"/>
      <w:bookmarkEnd w:id="2"/>
    </w:p>
    <w:p w:rsidR="00482BA9" w:rsidRDefault="00482BA9" w:rsidP="004C3A9C">
      <w:pPr>
        <w:pStyle w:val="Heading10"/>
      </w:pPr>
      <w:r>
        <w:t>Expressions of interest</w:t>
      </w:r>
    </w:p>
    <w:p w:rsidR="004C3A9C" w:rsidRDefault="0056187C" w:rsidP="003B6FD9">
      <w:pPr>
        <w:pStyle w:val="Body"/>
      </w:pPr>
      <w:r>
        <w:t xml:space="preserve">We are inviting suppliers to provide a short summary of their capabilities and experience in this subject area to help us deliver a successful project.  </w:t>
      </w:r>
      <w:r w:rsidR="00891DF7">
        <w:t xml:space="preserve">Taking into account the </w:t>
      </w:r>
      <w:r w:rsidR="00200238">
        <w:t>envisaged scope of work</w:t>
      </w:r>
      <w:r w:rsidR="004C3A9C">
        <w:t>,</w:t>
      </w:r>
      <w:r w:rsidR="00200238">
        <w:t xml:space="preserve"> </w:t>
      </w:r>
      <w:r w:rsidR="00891DF7">
        <w:t>we would be pleased to receive a summary response (</w:t>
      </w:r>
      <w:r w:rsidR="004C3A9C">
        <w:t>Max</w:t>
      </w:r>
      <w:r w:rsidR="00891DF7">
        <w:t xml:space="preserve"> 4 pages) by </w:t>
      </w:r>
      <w:r w:rsidR="002B6A10">
        <w:rPr>
          <w:b/>
          <w:color w:val="FF0000"/>
        </w:rPr>
        <w:t>2</w:t>
      </w:r>
      <w:r w:rsidR="000D124B">
        <w:rPr>
          <w:b/>
          <w:color w:val="FF0000"/>
        </w:rPr>
        <w:t>0</w:t>
      </w:r>
      <w:r w:rsidR="002B6A10" w:rsidRPr="00981D64">
        <w:rPr>
          <w:b/>
          <w:color w:val="FF0000"/>
        </w:rPr>
        <w:t xml:space="preserve"> </w:t>
      </w:r>
      <w:r w:rsidR="003B6FD9" w:rsidRPr="00981D64">
        <w:rPr>
          <w:b/>
          <w:color w:val="FF0000"/>
        </w:rPr>
        <w:t>March</w:t>
      </w:r>
      <w:r w:rsidR="00C37A8C" w:rsidRPr="00981D64">
        <w:rPr>
          <w:b/>
          <w:color w:val="FF0000"/>
        </w:rPr>
        <w:t xml:space="preserve"> 201</w:t>
      </w:r>
      <w:r w:rsidR="003364F9" w:rsidRPr="00981D64">
        <w:rPr>
          <w:b/>
          <w:color w:val="FF0000"/>
        </w:rPr>
        <w:t>8</w:t>
      </w:r>
      <w:r w:rsidR="00891DF7" w:rsidRPr="00981D64">
        <w:rPr>
          <w:color w:val="FF0000"/>
        </w:rPr>
        <w:t xml:space="preserve"> </w:t>
      </w:r>
      <w:r w:rsidR="00891DF7">
        <w:t>setting out your interest</w:t>
      </w:r>
      <w:r w:rsidR="00200238">
        <w:t>.</w:t>
      </w:r>
      <w:r w:rsidR="003B6FD9">
        <w:t xml:space="preserve"> </w:t>
      </w:r>
    </w:p>
    <w:p w:rsidR="00832204" w:rsidRDefault="003B6FD9" w:rsidP="00832204">
      <w:pPr>
        <w:pStyle w:val="Body"/>
      </w:pPr>
      <w:r>
        <w:t>Based on experience</w:t>
      </w:r>
      <w:r w:rsidR="004C3A9C">
        <w:t xml:space="preserve"> of similar projects</w:t>
      </w:r>
      <w:r w:rsidR="00930681" w:rsidRPr="00930681">
        <w:t xml:space="preserve">, </w:t>
      </w:r>
      <w:r w:rsidR="004C3A9C">
        <w:t xml:space="preserve">we would welcome </w:t>
      </w:r>
      <w:r w:rsidR="002B6A10">
        <w:t xml:space="preserve">any additional </w:t>
      </w:r>
      <w:r w:rsidR="005B46B1">
        <w:t>thoughts</w:t>
      </w:r>
      <w:r w:rsidR="00930681" w:rsidRPr="00930681">
        <w:t xml:space="preserve"> </w:t>
      </w:r>
      <w:r w:rsidR="002B6A10">
        <w:t>based on the questions outlined for the supplier day</w:t>
      </w:r>
      <w:r w:rsidR="004C3A9C">
        <w:t xml:space="preserve"> (no page limit).</w:t>
      </w:r>
    </w:p>
    <w:p w:rsidR="002B6A10" w:rsidRDefault="002B6A10" w:rsidP="00832204">
      <w:pPr>
        <w:pStyle w:val="Body"/>
      </w:pPr>
    </w:p>
    <w:p w:rsidR="007F78BC" w:rsidRPr="00645E17" w:rsidRDefault="007F78BC" w:rsidP="007F78BC">
      <w:pPr>
        <w:pStyle w:val="Bullet1"/>
        <w:numPr>
          <w:ilvl w:val="0"/>
          <w:numId w:val="0"/>
        </w:numPr>
      </w:pPr>
    </w:p>
    <w:sectPr w:rsidR="007F78BC" w:rsidRPr="00645E17" w:rsidSect="00D26B62">
      <w:headerReference w:type="default" r:id="rId11"/>
      <w:footerReference w:type="even" r:id="rId12"/>
      <w:footerReference w:type="default" r:id="rId13"/>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00D" w:rsidRDefault="00B7200D" w:rsidP="0003785D">
      <w:r>
        <w:separator/>
      </w:r>
    </w:p>
  </w:endnote>
  <w:endnote w:type="continuationSeparator" w:id="0">
    <w:p w:rsidR="00B7200D" w:rsidRDefault="00B7200D"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951" w:rsidRDefault="00E90951" w:rsidP="00674166">
    <w:pPr>
      <w:pStyle w:val="FooterLeft"/>
    </w:pPr>
    <w:r>
      <w:fldChar w:fldCharType="begin"/>
    </w:r>
    <w:r>
      <w:instrText xml:space="preserve"> PAGE   \* MERGEFORMAT </w:instrText>
    </w:r>
    <w:r>
      <w:fldChar w:fldCharType="separate"/>
    </w:r>
    <w:r w:rsidR="000D124B">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951" w:rsidRDefault="00E90951" w:rsidP="00674166">
    <w:pPr>
      <w:pStyle w:val="FooterRight"/>
    </w:pPr>
    <w:r>
      <w:fldChar w:fldCharType="begin"/>
    </w:r>
    <w:r>
      <w:instrText xml:space="preserve"> PAGE   \* MERGEFORMAT </w:instrText>
    </w:r>
    <w:r>
      <w:fldChar w:fldCharType="separate"/>
    </w:r>
    <w:r w:rsidR="000D124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00D" w:rsidRDefault="00B7200D" w:rsidP="0003785D">
      <w:r>
        <w:separator/>
      </w:r>
    </w:p>
  </w:footnote>
  <w:footnote w:type="continuationSeparator" w:id="0">
    <w:p w:rsidR="00B7200D" w:rsidRDefault="00B7200D" w:rsidP="0003785D">
      <w:r>
        <w:continuationSeparator/>
      </w:r>
    </w:p>
  </w:footnote>
  <w:footnote w:id="1">
    <w:p w:rsidR="002C0219" w:rsidRDefault="002C0219" w:rsidP="002C0219">
      <w:pPr>
        <w:pStyle w:val="FootnoteText"/>
      </w:pPr>
      <w:r>
        <w:rPr>
          <w:rStyle w:val="FootnoteReference"/>
        </w:rPr>
        <w:footnoteRef/>
      </w:r>
      <w:r>
        <w:t xml:space="preserve"> </w:t>
      </w:r>
      <w:r w:rsidRPr="00B95469">
        <w:rPr>
          <w:sz w:val="16"/>
        </w:rPr>
        <w:t>https://www.gov.uk/government/speeches/lets-raise-our-ambitions-for-a-cleaner-greener-railway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951" w:rsidRPr="0003785D" w:rsidRDefault="00E90951" w:rsidP="0003785D">
    <w:pPr>
      <w:pStyle w:val="Image"/>
    </w:pPr>
    <w:r>
      <w:rPr>
        <w:noProof/>
        <w:lang w:eastAsia="en-GB"/>
      </w:rPr>
      <w:drawing>
        <wp:inline distT="0" distB="0" distL="0" distR="0" wp14:anchorId="4A42A44D" wp14:editId="79A5F20A">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7" w15:restartNumberingAfterBreak="0">
    <w:nsid w:val="19A50575"/>
    <w:multiLevelType w:val="hybridMultilevel"/>
    <w:tmpl w:val="108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C2F5B"/>
    <w:multiLevelType w:val="hybridMultilevel"/>
    <w:tmpl w:val="E8C8E4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ED30A3"/>
    <w:multiLevelType w:val="hybridMultilevel"/>
    <w:tmpl w:val="54CA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516E7"/>
    <w:multiLevelType w:val="hybridMultilevel"/>
    <w:tmpl w:val="A80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4" w15:restartNumberingAfterBreak="0">
    <w:nsid w:val="2EE83189"/>
    <w:multiLevelType w:val="hybridMultilevel"/>
    <w:tmpl w:val="FFF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347F4"/>
    <w:multiLevelType w:val="hybridMultilevel"/>
    <w:tmpl w:val="BEC8B9EC"/>
    <w:lvl w:ilvl="0" w:tplc="51F22F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3"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19073D"/>
    <w:multiLevelType w:val="hybridMultilevel"/>
    <w:tmpl w:val="B9F2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9534F"/>
    <w:multiLevelType w:val="hybridMultilevel"/>
    <w:tmpl w:val="7E82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6"/>
  </w:num>
  <w:num w:numId="3">
    <w:abstractNumId w:val="9"/>
  </w:num>
  <w:num w:numId="4">
    <w:abstractNumId w:val="21"/>
  </w:num>
  <w:num w:numId="5">
    <w:abstractNumId w:val="31"/>
  </w:num>
  <w:num w:numId="6">
    <w:abstractNumId w:val="0"/>
  </w:num>
  <w:num w:numId="7">
    <w:abstractNumId w:val="32"/>
  </w:num>
  <w:num w:numId="8">
    <w:abstractNumId w:val="30"/>
  </w:num>
  <w:num w:numId="9">
    <w:abstractNumId w:val="1"/>
  </w:num>
  <w:num w:numId="10">
    <w:abstractNumId w:val="22"/>
  </w:num>
  <w:num w:numId="11">
    <w:abstractNumId w:val="34"/>
  </w:num>
  <w:num w:numId="12">
    <w:abstractNumId w:val="3"/>
  </w:num>
  <w:num w:numId="13">
    <w:abstractNumId w:val="33"/>
  </w:num>
  <w:num w:numId="14">
    <w:abstractNumId w:val="28"/>
  </w:num>
  <w:num w:numId="15">
    <w:abstractNumId w:val="24"/>
  </w:num>
  <w:num w:numId="16">
    <w:abstractNumId w:val="4"/>
  </w:num>
  <w:num w:numId="17">
    <w:abstractNumId w:val="29"/>
  </w:num>
  <w:num w:numId="18">
    <w:abstractNumId w:val="6"/>
  </w:num>
  <w:num w:numId="19">
    <w:abstractNumId w:val="17"/>
  </w:num>
  <w:num w:numId="20">
    <w:abstractNumId w:val="19"/>
  </w:num>
  <w:num w:numId="21">
    <w:abstractNumId w:val="5"/>
  </w:num>
  <w:num w:numId="22">
    <w:abstractNumId w:val="27"/>
  </w:num>
  <w:num w:numId="23">
    <w:abstractNumId w:val="20"/>
  </w:num>
  <w:num w:numId="24">
    <w:abstractNumId w:val="12"/>
  </w:num>
  <w:num w:numId="25">
    <w:abstractNumId w:val="13"/>
  </w:num>
  <w:num w:numId="26">
    <w:abstractNumId w:val="15"/>
  </w:num>
  <w:num w:numId="27">
    <w:abstractNumId w:val="23"/>
  </w:num>
  <w:num w:numId="28">
    <w:abstractNumId w:val="15"/>
    <w:lvlOverride w:ilvl="0">
      <w:startOverride w:val="1"/>
    </w:lvlOverride>
  </w:num>
  <w:num w:numId="29">
    <w:abstractNumId w:val="4"/>
  </w:num>
  <w:num w:numId="30">
    <w:abstractNumId w:val="14"/>
  </w:num>
  <w:num w:numId="31">
    <w:abstractNumId w:val="8"/>
  </w:num>
  <w:num w:numId="32">
    <w:abstractNumId w:val="26"/>
  </w:num>
  <w:num w:numId="33">
    <w:abstractNumId w:val="11"/>
  </w:num>
  <w:num w:numId="34">
    <w:abstractNumId w:val="7"/>
  </w:num>
  <w:num w:numId="35">
    <w:abstractNumId w:val="10"/>
  </w:num>
  <w:num w:numId="36">
    <w:abstractNumId w:val="18"/>
  </w:num>
  <w:num w:numId="3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01E00"/>
    <w:rsid w:val="00004439"/>
    <w:rsid w:val="00010241"/>
    <w:rsid w:val="00025BF9"/>
    <w:rsid w:val="00027D88"/>
    <w:rsid w:val="0003785D"/>
    <w:rsid w:val="000505AF"/>
    <w:rsid w:val="00080091"/>
    <w:rsid w:val="00095757"/>
    <w:rsid w:val="00095A03"/>
    <w:rsid w:val="000B09B1"/>
    <w:rsid w:val="000B3445"/>
    <w:rsid w:val="000D124B"/>
    <w:rsid w:val="000D1938"/>
    <w:rsid w:val="000D3F24"/>
    <w:rsid w:val="000E1B11"/>
    <w:rsid w:val="000F3413"/>
    <w:rsid w:val="001007D1"/>
    <w:rsid w:val="00100BAD"/>
    <w:rsid w:val="00105AA8"/>
    <w:rsid w:val="00106515"/>
    <w:rsid w:val="00134A7B"/>
    <w:rsid w:val="00141905"/>
    <w:rsid w:val="001640EB"/>
    <w:rsid w:val="00180DB2"/>
    <w:rsid w:val="001B4560"/>
    <w:rsid w:val="001D6DF8"/>
    <w:rsid w:val="001E7204"/>
    <w:rsid w:val="001F22B3"/>
    <w:rsid w:val="001F2882"/>
    <w:rsid w:val="001F5CE5"/>
    <w:rsid w:val="00200238"/>
    <w:rsid w:val="002030AF"/>
    <w:rsid w:val="0023065B"/>
    <w:rsid w:val="002345D7"/>
    <w:rsid w:val="002569DA"/>
    <w:rsid w:val="00260638"/>
    <w:rsid w:val="002624B8"/>
    <w:rsid w:val="00263CE4"/>
    <w:rsid w:val="00265982"/>
    <w:rsid w:val="002A4FD2"/>
    <w:rsid w:val="002B6A10"/>
    <w:rsid w:val="002C0219"/>
    <w:rsid w:val="002C10B0"/>
    <w:rsid w:val="002C3930"/>
    <w:rsid w:val="003364F9"/>
    <w:rsid w:val="00394C4E"/>
    <w:rsid w:val="00395222"/>
    <w:rsid w:val="003A58F0"/>
    <w:rsid w:val="003B6FD9"/>
    <w:rsid w:val="003D3C5F"/>
    <w:rsid w:val="004044AF"/>
    <w:rsid w:val="00413D0B"/>
    <w:rsid w:val="00415889"/>
    <w:rsid w:val="004236BB"/>
    <w:rsid w:val="0043756F"/>
    <w:rsid w:val="00443FAF"/>
    <w:rsid w:val="004666E1"/>
    <w:rsid w:val="004808C6"/>
    <w:rsid w:val="00482BA9"/>
    <w:rsid w:val="004B1232"/>
    <w:rsid w:val="004B23F1"/>
    <w:rsid w:val="004C3A9C"/>
    <w:rsid w:val="004C5BAF"/>
    <w:rsid w:val="004D06B4"/>
    <w:rsid w:val="004D1C89"/>
    <w:rsid w:val="004E158D"/>
    <w:rsid w:val="004F1F66"/>
    <w:rsid w:val="00504F1B"/>
    <w:rsid w:val="005170FA"/>
    <w:rsid w:val="00523E0C"/>
    <w:rsid w:val="005302A4"/>
    <w:rsid w:val="00546361"/>
    <w:rsid w:val="00547F63"/>
    <w:rsid w:val="0056187C"/>
    <w:rsid w:val="00564678"/>
    <w:rsid w:val="00565059"/>
    <w:rsid w:val="00581B3B"/>
    <w:rsid w:val="00597917"/>
    <w:rsid w:val="005A51FF"/>
    <w:rsid w:val="005B46B1"/>
    <w:rsid w:val="005C1DDB"/>
    <w:rsid w:val="005C3EEB"/>
    <w:rsid w:val="005E0FA3"/>
    <w:rsid w:val="005E6B5A"/>
    <w:rsid w:val="005F1D65"/>
    <w:rsid w:val="005F75AA"/>
    <w:rsid w:val="00620FA0"/>
    <w:rsid w:val="0062110D"/>
    <w:rsid w:val="00645E17"/>
    <w:rsid w:val="006719F2"/>
    <w:rsid w:val="00674166"/>
    <w:rsid w:val="00677B4C"/>
    <w:rsid w:val="00692F4B"/>
    <w:rsid w:val="006955FB"/>
    <w:rsid w:val="006A70D0"/>
    <w:rsid w:val="006D3A06"/>
    <w:rsid w:val="006E2708"/>
    <w:rsid w:val="006E63F0"/>
    <w:rsid w:val="00715049"/>
    <w:rsid w:val="00727E0C"/>
    <w:rsid w:val="00750268"/>
    <w:rsid w:val="0075783D"/>
    <w:rsid w:val="0077002C"/>
    <w:rsid w:val="007721A7"/>
    <w:rsid w:val="0078187F"/>
    <w:rsid w:val="00787199"/>
    <w:rsid w:val="007A6DDC"/>
    <w:rsid w:val="007B25CE"/>
    <w:rsid w:val="007B59B2"/>
    <w:rsid w:val="007C3155"/>
    <w:rsid w:val="007C61C6"/>
    <w:rsid w:val="007D658E"/>
    <w:rsid w:val="007F78BC"/>
    <w:rsid w:val="008149E8"/>
    <w:rsid w:val="0082192E"/>
    <w:rsid w:val="00832204"/>
    <w:rsid w:val="00856404"/>
    <w:rsid w:val="00866746"/>
    <w:rsid w:val="0089034C"/>
    <w:rsid w:val="00891DF7"/>
    <w:rsid w:val="00896506"/>
    <w:rsid w:val="008A357B"/>
    <w:rsid w:val="008B57D9"/>
    <w:rsid w:val="008C0B12"/>
    <w:rsid w:val="008C0F62"/>
    <w:rsid w:val="008E52AC"/>
    <w:rsid w:val="008F04B0"/>
    <w:rsid w:val="008F329D"/>
    <w:rsid w:val="00903E24"/>
    <w:rsid w:val="00911D0D"/>
    <w:rsid w:val="00916E86"/>
    <w:rsid w:val="0092127D"/>
    <w:rsid w:val="00923B5C"/>
    <w:rsid w:val="00930681"/>
    <w:rsid w:val="00931E25"/>
    <w:rsid w:val="009334E8"/>
    <w:rsid w:val="0095074C"/>
    <w:rsid w:val="00971DFA"/>
    <w:rsid w:val="00981D64"/>
    <w:rsid w:val="00986FE3"/>
    <w:rsid w:val="00992F31"/>
    <w:rsid w:val="00996875"/>
    <w:rsid w:val="009A43CE"/>
    <w:rsid w:val="009C66F7"/>
    <w:rsid w:val="009E1F97"/>
    <w:rsid w:val="009E5BF2"/>
    <w:rsid w:val="00A04747"/>
    <w:rsid w:val="00A12089"/>
    <w:rsid w:val="00A54888"/>
    <w:rsid w:val="00A814EC"/>
    <w:rsid w:val="00A85B19"/>
    <w:rsid w:val="00A90A0A"/>
    <w:rsid w:val="00A92A2B"/>
    <w:rsid w:val="00AC7566"/>
    <w:rsid w:val="00AD08D0"/>
    <w:rsid w:val="00AD2519"/>
    <w:rsid w:val="00AE4409"/>
    <w:rsid w:val="00B057FF"/>
    <w:rsid w:val="00B073F2"/>
    <w:rsid w:val="00B079E2"/>
    <w:rsid w:val="00B15684"/>
    <w:rsid w:val="00B20829"/>
    <w:rsid w:val="00B33B3B"/>
    <w:rsid w:val="00B34E30"/>
    <w:rsid w:val="00B55A28"/>
    <w:rsid w:val="00B60346"/>
    <w:rsid w:val="00B7200D"/>
    <w:rsid w:val="00B770DC"/>
    <w:rsid w:val="00B851E1"/>
    <w:rsid w:val="00B928F8"/>
    <w:rsid w:val="00B95469"/>
    <w:rsid w:val="00B9637C"/>
    <w:rsid w:val="00BA4D29"/>
    <w:rsid w:val="00BB37E9"/>
    <w:rsid w:val="00BB74E1"/>
    <w:rsid w:val="00BC31A4"/>
    <w:rsid w:val="00BE38C8"/>
    <w:rsid w:val="00C06857"/>
    <w:rsid w:val="00C12274"/>
    <w:rsid w:val="00C15913"/>
    <w:rsid w:val="00C24A54"/>
    <w:rsid w:val="00C264FE"/>
    <w:rsid w:val="00C37A8C"/>
    <w:rsid w:val="00C411AA"/>
    <w:rsid w:val="00C62BAC"/>
    <w:rsid w:val="00C72510"/>
    <w:rsid w:val="00C73240"/>
    <w:rsid w:val="00C85A39"/>
    <w:rsid w:val="00C92E29"/>
    <w:rsid w:val="00CA4153"/>
    <w:rsid w:val="00CB219F"/>
    <w:rsid w:val="00CB60A5"/>
    <w:rsid w:val="00CC0375"/>
    <w:rsid w:val="00CC2358"/>
    <w:rsid w:val="00CF7392"/>
    <w:rsid w:val="00D11754"/>
    <w:rsid w:val="00D21CBD"/>
    <w:rsid w:val="00D23B6A"/>
    <w:rsid w:val="00D26B62"/>
    <w:rsid w:val="00D30600"/>
    <w:rsid w:val="00D33121"/>
    <w:rsid w:val="00D36888"/>
    <w:rsid w:val="00D371CD"/>
    <w:rsid w:val="00D523CF"/>
    <w:rsid w:val="00D62C55"/>
    <w:rsid w:val="00D64E7C"/>
    <w:rsid w:val="00D67EE0"/>
    <w:rsid w:val="00D73B6A"/>
    <w:rsid w:val="00D81163"/>
    <w:rsid w:val="00D853F3"/>
    <w:rsid w:val="00DD1ABC"/>
    <w:rsid w:val="00DD3C0B"/>
    <w:rsid w:val="00DD7945"/>
    <w:rsid w:val="00DE33A2"/>
    <w:rsid w:val="00DE45B7"/>
    <w:rsid w:val="00DF078D"/>
    <w:rsid w:val="00DF3EE4"/>
    <w:rsid w:val="00DF76E9"/>
    <w:rsid w:val="00E00C43"/>
    <w:rsid w:val="00E04231"/>
    <w:rsid w:val="00E224BE"/>
    <w:rsid w:val="00E304AF"/>
    <w:rsid w:val="00E32EB0"/>
    <w:rsid w:val="00E56E0B"/>
    <w:rsid w:val="00E615FD"/>
    <w:rsid w:val="00E66DEE"/>
    <w:rsid w:val="00E90951"/>
    <w:rsid w:val="00E9299E"/>
    <w:rsid w:val="00E94B95"/>
    <w:rsid w:val="00EC063D"/>
    <w:rsid w:val="00EC2C5A"/>
    <w:rsid w:val="00ED080B"/>
    <w:rsid w:val="00ED1F36"/>
    <w:rsid w:val="00F10B9B"/>
    <w:rsid w:val="00F16B8B"/>
    <w:rsid w:val="00F30D29"/>
    <w:rsid w:val="00F4795C"/>
    <w:rsid w:val="00F47E34"/>
    <w:rsid w:val="00F61D45"/>
    <w:rsid w:val="00F62B1B"/>
    <w:rsid w:val="00F7317C"/>
    <w:rsid w:val="00F771E4"/>
    <w:rsid w:val="00FB3B74"/>
    <w:rsid w:val="00FF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901D2"/>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character" w:styleId="CommentReference">
    <w:name w:val="annotation reference"/>
    <w:basedOn w:val="DefaultParagraphFont"/>
    <w:semiHidden/>
    <w:unhideWhenUsed/>
    <w:rsid w:val="00200238"/>
    <w:rPr>
      <w:sz w:val="16"/>
      <w:szCs w:val="16"/>
    </w:rPr>
  </w:style>
  <w:style w:type="paragraph" w:styleId="CommentText">
    <w:name w:val="annotation text"/>
    <w:basedOn w:val="Normal"/>
    <w:link w:val="CommentTextChar"/>
    <w:unhideWhenUsed/>
    <w:rsid w:val="00200238"/>
    <w:rPr>
      <w:sz w:val="20"/>
      <w:szCs w:val="20"/>
    </w:rPr>
  </w:style>
  <w:style w:type="character" w:customStyle="1" w:styleId="CommentTextChar">
    <w:name w:val="Comment Text Char"/>
    <w:basedOn w:val="DefaultParagraphFont"/>
    <w:link w:val="CommentText"/>
    <w:rsid w:val="00200238"/>
    <w:rPr>
      <w:rFonts w:ascii="Arial" w:hAnsi="Arial"/>
      <w:lang w:eastAsia="en-US"/>
    </w:rPr>
  </w:style>
  <w:style w:type="paragraph" w:styleId="CommentSubject">
    <w:name w:val="annotation subject"/>
    <w:basedOn w:val="CommentText"/>
    <w:next w:val="CommentText"/>
    <w:link w:val="CommentSubjectChar"/>
    <w:semiHidden/>
    <w:unhideWhenUsed/>
    <w:rsid w:val="00200238"/>
    <w:rPr>
      <w:b/>
      <w:bCs/>
    </w:rPr>
  </w:style>
  <w:style w:type="character" w:customStyle="1" w:styleId="CommentSubjectChar">
    <w:name w:val="Comment Subject Char"/>
    <w:basedOn w:val="CommentTextChar"/>
    <w:link w:val="CommentSubject"/>
    <w:semiHidden/>
    <w:rsid w:val="00200238"/>
    <w:rPr>
      <w:rFonts w:ascii="Arial" w:hAnsi="Arial"/>
      <w:b/>
      <w:bCs/>
      <w:lang w:eastAsia="en-US"/>
    </w:rPr>
  </w:style>
  <w:style w:type="paragraph" w:styleId="FootnoteText">
    <w:name w:val="footnote text"/>
    <w:basedOn w:val="Normal"/>
    <w:link w:val="FootnoteTextChar"/>
    <w:semiHidden/>
    <w:unhideWhenUsed/>
    <w:rsid w:val="00B95469"/>
    <w:rPr>
      <w:sz w:val="20"/>
      <w:szCs w:val="20"/>
    </w:rPr>
  </w:style>
  <w:style w:type="character" w:customStyle="1" w:styleId="FootnoteTextChar">
    <w:name w:val="Footnote Text Char"/>
    <w:basedOn w:val="DefaultParagraphFont"/>
    <w:link w:val="FootnoteText"/>
    <w:semiHidden/>
    <w:rsid w:val="00B95469"/>
    <w:rPr>
      <w:rFonts w:ascii="Arial" w:hAnsi="Arial"/>
      <w:lang w:eastAsia="en-US"/>
    </w:rPr>
  </w:style>
  <w:style w:type="character" w:styleId="FootnoteReference">
    <w:name w:val="footnote reference"/>
    <w:basedOn w:val="DefaultParagraphFont"/>
    <w:semiHidden/>
    <w:unhideWhenUsed/>
    <w:rsid w:val="00B95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411054">
      <w:bodyDiv w:val="1"/>
      <w:marLeft w:val="0"/>
      <w:marRight w:val="0"/>
      <w:marTop w:val="0"/>
      <w:marBottom w:val="0"/>
      <w:divBdr>
        <w:top w:val="none" w:sz="0" w:space="0" w:color="auto"/>
        <w:left w:val="none" w:sz="0" w:space="0" w:color="auto"/>
        <w:bottom w:val="none" w:sz="0" w:space="0" w:color="auto"/>
        <w:right w:val="none" w:sz="0" w:space="0" w:color="auto"/>
      </w:divBdr>
    </w:div>
    <w:div w:id="18551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{061DF4F3-3DA3-4956-97B4-CA5D5CEBFDAD}</b:Guid>
    <b:Title>https://www.gov.uk/government/speeches/lets-raise-our-ambitions-for-a-cleaner-greener-railway</b:Title>
    <b:RefOrder>1</b:RefOrder>
  </b:Source>
</b:Sources>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87AAE-85C7-4D14-8E9C-C3C0D2F9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Matthew Riley</cp:lastModifiedBy>
  <cp:revision>2</cp:revision>
  <cp:lastPrinted>2017-05-12T15:14:00Z</cp:lastPrinted>
  <dcterms:created xsi:type="dcterms:W3CDTF">2018-03-08T15:46:00Z</dcterms:created>
  <dcterms:modified xsi:type="dcterms:W3CDTF">2018-03-08T15:46:00Z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