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283F38FF" w14:textId="77777777" w:rsidR="00252BC1" w:rsidRDefault="00252BC1" w:rsidP="00252BC1">
      <w:pPr>
        <w:jc w:val="both"/>
        <w:rPr>
          <w:rFonts w:asciiTheme="majorHAnsi" w:eastAsiaTheme="majorEastAsia" w:hAnsiTheme="majorHAnsi" w:cstheme="majorBidi"/>
          <w:color w:val="008330" w:themeColor="accent1" w:themeShade="BF"/>
          <w:sz w:val="32"/>
          <w:szCs w:val="32"/>
        </w:rPr>
      </w:pPr>
      <w:r w:rsidRPr="00FF09DC">
        <w:rPr>
          <w:rFonts w:asciiTheme="majorHAnsi" w:eastAsiaTheme="majorEastAsia" w:hAnsiTheme="majorHAnsi" w:cstheme="majorBidi"/>
          <w:color w:val="008330" w:themeColor="accent1" w:themeShade="BF"/>
          <w:sz w:val="32"/>
          <w:szCs w:val="32"/>
        </w:rPr>
        <w:t xml:space="preserve">NC 76 Task 3.8 Inshore fish </w:t>
      </w:r>
      <w:r>
        <w:rPr>
          <w:rFonts w:asciiTheme="majorHAnsi" w:eastAsiaTheme="majorEastAsia" w:hAnsiTheme="majorHAnsi" w:cstheme="majorBidi"/>
          <w:color w:val="008330" w:themeColor="accent1" w:themeShade="BF"/>
          <w:sz w:val="32"/>
          <w:szCs w:val="32"/>
        </w:rPr>
        <w:t xml:space="preserve">and cephalopods </w:t>
      </w:r>
      <w:r w:rsidRPr="00FF09DC">
        <w:rPr>
          <w:rFonts w:asciiTheme="majorHAnsi" w:eastAsiaTheme="majorEastAsia" w:hAnsiTheme="majorHAnsi" w:cstheme="majorBidi"/>
          <w:color w:val="008330" w:themeColor="accent1" w:themeShade="BF"/>
          <w:sz w:val="32"/>
          <w:szCs w:val="32"/>
        </w:rPr>
        <w:t>– monitoring handbook</w:t>
      </w:r>
    </w:p>
    <w:p w14:paraId="475EA411" w14:textId="77777777" w:rsidR="00EB23A0" w:rsidRPr="00392797" w:rsidRDefault="00EB23A0" w:rsidP="00EB23A0">
      <w:pPr>
        <w:rPr>
          <w:rStyle w:val="Important"/>
          <w:color w:val="auto"/>
        </w:rPr>
      </w:pPr>
    </w:p>
    <w:p w14:paraId="14C9028F" w14:textId="20343D51" w:rsidR="00EB23A0" w:rsidRPr="00392797" w:rsidRDefault="00252BC1" w:rsidP="00EB23A0">
      <w:r w:rsidRPr="00392797">
        <w:rPr>
          <w:rStyle w:val="Important"/>
          <w:color w:val="auto"/>
        </w:rPr>
        <w:t>08/07/2024</w:t>
      </w:r>
    </w:p>
    <w:p w14:paraId="7E73EE61" w14:textId="77777777" w:rsidR="00EB23A0" w:rsidRPr="00392797" w:rsidRDefault="00EB23A0" w:rsidP="00EB23A0">
      <w:pPr>
        <w:pStyle w:val="CommentText"/>
        <w:rPr>
          <w:rStyle w:val="Important"/>
          <w:color w:val="auto"/>
        </w:rPr>
      </w:pPr>
    </w:p>
    <w:p w14:paraId="518E9015" w14:textId="6B1A4F0E" w:rsidR="00EB23A0" w:rsidRPr="00392797" w:rsidRDefault="00EB23A0" w:rsidP="00A1554D">
      <w:pPr>
        <w:rPr>
          <w:rStyle w:val="Important"/>
          <w:color w:val="auto"/>
        </w:rPr>
      </w:pPr>
      <w:r w:rsidRPr="00392797">
        <w:br w:type="page"/>
      </w:r>
    </w:p>
    <w:p w14:paraId="653A5430" w14:textId="77777777" w:rsidR="00EB23A0" w:rsidRPr="00392797" w:rsidRDefault="00EB23A0" w:rsidP="00EB23A0">
      <w:pPr>
        <w:pStyle w:val="Topictitle"/>
      </w:pPr>
      <w:r w:rsidRPr="00392797">
        <w:lastRenderedPageBreak/>
        <w:t>Request for Quotation</w:t>
      </w:r>
    </w:p>
    <w:p w14:paraId="4BB91978" w14:textId="77777777" w:rsidR="00A1554D" w:rsidRPr="00392797" w:rsidRDefault="00A1554D" w:rsidP="00EB23A0">
      <w:pPr>
        <w:rPr>
          <w:rStyle w:val="Important"/>
          <w:color w:val="auto"/>
        </w:rPr>
      </w:pPr>
      <w:r w:rsidRPr="00392797">
        <w:rPr>
          <w:rStyle w:val="Important"/>
          <w:color w:val="auto"/>
        </w:rPr>
        <w:t>Inshore fish and cephalopods – monitoring handbook</w:t>
      </w:r>
      <w:r w:rsidRPr="00392797">
        <w:rPr>
          <w:rStyle w:val="Important"/>
          <w:color w:val="auto"/>
        </w:rPr>
        <w:t xml:space="preserve"> </w:t>
      </w:r>
    </w:p>
    <w:p w14:paraId="23249935" w14:textId="20ADEF11"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DAC0289" w14:textId="77777777" w:rsidR="00545F1C" w:rsidRDefault="00545F1C" w:rsidP="00545F1C">
      <w:pPr>
        <w:rPr>
          <w:rFonts w:cs="Arial"/>
        </w:rPr>
      </w:pPr>
      <w:r w:rsidRPr="00FF1C23">
        <w:rPr>
          <w:rFonts w:cs="Arial"/>
          <w:color w:val="000000" w:themeColor="text1"/>
        </w:rPr>
        <w:t>Email:</w:t>
      </w:r>
      <w:r w:rsidRPr="005F6EDE">
        <w:t xml:space="preserve"> </w:t>
      </w:r>
      <w:hyperlink r:id="rId12">
        <w:r w:rsidRPr="21D6A2EB">
          <w:rPr>
            <w:rStyle w:val="Hyperlink"/>
            <w:rFonts w:cs="Arial"/>
          </w:rPr>
          <w:t>adam.waugh@naturalengland.org.uk</w:t>
        </w:r>
      </w:hyperlink>
      <w:r w:rsidRPr="0161CDFB">
        <w:rPr>
          <w:rFonts w:cs="Arial"/>
          <w:color w:val="000000" w:themeColor="text1"/>
        </w:rPr>
        <w:t xml:space="preserve"> and </w:t>
      </w:r>
      <w:hyperlink r:id="rId13">
        <w:r w:rsidRPr="710E0854">
          <w:rPr>
            <w:rStyle w:val="Hyperlink"/>
            <w:rFonts w:cs="Arial"/>
          </w:rPr>
          <w:t>joshua.crane@naturalengland.org.uk</w:t>
        </w:r>
      </w:hyperlink>
      <w:r w:rsidRPr="57DC02A9">
        <w:rPr>
          <w:rFonts w:cs="Arial"/>
          <w:color w:val="000000" w:themeColor="text1"/>
        </w:rPr>
        <w:t xml:space="preserve"> </w:t>
      </w:r>
    </w:p>
    <w:p w14:paraId="51B0D040" w14:textId="77777777" w:rsidR="00545F1C" w:rsidRPr="007B2E4D" w:rsidRDefault="00545F1C" w:rsidP="00545F1C">
      <w:pPr>
        <w:jc w:val="both"/>
        <w:rPr>
          <w:rFonts w:cs="Arial"/>
          <w:color w:val="000000" w:themeColor="text1"/>
        </w:rPr>
      </w:pPr>
      <w:r w:rsidRPr="007B2E4D">
        <w:rPr>
          <w:rFonts w:cs="Arial"/>
          <w:color w:val="000000" w:themeColor="text1"/>
        </w:rPr>
        <w:t xml:space="preserve">Date: </w:t>
      </w:r>
      <w:r w:rsidRPr="007B2E4D">
        <w:tab/>
      </w:r>
      <w:r w:rsidRPr="007B2E4D">
        <w:rPr>
          <w:rFonts w:cs="Arial"/>
          <w:color w:val="000000" w:themeColor="text1"/>
        </w:rPr>
        <w:t>22 July 2024</w:t>
      </w:r>
    </w:p>
    <w:p w14:paraId="0731F5DB" w14:textId="77777777" w:rsidR="00545F1C" w:rsidRPr="00946F99" w:rsidRDefault="00545F1C" w:rsidP="00545F1C">
      <w:pPr>
        <w:jc w:val="both"/>
        <w:rPr>
          <w:rFonts w:cs="Arial"/>
          <w:color w:val="000000" w:themeColor="text1"/>
          <w:szCs w:val="24"/>
        </w:rPr>
      </w:pPr>
      <w:r w:rsidRPr="007B2E4D">
        <w:rPr>
          <w:rFonts w:cs="Arial"/>
          <w:color w:val="000000" w:themeColor="text1"/>
          <w:szCs w:val="24"/>
        </w:rPr>
        <w:t xml:space="preserve">Time: </w:t>
      </w:r>
      <w:r w:rsidRPr="007B2E4D">
        <w:rPr>
          <w:rFonts w:cs="Arial"/>
          <w:color w:val="000000" w:themeColor="text1"/>
          <w:szCs w:val="24"/>
        </w:rPr>
        <w:tab/>
        <w:t>17:00</w:t>
      </w:r>
    </w:p>
    <w:p w14:paraId="22B1746E" w14:textId="77777777" w:rsidR="00545F1C" w:rsidRPr="00946F99" w:rsidRDefault="00545F1C" w:rsidP="00545F1C">
      <w:pPr>
        <w:jc w:val="both"/>
        <w:rPr>
          <w:rFonts w:cs="Arial"/>
          <w:color w:val="000000" w:themeColor="text1"/>
          <w:szCs w:val="24"/>
        </w:rPr>
      </w:pPr>
      <w:r>
        <w:rPr>
          <w:rFonts w:cs="Arial"/>
          <w:color w:val="000000" w:themeColor="text1"/>
          <w:szCs w:val="24"/>
        </w:rPr>
        <w:t>Reference: mNCEA IF&amp;C Monitoring Handbook</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2EF6B38E" w:rsidR="00EB23A0" w:rsidRDefault="00291CB0" w:rsidP="00EB23A0">
      <w:r>
        <w:rPr>
          <w:rFonts w:cs="Arial"/>
          <w:color w:val="000000" w:themeColor="text1"/>
          <w:szCs w:val="24"/>
        </w:rPr>
        <w:t>Adam Waugh</w:t>
      </w:r>
      <w:r w:rsidRPr="00946F99">
        <w:rPr>
          <w:rFonts w:cs="Arial"/>
          <w:color w:val="000000" w:themeColor="text1"/>
          <w:szCs w:val="24"/>
        </w:rPr>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2AE7433C" w:rsidR="00EB23A0" w:rsidRPr="00A77416" w:rsidRDefault="00EB23A0" w:rsidP="00EB23A0"/>
    <w:tbl>
      <w:tblPr>
        <w:tblStyle w:val="Table"/>
        <w:tblW w:w="8637" w:type="dxa"/>
        <w:tblLook w:val="04A0" w:firstRow="1" w:lastRow="0" w:firstColumn="1" w:lastColumn="0" w:noHBand="0" w:noVBand="1"/>
      </w:tblPr>
      <w:tblGrid>
        <w:gridCol w:w="4318"/>
        <w:gridCol w:w="4319"/>
      </w:tblGrid>
      <w:tr w:rsidR="00902A36" w:rsidRPr="007B2E4D" w14:paraId="5EFA992E" w14:textId="77777777" w:rsidTr="00902A36">
        <w:trPr>
          <w:cnfStyle w:val="100000000000" w:firstRow="1" w:lastRow="0" w:firstColumn="0" w:lastColumn="0" w:oddVBand="0" w:evenVBand="0" w:oddHBand="0" w:evenHBand="0" w:firstRowFirstColumn="0" w:firstRowLastColumn="0" w:lastRowFirstColumn="0" w:lastRowLastColumn="0"/>
        </w:trPr>
        <w:tc>
          <w:tcPr>
            <w:tcW w:w="4318" w:type="dxa"/>
          </w:tcPr>
          <w:p w14:paraId="3A3E1E46" w14:textId="77777777" w:rsidR="00902A36" w:rsidRPr="007B2E4D" w:rsidRDefault="00902A36" w:rsidP="00F21381">
            <w:pPr>
              <w:pStyle w:val="TableText"/>
              <w:spacing w:line="240" w:lineRule="auto"/>
              <w:jc w:val="both"/>
              <w:rPr>
                <w:rFonts w:cs="Arial"/>
                <w:szCs w:val="24"/>
              </w:rPr>
            </w:pPr>
            <w:r w:rsidRPr="007B2E4D">
              <w:rPr>
                <w:rFonts w:cs="Arial"/>
                <w:szCs w:val="24"/>
              </w:rPr>
              <w:t>Action</w:t>
            </w:r>
          </w:p>
        </w:tc>
        <w:tc>
          <w:tcPr>
            <w:tcW w:w="4319" w:type="dxa"/>
          </w:tcPr>
          <w:p w14:paraId="7C1C266A" w14:textId="77777777" w:rsidR="00902A36" w:rsidRPr="007B2E4D" w:rsidRDefault="00902A36" w:rsidP="00F21381">
            <w:pPr>
              <w:pStyle w:val="TableText"/>
              <w:spacing w:line="240" w:lineRule="auto"/>
              <w:jc w:val="both"/>
              <w:rPr>
                <w:rFonts w:cs="Arial"/>
                <w:szCs w:val="24"/>
              </w:rPr>
            </w:pPr>
            <w:r w:rsidRPr="007B2E4D">
              <w:rPr>
                <w:rFonts w:cs="Arial"/>
                <w:szCs w:val="24"/>
              </w:rPr>
              <w:t>Date</w:t>
            </w:r>
          </w:p>
        </w:tc>
      </w:tr>
      <w:tr w:rsidR="00902A36" w:rsidRPr="007B2E4D" w14:paraId="1BCEE961" w14:textId="77777777" w:rsidTr="00902A36">
        <w:trPr>
          <w:trHeight w:val="239"/>
        </w:trPr>
        <w:tc>
          <w:tcPr>
            <w:tcW w:w="4318" w:type="dxa"/>
          </w:tcPr>
          <w:p w14:paraId="4ED37079" w14:textId="77777777" w:rsidR="00902A36" w:rsidRPr="007B2E4D" w:rsidRDefault="00902A36" w:rsidP="00F21381">
            <w:pPr>
              <w:pStyle w:val="TableText"/>
              <w:spacing w:line="240" w:lineRule="auto"/>
              <w:jc w:val="both"/>
              <w:rPr>
                <w:rFonts w:cs="Arial"/>
              </w:rPr>
            </w:pPr>
            <w:r w:rsidRPr="007B2E4D">
              <w:rPr>
                <w:rFonts w:cs="Arial"/>
              </w:rPr>
              <w:t>Date of issue of RFQ</w:t>
            </w:r>
          </w:p>
        </w:tc>
        <w:tc>
          <w:tcPr>
            <w:tcW w:w="4319" w:type="dxa"/>
          </w:tcPr>
          <w:p w14:paraId="208EA7FA" w14:textId="77777777" w:rsidR="00902A36" w:rsidRPr="007B2E4D" w:rsidRDefault="00902A36" w:rsidP="00F21381">
            <w:pPr>
              <w:pStyle w:val="TableText"/>
              <w:spacing w:line="240" w:lineRule="auto"/>
              <w:jc w:val="both"/>
              <w:rPr>
                <w:rFonts w:cs="Arial"/>
              </w:rPr>
            </w:pPr>
            <w:r w:rsidRPr="007B2E4D">
              <w:rPr>
                <w:rFonts w:cs="Arial"/>
              </w:rPr>
              <w:t>08 JULY 2024 AT 15:00 GMT</w:t>
            </w:r>
          </w:p>
        </w:tc>
      </w:tr>
      <w:tr w:rsidR="00902A36" w:rsidRPr="007B2E4D" w14:paraId="4962BC80" w14:textId="77777777" w:rsidTr="00902A36">
        <w:tc>
          <w:tcPr>
            <w:tcW w:w="4318" w:type="dxa"/>
          </w:tcPr>
          <w:p w14:paraId="6BDBF39F" w14:textId="77777777" w:rsidR="00902A36" w:rsidRPr="007B2E4D" w:rsidRDefault="00902A36" w:rsidP="00F21381">
            <w:pPr>
              <w:jc w:val="both"/>
              <w:rPr>
                <w:rFonts w:cs="Arial"/>
              </w:rPr>
            </w:pPr>
            <w:r w:rsidRPr="007B2E4D">
              <w:rPr>
                <w:rFonts w:cs="Arial"/>
              </w:rPr>
              <w:t>Deadline for clarifications questions</w:t>
            </w:r>
          </w:p>
        </w:tc>
        <w:tc>
          <w:tcPr>
            <w:tcW w:w="4319" w:type="dxa"/>
          </w:tcPr>
          <w:p w14:paraId="701DFC3E" w14:textId="77777777" w:rsidR="00902A36" w:rsidRPr="007B2E4D" w:rsidRDefault="00902A36" w:rsidP="00F21381">
            <w:pPr>
              <w:jc w:val="both"/>
              <w:rPr>
                <w:rFonts w:cs="Arial"/>
              </w:rPr>
            </w:pPr>
            <w:r w:rsidRPr="007B2E4D">
              <w:rPr>
                <w:rFonts w:cs="Arial"/>
              </w:rPr>
              <w:t>22 JULY 2024 at 17:00 GMT</w:t>
            </w:r>
          </w:p>
        </w:tc>
      </w:tr>
      <w:tr w:rsidR="00902A36" w:rsidRPr="007B2E4D" w14:paraId="1C1B8028" w14:textId="77777777" w:rsidTr="00902A36">
        <w:tc>
          <w:tcPr>
            <w:tcW w:w="4318" w:type="dxa"/>
          </w:tcPr>
          <w:p w14:paraId="6BE65C94" w14:textId="77777777" w:rsidR="00902A36" w:rsidRPr="007B2E4D" w:rsidRDefault="00902A36" w:rsidP="00F21381">
            <w:pPr>
              <w:jc w:val="both"/>
              <w:rPr>
                <w:rFonts w:cs="Arial"/>
              </w:rPr>
            </w:pPr>
            <w:r w:rsidRPr="007B2E4D">
              <w:rPr>
                <w:rFonts w:cs="Arial"/>
              </w:rPr>
              <w:t>Deadline for receipt of Quotation</w:t>
            </w:r>
          </w:p>
        </w:tc>
        <w:tc>
          <w:tcPr>
            <w:tcW w:w="4319" w:type="dxa"/>
          </w:tcPr>
          <w:p w14:paraId="7F7A910C" w14:textId="77777777" w:rsidR="00902A36" w:rsidRPr="007B2E4D" w:rsidRDefault="00902A36" w:rsidP="00F21381">
            <w:pPr>
              <w:jc w:val="both"/>
              <w:rPr>
                <w:rFonts w:cs="Arial"/>
              </w:rPr>
            </w:pPr>
            <w:r w:rsidRPr="007B2E4D">
              <w:rPr>
                <w:rFonts w:cs="Arial"/>
              </w:rPr>
              <w:t>22 JULY 2024 at 17:00 GMT</w:t>
            </w:r>
          </w:p>
        </w:tc>
      </w:tr>
      <w:tr w:rsidR="00902A36" w:rsidRPr="007B2E4D" w14:paraId="5BE11725" w14:textId="77777777" w:rsidTr="00902A36">
        <w:tc>
          <w:tcPr>
            <w:tcW w:w="4318" w:type="dxa"/>
          </w:tcPr>
          <w:p w14:paraId="66104FAD" w14:textId="77777777" w:rsidR="00902A36" w:rsidRPr="007B2E4D" w:rsidRDefault="00902A36" w:rsidP="00F21381">
            <w:pPr>
              <w:jc w:val="both"/>
              <w:rPr>
                <w:rFonts w:cs="Arial"/>
              </w:rPr>
            </w:pPr>
            <w:r w:rsidRPr="007B2E4D">
              <w:rPr>
                <w:rFonts w:cs="Arial"/>
              </w:rPr>
              <w:t>Intended date of Contract Award</w:t>
            </w:r>
          </w:p>
        </w:tc>
        <w:tc>
          <w:tcPr>
            <w:tcW w:w="4319" w:type="dxa"/>
          </w:tcPr>
          <w:p w14:paraId="1ACD9530" w14:textId="77777777" w:rsidR="00902A36" w:rsidRPr="007B2E4D" w:rsidRDefault="00902A36" w:rsidP="00F21381">
            <w:pPr>
              <w:jc w:val="both"/>
              <w:rPr>
                <w:rFonts w:cs="Arial"/>
              </w:rPr>
            </w:pPr>
            <w:r w:rsidRPr="007B2E4D">
              <w:rPr>
                <w:rFonts w:cs="Arial"/>
              </w:rPr>
              <w:t>24 JULY 2024</w:t>
            </w:r>
          </w:p>
        </w:tc>
      </w:tr>
      <w:tr w:rsidR="00902A36" w:rsidRPr="007B2E4D" w14:paraId="3C9F37CF" w14:textId="77777777" w:rsidTr="00902A36">
        <w:tc>
          <w:tcPr>
            <w:tcW w:w="4318" w:type="dxa"/>
          </w:tcPr>
          <w:p w14:paraId="6541D5EF" w14:textId="77777777" w:rsidR="00902A36" w:rsidRPr="007B2E4D" w:rsidRDefault="00902A36" w:rsidP="00F21381">
            <w:pPr>
              <w:jc w:val="both"/>
              <w:rPr>
                <w:rFonts w:cs="Arial"/>
              </w:rPr>
            </w:pPr>
            <w:r w:rsidRPr="007B2E4D">
              <w:rPr>
                <w:rFonts w:cs="Arial"/>
              </w:rPr>
              <w:t>Intended Contract Start Date</w:t>
            </w:r>
          </w:p>
        </w:tc>
        <w:tc>
          <w:tcPr>
            <w:tcW w:w="4319" w:type="dxa"/>
          </w:tcPr>
          <w:p w14:paraId="29B91674" w14:textId="77777777" w:rsidR="00902A36" w:rsidRPr="007B2E4D" w:rsidRDefault="00902A36" w:rsidP="00F21381">
            <w:pPr>
              <w:jc w:val="both"/>
              <w:rPr>
                <w:rFonts w:cs="Arial"/>
              </w:rPr>
            </w:pPr>
            <w:r w:rsidRPr="007B2E4D">
              <w:rPr>
                <w:rFonts w:cs="Arial"/>
              </w:rPr>
              <w:t>24 JULY 2024</w:t>
            </w:r>
          </w:p>
        </w:tc>
      </w:tr>
      <w:tr w:rsidR="00902A36" w:rsidRPr="007B2E4D" w14:paraId="18D15FA0" w14:textId="77777777" w:rsidTr="00902A36">
        <w:tc>
          <w:tcPr>
            <w:tcW w:w="4318" w:type="dxa"/>
          </w:tcPr>
          <w:p w14:paraId="432CC79B" w14:textId="77777777" w:rsidR="00902A36" w:rsidRPr="007B2E4D" w:rsidRDefault="00902A36" w:rsidP="00F21381">
            <w:pPr>
              <w:jc w:val="both"/>
              <w:rPr>
                <w:rFonts w:cs="Arial"/>
              </w:rPr>
            </w:pPr>
            <w:r w:rsidRPr="007B2E4D">
              <w:rPr>
                <w:rFonts w:cs="Arial"/>
              </w:rPr>
              <w:t xml:space="preserve">Intended Delivery Date / Contract Duration </w:t>
            </w:r>
          </w:p>
        </w:tc>
        <w:tc>
          <w:tcPr>
            <w:tcW w:w="4319" w:type="dxa"/>
          </w:tcPr>
          <w:p w14:paraId="27F2631F" w14:textId="77777777" w:rsidR="00902A36" w:rsidRPr="007B2E4D" w:rsidRDefault="00902A36" w:rsidP="00F21381">
            <w:pPr>
              <w:jc w:val="both"/>
              <w:rPr>
                <w:rFonts w:cs="Arial"/>
              </w:rPr>
            </w:pPr>
            <w:r w:rsidRPr="007B2E4D">
              <w:rPr>
                <w:rFonts w:cs="Arial"/>
              </w:rPr>
              <w:t>31 DECEMBER 2024</w:t>
            </w:r>
          </w:p>
        </w:tc>
      </w:tr>
    </w:tbl>
    <w:p w14:paraId="4B728F58" w14:textId="77777777" w:rsidR="00EB23A0" w:rsidRDefault="00EB23A0" w:rsidP="00EB23A0"/>
    <w:p w14:paraId="04F20128" w14:textId="77777777" w:rsidR="00EB23A0" w:rsidRPr="007A28B8" w:rsidRDefault="00EB23A0" w:rsidP="00D322BA">
      <w:pPr>
        <w:pStyle w:val="Heading2"/>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56BED371" w:rsidR="00EB23A0" w:rsidRPr="009F2992" w:rsidRDefault="00A70151" w:rsidP="00A706D8">
            <w:r w:rsidRPr="00187CC2">
              <w:rPr>
                <w:rFonts w:cs="Arial"/>
              </w:rPr>
              <w:t>Means the Department for Environment, Food and Rural Affairs acting as part of Natural England</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615EDFB3" w:rsidR="00EB23A0" w:rsidRPr="007A28B8" w:rsidRDefault="00EB23A0" w:rsidP="00EB23A0">
      <w:r w:rsidRPr="007A28B8">
        <w:t xml:space="preserve">The Authority’s </w:t>
      </w:r>
      <w:r w:rsidR="00A17460">
        <w:t>S</w:t>
      </w:r>
      <w:r w:rsidRPr="00EB23A0">
        <w:rPr>
          <w:szCs w:val="24"/>
        </w:rPr>
        <w:t>tandard Good and Services Terms &amp; Conditions (used for purchases under £50k)</w:t>
      </w:r>
      <w:r w:rsidR="00A17460">
        <w:rPr>
          <w:szCs w:val="24"/>
        </w:rPr>
        <w:t xml:space="preserve"> </w:t>
      </w:r>
      <w:r>
        <w:t xml:space="preserve">can be located on the </w:t>
      </w:r>
      <w:hyperlink r:id="rId14" w:history="1">
        <w:r>
          <w:t>Natural England Website</w:t>
        </w:r>
      </w:hyperlink>
      <w:r w:rsidR="00A17460">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C823D5C" w:rsidR="00EB23A0" w:rsidRPr="007A28B8" w:rsidRDefault="00EB23A0" w:rsidP="00EB23A0">
      <w:proofErr w:type="gramStart"/>
      <w:r w:rsidRPr="007A28B8">
        <w:t>For the purpose of</w:t>
      </w:r>
      <w:proofErr w:type="gramEnd"/>
      <w:r w:rsidRPr="007A28B8">
        <w:t xml:space="preserve"> this RFQ the Authority is classifi</w:t>
      </w:r>
      <w:r w:rsidRPr="00392797">
        <w:t xml:space="preserve">ed as </w:t>
      </w:r>
      <w:r w:rsidR="00CD28A3" w:rsidRPr="00392797">
        <w:rPr>
          <w:rStyle w:val="Important"/>
          <w:color w:val="auto"/>
        </w:rPr>
        <w:t>Natural England</w:t>
      </w:r>
      <w:r w:rsidRPr="00392797">
        <w:rPr>
          <w:rStyle w:val="Important"/>
          <w:color w:val="auto"/>
        </w:rPr>
        <w:t xml:space="preserve"> </w:t>
      </w:r>
      <w:r w:rsidRPr="00392797">
        <w:rPr>
          <w:rStyle w:val="Text"/>
        </w:rPr>
        <w:t xml:space="preserve">with a publication threshold of </w:t>
      </w:r>
      <w:r w:rsidR="00CD28A3" w:rsidRPr="00392797">
        <w:rPr>
          <w:rStyle w:val="Important"/>
          <w:color w:val="auto"/>
        </w:rPr>
        <w:t>£50,000</w:t>
      </w:r>
      <w:r w:rsidRPr="00392797">
        <w:t xml:space="preserve"> 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t>
      </w:r>
      <w:r w:rsidRPr="007A28B8">
        <w:lastRenderedPageBreak/>
        <w:t xml:space="preserve">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lastRenderedPageBreak/>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44F85E0" w:rsidR="00EB23A0" w:rsidRPr="00392797" w:rsidRDefault="00EB23A0" w:rsidP="00EB23A0">
      <w:r w:rsidRPr="001F5026">
        <w:t xml:space="preserve">The Client </w:t>
      </w:r>
      <w:r>
        <w:t>i</w:t>
      </w:r>
      <w:r w:rsidRPr="001F5026">
        <w:t xml:space="preserve">s striving to create a diverse and inclusive working environment where every individual has equality of opportunity to progress and </w:t>
      </w:r>
      <w:r w:rsidRPr="00392797">
        <w:t xml:space="preserve">to apply their unique insights to making the UK a great place for living. The Service Provider is expected to respect this commitment in all dealings with </w:t>
      </w:r>
      <w:r w:rsidR="00CD28A3" w:rsidRPr="00392797">
        <w:rPr>
          <w:rStyle w:val="Important"/>
          <w:color w:val="auto"/>
        </w:rPr>
        <w:t>Natural England</w:t>
      </w:r>
      <w:r w:rsidRPr="00392797">
        <w:t xml:space="preserve"> staff and service users.</w:t>
      </w:r>
    </w:p>
    <w:p w14:paraId="0B35A2D4" w14:textId="77777777" w:rsidR="00EB23A0" w:rsidRPr="00392797" w:rsidRDefault="00EB23A0" w:rsidP="00EB23A0">
      <w:r w:rsidRPr="00392797">
        <w:t xml:space="preserve">Suppliers are expected </w:t>
      </w:r>
      <w:proofErr w:type="gramStart"/>
      <w:r w:rsidRPr="00392797">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5"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6"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1741EAB" w:rsidR="00EB23A0" w:rsidRPr="007A28B8" w:rsidRDefault="00EB23A0" w:rsidP="00EB23A0">
      <w:r w:rsidRPr="007A28B8">
        <w:lastRenderedPageBreak/>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D322BA">
      <w:pPr>
        <w:pStyle w:val="Heading2"/>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150B5747" w14:textId="77777777" w:rsidR="00D322BA" w:rsidRDefault="00D322BA" w:rsidP="00D322BA">
      <w:pPr>
        <w:pStyle w:val="Heading2"/>
      </w:pPr>
      <w:r>
        <w:t>Introduction</w:t>
      </w:r>
    </w:p>
    <w:p w14:paraId="7A102EB3" w14:textId="776FBF50" w:rsidR="00572976" w:rsidRPr="0097147A" w:rsidRDefault="00572976" w:rsidP="00572976">
      <w:pPr>
        <w:spacing w:after="200"/>
        <w:jc w:val="both"/>
        <w:rPr>
          <w:rFonts w:cs="Arial"/>
        </w:rPr>
      </w:pPr>
      <w:r>
        <w:rPr>
          <w:rFonts w:cs="Arial"/>
        </w:rPr>
        <w:t>T</w:t>
      </w:r>
      <w:r w:rsidRPr="0097147A">
        <w:rPr>
          <w:rFonts w:cs="Arial"/>
        </w:rPr>
        <w:t xml:space="preserve">his project will support the drive for new approaches </w:t>
      </w:r>
      <w:r>
        <w:rPr>
          <w:rFonts w:cs="Arial"/>
        </w:rPr>
        <w:t>to</w:t>
      </w:r>
      <w:r w:rsidRPr="0097147A">
        <w:rPr>
          <w:rFonts w:cs="Arial"/>
        </w:rPr>
        <w:t xml:space="preserve"> decision making</w:t>
      </w:r>
      <w:r>
        <w:rPr>
          <w:rFonts w:cs="Arial"/>
        </w:rPr>
        <w:t>,</w:t>
      </w:r>
      <w:r w:rsidRPr="0097147A">
        <w:rPr>
          <w:rFonts w:cs="Arial"/>
        </w:rPr>
        <w:t xml:space="preserve"> based on the</w:t>
      </w:r>
      <w:r>
        <w:rPr>
          <w:rFonts w:cs="Arial"/>
        </w:rPr>
        <w:t xml:space="preserve"> Natural Capital approach through the</w:t>
      </w:r>
      <w:r w:rsidRPr="0097147A">
        <w:rPr>
          <w:rFonts w:cs="Arial"/>
        </w:rPr>
        <w:t xml:space="preserve"> </w:t>
      </w:r>
      <w:r>
        <w:rPr>
          <w:rFonts w:cs="Arial"/>
        </w:rPr>
        <w:t xml:space="preserve">marine </w:t>
      </w:r>
      <w:r w:rsidRPr="0097147A">
        <w:rPr>
          <w:rFonts w:cs="Arial"/>
        </w:rPr>
        <w:t>Natural Capital and Ecosystem Assessment (NCEA)</w:t>
      </w:r>
      <w:r>
        <w:rPr>
          <w:rFonts w:cs="Arial"/>
        </w:rPr>
        <w:t xml:space="preserve"> Programme</w:t>
      </w:r>
      <w:r w:rsidRPr="0097147A">
        <w:rPr>
          <w:rFonts w:cs="Arial"/>
        </w:rPr>
        <w:t xml:space="preserve">. This means using comprehensive evidence of the benefits provided </w:t>
      </w:r>
      <w:r>
        <w:rPr>
          <w:rFonts w:cs="Arial"/>
        </w:rPr>
        <w:t>by</w:t>
      </w:r>
      <w:r w:rsidRPr="0097147A">
        <w:rPr>
          <w:rFonts w:cs="Arial"/>
        </w:rPr>
        <w:t xml:space="preserve"> marine habitats and species (food, carbon storage, well-being etc.) to </w:t>
      </w:r>
      <w:r>
        <w:rPr>
          <w:rFonts w:cs="Arial"/>
        </w:rPr>
        <w:t>give a full picture of the trade-offs</w:t>
      </w:r>
      <w:r w:rsidRPr="0097147A">
        <w:rPr>
          <w:rFonts w:cs="Arial"/>
        </w:rPr>
        <w:t xml:space="preserve"> associated with making complex environmental decisions concerning the marine environment.</w:t>
      </w:r>
    </w:p>
    <w:p w14:paraId="59DC7107" w14:textId="77777777" w:rsidR="00572976" w:rsidRDefault="00572976" w:rsidP="00572976">
      <w:pPr>
        <w:spacing w:after="200"/>
        <w:jc w:val="both"/>
        <w:rPr>
          <w:rFonts w:cs="Arial"/>
        </w:rPr>
      </w:pPr>
      <w:r w:rsidRPr="0097147A">
        <w:rPr>
          <w:rFonts w:cs="Arial"/>
        </w:rPr>
        <w:t>During the 2017/18 assessment of the state of the UK marine evidence gathering programmes, a major evidence gap was identified in relation to inshore fish (UKMMAS</w:t>
      </w:r>
      <w:r>
        <w:rPr>
          <w:rFonts w:cs="Arial"/>
        </w:rPr>
        <w:t>,</w:t>
      </w:r>
      <w:r w:rsidRPr="0097147A">
        <w:rPr>
          <w:rFonts w:cs="Arial"/>
        </w:rPr>
        <w:t xml:space="preserve"> 2018). This gap relates to the overall fish diversity, species distribution and population (or stock) levels for all quota and non-quota species that occur predominantly within the 12 nm inshore area, especially those that occur predominantly in waters of &lt;20 m water depth and so are not sampled representatively by existing trawl surveys. </w:t>
      </w:r>
      <w:r>
        <w:rPr>
          <w:rFonts w:cs="Arial"/>
        </w:rPr>
        <w:t>Filling this gap</w:t>
      </w:r>
      <w:r w:rsidRPr="0097147A">
        <w:rPr>
          <w:rFonts w:cs="Arial"/>
        </w:rPr>
        <w:t xml:space="preserve"> will facilitate improved assessments relating to the status of fish in English waters for the purposes of assessing progress toward Good Environmental Status which was previously based largely on catch data targeting commercial stocks in deeper waters.</w:t>
      </w:r>
    </w:p>
    <w:p w14:paraId="78E8F7E0" w14:textId="77777777" w:rsidR="00572976" w:rsidRDefault="00572976" w:rsidP="00572976">
      <w:pPr>
        <w:pStyle w:val="NoSpacing"/>
        <w:spacing w:after="200"/>
        <w:jc w:val="both"/>
        <w:rPr>
          <w:rFonts w:eastAsiaTheme="minorHAnsi" w:cs="Arial"/>
          <w:lang w:val="en-GB" w:bidi="ar-SA"/>
        </w:rPr>
      </w:pPr>
      <w:r>
        <w:rPr>
          <w:rFonts w:eastAsiaTheme="minorHAnsi" w:cs="Arial"/>
          <w:lang w:val="en-GB" w:bidi="ar-SA"/>
        </w:rPr>
        <w:t>To help fill some of these evidence gaps, t</w:t>
      </w:r>
      <w:r w:rsidRPr="00256556">
        <w:rPr>
          <w:rFonts w:eastAsiaTheme="minorHAnsi" w:cs="Arial"/>
          <w:lang w:val="en-GB" w:bidi="ar-SA"/>
        </w:rPr>
        <w:t>he mNCEA began in 2021 with a pilot year and proceeded into a 3</w:t>
      </w:r>
      <w:r>
        <w:rPr>
          <w:rFonts w:eastAsiaTheme="minorHAnsi" w:cs="Arial"/>
          <w:lang w:val="en-GB" w:bidi="ar-SA"/>
        </w:rPr>
        <w:t>-</w:t>
      </w:r>
      <w:r w:rsidRPr="00256556">
        <w:rPr>
          <w:rFonts w:eastAsiaTheme="minorHAnsi" w:cs="Arial"/>
          <w:lang w:val="en-GB" w:bidi="ar-SA"/>
        </w:rPr>
        <w:t>year programme running from April 2022 up to 2025. The overarching aim is to deliver evidence, tools and guidance on the extent and condition of marine natural capital assets, the ecosystem services they provide and the trade-offs that are necessary in realising the natural capital benefits of most importance to society. In the long term this will revolutionise how we understand and make decisions about our marine environment and ultimately enable us to reach our sustainable blue growth potential.</w:t>
      </w:r>
      <w:r>
        <w:rPr>
          <w:rFonts w:eastAsiaTheme="minorHAnsi" w:cs="Arial"/>
          <w:lang w:val="en-GB" w:bidi="ar-SA"/>
        </w:rPr>
        <w:t xml:space="preserve"> Another key tenet of the programme is to include where possible citizen scientists (CS) in the </w:t>
      </w:r>
      <w:proofErr w:type="spellStart"/>
      <w:r>
        <w:rPr>
          <w:rFonts w:eastAsiaTheme="minorHAnsi" w:cs="Arial"/>
          <w:lang w:val="en-GB" w:bidi="ar-SA"/>
        </w:rPr>
        <w:t>deliver</w:t>
      </w:r>
      <w:proofErr w:type="spellEnd"/>
      <w:r>
        <w:rPr>
          <w:rFonts w:eastAsiaTheme="minorHAnsi" w:cs="Arial"/>
          <w:lang w:val="en-GB" w:bidi="ar-SA"/>
        </w:rPr>
        <w:t xml:space="preserve"> and capture of monitoring activities. As such, throughout the inshore fish and cephalopod (IF&amp;C) programme since 2021, CS options for delivery have been successfully delivered for collecting mainly shore-based data for both rocky and sedimentary habitats.</w:t>
      </w:r>
    </w:p>
    <w:p w14:paraId="1C7A4084" w14:textId="77777777" w:rsidR="00572976" w:rsidRPr="00C01F23" w:rsidRDefault="00572976" w:rsidP="00572976">
      <w:pPr>
        <w:pStyle w:val="NoSpacing"/>
        <w:spacing w:after="200"/>
        <w:jc w:val="both"/>
        <w:rPr>
          <w:rFonts w:eastAsiaTheme="minorHAnsi" w:cs="Arial"/>
          <w:lang w:val="en-GB" w:bidi="ar-SA"/>
        </w:rPr>
      </w:pPr>
      <w:r>
        <w:rPr>
          <w:rFonts w:eastAsiaTheme="minorHAnsi" w:cs="Arial"/>
          <w:lang w:val="en-GB" w:bidi="ar-SA"/>
        </w:rPr>
        <w:t xml:space="preserve">To continue filling the evidence gaps for inshore waters, in year 3 (2024/25) of the IF&amp;C programme, we are trialling a national sentinel monitoring programme. </w:t>
      </w:r>
      <w:r w:rsidRPr="00C01F23">
        <w:rPr>
          <w:rFonts w:eastAsiaTheme="minorHAnsi" w:cs="Arial"/>
          <w:lang w:val="en-GB" w:bidi="ar-SA"/>
        </w:rPr>
        <w:t>Sentinel monitoring aims to measure rate and direction of long-term change. This type of monitoring provides the context to distinguish directional trends from short-scale variability in space and time by representing variability across space at any one time and documenting changes over time. To achieve this objective efficiently, a long-term commitment to regular and consistent data collection is necessary. This means time-series must be established as their power in identifying trends is far superior to any combination of independent studies. It is this monitoring type that will help achieve the goals of the mNCEA programme and the aims and objectives of this programme.</w:t>
      </w:r>
    </w:p>
    <w:p w14:paraId="1909D069" w14:textId="77777777" w:rsidR="00572976" w:rsidRDefault="00572976" w:rsidP="00572976">
      <w:pPr>
        <w:pStyle w:val="NoSpacing"/>
        <w:spacing w:after="120"/>
        <w:jc w:val="both"/>
        <w:rPr>
          <w:rFonts w:cs="Arial"/>
          <w:lang w:val="en-GB"/>
        </w:rPr>
      </w:pPr>
      <w:r w:rsidRPr="00C01F23">
        <w:rPr>
          <w:rFonts w:eastAsiaTheme="minorHAnsi" w:cs="Arial"/>
          <w:lang w:val="en-GB" w:bidi="ar-SA"/>
        </w:rPr>
        <w:t xml:space="preserve">The sentinel monitoring programme </w:t>
      </w:r>
      <w:r>
        <w:rPr>
          <w:rFonts w:eastAsiaTheme="minorHAnsi" w:cs="Arial"/>
          <w:lang w:val="en-GB" w:bidi="ar-SA"/>
        </w:rPr>
        <w:t>is</w:t>
      </w:r>
      <w:r w:rsidRPr="00C01F23">
        <w:rPr>
          <w:rFonts w:eastAsiaTheme="minorHAnsi" w:cs="Arial"/>
          <w:lang w:val="en-GB" w:bidi="ar-SA"/>
        </w:rPr>
        <w:t xml:space="preserve"> based on broadscale habitats within discrete inshore locations, using multiple methods, designed to deliver the aims and </w:t>
      </w:r>
      <w:r>
        <w:rPr>
          <w:rFonts w:eastAsiaTheme="minorHAnsi" w:cs="Arial"/>
          <w:lang w:val="en-GB" w:bidi="ar-SA"/>
        </w:rPr>
        <w:t>of the mNCEA programme for inshore fish and cephalopods</w:t>
      </w:r>
      <w:r w:rsidRPr="00C01F23">
        <w:rPr>
          <w:rFonts w:eastAsiaTheme="minorHAnsi" w:cs="Arial"/>
          <w:lang w:val="en-GB" w:bidi="ar-SA"/>
        </w:rPr>
        <w:t>.</w:t>
      </w:r>
      <w:r>
        <w:rPr>
          <w:rFonts w:eastAsiaTheme="minorHAnsi" w:cs="Arial"/>
          <w:lang w:val="en-GB" w:bidi="ar-SA"/>
        </w:rPr>
        <w:t xml:space="preserve"> Two discrete and geographically disparate locations have been selected to trial and begin the programme in 2024. It is intended that the locations will be monitored until the aims and objectives have been achieved, at which point the programme will focus on other locations around the English coast.</w:t>
      </w:r>
    </w:p>
    <w:p w14:paraId="288D186C" w14:textId="77777777" w:rsidR="00572976" w:rsidRDefault="00572976" w:rsidP="00572976">
      <w:pPr>
        <w:jc w:val="both"/>
        <w:rPr>
          <w:rFonts w:cs="Arial"/>
          <w:b/>
          <w:sz w:val="20"/>
          <w:u w:val="single"/>
        </w:rPr>
      </w:pPr>
    </w:p>
    <w:p w14:paraId="2CED8D86" w14:textId="77777777" w:rsidR="00572976" w:rsidRPr="001D49C4" w:rsidRDefault="00572976" w:rsidP="00D322BA">
      <w:pPr>
        <w:pStyle w:val="Heading2"/>
      </w:pPr>
      <w:r w:rsidRPr="001D49C4">
        <w:lastRenderedPageBreak/>
        <w:t>Aims &amp; Objectives</w:t>
      </w:r>
    </w:p>
    <w:p w14:paraId="305B24D3" w14:textId="77777777" w:rsidR="00572976" w:rsidRDefault="00572976" w:rsidP="00572976">
      <w:pPr>
        <w:rPr>
          <w:rFonts w:cs="Arial"/>
        </w:rPr>
      </w:pPr>
      <w:proofErr w:type="gramStart"/>
      <w:r>
        <w:rPr>
          <w:rFonts w:cs="Arial"/>
        </w:rPr>
        <w:t>In order to</w:t>
      </w:r>
      <w:proofErr w:type="gramEnd"/>
      <w:r>
        <w:rPr>
          <w:rFonts w:cs="Arial"/>
        </w:rPr>
        <w:t xml:space="preserve"> deliver high quality evidence to meet the programme aims and objectives as efficiently as possible, monitoring must be identical through time and space:</w:t>
      </w:r>
    </w:p>
    <w:p w14:paraId="33A06FA5" w14:textId="77777777" w:rsidR="00572976" w:rsidRDefault="00572976" w:rsidP="00572976">
      <w:pPr>
        <w:pStyle w:val="ListParagraph"/>
        <w:numPr>
          <w:ilvl w:val="0"/>
          <w:numId w:val="18"/>
        </w:numPr>
        <w:spacing w:before="0" w:after="0" w:line="240" w:lineRule="auto"/>
        <w:rPr>
          <w:rFonts w:cs="Arial"/>
        </w:rPr>
      </w:pPr>
      <w:r>
        <w:rPr>
          <w:rFonts w:cs="Arial"/>
        </w:rPr>
        <w:t>As the programme develops, the methods must remain identical to make sure that the data is captured in the same way. This will make sure that data is comparable over multiple years.</w:t>
      </w:r>
    </w:p>
    <w:p w14:paraId="2CE7E13D" w14:textId="77777777" w:rsidR="00572976" w:rsidRDefault="00572976" w:rsidP="00572976">
      <w:pPr>
        <w:pStyle w:val="ListParagraph"/>
        <w:numPr>
          <w:ilvl w:val="0"/>
          <w:numId w:val="18"/>
        </w:numPr>
        <w:spacing w:before="0" w:after="0" w:line="240" w:lineRule="auto"/>
        <w:rPr>
          <w:rFonts w:cs="Arial"/>
        </w:rPr>
      </w:pPr>
      <w:r>
        <w:rPr>
          <w:rFonts w:cs="Arial"/>
        </w:rPr>
        <w:t>The programme aims to cover all locations across England and support the development of similar programmes beyond English waters. Therefore, the monitoring must be undertaken identically in different locations to make sure the data can be compared spatially.</w:t>
      </w:r>
    </w:p>
    <w:p w14:paraId="56B8A1E6" w14:textId="77777777" w:rsidR="00572976" w:rsidRPr="002119AD" w:rsidRDefault="00572976" w:rsidP="00572976">
      <w:pPr>
        <w:rPr>
          <w:rFonts w:cs="Arial"/>
        </w:rPr>
      </w:pPr>
    </w:p>
    <w:p w14:paraId="0427CC00" w14:textId="77777777" w:rsidR="00572976" w:rsidRPr="00496D42" w:rsidRDefault="00572976" w:rsidP="00572976">
      <w:bookmarkStart w:id="1" w:name="_Ref165659659"/>
      <w:r w:rsidRPr="12BC111E">
        <w:t xml:space="preserve">The objective of this task is to develop a set of principles and a handbook that will detail </w:t>
      </w:r>
      <w:r>
        <w:t xml:space="preserve">how to effectively undertake a survey, from planning through to field activities through to data collection. This will include possible </w:t>
      </w:r>
      <w:r w:rsidRPr="12BC111E">
        <w:t xml:space="preserve">accreditation approaches, health and safety requirements, field methods for multiple habitats </w:t>
      </w:r>
      <w:r>
        <w:t xml:space="preserve">and </w:t>
      </w:r>
      <w:r w:rsidRPr="12BC111E">
        <w:t xml:space="preserve">delivery of high-quality data. </w:t>
      </w:r>
      <w:r>
        <w:t>Identification field guides for both inshore fish and cephalopods will also be considered, to make sure that high quality data is consistently captured.</w:t>
      </w:r>
    </w:p>
    <w:p w14:paraId="05C9CE81" w14:textId="77777777" w:rsidR="00572976" w:rsidRDefault="00572976" w:rsidP="00D322BA">
      <w:pPr>
        <w:pStyle w:val="Heading2"/>
      </w:pPr>
      <w:r>
        <w:t>Contract Requirements</w:t>
      </w:r>
      <w:bookmarkEnd w:id="1"/>
    </w:p>
    <w:p w14:paraId="2A03EEAD" w14:textId="77777777" w:rsidR="00572976" w:rsidRPr="00786323" w:rsidRDefault="00572976" w:rsidP="00572976">
      <w:pPr>
        <w:spacing w:after="200"/>
        <w:rPr>
          <w:rFonts w:cs="Arial"/>
        </w:rPr>
      </w:pPr>
      <w:r w:rsidRPr="00786323">
        <w:rPr>
          <w:rFonts w:cs="Arial"/>
        </w:rPr>
        <w:t>Contractors will be required to:</w:t>
      </w:r>
    </w:p>
    <w:p w14:paraId="73E82515" w14:textId="77777777" w:rsidR="00572976" w:rsidRPr="00574AD4" w:rsidRDefault="00572976" w:rsidP="00572976">
      <w:pPr>
        <w:pStyle w:val="ListParagraph"/>
        <w:numPr>
          <w:ilvl w:val="0"/>
          <w:numId w:val="17"/>
        </w:numPr>
        <w:spacing w:before="0" w:after="200" w:line="240" w:lineRule="auto"/>
        <w:ind w:left="360"/>
        <w:jc w:val="both"/>
        <w:rPr>
          <w:rFonts w:ascii="Calibri" w:hAnsi="Calibri"/>
        </w:rPr>
      </w:pPr>
      <w:r>
        <w:rPr>
          <w:rFonts w:cs="Arial"/>
        </w:rPr>
        <w:t>Deliver a monitoring handbook suitable for inshore waters, for multiple methods suitable for the large variety of habitats present around English coastlines.</w:t>
      </w:r>
    </w:p>
    <w:p w14:paraId="2BE38659" w14:textId="77777777" w:rsidR="00572976" w:rsidRPr="006923F0" w:rsidRDefault="00572976" w:rsidP="00572976">
      <w:pPr>
        <w:pStyle w:val="ListParagraph"/>
        <w:numPr>
          <w:ilvl w:val="0"/>
          <w:numId w:val="17"/>
        </w:numPr>
        <w:spacing w:before="0" w:after="200" w:line="240" w:lineRule="auto"/>
        <w:ind w:left="360"/>
        <w:jc w:val="both"/>
        <w:rPr>
          <w:rFonts w:ascii="Calibri" w:hAnsi="Calibri"/>
        </w:rPr>
      </w:pPr>
      <w:r>
        <w:rPr>
          <w:rFonts w:cs="Arial"/>
        </w:rPr>
        <w:t>Consider the handbook as suitable for multiple audiences:</w:t>
      </w:r>
    </w:p>
    <w:p w14:paraId="52A5D794" w14:textId="77777777" w:rsidR="00572976" w:rsidRPr="00E7640D" w:rsidRDefault="00572976" w:rsidP="00572976">
      <w:pPr>
        <w:pStyle w:val="ListParagraph"/>
        <w:numPr>
          <w:ilvl w:val="0"/>
          <w:numId w:val="17"/>
        </w:numPr>
        <w:spacing w:before="0" w:after="200" w:line="240" w:lineRule="auto"/>
        <w:jc w:val="both"/>
        <w:rPr>
          <w:rFonts w:ascii="Calibri" w:hAnsi="Calibri"/>
        </w:rPr>
      </w:pPr>
      <w:r>
        <w:rPr>
          <w:rFonts w:cs="Arial"/>
        </w:rPr>
        <w:t>Natural England national and local staff planning and delivering surveys</w:t>
      </w:r>
    </w:p>
    <w:p w14:paraId="3F4C1B0A" w14:textId="77777777" w:rsidR="00572976" w:rsidRPr="009261E0" w:rsidRDefault="00572976" w:rsidP="00572976">
      <w:pPr>
        <w:pStyle w:val="ListParagraph"/>
        <w:numPr>
          <w:ilvl w:val="0"/>
          <w:numId w:val="17"/>
        </w:numPr>
        <w:spacing w:before="0" w:after="200" w:line="240" w:lineRule="auto"/>
        <w:jc w:val="both"/>
        <w:rPr>
          <w:rFonts w:ascii="Calibri" w:hAnsi="Calibri"/>
        </w:rPr>
      </w:pPr>
      <w:r>
        <w:rPr>
          <w:rFonts w:cs="Arial"/>
        </w:rPr>
        <w:t xml:space="preserve">Defra </w:t>
      </w:r>
      <w:proofErr w:type="spellStart"/>
      <w:r>
        <w:rPr>
          <w:rFonts w:cs="Arial"/>
        </w:rPr>
        <w:t>Arms Length</w:t>
      </w:r>
      <w:proofErr w:type="spellEnd"/>
      <w:r>
        <w:rPr>
          <w:rFonts w:cs="Arial"/>
        </w:rPr>
        <w:t xml:space="preserve"> Body partners that are contracted by NE to deliver surveys on our behalf</w:t>
      </w:r>
    </w:p>
    <w:p w14:paraId="65B6130A" w14:textId="77777777" w:rsidR="00572976" w:rsidRPr="00C24504" w:rsidRDefault="00572976" w:rsidP="00572976">
      <w:pPr>
        <w:pStyle w:val="ListParagraph"/>
        <w:numPr>
          <w:ilvl w:val="0"/>
          <w:numId w:val="17"/>
        </w:numPr>
        <w:spacing w:before="0" w:after="200" w:line="240" w:lineRule="auto"/>
        <w:jc w:val="both"/>
        <w:rPr>
          <w:rFonts w:ascii="Calibri" w:hAnsi="Calibri"/>
        </w:rPr>
      </w:pPr>
      <w:r>
        <w:rPr>
          <w:rFonts w:cs="Arial"/>
        </w:rPr>
        <w:t>External contractors that are contracted by NE to deliver surveys on our behalf</w:t>
      </w:r>
    </w:p>
    <w:p w14:paraId="1505609E" w14:textId="77777777" w:rsidR="00572976" w:rsidRPr="006923F0" w:rsidRDefault="00572976" w:rsidP="00572976">
      <w:pPr>
        <w:pStyle w:val="ListParagraph"/>
        <w:numPr>
          <w:ilvl w:val="0"/>
          <w:numId w:val="17"/>
        </w:numPr>
        <w:spacing w:before="0" w:after="200" w:line="240" w:lineRule="auto"/>
        <w:jc w:val="both"/>
        <w:rPr>
          <w:rFonts w:ascii="Calibri" w:hAnsi="Calibri"/>
        </w:rPr>
      </w:pPr>
      <w:r>
        <w:rPr>
          <w:rFonts w:cs="Arial"/>
        </w:rPr>
        <w:t>CS scientists that are involved with monitoring in inshore waters</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380A1509" w14:textId="77777777" w:rsidR="0074777C" w:rsidRDefault="00EB23A0" w:rsidP="00EB23A0">
      <w:r w:rsidRPr="001F5026">
        <w:t>The Authority’s preference is for all invoices to be sent electronically, quoting a valid Purchase Order number</w:t>
      </w:r>
      <w:r w:rsidR="00BB00C2">
        <w:t xml:space="preserve">. The contractor will be paid following submission of the invoice following completion of the </w:t>
      </w:r>
      <w:r w:rsidR="0074777C">
        <w:t>contract.</w:t>
      </w:r>
    </w:p>
    <w:p w14:paraId="3BED45BE" w14:textId="6A2F8390" w:rsidR="00EB23A0" w:rsidRPr="001F5026" w:rsidRDefault="00EB23A0" w:rsidP="00EB23A0">
      <w:r w:rsidRPr="001F5026">
        <w:t>It is anticipated that this contract will be awarded for a period</w:t>
      </w:r>
      <w:r w:rsidRPr="0013471E">
        <w:rPr>
          <w:rStyle w:val="Text"/>
        </w:rPr>
        <w:t xml:space="preserve"> of</w:t>
      </w:r>
      <w:r w:rsidR="000B5638">
        <w:rPr>
          <w:rStyle w:val="Text"/>
        </w:rPr>
        <w:t xml:space="preserve"> around six months</w:t>
      </w:r>
      <w:r w:rsidRPr="001F5026">
        <w:t xml:space="preserve"> to end no later than </w:t>
      </w:r>
      <w:r w:rsidR="000B5638">
        <w:t>31 December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lastRenderedPageBreak/>
        <w:t xml:space="preserve">Evaluation Methodology  </w:t>
      </w:r>
    </w:p>
    <w:p w14:paraId="6F0DC1F6" w14:textId="77777777" w:rsidR="001E0BAB" w:rsidRPr="00946F99" w:rsidRDefault="001E0BAB" w:rsidP="001E0BAB">
      <w:pPr>
        <w:jc w:val="both"/>
        <w:rPr>
          <w:rFonts w:cs="Arial"/>
          <w:szCs w:val="24"/>
        </w:rPr>
      </w:pPr>
      <w:r w:rsidRPr="00946F99">
        <w:rPr>
          <w:rFonts w:cs="Arial"/>
          <w:szCs w:val="24"/>
        </w:rPr>
        <w:t>We will award this contract in line with the most economically advantageous tender (MEAT) as set out in the following award criteria:</w:t>
      </w:r>
    </w:p>
    <w:p w14:paraId="38B6E30D" w14:textId="77777777" w:rsidR="001E0BAB" w:rsidRPr="004E4E3B" w:rsidRDefault="001E0BAB" w:rsidP="001E0BAB">
      <w:pPr>
        <w:pStyle w:val="Caption"/>
        <w:keepNext/>
        <w:rPr>
          <w:szCs w:val="22"/>
        </w:rPr>
      </w:pPr>
      <w:r w:rsidRPr="004E4E3B">
        <w:rPr>
          <w:szCs w:val="22"/>
        </w:rPr>
        <w:t xml:space="preserve">Table </w:t>
      </w:r>
      <w:r w:rsidRPr="004E4E3B">
        <w:rPr>
          <w:szCs w:val="22"/>
        </w:rPr>
        <w:fldChar w:fldCharType="begin"/>
      </w:r>
      <w:r w:rsidRPr="004E4E3B">
        <w:rPr>
          <w:szCs w:val="22"/>
        </w:rPr>
        <w:instrText xml:space="preserve"> SEQ Table \* ARABIC </w:instrText>
      </w:r>
      <w:r w:rsidRPr="004E4E3B">
        <w:rPr>
          <w:szCs w:val="22"/>
        </w:rPr>
        <w:fldChar w:fldCharType="separate"/>
      </w:r>
      <w:r>
        <w:rPr>
          <w:noProof/>
          <w:szCs w:val="22"/>
        </w:rPr>
        <w:t>3</w:t>
      </w:r>
      <w:r w:rsidRPr="004E4E3B">
        <w:rPr>
          <w:szCs w:val="22"/>
        </w:rPr>
        <w:fldChar w:fldCharType="end"/>
      </w:r>
      <w:r w:rsidRPr="004E4E3B">
        <w:rPr>
          <w:szCs w:val="22"/>
        </w:rPr>
        <w:t xml:space="preserve"> Contract Award and Weighting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9"/>
        <w:gridCol w:w="1409"/>
        <w:gridCol w:w="2548"/>
      </w:tblGrid>
      <w:tr w:rsidR="001E0BAB" w:rsidRPr="00946F99" w14:paraId="7B1525A1" w14:textId="77777777" w:rsidTr="00F21381">
        <w:trPr>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312909" w14:textId="77777777" w:rsidR="001E0BAB" w:rsidRPr="00946F99" w:rsidRDefault="001E0BAB" w:rsidP="00F21381">
            <w:pPr>
              <w:spacing w:before="20" w:after="20"/>
              <w:rPr>
                <w:rFonts w:cs="Arial"/>
                <w:b/>
                <w:sz w:val="20"/>
              </w:rPr>
            </w:pPr>
            <w:r w:rsidRPr="00946F99">
              <w:rPr>
                <w:rFonts w:cs="Arial"/>
                <w:b/>
                <w:sz w:val="20"/>
              </w:rPr>
              <w:t>Criteria</w:t>
            </w:r>
          </w:p>
        </w:tc>
        <w:tc>
          <w:tcPr>
            <w:tcW w:w="1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002AC5" w14:textId="77777777" w:rsidR="001E0BAB" w:rsidRPr="00946F99" w:rsidRDefault="001E0BAB" w:rsidP="00F21381">
            <w:pPr>
              <w:spacing w:before="20" w:after="20"/>
              <w:rPr>
                <w:rFonts w:cs="Arial"/>
                <w:b/>
                <w:sz w:val="20"/>
              </w:rPr>
            </w:pPr>
            <w:r w:rsidRPr="00946F99">
              <w:rPr>
                <w:rFonts w:cs="Arial"/>
                <w:b/>
                <w:sz w:val="20"/>
              </w:rPr>
              <w:t>Weighting</w:t>
            </w:r>
          </w:p>
        </w:tc>
        <w:tc>
          <w:tcPr>
            <w:tcW w:w="25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757BA5" w14:textId="77777777" w:rsidR="001E0BAB" w:rsidRPr="00946F99" w:rsidRDefault="001E0BAB" w:rsidP="00F21381">
            <w:pPr>
              <w:spacing w:before="20" w:after="20"/>
              <w:rPr>
                <w:rFonts w:cs="Arial"/>
                <w:b/>
                <w:sz w:val="20"/>
              </w:rPr>
            </w:pPr>
            <w:r w:rsidRPr="00946F99">
              <w:rPr>
                <w:rFonts w:cs="Arial"/>
                <w:b/>
                <w:sz w:val="20"/>
              </w:rPr>
              <w:t>Scores</w:t>
            </w:r>
          </w:p>
        </w:tc>
      </w:tr>
      <w:tr w:rsidR="001E0BAB" w:rsidRPr="00946F99" w14:paraId="03705335" w14:textId="77777777" w:rsidTr="00F21381">
        <w:trPr>
          <w:jc w:val="center"/>
        </w:trPr>
        <w:tc>
          <w:tcPr>
            <w:tcW w:w="5059" w:type="dxa"/>
            <w:tcBorders>
              <w:top w:val="single" w:sz="4" w:space="0" w:color="000000"/>
              <w:left w:val="single" w:sz="4" w:space="0" w:color="000000"/>
              <w:bottom w:val="single" w:sz="4" w:space="0" w:color="000000"/>
              <w:right w:val="single" w:sz="4" w:space="0" w:color="000000"/>
            </w:tcBorders>
          </w:tcPr>
          <w:p w14:paraId="755196A2" w14:textId="77777777" w:rsidR="001E0BAB" w:rsidRPr="00946F99" w:rsidRDefault="001E0BAB" w:rsidP="00F21381">
            <w:pPr>
              <w:spacing w:before="20" w:after="20"/>
              <w:rPr>
                <w:rFonts w:cs="Arial"/>
                <w:sz w:val="20"/>
              </w:rPr>
            </w:pPr>
            <w:r w:rsidRPr="00946F99">
              <w:rPr>
                <w:rFonts w:cs="Arial"/>
                <w:sz w:val="20"/>
              </w:rPr>
              <w:t>Availability/ capacity</w:t>
            </w:r>
          </w:p>
        </w:tc>
        <w:tc>
          <w:tcPr>
            <w:tcW w:w="1409" w:type="dxa"/>
            <w:tcBorders>
              <w:top w:val="single" w:sz="4" w:space="0" w:color="000000"/>
              <w:left w:val="single" w:sz="4" w:space="0" w:color="000000"/>
              <w:bottom w:val="single" w:sz="4" w:space="0" w:color="000000"/>
              <w:right w:val="single" w:sz="4" w:space="0" w:color="000000"/>
            </w:tcBorders>
          </w:tcPr>
          <w:p w14:paraId="560CBC83" w14:textId="77777777" w:rsidR="001E0BAB" w:rsidRPr="00946F99" w:rsidRDefault="001E0BAB" w:rsidP="00F21381">
            <w:pPr>
              <w:spacing w:before="20" w:after="20"/>
              <w:rPr>
                <w:rFonts w:cs="Arial"/>
                <w:sz w:val="20"/>
              </w:rPr>
            </w:pPr>
          </w:p>
        </w:tc>
        <w:tc>
          <w:tcPr>
            <w:tcW w:w="2548" w:type="dxa"/>
            <w:tcBorders>
              <w:top w:val="single" w:sz="4" w:space="0" w:color="000000"/>
              <w:left w:val="single" w:sz="4" w:space="0" w:color="000000"/>
              <w:bottom w:val="single" w:sz="4" w:space="0" w:color="000000"/>
              <w:right w:val="single" w:sz="4" w:space="0" w:color="000000"/>
            </w:tcBorders>
          </w:tcPr>
          <w:p w14:paraId="41A8CA93" w14:textId="77777777" w:rsidR="001E0BAB" w:rsidRPr="00946F99" w:rsidRDefault="001E0BAB" w:rsidP="00F21381">
            <w:pPr>
              <w:spacing w:before="20" w:after="20"/>
              <w:rPr>
                <w:rFonts w:cs="Arial"/>
                <w:sz w:val="20"/>
              </w:rPr>
            </w:pPr>
            <w:r w:rsidRPr="00946F99">
              <w:rPr>
                <w:rFonts w:cs="Arial"/>
                <w:sz w:val="20"/>
              </w:rPr>
              <w:t>Pass/fail</w:t>
            </w:r>
          </w:p>
        </w:tc>
      </w:tr>
      <w:tr w:rsidR="001E0BAB" w:rsidRPr="00946F99" w14:paraId="749C57E8" w14:textId="77777777" w:rsidTr="00F21381">
        <w:trPr>
          <w:jc w:val="center"/>
        </w:trPr>
        <w:tc>
          <w:tcPr>
            <w:tcW w:w="5059" w:type="dxa"/>
            <w:tcBorders>
              <w:top w:val="single" w:sz="4" w:space="0" w:color="000000"/>
              <w:left w:val="single" w:sz="4" w:space="0" w:color="000000"/>
              <w:bottom w:val="single" w:sz="4" w:space="0" w:color="000000"/>
              <w:right w:val="single" w:sz="4" w:space="0" w:color="000000"/>
            </w:tcBorders>
          </w:tcPr>
          <w:p w14:paraId="0734B7A7" w14:textId="77777777" w:rsidR="001E0BAB" w:rsidRPr="00946F99" w:rsidRDefault="001E0BAB" w:rsidP="00F21381">
            <w:pPr>
              <w:spacing w:before="20" w:after="20"/>
              <w:rPr>
                <w:rFonts w:cs="Arial"/>
                <w:sz w:val="20"/>
              </w:rPr>
            </w:pPr>
            <w:r w:rsidRPr="00946F99">
              <w:rPr>
                <w:rFonts w:cs="Arial"/>
                <w:sz w:val="20"/>
              </w:rPr>
              <w:t>Price</w:t>
            </w:r>
          </w:p>
        </w:tc>
        <w:tc>
          <w:tcPr>
            <w:tcW w:w="1409" w:type="dxa"/>
            <w:tcBorders>
              <w:top w:val="single" w:sz="4" w:space="0" w:color="000000"/>
              <w:left w:val="single" w:sz="4" w:space="0" w:color="000000"/>
              <w:bottom w:val="single" w:sz="4" w:space="0" w:color="000000"/>
              <w:right w:val="single" w:sz="4" w:space="0" w:color="000000"/>
            </w:tcBorders>
          </w:tcPr>
          <w:p w14:paraId="0C763945" w14:textId="77777777" w:rsidR="001E0BAB" w:rsidRPr="00946F99" w:rsidRDefault="001E0BAB" w:rsidP="00F21381">
            <w:pPr>
              <w:spacing w:before="20" w:after="20"/>
              <w:rPr>
                <w:rFonts w:cs="Arial"/>
                <w:sz w:val="20"/>
              </w:rPr>
            </w:pPr>
            <w:r>
              <w:rPr>
                <w:rFonts w:cs="Arial"/>
                <w:sz w:val="20"/>
              </w:rPr>
              <w:t>40 %</w:t>
            </w:r>
          </w:p>
        </w:tc>
        <w:tc>
          <w:tcPr>
            <w:tcW w:w="2548" w:type="dxa"/>
            <w:tcBorders>
              <w:top w:val="single" w:sz="4" w:space="0" w:color="000000"/>
              <w:left w:val="single" w:sz="4" w:space="0" w:color="000000"/>
              <w:bottom w:val="single" w:sz="4" w:space="0" w:color="000000"/>
              <w:right w:val="single" w:sz="4" w:space="0" w:color="000000"/>
            </w:tcBorders>
          </w:tcPr>
          <w:p w14:paraId="2E7FB700" w14:textId="77777777" w:rsidR="001E0BAB" w:rsidRPr="00946F99" w:rsidRDefault="001E0BAB" w:rsidP="00F21381">
            <w:pPr>
              <w:spacing w:before="20" w:after="20"/>
              <w:rPr>
                <w:rFonts w:cs="Arial"/>
                <w:sz w:val="20"/>
              </w:rPr>
            </w:pPr>
            <w:r w:rsidRPr="00946F99">
              <w:rPr>
                <w:rFonts w:cs="Arial"/>
                <w:sz w:val="20"/>
              </w:rPr>
              <w:t>Ranked in cost order</w:t>
            </w:r>
          </w:p>
        </w:tc>
      </w:tr>
      <w:tr w:rsidR="001E0BAB" w:rsidRPr="00946F99" w14:paraId="6680FB64" w14:textId="77777777" w:rsidTr="00F21381">
        <w:trPr>
          <w:jc w:val="center"/>
        </w:trPr>
        <w:tc>
          <w:tcPr>
            <w:tcW w:w="5059" w:type="dxa"/>
            <w:tcBorders>
              <w:top w:val="single" w:sz="4" w:space="0" w:color="000000"/>
              <w:left w:val="single" w:sz="4" w:space="0" w:color="000000"/>
              <w:bottom w:val="single" w:sz="4" w:space="0" w:color="000000"/>
              <w:right w:val="single" w:sz="4" w:space="0" w:color="000000"/>
            </w:tcBorders>
          </w:tcPr>
          <w:p w14:paraId="2CE5687A" w14:textId="77777777" w:rsidR="001E0BAB" w:rsidRPr="00946F99" w:rsidRDefault="001E0BAB" w:rsidP="00F21381">
            <w:pPr>
              <w:spacing w:before="20" w:after="20"/>
              <w:rPr>
                <w:rFonts w:cs="Arial"/>
                <w:sz w:val="20"/>
              </w:rPr>
            </w:pPr>
            <w:r w:rsidRPr="00946F99">
              <w:rPr>
                <w:rFonts w:cs="Arial"/>
                <w:sz w:val="20"/>
              </w:rPr>
              <w:t xml:space="preserve">Experience and skill of </w:t>
            </w:r>
            <w:r>
              <w:rPr>
                <w:rFonts w:cs="Arial"/>
                <w:sz w:val="20"/>
              </w:rPr>
              <w:t>contractor</w:t>
            </w:r>
            <w:r w:rsidRPr="00946F99">
              <w:rPr>
                <w:rFonts w:cs="Arial"/>
                <w:sz w:val="20"/>
              </w:rPr>
              <w:t xml:space="preserve"> particularly as relevant to the </w:t>
            </w:r>
            <w:r>
              <w:rPr>
                <w:rFonts w:cs="Arial"/>
                <w:sz w:val="20"/>
              </w:rPr>
              <w:t>project</w:t>
            </w:r>
            <w:r w:rsidRPr="00946F99">
              <w:rPr>
                <w:rFonts w:cs="Arial"/>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77E5DA45" w14:textId="77777777" w:rsidR="001E0BAB" w:rsidRPr="00946F99" w:rsidRDefault="001E0BAB" w:rsidP="00F21381">
            <w:pPr>
              <w:spacing w:before="20" w:after="20"/>
              <w:rPr>
                <w:rFonts w:cs="Arial"/>
                <w:sz w:val="20"/>
              </w:rPr>
            </w:pPr>
            <w:r>
              <w:rPr>
                <w:rFonts w:cs="Arial"/>
                <w:sz w:val="20"/>
              </w:rPr>
              <w:t>30 %</w:t>
            </w:r>
          </w:p>
        </w:tc>
        <w:tc>
          <w:tcPr>
            <w:tcW w:w="2548" w:type="dxa"/>
            <w:tcBorders>
              <w:top w:val="single" w:sz="4" w:space="0" w:color="000000"/>
              <w:left w:val="single" w:sz="4" w:space="0" w:color="000000"/>
              <w:bottom w:val="single" w:sz="4" w:space="0" w:color="000000"/>
              <w:right w:val="single" w:sz="4" w:space="0" w:color="000000"/>
            </w:tcBorders>
          </w:tcPr>
          <w:p w14:paraId="47F393FC" w14:textId="77777777" w:rsidR="001E0BAB" w:rsidRPr="00946F99" w:rsidRDefault="001E0BAB" w:rsidP="00F21381">
            <w:pPr>
              <w:spacing w:before="20" w:after="20"/>
              <w:rPr>
                <w:rFonts w:cs="Arial"/>
                <w:sz w:val="20"/>
              </w:rPr>
            </w:pPr>
            <w:r w:rsidRPr="00946F99">
              <w:rPr>
                <w:rFonts w:cs="Arial"/>
                <w:sz w:val="20"/>
              </w:rPr>
              <w:t>As judged by Project Officer based on CVs</w:t>
            </w:r>
          </w:p>
        </w:tc>
      </w:tr>
      <w:tr w:rsidR="001E0BAB" w:rsidRPr="00946F99" w14:paraId="22EAA41E" w14:textId="77777777" w:rsidTr="00F21381">
        <w:trPr>
          <w:jc w:val="center"/>
        </w:trPr>
        <w:tc>
          <w:tcPr>
            <w:tcW w:w="5059" w:type="dxa"/>
            <w:tcBorders>
              <w:top w:val="single" w:sz="4" w:space="0" w:color="000000"/>
              <w:left w:val="single" w:sz="4" w:space="0" w:color="000000"/>
              <w:bottom w:val="single" w:sz="4" w:space="0" w:color="000000"/>
              <w:right w:val="single" w:sz="4" w:space="0" w:color="000000"/>
            </w:tcBorders>
          </w:tcPr>
          <w:p w14:paraId="7D392B27" w14:textId="77777777" w:rsidR="001E0BAB" w:rsidRPr="00187EEB" w:rsidRDefault="001E0BAB" w:rsidP="00F21381">
            <w:pPr>
              <w:spacing w:before="20" w:after="20"/>
              <w:rPr>
                <w:rFonts w:cs="Arial"/>
                <w:sz w:val="20"/>
                <w:highlight w:val="yellow"/>
              </w:rPr>
            </w:pPr>
            <w:r w:rsidRPr="00187EEB">
              <w:rPr>
                <w:rFonts w:cs="Arial"/>
                <w:sz w:val="20"/>
              </w:rPr>
              <w:t>Quality of proposal</w:t>
            </w:r>
          </w:p>
        </w:tc>
        <w:tc>
          <w:tcPr>
            <w:tcW w:w="1409" w:type="dxa"/>
            <w:tcBorders>
              <w:top w:val="single" w:sz="4" w:space="0" w:color="000000"/>
              <w:left w:val="single" w:sz="4" w:space="0" w:color="000000"/>
              <w:bottom w:val="single" w:sz="4" w:space="0" w:color="000000"/>
              <w:right w:val="single" w:sz="4" w:space="0" w:color="000000"/>
            </w:tcBorders>
          </w:tcPr>
          <w:p w14:paraId="153972BA" w14:textId="77777777" w:rsidR="001E0BAB" w:rsidRPr="00D5680E" w:rsidRDefault="001E0BAB" w:rsidP="00F21381">
            <w:pPr>
              <w:spacing w:before="20" w:after="20"/>
              <w:rPr>
                <w:rFonts w:cs="Arial"/>
                <w:sz w:val="20"/>
              </w:rPr>
            </w:pPr>
            <w:r>
              <w:rPr>
                <w:rFonts w:cs="Arial"/>
                <w:sz w:val="20"/>
              </w:rPr>
              <w:t>30 %</w:t>
            </w:r>
          </w:p>
        </w:tc>
        <w:tc>
          <w:tcPr>
            <w:tcW w:w="2548" w:type="dxa"/>
            <w:tcBorders>
              <w:top w:val="single" w:sz="4" w:space="0" w:color="000000"/>
              <w:left w:val="single" w:sz="4" w:space="0" w:color="000000"/>
              <w:bottom w:val="single" w:sz="4" w:space="0" w:color="000000"/>
              <w:right w:val="single" w:sz="4" w:space="0" w:color="000000"/>
            </w:tcBorders>
          </w:tcPr>
          <w:p w14:paraId="57F31147" w14:textId="77777777" w:rsidR="001E0BAB" w:rsidRPr="00D5680E" w:rsidRDefault="001E0BAB" w:rsidP="00F21381">
            <w:pPr>
              <w:spacing w:before="20" w:after="20"/>
              <w:rPr>
                <w:rFonts w:cs="Arial"/>
                <w:sz w:val="20"/>
              </w:rPr>
            </w:pPr>
            <w:r w:rsidRPr="00D5680E">
              <w:rPr>
                <w:rFonts w:cs="Arial"/>
                <w:sz w:val="20"/>
              </w:rPr>
              <w:t>Using scoring criteria set out below</w:t>
            </w:r>
          </w:p>
        </w:tc>
      </w:tr>
    </w:tbl>
    <w:p w14:paraId="1EA6C5C7" w14:textId="77777777" w:rsidR="001E0BAB" w:rsidRDefault="001E0BAB" w:rsidP="001E0BAB">
      <w:pPr>
        <w:pStyle w:val="BodyText3"/>
        <w:spacing w:before="80" w:after="0"/>
        <w:jc w:val="both"/>
        <w:rPr>
          <w:rFonts w:cs="Arial"/>
          <w:sz w:val="22"/>
          <w:szCs w:val="18"/>
          <w:shd w:val="clear" w:color="auto" w:fill="FFFFFF"/>
        </w:rPr>
      </w:pPr>
    </w:p>
    <w:p w14:paraId="7EFE2394" w14:textId="77777777" w:rsidR="001E0BAB" w:rsidRPr="000111AD" w:rsidRDefault="001E0BAB" w:rsidP="001E0BAB">
      <w:pPr>
        <w:pStyle w:val="BodyText3"/>
        <w:spacing w:before="80" w:after="0"/>
        <w:jc w:val="both"/>
        <w:rPr>
          <w:rFonts w:cs="Arial"/>
          <w:sz w:val="22"/>
          <w:szCs w:val="18"/>
          <w:shd w:val="clear" w:color="auto" w:fill="FFFFFF"/>
        </w:rPr>
      </w:pPr>
      <w:r w:rsidRPr="000111AD">
        <w:rPr>
          <w:rFonts w:cs="Arial"/>
          <w:sz w:val="22"/>
          <w:szCs w:val="18"/>
          <w:shd w:val="clear" w:color="auto" w:fill="FFFFFF"/>
        </w:rPr>
        <w:t xml:space="preserve">For a score of 100: Excellent - Response is completely relevant and excellent overall. The response is comprehensive, unambiguous and demonstrates a best-in-class thorough understanding of the requirement and provides details of how the requirement will be met in full. </w:t>
      </w:r>
    </w:p>
    <w:p w14:paraId="76A7DF1F" w14:textId="77777777" w:rsidR="001E0BAB" w:rsidRPr="000111AD" w:rsidRDefault="001E0BAB" w:rsidP="001E0BAB">
      <w:pPr>
        <w:pStyle w:val="BodyText3"/>
        <w:spacing w:before="80" w:after="0"/>
        <w:jc w:val="both"/>
        <w:rPr>
          <w:rFonts w:cs="Arial"/>
          <w:sz w:val="22"/>
          <w:szCs w:val="18"/>
          <w:shd w:val="clear" w:color="auto" w:fill="FFFFFF"/>
        </w:rPr>
      </w:pPr>
      <w:r w:rsidRPr="000111AD">
        <w:rPr>
          <w:rFonts w:cs="Arial"/>
          <w:sz w:val="22"/>
          <w:szCs w:val="18"/>
          <w:shd w:val="clear" w:color="auto" w:fill="FFFFFF"/>
        </w:rPr>
        <w:t xml:space="preserve">For a score of 70: Good - Response is relevant and good. The response demonstrates a good understanding and provides details on how the requirements will be fulfilled. </w:t>
      </w:r>
    </w:p>
    <w:p w14:paraId="212799EE" w14:textId="77777777" w:rsidR="001E0BAB" w:rsidRPr="000111AD" w:rsidRDefault="001E0BAB" w:rsidP="001E0BAB">
      <w:pPr>
        <w:pStyle w:val="BodyText3"/>
        <w:spacing w:before="80" w:after="0"/>
        <w:jc w:val="both"/>
        <w:rPr>
          <w:rFonts w:cs="Arial"/>
          <w:sz w:val="22"/>
          <w:szCs w:val="18"/>
          <w:shd w:val="clear" w:color="auto" w:fill="FFFFFF"/>
        </w:rPr>
      </w:pPr>
      <w:r w:rsidRPr="000111AD">
        <w:rPr>
          <w:rFonts w:cs="Arial"/>
          <w:sz w:val="22"/>
          <w:szCs w:val="18"/>
          <w:shd w:val="clear" w:color="auto" w:fill="FFFFFF"/>
        </w:rPr>
        <w:t xml:space="preserve">For a score of 50: Acceptable - Response is relevant and acceptable. The response provides sufficient evidence to fulfil basic requirements. </w:t>
      </w:r>
    </w:p>
    <w:p w14:paraId="07490812" w14:textId="77777777" w:rsidR="001E0BAB" w:rsidRPr="000111AD" w:rsidRDefault="001E0BAB" w:rsidP="001E0BAB">
      <w:pPr>
        <w:pStyle w:val="BodyText3"/>
        <w:spacing w:before="80" w:after="0"/>
        <w:jc w:val="both"/>
        <w:rPr>
          <w:rFonts w:cs="Arial"/>
          <w:sz w:val="22"/>
          <w:szCs w:val="18"/>
          <w:shd w:val="clear" w:color="auto" w:fill="FFFFFF"/>
        </w:rPr>
      </w:pPr>
      <w:r w:rsidRPr="000111AD">
        <w:rPr>
          <w:rFonts w:cs="Arial"/>
          <w:sz w:val="22"/>
          <w:szCs w:val="18"/>
          <w:shd w:val="clear" w:color="auto" w:fill="FFFFFF"/>
        </w:rPr>
        <w:t xml:space="preserve">For a score of 20: Poor - Response is partially relevant and/or poor. The response addresses some elements of the requirements but contains insufficient / limited detail or explanation to demonstrate how the requirement will be fulfilled. </w:t>
      </w:r>
    </w:p>
    <w:p w14:paraId="17C74E64" w14:textId="77777777" w:rsidR="001E0BAB" w:rsidRPr="00D322BA" w:rsidRDefault="001E0BAB" w:rsidP="001E0BAB">
      <w:pPr>
        <w:pStyle w:val="BodyText3"/>
        <w:spacing w:before="80" w:after="0"/>
        <w:jc w:val="both"/>
        <w:rPr>
          <w:rFonts w:cs="Arial"/>
          <w:sz w:val="22"/>
          <w:szCs w:val="18"/>
          <w:shd w:val="clear" w:color="auto" w:fill="FFFFFF"/>
        </w:rPr>
      </w:pPr>
      <w:r w:rsidRPr="000111AD">
        <w:rPr>
          <w:rFonts w:cs="Arial"/>
          <w:sz w:val="22"/>
          <w:szCs w:val="18"/>
          <w:shd w:val="clear" w:color="auto" w:fill="FFFFFF"/>
        </w:rPr>
        <w:t xml:space="preserve">For a score of 0: </w:t>
      </w:r>
      <w:r w:rsidRPr="00D322BA">
        <w:rPr>
          <w:rFonts w:cs="Arial"/>
          <w:sz w:val="22"/>
          <w:szCs w:val="18"/>
          <w:shd w:val="clear" w:color="auto" w:fill="FFFFFF"/>
        </w:rPr>
        <w:t>Unacceptable - Nil or inadequate response. The response fails to demonstrate an ability to meet the requirement.</w:t>
      </w:r>
    </w:p>
    <w:p w14:paraId="279251E4" w14:textId="77777777" w:rsidR="00EB23A0" w:rsidRPr="00D322BA" w:rsidRDefault="00EB23A0" w:rsidP="00EB23A0">
      <w:r w:rsidRPr="00D322BA">
        <w:t>We will award this contract in line with the most economically advantageous tender (MEAT) as set out in the following award criteria:</w:t>
      </w:r>
    </w:p>
    <w:p w14:paraId="7C1163D5" w14:textId="63F5B0D4" w:rsidR="00EB23A0" w:rsidRPr="00D322BA" w:rsidRDefault="00EB23A0" w:rsidP="00EB23A0">
      <w:r w:rsidRPr="00D322BA">
        <w:t xml:space="preserve">Technical – </w:t>
      </w:r>
      <w:r w:rsidR="007D05D3" w:rsidRPr="00D322BA">
        <w:rPr>
          <w:rStyle w:val="Important"/>
          <w:color w:val="auto"/>
        </w:rPr>
        <w:t>70</w:t>
      </w:r>
      <w:r w:rsidRPr="00D322BA">
        <w:t>%</w:t>
      </w:r>
    </w:p>
    <w:p w14:paraId="422FE966" w14:textId="53E533D5" w:rsidR="00EB23A0" w:rsidRPr="00D322BA" w:rsidRDefault="00EB23A0" w:rsidP="00EB23A0">
      <w:r w:rsidRPr="00D322BA">
        <w:t xml:space="preserve">Commercial – </w:t>
      </w:r>
      <w:r w:rsidR="007D05D3" w:rsidRPr="00D322BA">
        <w:rPr>
          <w:rStyle w:val="Important"/>
          <w:color w:val="auto"/>
        </w:rPr>
        <w:t>30%</w:t>
      </w:r>
    </w:p>
    <w:p w14:paraId="4319D42F" w14:textId="77777777" w:rsidR="00EB23A0" w:rsidRPr="00D322BA" w:rsidRDefault="00EB23A0" w:rsidP="00EB23A0">
      <w:pPr>
        <w:rPr>
          <w:rStyle w:val="Boldtext"/>
        </w:rPr>
      </w:pPr>
      <w:r w:rsidRPr="00D322BA">
        <w:rPr>
          <w:rStyle w:val="Boldtext"/>
        </w:rPr>
        <w:br w:type="page"/>
      </w:r>
    </w:p>
    <w:p w14:paraId="50EDD8A7" w14:textId="77777777" w:rsidR="00EB23A0" w:rsidRPr="00D322BA" w:rsidRDefault="00EB23A0" w:rsidP="00EB23A0">
      <w:pPr>
        <w:pStyle w:val="Subheading"/>
        <w:rPr>
          <w:rStyle w:val="Boldtext"/>
        </w:rPr>
      </w:pPr>
      <w:r w:rsidRPr="00D322BA">
        <w:rPr>
          <w:rStyle w:val="Boldtext"/>
        </w:rPr>
        <w:lastRenderedPageBreak/>
        <w:t>Evaluation criteria</w:t>
      </w:r>
    </w:p>
    <w:p w14:paraId="4F9D66BE" w14:textId="52B0AB8C" w:rsidR="00EB23A0" w:rsidRPr="00D322BA" w:rsidRDefault="00EB23A0" w:rsidP="00EB23A0">
      <w:r w:rsidRPr="00D322BA">
        <w:t xml:space="preserve">Evaluation weightings are </w:t>
      </w:r>
      <w:r w:rsidR="00DB1743" w:rsidRPr="00D322BA">
        <w:rPr>
          <w:rStyle w:val="Important"/>
          <w:color w:val="auto"/>
        </w:rPr>
        <w:t>70</w:t>
      </w:r>
      <w:r w:rsidRPr="00D322BA">
        <w:t xml:space="preserve">% technical and </w:t>
      </w:r>
      <w:r w:rsidR="00DB1743" w:rsidRPr="00D322BA">
        <w:rPr>
          <w:rStyle w:val="Important"/>
          <w:color w:val="auto"/>
        </w:rPr>
        <w:t>30</w:t>
      </w:r>
      <w:r w:rsidRPr="00D322BA">
        <w:t>% commercial, the winning tenderer will be the highest scoring combined score.</w:t>
      </w:r>
    </w:p>
    <w:p w14:paraId="7B7EDB42" w14:textId="77777777" w:rsidR="00634491" w:rsidRPr="00D322BA" w:rsidRDefault="00634491" w:rsidP="00634491">
      <w:pPr>
        <w:jc w:val="both"/>
        <w:rPr>
          <w:rFonts w:cs="Arial"/>
          <w:bCs/>
        </w:rPr>
      </w:pPr>
      <w:r w:rsidRPr="00D322BA">
        <w:rPr>
          <w:rFonts w:cs="Arial"/>
          <w:bCs/>
        </w:rPr>
        <w:t xml:space="preserve">Technical questions – 60% </w:t>
      </w:r>
    </w:p>
    <w:p w14:paraId="4CAE5EDF" w14:textId="77777777" w:rsidR="00634491" w:rsidRPr="00D322BA" w:rsidRDefault="00634491" w:rsidP="00634491">
      <w:pPr>
        <w:spacing w:before="40"/>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2BA" w:rsidRPr="00D322BA" w14:paraId="7C7F1438" w14:textId="77777777" w:rsidTr="00F21381">
        <w:tc>
          <w:tcPr>
            <w:tcW w:w="9016" w:type="dxa"/>
          </w:tcPr>
          <w:p w14:paraId="587A806E" w14:textId="77777777" w:rsidR="00634491" w:rsidRPr="00D322BA" w:rsidRDefault="00634491" w:rsidP="00634491">
            <w:pPr>
              <w:numPr>
                <w:ilvl w:val="0"/>
                <w:numId w:val="19"/>
              </w:numPr>
              <w:spacing w:before="40" w:after="0" w:line="240" w:lineRule="auto"/>
              <w:ind w:left="0"/>
              <w:jc w:val="both"/>
              <w:rPr>
                <w:rFonts w:cs="Arial"/>
                <w:b/>
                <w:sz w:val="20"/>
              </w:rPr>
            </w:pPr>
            <w:r w:rsidRPr="00D322BA">
              <w:rPr>
                <w:rFonts w:cs="Arial"/>
                <w:b/>
                <w:sz w:val="20"/>
              </w:rPr>
              <w:t>1. Please supply a proposed schedule of work, stating the timescales you will be able to execute and deliver the products specified above. See Section 4.1 Timeline for project delivery – Pass/Fail</w:t>
            </w:r>
          </w:p>
          <w:p w14:paraId="6E9DD99E" w14:textId="77777777" w:rsidR="00634491" w:rsidRPr="00D322BA" w:rsidRDefault="00634491" w:rsidP="00F21381">
            <w:pPr>
              <w:spacing w:before="40"/>
              <w:jc w:val="both"/>
              <w:rPr>
                <w:rFonts w:cs="Arial"/>
                <w:b/>
                <w:sz w:val="20"/>
              </w:rPr>
            </w:pPr>
          </w:p>
          <w:p w14:paraId="38B2848D" w14:textId="77777777" w:rsidR="00634491" w:rsidRPr="00D322BA" w:rsidRDefault="00634491" w:rsidP="00F21381">
            <w:pPr>
              <w:spacing w:before="40"/>
              <w:jc w:val="both"/>
              <w:rPr>
                <w:rFonts w:cs="Arial"/>
                <w:b/>
                <w:sz w:val="20"/>
              </w:rPr>
            </w:pPr>
          </w:p>
          <w:p w14:paraId="3393DC55" w14:textId="77777777" w:rsidR="00634491" w:rsidRPr="00D322BA" w:rsidRDefault="00634491" w:rsidP="00F21381">
            <w:pPr>
              <w:spacing w:before="40"/>
              <w:jc w:val="both"/>
              <w:rPr>
                <w:rFonts w:cs="Arial"/>
                <w:b/>
                <w:sz w:val="20"/>
              </w:rPr>
            </w:pPr>
          </w:p>
          <w:p w14:paraId="4A786AD1" w14:textId="77777777" w:rsidR="00634491" w:rsidRPr="00D322BA" w:rsidRDefault="00634491" w:rsidP="00F21381">
            <w:pPr>
              <w:spacing w:before="40"/>
              <w:jc w:val="both"/>
              <w:rPr>
                <w:rFonts w:cs="Arial"/>
                <w:b/>
                <w:sz w:val="20"/>
              </w:rPr>
            </w:pPr>
          </w:p>
          <w:p w14:paraId="08A6A7C6" w14:textId="77777777" w:rsidR="00634491" w:rsidRPr="00D322BA" w:rsidRDefault="00634491" w:rsidP="00F21381">
            <w:pPr>
              <w:spacing w:before="40"/>
              <w:jc w:val="both"/>
              <w:rPr>
                <w:rFonts w:cs="Arial"/>
                <w:b/>
                <w:sz w:val="20"/>
              </w:rPr>
            </w:pPr>
          </w:p>
        </w:tc>
      </w:tr>
      <w:tr w:rsidR="00D322BA" w:rsidRPr="00D322BA" w14:paraId="683482F4" w14:textId="77777777" w:rsidTr="00F21381">
        <w:tc>
          <w:tcPr>
            <w:tcW w:w="9016" w:type="dxa"/>
          </w:tcPr>
          <w:p w14:paraId="32379883" w14:textId="77777777" w:rsidR="00634491" w:rsidRPr="00D322BA" w:rsidRDefault="00634491" w:rsidP="00634491">
            <w:pPr>
              <w:numPr>
                <w:ilvl w:val="0"/>
                <w:numId w:val="19"/>
              </w:numPr>
              <w:spacing w:before="0" w:after="0" w:line="240" w:lineRule="auto"/>
              <w:ind w:left="0"/>
              <w:jc w:val="both"/>
              <w:rPr>
                <w:rFonts w:cs="Arial"/>
                <w:b/>
                <w:sz w:val="20"/>
              </w:rPr>
            </w:pPr>
            <w:r w:rsidRPr="00D322BA">
              <w:rPr>
                <w:rFonts w:cs="Arial"/>
                <w:b/>
                <w:sz w:val="20"/>
              </w:rPr>
              <w:t xml:space="preserve">2. Provide a statement on your availability &amp; capacity to mobilise a survey team - Pass/Fail. </w:t>
            </w:r>
          </w:p>
          <w:p w14:paraId="19E2B049" w14:textId="77777777" w:rsidR="00634491" w:rsidRPr="00D322BA" w:rsidRDefault="00634491" w:rsidP="00F21381">
            <w:pPr>
              <w:jc w:val="both"/>
              <w:rPr>
                <w:rFonts w:cs="Arial"/>
                <w:b/>
                <w:sz w:val="20"/>
              </w:rPr>
            </w:pPr>
          </w:p>
          <w:p w14:paraId="28919A11" w14:textId="77777777" w:rsidR="00634491" w:rsidRPr="00D322BA" w:rsidRDefault="00634491" w:rsidP="00F21381">
            <w:pPr>
              <w:jc w:val="both"/>
              <w:rPr>
                <w:rFonts w:cs="Arial"/>
                <w:b/>
                <w:sz w:val="20"/>
              </w:rPr>
            </w:pPr>
          </w:p>
          <w:p w14:paraId="74D044D5" w14:textId="77777777" w:rsidR="00634491" w:rsidRPr="00D322BA" w:rsidRDefault="00634491" w:rsidP="00F21381">
            <w:pPr>
              <w:jc w:val="both"/>
              <w:rPr>
                <w:rFonts w:cs="Arial"/>
                <w:b/>
                <w:sz w:val="20"/>
              </w:rPr>
            </w:pPr>
          </w:p>
          <w:p w14:paraId="74ED843B" w14:textId="77777777" w:rsidR="00634491" w:rsidRPr="00D322BA" w:rsidRDefault="00634491" w:rsidP="00F21381">
            <w:pPr>
              <w:jc w:val="both"/>
              <w:rPr>
                <w:rFonts w:cs="Arial"/>
                <w:b/>
                <w:sz w:val="20"/>
              </w:rPr>
            </w:pPr>
          </w:p>
          <w:p w14:paraId="56F6B827" w14:textId="77777777" w:rsidR="00634491" w:rsidRPr="00D322BA" w:rsidRDefault="00634491" w:rsidP="00F21381">
            <w:pPr>
              <w:jc w:val="both"/>
              <w:rPr>
                <w:rFonts w:cs="Arial"/>
                <w:b/>
                <w:sz w:val="20"/>
              </w:rPr>
            </w:pPr>
          </w:p>
          <w:p w14:paraId="52039F96" w14:textId="77777777" w:rsidR="00634491" w:rsidRPr="00D322BA" w:rsidRDefault="00634491" w:rsidP="00F21381">
            <w:pPr>
              <w:jc w:val="both"/>
              <w:rPr>
                <w:rFonts w:cs="Arial"/>
                <w:b/>
                <w:sz w:val="20"/>
              </w:rPr>
            </w:pPr>
          </w:p>
          <w:p w14:paraId="700E1B26" w14:textId="77777777" w:rsidR="00634491" w:rsidRPr="00D322BA" w:rsidRDefault="00634491" w:rsidP="00F21381">
            <w:pPr>
              <w:spacing w:before="40"/>
              <w:jc w:val="both"/>
              <w:rPr>
                <w:rFonts w:cs="Arial"/>
                <w:b/>
                <w:sz w:val="20"/>
              </w:rPr>
            </w:pPr>
          </w:p>
        </w:tc>
      </w:tr>
      <w:tr w:rsidR="00D322BA" w:rsidRPr="00D322BA" w14:paraId="16E3F14B" w14:textId="77777777" w:rsidTr="00F21381">
        <w:tc>
          <w:tcPr>
            <w:tcW w:w="9016" w:type="dxa"/>
          </w:tcPr>
          <w:p w14:paraId="4190B81C" w14:textId="77777777" w:rsidR="00634491" w:rsidRPr="00D322BA" w:rsidRDefault="00634491" w:rsidP="00634491">
            <w:pPr>
              <w:numPr>
                <w:ilvl w:val="0"/>
                <w:numId w:val="19"/>
              </w:numPr>
              <w:spacing w:before="0" w:after="0" w:line="240" w:lineRule="auto"/>
              <w:ind w:left="0"/>
              <w:rPr>
                <w:rFonts w:cs="Arial"/>
                <w:b/>
                <w:sz w:val="20"/>
              </w:rPr>
            </w:pPr>
            <w:r w:rsidRPr="00D322BA">
              <w:rPr>
                <w:rFonts w:cs="Arial"/>
                <w:b/>
                <w:sz w:val="20"/>
              </w:rPr>
              <w:t>3. Provide CVs for the delivery team 30 %</w:t>
            </w:r>
          </w:p>
          <w:p w14:paraId="67F3F278" w14:textId="77777777" w:rsidR="00634491" w:rsidRPr="00D322BA" w:rsidRDefault="00634491" w:rsidP="00F21381">
            <w:pPr>
              <w:rPr>
                <w:rFonts w:cs="Arial"/>
                <w:b/>
                <w:sz w:val="20"/>
              </w:rPr>
            </w:pPr>
          </w:p>
          <w:p w14:paraId="14A9DFCE" w14:textId="77777777" w:rsidR="00634491" w:rsidRPr="00D322BA" w:rsidRDefault="00634491" w:rsidP="00F21381">
            <w:pPr>
              <w:rPr>
                <w:rFonts w:cs="Arial"/>
                <w:b/>
                <w:sz w:val="20"/>
              </w:rPr>
            </w:pPr>
          </w:p>
          <w:p w14:paraId="53FB9F20" w14:textId="77777777" w:rsidR="00634491" w:rsidRPr="00D322BA" w:rsidRDefault="00634491" w:rsidP="00F21381">
            <w:pPr>
              <w:rPr>
                <w:rFonts w:cs="Arial"/>
                <w:b/>
                <w:sz w:val="20"/>
              </w:rPr>
            </w:pPr>
          </w:p>
          <w:p w14:paraId="77147ECA" w14:textId="77777777" w:rsidR="00634491" w:rsidRPr="00D322BA" w:rsidRDefault="00634491" w:rsidP="00F21381">
            <w:pPr>
              <w:rPr>
                <w:rFonts w:cs="Arial"/>
                <w:b/>
                <w:sz w:val="20"/>
              </w:rPr>
            </w:pPr>
          </w:p>
          <w:p w14:paraId="6851085C" w14:textId="77777777" w:rsidR="00634491" w:rsidRPr="00D322BA" w:rsidRDefault="00634491" w:rsidP="00F21381">
            <w:pPr>
              <w:rPr>
                <w:rFonts w:cs="Arial"/>
                <w:b/>
                <w:sz w:val="20"/>
              </w:rPr>
            </w:pPr>
          </w:p>
          <w:p w14:paraId="07BAB0BB" w14:textId="77777777" w:rsidR="00634491" w:rsidRPr="00D322BA" w:rsidRDefault="00634491" w:rsidP="00F21381">
            <w:pPr>
              <w:rPr>
                <w:rFonts w:cs="Arial"/>
                <w:b/>
                <w:sz w:val="20"/>
              </w:rPr>
            </w:pPr>
          </w:p>
          <w:p w14:paraId="201A9A5A" w14:textId="77777777" w:rsidR="00634491" w:rsidRPr="00D322BA" w:rsidRDefault="00634491" w:rsidP="00F21381">
            <w:pPr>
              <w:rPr>
                <w:rFonts w:cs="Arial"/>
                <w:b/>
                <w:sz w:val="20"/>
              </w:rPr>
            </w:pPr>
          </w:p>
          <w:p w14:paraId="37A02CD0" w14:textId="77777777" w:rsidR="00634491" w:rsidRPr="00D322BA" w:rsidRDefault="00634491" w:rsidP="00F21381">
            <w:pPr>
              <w:rPr>
                <w:rFonts w:cs="Arial"/>
                <w:b/>
                <w:sz w:val="20"/>
              </w:rPr>
            </w:pPr>
          </w:p>
        </w:tc>
      </w:tr>
      <w:tr w:rsidR="00D322BA" w:rsidRPr="00D322BA" w14:paraId="3784E2C3" w14:textId="77777777" w:rsidTr="00F21381">
        <w:tc>
          <w:tcPr>
            <w:tcW w:w="9016" w:type="dxa"/>
          </w:tcPr>
          <w:p w14:paraId="41AC99E5" w14:textId="3D6FBF2E" w:rsidR="00634491" w:rsidRPr="00D322BA" w:rsidRDefault="00634491" w:rsidP="00634491">
            <w:pPr>
              <w:numPr>
                <w:ilvl w:val="0"/>
                <w:numId w:val="19"/>
              </w:numPr>
              <w:spacing w:before="0" w:after="0" w:line="240" w:lineRule="auto"/>
              <w:ind w:left="0"/>
              <w:rPr>
                <w:rFonts w:cs="Arial"/>
                <w:b/>
                <w:sz w:val="20"/>
              </w:rPr>
            </w:pPr>
            <w:r w:rsidRPr="00D322BA">
              <w:rPr>
                <w:rFonts w:cs="Arial"/>
                <w:b/>
                <w:sz w:val="20"/>
              </w:rPr>
              <w:t xml:space="preserve">4. </w:t>
            </w:r>
            <w:r w:rsidR="00523892" w:rsidRPr="00D322BA">
              <w:rPr>
                <w:rFonts w:cs="Arial"/>
                <w:b/>
                <w:sz w:val="20"/>
              </w:rPr>
              <w:t>Handbook</w:t>
            </w:r>
            <w:r w:rsidRPr="00D322BA">
              <w:rPr>
                <w:rFonts w:cs="Arial"/>
                <w:b/>
                <w:sz w:val="20"/>
              </w:rPr>
              <w:t xml:space="preserve"> proposal – 30 %</w:t>
            </w:r>
          </w:p>
          <w:p w14:paraId="1598C341" w14:textId="77777777" w:rsidR="00634491" w:rsidRPr="00D322BA" w:rsidRDefault="00634491" w:rsidP="00F21381">
            <w:pPr>
              <w:rPr>
                <w:rFonts w:cs="Arial"/>
                <w:b/>
                <w:sz w:val="20"/>
              </w:rPr>
            </w:pPr>
          </w:p>
          <w:p w14:paraId="20875F05" w14:textId="77777777" w:rsidR="00634491" w:rsidRPr="00D322BA" w:rsidRDefault="00634491" w:rsidP="00F21381">
            <w:pPr>
              <w:rPr>
                <w:rFonts w:cs="Arial"/>
                <w:b/>
                <w:sz w:val="20"/>
              </w:rPr>
            </w:pPr>
          </w:p>
          <w:p w14:paraId="04550475" w14:textId="77777777" w:rsidR="00634491" w:rsidRPr="00D322BA" w:rsidRDefault="00634491" w:rsidP="00F21381">
            <w:pPr>
              <w:rPr>
                <w:rFonts w:cs="Arial"/>
                <w:b/>
                <w:sz w:val="20"/>
              </w:rPr>
            </w:pPr>
          </w:p>
          <w:p w14:paraId="4C98B47A" w14:textId="77777777" w:rsidR="00634491" w:rsidRPr="00D322BA" w:rsidRDefault="00634491" w:rsidP="00F21381">
            <w:pPr>
              <w:rPr>
                <w:rFonts w:cs="Arial"/>
                <w:b/>
                <w:sz w:val="20"/>
              </w:rPr>
            </w:pPr>
          </w:p>
          <w:p w14:paraId="19507A19" w14:textId="77777777" w:rsidR="00634491" w:rsidRPr="00D322BA" w:rsidRDefault="00634491" w:rsidP="00F21381">
            <w:pPr>
              <w:rPr>
                <w:rFonts w:cs="Arial"/>
                <w:b/>
                <w:sz w:val="20"/>
              </w:rPr>
            </w:pPr>
          </w:p>
          <w:p w14:paraId="3F68D963" w14:textId="77777777" w:rsidR="00634491" w:rsidRPr="00D322BA" w:rsidRDefault="00634491" w:rsidP="00F21381">
            <w:pPr>
              <w:rPr>
                <w:rFonts w:cs="Arial"/>
                <w:b/>
                <w:sz w:val="20"/>
              </w:rPr>
            </w:pPr>
          </w:p>
          <w:p w14:paraId="34688FAB" w14:textId="77777777" w:rsidR="00634491" w:rsidRPr="00D322BA" w:rsidRDefault="00634491" w:rsidP="00F21381">
            <w:pPr>
              <w:rPr>
                <w:rFonts w:cs="Arial"/>
                <w:b/>
                <w:sz w:val="20"/>
              </w:rPr>
            </w:pPr>
          </w:p>
          <w:p w14:paraId="2A5C71C2" w14:textId="77777777" w:rsidR="00634491" w:rsidRPr="00D322BA" w:rsidRDefault="00634491" w:rsidP="00F21381">
            <w:pPr>
              <w:rPr>
                <w:rFonts w:cs="Arial"/>
                <w:b/>
                <w:sz w:val="20"/>
              </w:rPr>
            </w:pPr>
          </w:p>
        </w:tc>
      </w:tr>
    </w:tbl>
    <w:p w14:paraId="5CD42DE2" w14:textId="77777777" w:rsidR="00EB23A0" w:rsidRPr="00D322BA" w:rsidRDefault="00EB23A0" w:rsidP="00EB23A0"/>
    <w:p w14:paraId="52F12F96" w14:textId="375B7EB5" w:rsidR="00EB23A0" w:rsidRPr="00D322BA" w:rsidRDefault="00EB23A0" w:rsidP="00EB23A0">
      <w:pPr>
        <w:pStyle w:val="Subheading"/>
        <w:rPr>
          <w:rStyle w:val="Important"/>
          <w:color w:val="auto"/>
        </w:rPr>
      </w:pPr>
      <w:r w:rsidRPr="00D322BA">
        <w:t>Technical (</w:t>
      </w:r>
      <w:r w:rsidR="00523892" w:rsidRPr="00D322BA">
        <w:rPr>
          <w:rStyle w:val="Important"/>
          <w:color w:val="auto"/>
        </w:rPr>
        <w:t>60</w:t>
      </w:r>
      <w:r w:rsidRPr="00D322BA">
        <w:t>%)</w:t>
      </w:r>
    </w:p>
    <w:p w14:paraId="09BB6A55" w14:textId="77777777" w:rsidR="00EB23A0" w:rsidRPr="00D322BA" w:rsidRDefault="00EB23A0" w:rsidP="00EB23A0">
      <w:r w:rsidRPr="00D322BA">
        <w:t xml:space="preserve">Technical evaluations will be based on responses to specific questions covering key criteria which are outlined below.  </w:t>
      </w:r>
      <w:proofErr w:type="spellStart"/>
      <w:r w:rsidRPr="00D322BA">
        <w:t>Sco</w:t>
      </w:r>
      <w:proofErr w:type="spellEnd"/>
      <w:r w:rsidRPr="00D322BA">
        <w:t xml:space="preserve"> 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D322BA" w:rsidRPr="00D322BA"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D322BA" w:rsidRDefault="00EB23A0" w:rsidP="00A706D8">
            <w:pPr>
              <w:rPr>
                <w:color w:val="auto"/>
              </w:rPr>
            </w:pPr>
            <w:r w:rsidRPr="00D322BA">
              <w:rPr>
                <w:color w:val="auto"/>
              </w:rPr>
              <w:t>Description</w:t>
            </w:r>
          </w:p>
        </w:tc>
        <w:tc>
          <w:tcPr>
            <w:tcW w:w="3294" w:type="dxa"/>
          </w:tcPr>
          <w:p w14:paraId="51ADFB3D" w14:textId="77777777" w:rsidR="00EB23A0" w:rsidRPr="00D322BA" w:rsidRDefault="00EB23A0" w:rsidP="00A706D8">
            <w:pPr>
              <w:rPr>
                <w:color w:val="auto"/>
              </w:rPr>
            </w:pPr>
            <w:r w:rsidRPr="00D322BA">
              <w:rPr>
                <w:color w:val="auto"/>
              </w:rPr>
              <w:t xml:space="preserve">Score </w:t>
            </w:r>
          </w:p>
        </w:tc>
        <w:tc>
          <w:tcPr>
            <w:tcW w:w="5223" w:type="dxa"/>
          </w:tcPr>
          <w:p w14:paraId="1A8C3073" w14:textId="77777777" w:rsidR="00EB23A0" w:rsidRPr="00D322BA" w:rsidRDefault="00EB23A0" w:rsidP="00A706D8">
            <w:pPr>
              <w:rPr>
                <w:color w:val="auto"/>
              </w:rPr>
            </w:pPr>
            <w:r w:rsidRPr="00D322BA">
              <w:rPr>
                <w:color w:val="auto"/>
              </w:rPr>
              <w:t>Definition</w:t>
            </w:r>
          </w:p>
        </w:tc>
      </w:tr>
      <w:tr w:rsidR="00D322BA" w:rsidRPr="00D322BA" w14:paraId="7A8DA3B3" w14:textId="77777777" w:rsidTr="00A706D8">
        <w:tc>
          <w:tcPr>
            <w:tcW w:w="1684" w:type="dxa"/>
          </w:tcPr>
          <w:p w14:paraId="0EC3E8D9" w14:textId="77777777" w:rsidR="00EB23A0" w:rsidRPr="00D322BA" w:rsidRDefault="00EB23A0" w:rsidP="00A706D8">
            <w:pPr>
              <w:rPr>
                <w:color w:val="auto"/>
              </w:rPr>
            </w:pPr>
            <w:r w:rsidRPr="00D322BA">
              <w:rPr>
                <w:color w:val="auto"/>
              </w:rPr>
              <w:t xml:space="preserve">Very good </w:t>
            </w:r>
          </w:p>
        </w:tc>
        <w:tc>
          <w:tcPr>
            <w:tcW w:w="3294" w:type="dxa"/>
          </w:tcPr>
          <w:p w14:paraId="0CC885EE" w14:textId="77777777" w:rsidR="00EB23A0" w:rsidRPr="00D322BA" w:rsidRDefault="00EB23A0" w:rsidP="00A706D8">
            <w:pPr>
              <w:rPr>
                <w:color w:val="auto"/>
              </w:rPr>
            </w:pPr>
            <w:r w:rsidRPr="00D322BA">
              <w:rPr>
                <w:color w:val="auto"/>
              </w:rPr>
              <w:t>100</w:t>
            </w:r>
          </w:p>
        </w:tc>
        <w:tc>
          <w:tcPr>
            <w:tcW w:w="5223" w:type="dxa"/>
          </w:tcPr>
          <w:p w14:paraId="03C6BEAD" w14:textId="77777777" w:rsidR="00EB23A0" w:rsidRPr="00D322BA" w:rsidRDefault="00EB23A0" w:rsidP="00A706D8">
            <w:pPr>
              <w:rPr>
                <w:color w:val="auto"/>
              </w:rPr>
            </w:pPr>
            <w:r w:rsidRPr="00D322BA">
              <w:rPr>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322BA" w:rsidRPr="00D322BA" w14:paraId="6E0D756F" w14:textId="77777777" w:rsidTr="00A706D8">
        <w:tc>
          <w:tcPr>
            <w:tcW w:w="1684" w:type="dxa"/>
          </w:tcPr>
          <w:p w14:paraId="26CDF45A" w14:textId="77777777" w:rsidR="00EB23A0" w:rsidRPr="00D322BA" w:rsidRDefault="00EB23A0" w:rsidP="00A706D8">
            <w:pPr>
              <w:rPr>
                <w:color w:val="auto"/>
              </w:rPr>
            </w:pPr>
            <w:r w:rsidRPr="00D322BA">
              <w:rPr>
                <w:color w:val="auto"/>
              </w:rPr>
              <w:t>Good</w:t>
            </w:r>
          </w:p>
        </w:tc>
        <w:tc>
          <w:tcPr>
            <w:tcW w:w="3294" w:type="dxa"/>
          </w:tcPr>
          <w:p w14:paraId="4623F0F2" w14:textId="77777777" w:rsidR="00EB23A0" w:rsidRPr="00D322BA" w:rsidRDefault="00EB23A0" w:rsidP="00A706D8">
            <w:pPr>
              <w:rPr>
                <w:color w:val="auto"/>
              </w:rPr>
            </w:pPr>
            <w:r w:rsidRPr="00D322BA">
              <w:rPr>
                <w:color w:val="auto"/>
              </w:rPr>
              <w:t>70</w:t>
            </w:r>
          </w:p>
        </w:tc>
        <w:tc>
          <w:tcPr>
            <w:tcW w:w="5223" w:type="dxa"/>
          </w:tcPr>
          <w:p w14:paraId="6BDF3BFE" w14:textId="77777777" w:rsidR="00EB23A0" w:rsidRPr="00D322BA" w:rsidRDefault="00EB23A0" w:rsidP="00A706D8">
            <w:pPr>
              <w:rPr>
                <w:color w:val="auto"/>
              </w:rPr>
            </w:pPr>
            <w:r w:rsidRPr="00D322BA">
              <w:rPr>
                <w:color w:val="auto"/>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322BA" w:rsidRPr="00D322BA" w14:paraId="7D4575F2" w14:textId="77777777" w:rsidTr="00A706D8">
        <w:tc>
          <w:tcPr>
            <w:tcW w:w="1684" w:type="dxa"/>
          </w:tcPr>
          <w:p w14:paraId="155F0E66" w14:textId="77777777" w:rsidR="00EB23A0" w:rsidRPr="00D322BA" w:rsidRDefault="00EB23A0" w:rsidP="00A706D8">
            <w:pPr>
              <w:rPr>
                <w:color w:val="auto"/>
              </w:rPr>
            </w:pPr>
            <w:r w:rsidRPr="00D322BA">
              <w:rPr>
                <w:color w:val="auto"/>
              </w:rPr>
              <w:t>Moderate</w:t>
            </w:r>
          </w:p>
        </w:tc>
        <w:tc>
          <w:tcPr>
            <w:tcW w:w="3294" w:type="dxa"/>
          </w:tcPr>
          <w:p w14:paraId="7AB82842" w14:textId="77777777" w:rsidR="00EB23A0" w:rsidRPr="00D322BA" w:rsidRDefault="00EB23A0" w:rsidP="00A706D8">
            <w:pPr>
              <w:rPr>
                <w:color w:val="auto"/>
              </w:rPr>
            </w:pPr>
            <w:r w:rsidRPr="00D322BA">
              <w:rPr>
                <w:color w:val="auto"/>
              </w:rPr>
              <w:t>50</w:t>
            </w:r>
          </w:p>
        </w:tc>
        <w:tc>
          <w:tcPr>
            <w:tcW w:w="5223" w:type="dxa"/>
          </w:tcPr>
          <w:p w14:paraId="05ED5794" w14:textId="77777777" w:rsidR="00EB23A0" w:rsidRPr="00D322BA" w:rsidRDefault="00EB23A0" w:rsidP="00A706D8">
            <w:pPr>
              <w:rPr>
                <w:color w:val="auto"/>
              </w:rPr>
            </w:pPr>
            <w:r w:rsidRPr="00D322BA">
              <w:rPr>
                <w:color w:val="auto"/>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322BA" w:rsidRPr="00D322BA" w14:paraId="0194B7FA" w14:textId="77777777" w:rsidTr="00A706D8">
        <w:tc>
          <w:tcPr>
            <w:tcW w:w="1684" w:type="dxa"/>
          </w:tcPr>
          <w:p w14:paraId="6CCAB30E" w14:textId="77777777" w:rsidR="00EB23A0" w:rsidRPr="00D322BA" w:rsidRDefault="00EB23A0" w:rsidP="00A706D8">
            <w:pPr>
              <w:rPr>
                <w:color w:val="auto"/>
              </w:rPr>
            </w:pPr>
            <w:r w:rsidRPr="00D322BA">
              <w:rPr>
                <w:color w:val="auto"/>
              </w:rPr>
              <w:t xml:space="preserve">Weak </w:t>
            </w:r>
          </w:p>
        </w:tc>
        <w:tc>
          <w:tcPr>
            <w:tcW w:w="3294" w:type="dxa"/>
          </w:tcPr>
          <w:p w14:paraId="374420E3" w14:textId="77777777" w:rsidR="00EB23A0" w:rsidRPr="00D322BA" w:rsidRDefault="00EB23A0" w:rsidP="00A706D8">
            <w:pPr>
              <w:rPr>
                <w:color w:val="auto"/>
              </w:rPr>
            </w:pPr>
            <w:r w:rsidRPr="00D322BA">
              <w:rPr>
                <w:color w:val="auto"/>
              </w:rPr>
              <w:t>20</w:t>
            </w:r>
          </w:p>
        </w:tc>
        <w:tc>
          <w:tcPr>
            <w:tcW w:w="5223" w:type="dxa"/>
          </w:tcPr>
          <w:p w14:paraId="4BAE8798" w14:textId="77777777" w:rsidR="00EB23A0" w:rsidRPr="00D322BA" w:rsidRDefault="00EB23A0" w:rsidP="00A706D8">
            <w:pPr>
              <w:rPr>
                <w:color w:val="auto"/>
              </w:rPr>
            </w:pPr>
            <w:r w:rsidRPr="00D322BA">
              <w:rPr>
                <w:color w:val="auto"/>
              </w:rPr>
              <w:t xml:space="preserve">Substantially addresses the requirements but not all and provides supporting information that is of limited or no relevance or a methodology </w:t>
            </w:r>
            <w:r w:rsidRPr="00D322BA">
              <w:rPr>
                <w:color w:val="auto"/>
              </w:rPr>
              <w:lastRenderedPageBreak/>
              <w:t>containing significant weaknesses and therefore raises concerns for the Authority that the requirements may not all be met.</w:t>
            </w:r>
          </w:p>
        </w:tc>
      </w:tr>
      <w:tr w:rsidR="00D322BA" w:rsidRPr="00D322BA" w14:paraId="4CEC5FD4" w14:textId="77777777" w:rsidTr="00A706D8">
        <w:tc>
          <w:tcPr>
            <w:tcW w:w="1684" w:type="dxa"/>
          </w:tcPr>
          <w:p w14:paraId="4162988F" w14:textId="77777777" w:rsidR="00EB23A0" w:rsidRPr="00D322BA" w:rsidRDefault="00EB23A0" w:rsidP="00A706D8">
            <w:pPr>
              <w:rPr>
                <w:color w:val="auto"/>
              </w:rPr>
            </w:pPr>
            <w:r w:rsidRPr="00D322BA">
              <w:rPr>
                <w:color w:val="auto"/>
              </w:rPr>
              <w:lastRenderedPageBreak/>
              <w:t>Unacceptable</w:t>
            </w:r>
          </w:p>
        </w:tc>
        <w:tc>
          <w:tcPr>
            <w:tcW w:w="3294" w:type="dxa"/>
          </w:tcPr>
          <w:p w14:paraId="7E837C44" w14:textId="77777777" w:rsidR="00EB23A0" w:rsidRPr="00D322BA" w:rsidRDefault="00EB23A0" w:rsidP="00A706D8">
            <w:pPr>
              <w:rPr>
                <w:color w:val="auto"/>
              </w:rPr>
            </w:pPr>
            <w:r w:rsidRPr="00D322BA">
              <w:rPr>
                <w:color w:val="auto"/>
              </w:rPr>
              <w:t>0</w:t>
            </w:r>
          </w:p>
        </w:tc>
        <w:tc>
          <w:tcPr>
            <w:tcW w:w="5223" w:type="dxa"/>
          </w:tcPr>
          <w:p w14:paraId="15432B9A" w14:textId="77777777" w:rsidR="00EB23A0" w:rsidRPr="00D322BA" w:rsidRDefault="00EB23A0" w:rsidP="00A706D8">
            <w:pPr>
              <w:rPr>
                <w:color w:val="auto"/>
              </w:rPr>
            </w:pPr>
            <w:r w:rsidRPr="00D322BA">
              <w:rPr>
                <w:color w:val="auto"/>
              </w:rPr>
              <w:t>No response or provides a response that gives the Authority no confidence that the requirement will be met. </w:t>
            </w:r>
          </w:p>
        </w:tc>
      </w:tr>
    </w:tbl>
    <w:p w14:paraId="23251A4A" w14:textId="77777777" w:rsidR="00EB23A0" w:rsidRPr="00D322BA" w:rsidRDefault="00EB23A0" w:rsidP="00EB23A0"/>
    <w:p w14:paraId="616E4D4A" w14:textId="77777777" w:rsidR="00EB23A0" w:rsidRPr="00D322BA" w:rsidRDefault="00EB23A0" w:rsidP="00EB23A0">
      <w:r w:rsidRPr="00D322BA">
        <w:t xml:space="preserve">Technical evaluation is assessed using the evaluation topics and sub-criteria stated in the Evaluation Criteria section above. </w:t>
      </w:r>
    </w:p>
    <w:p w14:paraId="18FE6FD0" w14:textId="5EFB36DA" w:rsidR="00EB23A0" w:rsidRPr="00D322BA" w:rsidRDefault="00EB23A0" w:rsidP="00777D92">
      <w:r w:rsidRPr="00D322BA">
        <w:t>Separate submissions for each technical question should be provided and will be evaluated in isolation. Tenderers should provide answers that meet the criteria of each technical question.</w:t>
      </w:r>
      <w:r w:rsidR="00777D92" w:rsidRPr="00D322BA">
        <w:t xml:space="preserve"> </w:t>
      </w:r>
    </w:p>
    <w:p w14:paraId="74143C73" w14:textId="32E19B4A" w:rsidR="00EB23A0" w:rsidRPr="00D322BA" w:rsidRDefault="00EB23A0" w:rsidP="00EB23A0">
      <w:pPr>
        <w:pStyle w:val="Subheading"/>
      </w:pPr>
      <w:r w:rsidRPr="00D322BA">
        <w:t>Commercial (</w:t>
      </w:r>
      <w:r w:rsidR="00422F61" w:rsidRPr="00D322BA">
        <w:rPr>
          <w:rStyle w:val="Important"/>
          <w:color w:val="auto"/>
        </w:rPr>
        <w:t>30</w:t>
      </w:r>
      <w:r w:rsidRPr="00D322BA">
        <w:t>%)</w:t>
      </w:r>
    </w:p>
    <w:p w14:paraId="47600954" w14:textId="445BD8F4" w:rsidR="00EB23A0" w:rsidRPr="00D322BA" w:rsidRDefault="00EB23A0" w:rsidP="00EB23A0">
      <w:r w:rsidRPr="00D322BA">
        <w:t xml:space="preserve">The Contract is to be awarded as a </w:t>
      </w:r>
      <w:r w:rsidR="009454DF" w:rsidRPr="00D322BA">
        <w:rPr>
          <w:rStyle w:val="Important"/>
          <w:color w:val="auto"/>
        </w:rPr>
        <w:t xml:space="preserve">fixed price </w:t>
      </w:r>
      <w:r w:rsidRPr="00D322BA">
        <w:t>which will be paid according to the completion of the deliverables stated in the Specification of Requirements.</w:t>
      </w:r>
    </w:p>
    <w:p w14:paraId="4EBA5108" w14:textId="77777777" w:rsidR="009454DF" w:rsidRPr="00D322BA" w:rsidRDefault="009454DF" w:rsidP="009454DF">
      <w:pPr>
        <w:pStyle w:val="BodyText2"/>
        <w:spacing w:after="0" w:line="240" w:lineRule="auto"/>
        <w:rPr>
          <w:rFonts w:cs="Arial"/>
          <w:b/>
          <w:sz w:val="22"/>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423"/>
        <w:gridCol w:w="992"/>
        <w:gridCol w:w="850"/>
        <w:gridCol w:w="1134"/>
        <w:gridCol w:w="1107"/>
      </w:tblGrid>
      <w:tr w:rsidR="00D322BA" w:rsidRPr="00D322BA" w14:paraId="50A41742" w14:textId="77777777" w:rsidTr="00F21381">
        <w:trPr>
          <w:trHeight w:val="505"/>
        </w:trPr>
        <w:tc>
          <w:tcPr>
            <w:tcW w:w="9607" w:type="dxa"/>
            <w:gridSpan w:val="6"/>
            <w:vAlign w:val="center"/>
          </w:tcPr>
          <w:p w14:paraId="5CC36FC7" w14:textId="77777777" w:rsidR="009454DF" w:rsidRPr="00D322BA" w:rsidRDefault="009454DF" w:rsidP="00F21381">
            <w:pPr>
              <w:rPr>
                <w:rFonts w:cs="Arial"/>
                <w:b/>
              </w:rPr>
            </w:pPr>
            <w:r w:rsidRPr="00D322BA">
              <w:rPr>
                <w:rFonts w:cs="Arial"/>
                <w:b/>
                <w:szCs w:val="24"/>
              </w:rPr>
              <w:t>Costs</w:t>
            </w:r>
          </w:p>
        </w:tc>
      </w:tr>
      <w:tr w:rsidR="00D322BA" w:rsidRPr="00D322BA" w14:paraId="63EC763A" w14:textId="77777777" w:rsidTr="00F21381">
        <w:trPr>
          <w:trHeight w:val="505"/>
        </w:trPr>
        <w:tc>
          <w:tcPr>
            <w:tcW w:w="1101" w:type="dxa"/>
            <w:vAlign w:val="center"/>
          </w:tcPr>
          <w:p w14:paraId="421D2361" w14:textId="77777777" w:rsidR="009454DF" w:rsidRPr="00D322BA" w:rsidRDefault="009454DF" w:rsidP="00F21381">
            <w:pPr>
              <w:rPr>
                <w:rFonts w:cs="Arial"/>
                <w:b/>
              </w:rPr>
            </w:pPr>
            <w:r w:rsidRPr="00D322BA">
              <w:rPr>
                <w:rFonts w:cs="Arial"/>
                <w:b/>
              </w:rPr>
              <w:t>ITEM</w:t>
            </w:r>
          </w:p>
        </w:tc>
        <w:tc>
          <w:tcPr>
            <w:tcW w:w="4423" w:type="dxa"/>
            <w:vAlign w:val="center"/>
          </w:tcPr>
          <w:p w14:paraId="72E3295C" w14:textId="77777777" w:rsidR="009454DF" w:rsidRPr="00D322BA" w:rsidRDefault="009454DF" w:rsidP="00F21381">
            <w:pPr>
              <w:rPr>
                <w:rFonts w:cs="Arial"/>
                <w:b/>
              </w:rPr>
            </w:pPr>
            <w:r w:rsidRPr="00D322BA">
              <w:rPr>
                <w:rFonts w:cs="Arial"/>
                <w:b/>
              </w:rPr>
              <w:t>SPECIFICATION TITLE</w:t>
            </w:r>
          </w:p>
        </w:tc>
        <w:tc>
          <w:tcPr>
            <w:tcW w:w="992" w:type="dxa"/>
            <w:vAlign w:val="center"/>
          </w:tcPr>
          <w:p w14:paraId="0FB6A88F" w14:textId="77777777" w:rsidR="009454DF" w:rsidRPr="00D322BA" w:rsidRDefault="009454DF" w:rsidP="00F21381">
            <w:pPr>
              <w:rPr>
                <w:rFonts w:cs="Arial"/>
                <w:b/>
              </w:rPr>
            </w:pPr>
            <w:r w:rsidRPr="00D322BA">
              <w:rPr>
                <w:rFonts w:cs="Arial"/>
                <w:b/>
              </w:rPr>
              <w:t>Staff to deliver work</w:t>
            </w:r>
          </w:p>
        </w:tc>
        <w:tc>
          <w:tcPr>
            <w:tcW w:w="850" w:type="dxa"/>
            <w:vAlign w:val="center"/>
          </w:tcPr>
          <w:p w14:paraId="6D6D2C6B" w14:textId="77777777" w:rsidR="009454DF" w:rsidRPr="00D322BA" w:rsidRDefault="009454DF" w:rsidP="00F21381">
            <w:pPr>
              <w:rPr>
                <w:rFonts w:cs="Arial"/>
                <w:b/>
              </w:rPr>
            </w:pPr>
            <w:r w:rsidRPr="00D322BA">
              <w:rPr>
                <w:rFonts w:cs="Arial"/>
                <w:b/>
              </w:rPr>
              <w:t>No. of days</w:t>
            </w:r>
          </w:p>
        </w:tc>
        <w:tc>
          <w:tcPr>
            <w:tcW w:w="1134" w:type="dxa"/>
            <w:vAlign w:val="center"/>
          </w:tcPr>
          <w:p w14:paraId="104E071A" w14:textId="77777777" w:rsidR="009454DF" w:rsidRPr="00D322BA" w:rsidRDefault="009454DF" w:rsidP="00F21381">
            <w:pPr>
              <w:rPr>
                <w:rFonts w:cs="Arial"/>
                <w:b/>
              </w:rPr>
            </w:pPr>
            <w:r w:rsidRPr="00D322BA">
              <w:rPr>
                <w:rFonts w:cs="Arial"/>
                <w:b/>
              </w:rPr>
              <w:t>UNIT PRICE (ex. VAT) £</w:t>
            </w:r>
          </w:p>
        </w:tc>
        <w:tc>
          <w:tcPr>
            <w:tcW w:w="1107" w:type="dxa"/>
            <w:vAlign w:val="center"/>
          </w:tcPr>
          <w:p w14:paraId="1C73183C" w14:textId="77777777" w:rsidR="009454DF" w:rsidRPr="00D322BA" w:rsidRDefault="009454DF" w:rsidP="00F21381">
            <w:pPr>
              <w:rPr>
                <w:rFonts w:cs="Arial"/>
                <w:b/>
              </w:rPr>
            </w:pPr>
            <w:r w:rsidRPr="00D322BA">
              <w:rPr>
                <w:rFonts w:cs="Arial"/>
                <w:b/>
              </w:rPr>
              <w:t xml:space="preserve">TOTAL PRICE </w:t>
            </w:r>
          </w:p>
          <w:p w14:paraId="06757A96" w14:textId="77777777" w:rsidR="009454DF" w:rsidRPr="00D322BA" w:rsidRDefault="009454DF" w:rsidP="00F21381">
            <w:pPr>
              <w:rPr>
                <w:rFonts w:cs="Arial"/>
                <w:b/>
              </w:rPr>
            </w:pPr>
            <w:r w:rsidRPr="00D322BA">
              <w:rPr>
                <w:rFonts w:cs="Arial"/>
                <w:b/>
              </w:rPr>
              <w:t>(ex. VAT) £</w:t>
            </w:r>
          </w:p>
        </w:tc>
      </w:tr>
      <w:tr w:rsidR="00D322BA" w:rsidRPr="00D322BA" w14:paraId="7307278C" w14:textId="77777777" w:rsidTr="00F21381">
        <w:tc>
          <w:tcPr>
            <w:tcW w:w="1101" w:type="dxa"/>
            <w:vAlign w:val="center"/>
          </w:tcPr>
          <w:p w14:paraId="01806F95" w14:textId="77777777" w:rsidR="009454DF" w:rsidRPr="00D322BA" w:rsidRDefault="009454DF" w:rsidP="00F21381">
            <w:pPr>
              <w:rPr>
                <w:rFonts w:cs="Arial"/>
                <w:b/>
              </w:rPr>
            </w:pPr>
            <w:r w:rsidRPr="00D322BA">
              <w:rPr>
                <w:rFonts w:cs="Arial"/>
                <w:b/>
              </w:rPr>
              <w:t>1</w:t>
            </w:r>
          </w:p>
        </w:tc>
        <w:tc>
          <w:tcPr>
            <w:tcW w:w="4423" w:type="dxa"/>
            <w:vAlign w:val="center"/>
          </w:tcPr>
          <w:p w14:paraId="374558CF" w14:textId="77777777" w:rsidR="009454DF" w:rsidRPr="00D322BA" w:rsidRDefault="009454DF" w:rsidP="00F21381">
            <w:pPr>
              <w:rPr>
                <w:rFonts w:cs="Arial"/>
                <w:szCs w:val="24"/>
              </w:rPr>
            </w:pPr>
            <w:r w:rsidRPr="00D322BA">
              <w:rPr>
                <w:rFonts w:cs="Arial"/>
                <w:szCs w:val="24"/>
              </w:rPr>
              <w:t>Delivery of handbook</w:t>
            </w:r>
          </w:p>
        </w:tc>
        <w:tc>
          <w:tcPr>
            <w:tcW w:w="992" w:type="dxa"/>
            <w:vAlign w:val="center"/>
          </w:tcPr>
          <w:p w14:paraId="7A6CC115" w14:textId="77777777" w:rsidR="009454DF" w:rsidRPr="00D322BA" w:rsidRDefault="009454DF" w:rsidP="00F21381">
            <w:pPr>
              <w:rPr>
                <w:rFonts w:cs="Arial"/>
              </w:rPr>
            </w:pPr>
          </w:p>
        </w:tc>
        <w:tc>
          <w:tcPr>
            <w:tcW w:w="850" w:type="dxa"/>
            <w:vAlign w:val="center"/>
          </w:tcPr>
          <w:p w14:paraId="39383DA9" w14:textId="77777777" w:rsidR="009454DF" w:rsidRPr="00D322BA" w:rsidRDefault="009454DF" w:rsidP="00F21381">
            <w:pPr>
              <w:rPr>
                <w:rFonts w:cs="Arial"/>
              </w:rPr>
            </w:pPr>
          </w:p>
        </w:tc>
        <w:tc>
          <w:tcPr>
            <w:tcW w:w="1134" w:type="dxa"/>
            <w:vAlign w:val="center"/>
          </w:tcPr>
          <w:p w14:paraId="3DA26020" w14:textId="77777777" w:rsidR="009454DF" w:rsidRPr="00D322BA" w:rsidRDefault="009454DF" w:rsidP="00F21381">
            <w:pPr>
              <w:rPr>
                <w:rFonts w:cs="Arial"/>
              </w:rPr>
            </w:pPr>
          </w:p>
        </w:tc>
        <w:tc>
          <w:tcPr>
            <w:tcW w:w="1107" w:type="dxa"/>
            <w:vAlign w:val="center"/>
          </w:tcPr>
          <w:p w14:paraId="194E7C66" w14:textId="77777777" w:rsidR="009454DF" w:rsidRPr="00D322BA" w:rsidRDefault="009454DF" w:rsidP="00F21381">
            <w:pPr>
              <w:rPr>
                <w:rFonts w:cs="Arial"/>
              </w:rPr>
            </w:pPr>
          </w:p>
        </w:tc>
      </w:tr>
      <w:tr w:rsidR="00D322BA" w:rsidRPr="00D322BA" w14:paraId="6B205618" w14:textId="77777777" w:rsidTr="00F21381">
        <w:tc>
          <w:tcPr>
            <w:tcW w:w="1101" w:type="dxa"/>
            <w:vAlign w:val="center"/>
          </w:tcPr>
          <w:p w14:paraId="74852589" w14:textId="77777777" w:rsidR="009454DF" w:rsidRPr="00D322BA" w:rsidRDefault="009454DF" w:rsidP="00F21381">
            <w:pPr>
              <w:rPr>
                <w:rFonts w:cs="Arial"/>
                <w:b/>
              </w:rPr>
            </w:pPr>
            <w:r w:rsidRPr="00D322BA">
              <w:rPr>
                <w:rFonts w:cs="Arial"/>
                <w:b/>
              </w:rPr>
              <w:t>2</w:t>
            </w:r>
          </w:p>
        </w:tc>
        <w:tc>
          <w:tcPr>
            <w:tcW w:w="4423" w:type="dxa"/>
            <w:vAlign w:val="center"/>
          </w:tcPr>
          <w:p w14:paraId="32FDE664" w14:textId="77777777" w:rsidR="009454DF" w:rsidRPr="00D322BA" w:rsidRDefault="009454DF" w:rsidP="00F21381">
            <w:pPr>
              <w:rPr>
                <w:rFonts w:cs="Arial"/>
                <w:bCs/>
                <w:szCs w:val="24"/>
              </w:rPr>
            </w:pPr>
            <w:r w:rsidRPr="00D322BA">
              <w:rPr>
                <w:rFonts w:cs="Arial"/>
                <w:bCs/>
                <w:szCs w:val="24"/>
              </w:rPr>
              <w:t>Other – please provide costs for any additional items</w:t>
            </w:r>
          </w:p>
        </w:tc>
        <w:tc>
          <w:tcPr>
            <w:tcW w:w="992" w:type="dxa"/>
            <w:vAlign w:val="center"/>
          </w:tcPr>
          <w:p w14:paraId="517C5A47" w14:textId="77777777" w:rsidR="009454DF" w:rsidRPr="00D322BA" w:rsidRDefault="009454DF" w:rsidP="00F21381">
            <w:pPr>
              <w:rPr>
                <w:rFonts w:cs="Arial"/>
              </w:rPr>
            </w:pPr>
          </w:p>
        </w:tc>
        <w:tc>
          <w:tcPr>
            <w:tcW w:w="850" w:type="dxa"/>
            <w:vAlign w:val="center"/>
          </w:tcPr>
          <w:p w14:paraId="2AA0285E" w14:textId="77777777" w:rsidR="009454DF" w:rsidRPr="00D322BA" w:rsidRDefault="009454DF" w:rsidP="00F21381">
            <w:pPr>
              <w:rPr>
                <w:rFonts w:cs="Arial"/>
              </w:rPr>
            </w:pPr>
          </w:p>
        </w:tc>
        <w:tc>
          <w:tcPr>
            <w:tcW w:w="1134" w:type="dxa"/>
            <w:vAlign w:val="center"/>
          </w:tcPr>
          <w:p w14:paraId="5D395811" w14:textId="77777777" w:rsidR="009454DF" w:rsidRPr="00D322BA" w:rsidRDefault="009454DF" w:rsidP="00F21381">
            <w:pPr>
              <w:rPr>
                <w:rFonts w:cs="Arial"/>
              </w:rPr>
            </w:pPr>
          </w:p>
        </w:tc>
        <w:tc>
          <w:tcPr>
            <w:tcW w:w="1107" w:type="dxa"/>
            <w:vAlign w:val="center"/>
          </w:tcPr>
          <w:p w14:paraId="7BF46DAC" w14:textId="77777777" w:rsidR="009454DF" w:rsidRPr="00D322BA" w:rsidRDefault="009454DF" w:rsidP="00F21381">
            <w:pPr>
              <w:rPr>
                <w:rFonts w:cs="Arial"/>
              </w:rPr>
            </w:pPr>
          </w:p>
        </w:tc>
      </w:tr>
      <w:tr w:rsidR="00D322BA" w:rsidRPr="00D322BA" w14:paraId="64C3E3BF" w14:textId="77777777" w:rsidTr="00F21381">
        <w:tc>
          <w:tcPr>
            <w:tcW w:w="1101" w:type="dxa"/>
            <w:vAlign w:val="center"/>
          </w:tcPr>
          <w:p w14:paraId="5293C53D" w14:textId="77777777" w:rsidR="009454DF" w:rsidRPr="00D322BA" w:rsidRDefault="009454DF" w:rsidP="00F21381">
            <w:pPr>
              <w:rPr>
                <w:rFonts w:cs="Arial"/>
                <w:b/>
              </w:rPr>
            </w:pPr>
            <w:r w:rsidRPr="00D322BA">
              <w:rPr>
                <w:rFonts w:cs="Arial"/>
                <w:b/>
              </w:rPr>
              <w:t>3</w:t>
            </w:r>
          </w:p>
        </w:tc>
        <w:tc>
          <w:tcPr>
            <w:tcW w:w="4423" w:type="dxa"/>
            <w:vAlign w:val="center"/>
          </w:tcPr>
          <w:p w14:paraId="0A028C01" w14:textId="77777777" w:rsidR="009454DF" w:rsidRPr="00D322BA" w:rsidRDefault="009454DF" w:rsidP="00F21381">
            <w:pPr>
              <w:rPr>
                <w:rFonts w:cs="Arial"/>
                <w:bCs/>
                <w:szCs w:val="24"/>
              </w:rPr>
            </w:pPr>
            <w:r w:rsidRPr="00D322BA">
              <w:rPr>
                <w:rFonts w:cs="Arial"/>
                <w:bCs/>
                <w:szCs w:val="24"/>
              </w:rPr>
              <w:t>Please detail any assumptions made during pricing</w:t>
            </w:r>
          </w:p>
        </w:tc>
        <w:tc>
          <w:tcPr>
            <w:tcW w:w="992" w:type="dxa"/>
            <w:vAlign w:val="center"/>
          </w:tcPr>
          <w:p w14:paraId="1EC1C9D9" w14:textId="77777777" w:rsidR="009454DF" w:rsidRPr="00D322BA" w:rsidRDefault="009454DF" w:rsidP="00F21381">
            <w:pPr>
              <w:rPr>
                <w:rFonts w:cs="Arial"/>
              </w:rPr>
            </w:pPr>
          </w:p>
        </w:tc>
        <w:tc>
          <w:tcPr>
            <w:tcW w:w="850" w:type="dxa"/>
            <w:vAlign w:val="center"/>
          </w:tcPr>
          <w:p w14:paraId="0B694840" w14:textId="77777777" w:rsidR="009454DF" w:rsidRPr="00D322BA" w:rsidRDefault="009454DF" w:rsidP="00F21381">
            <w:pPr>
              <w:rPr>
                <w:rFonts w:cs="Arial"/>
              </w:rPr>
            </w:pPr>
          </w:p>
        </w:tc>
        <w:tc>
          <w:tcPr>
            <w:tcW w:w="1134" w:type="dxa"/>
            <w:vAlign w:val="center"/>
          </w:tcPr>
          <w:p w14:paraId="61057E7D" w14:textId="77777777" w:rsidR="009454DF" w:rsidRPr="00D322BA" w:rsidRDefault="009454DF" w:rsidP="00F21381">
            <w:pPr>
              <w:rPr>
                <w:rFonts w:cs="Arial"/>
              </w:rPr>
            </w:pPr>
          </w:p>
        </w:tc>
        <w:tc>
          <w:tcPr>
            <w:tcW w:w="1107" w:type="dxa"/>
            <w:vAlign w:val="center"/>
          </w:tcPr>
          <w:p w14:paraId="2AD266F1" w14:textId="77777777" w:rsidR="009454DF" w:rsidRPr="00D322BA" w:rsidRDefault="009454DF" w:rsidP="00F21381">
            <w:pPr>
              <w:rPr>
                <w:rFonts w:cs="Arial"/>
              </w:rPr>
            </w:pPr>
          </w:p>
        </w:tc>
      </w:tr>
      <w:tr w:rsidR="00D322BA" w:rsidRPr="00D322BA" w14:paraId="2B303023" w14:textId="77777777" w:rsidTr="00F21381">
        <w:tc>
          <w:tcPr>
            <w:tcW w:w="1101" w:type="dxa"/>
            <w:vAlign w:val="center"/>
          </w:tcPr>
          <w:p w14:paraId="4A04F911" w14:textId="77777777" w:rsidR="009454DF" w:rsidRPr="00D322BA" w:rsidRDefault="009454DF" w:rsidP="00F21381">
            <w:pPr>
              <w:rPr>
                <w:rFonts w:cs="Arial"/>
                <w:b/>
              </w:rPr>
            </w:pPr>
          </w:p>
        </w:tc>
        <w:tc>
          <w:tcPr>
            <w:tcW w:w="4423" w:type="dxa"/>
            <w:vAlign w:val="center"/>
          </w:tcPr>
          <w:p w14:paraId="3BD3E37B" w14:textId="77777777" w:rsidR="009454DF" w:rsidRPr="00D322BA" w:rsidRDefault="009454DF" w:rsidP="00F21381">
            <w:pPr>
              <w:rPr>
                <w:rFonts w:cs="Arial"/>
                <w:b/>
                <w:szCs w:val="24"/>
              </w:rPr>
            </w:pPr>
            <w:r w:rsidRPr="00D322BA">
              <w:rPr>
                <w:rFonts w:cs="Arial"/>
                <w:b/>
                <w:szCs w:val="24"/>
              </w:rPr>
              <w:t>TOTAL COST</w:t>
            </w:r>
          </w:p>
        </w:tc>
        <w:tc>
          <w:tcPr>
            <w:tcW w:w="992" w:type="dxa"/>
            <w:vAlign w:val="center"/>
          </w:tcPr>
          <w:p w14:paraId="4ACACB83" w14:textId="77777777" w:rsidR="009454DF" w:rsidRPr="00D322BA" w:rsidRDefault="009454DF" w:rsidP="00F21381">
            <w:pPr>
              <w:rPr>
                <w:rFonts w:cs="Arial"/>
              </w:rPr>
            </w:pPr>
          </w:p>
        </w:tc>
        <w:tc>
          <w:tcPr>
            <w:tcW w:w="850" w:type="dxa"/>
            <w:vAlign w:val="center"/>
          </w:tcPr>
          <w:p w14:paraId="60EE34A8" w14:textId="77777777" w:rsidR="009454DF" w:rsidRPr="00D322BA" w:rsidRDefault="009454DF" w:rsidP="00F21381">
            <w:pPr>
              <w:rPr>
                <w:rFonts w:cs="Arial"/>
              </w:rPr>
            </w:pPr>
          </w:p>
        </w:tc>
        <w:tc>
          <w:tcPr>
            <w:tcW w:w="1134" w:type="dxa"/>
            <w:vAlign w:val="center"/>
          </w:tcPr>
          <w:p w14:paraId="2D670998" w14:textId="77777777" w:rsidR="009454DF" w:rsidRPr="00D322BA" w:rsidRDefault="009454DF" w:rsidP="00F21381">
            <w:pPr>
              <w:rPr>
                <w:rFonts w:cs="Arial"/>
              </w:rPr>
            </w:pPr>
          </w:p>
        </w:tc>
        <w:tc>
          <w:tcPr>
            <w:tcW w:w="1107" w:type="dxa"/>
            <w:vAlign w:val="center"/>
          </w:tcPr>
          <w:p w14:paraId="64E7C9A8" w14:textId="77777777" w:rsidR="009454DF" w:rsidRPr="00D322BA" w:rsidRDefault="009454DF" w:rsidP="00F21381">
            <w:pPr>
              <w:rPr>
                <w:rFonts w:cs="Arial"/>
              </w:rPr>
            </w:pPr>
          </w:p>
        </w:tc>
      </w:tr>
    </w:tbl>
    <w:p w14:paraId="787528C5" w14:textId="77777777" w:rsidR="009454DF" w:rsidRPr="00D322BA" w:rsidRDefault="009454DF" w:rsidP="00EB23A0"/>
    <w:p w14:paraId="05066691" w14:textId="0E13C9F6" w:rsidR="00EB23A0" w:rsidRPr="00D322BA" w:rsidRDefault="00EB23A0" w:rsidP="00EB23A0">
      <w:r w:rsidRPr="00D322BA">
        <w:lastRenderedPageBreak/>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F31AB8" w:rsidRPr="00D322BA">
        <w:rPr>
          <w:rStyle w:val="Important"/>
          <w:color w:val="auto"/>
        </w:rPr>
        <w:t>each deliverable</w:t>
      </w:r>
      <w:r w:rsidRPr="00D322BA">
        <w:rPr>
          <w:rStyle w:val="Important"/>
          <w:color w:val="auto"/>
        </w:rPr>
        <w:t xml:space="preserve"> </w:t>
      </w:r>
      <w:r w:rsidRPr="00D322BA">
        <w:t xml:space="preserve">used in the delivery of this requirement. </w:t>
      </w:r>
    </w:p>
    <w:p w14:paraId="61998897" w14:textId="77777777" w:rsidR="00EB23A0" w:rsidRPr="00D322BA" w:rsidRDefault="00EB23A0" w:rsidP="00EB23A0">
      <w:r w:rsidRPr="00D322BA">
        <w:t>Calculation Method</w:t>
      </w:r>
    </w:p>
    <w:p w14:paraId="5A19E05F" w14:textId="5A2A9863" w:rsidR="00EB23A0" w:rsidRPr="00D322BA" w:rsidRDefault="00EB23A0" w:rsidP="00EB23A0">
      <w:r w:rsidRPr="00D322BA">
        <w:t>The method for calculating the weighted scores is as follows:</w:t>
      </w:r>
    </w:p>
    <w:p w14:paraId="2DC17C59" w14:textId="77777777" w:rsidR="00EB23A0" w:rsidRPr="00D322BA" w:rsidRDefault="00EB23A0" w:rsidP="00EB23A0">
      <w:pPr>
        <w:pStyle w:val="BulletText1"/>
        <w:rPr>
          <w:sz w:val="24"/>
          <w:szCs w:val="24"/>
        </w:rPr>
      </w:pPr>
      <w:r w:rsidRPr="00D322BA">
        <w:rPr>
          <w:sz w:val="24"/>
          <w:szCs w:val="24"/>
        </w:rPr>
        <w:t xml:space="preserve">Commercial </w:t>
      </w:r>
    </w:p>
    <w:p w14:paraId="72CC2205" w14:textId="77777777" w:rsidR="00EB23A0" w:rsidRPr="00D322BA" w:rsidRDefault="00EB23A0" w:rsidP="00EB23A0">
      <w:r w:rsidRPr="00D322BA">
        <w:t xml:space="preserve">Score </w:t>
      </w:r>
      <w:proofErr w:type="gramStart"/>
      <w:r w:rsidRPr="00D322BA">
        <w:t>=  (</w:t>
      </w:r>
      <w:proofErr w:type="gramEnd"/>
      <w:r w:rsidRPr="00D322BA">
        <w:t xml:space="preserve">Lowest Quotation Price / Supplier’s Quotation Price ) x </w:t>
      </w:r>
      <w:r w:rsidRPr="00D322BA">
        <w:rPr>
          <w:rStyle w:val="Important"/>
          <w:color w:val="auto"/>
        </w:rPr>
        <w:t xml:space="preserve">[40%] </w:t>
      </w:r>
      <w:r w:rsidRPr="00D322BA">
        <w:t xml:space="preserve"> (Maximum available marks)</w:t>
      </w:r>
    </w:p>
    <w:p w14:paraId="1C4202CB" w14:textId="77777777" w:rsidR="00EB23A0" w:rsidRPr="00D322BA" w:rsidRDefault="00EB23A0" w:rsidP="00EB23A0">
      <w:pPr>
        <w:pStyle w:val="BulletText1"/>
        <w:rPr>
          <w:sz w:val="24"/>
          <w:szCs w:val="24"/>
        </w:rPr>
      </w:pPr>
      <w:r w:rsidRPr="00D322BA">
        <w:rPr>
          <w:sz w:val="24"/>
          <w:szCs w:val="24"/>
        </w:rPr>
        <w:t>Technical</w:t>
      </w:r>
    </w:p>
    <w:p w14:paraId="2B71EBA8" w14:textId="77777777" w:rsidR="00EB23A0" w:rsidRPr="00D322BA" w:rsidRDefault="00EB23A0" w:rsidP="00EB23A0">
      <w:r w:rsidRPr="00D322BA">
        <w:t xml:space="preserve">Score = (Bidder’s Total Technical Score / Highest Technical </w:t>
      </w:r>
      <w:proofErr w:type="gramStart"/>
      <w:r w:rsidRPr="00D322BA">
        <w:t>Score)  x</w:t>
      </w:r>
      <w:proofErr w:type="gramEnd"/>
      <w:r w:rsidRPr="00D322BA">
        <w:t xml:space="preserve"> </w:t>
      </w:r>
      <w:r w:rsidRPr="00D322BA">
        <w:rPr>
          <w:rStyle w:val="Important"/>
          <w:color w:val="auto"/>
        </w:rPr>
        <w:t xml:space="preserve">[60%] </w:t>
      </w:r>
      <w:r w:rsidRPr="00D322BA">
        <w:t xml:space="preserve"> (Maximum available marks)</w:t>
      </w:r>
    </w:p>
    <w:p w14:paraId="4C6A5190" w14:textId="77777777" w:rsidR="00EB23A0" w:rsidRPr="00D322BA" w:rsidRDefault="00EB23A0" w:rsidP="00EB23A0">
      <w:r w:rsidRPr="00D322BA">
        <w:t xml:space="preserve">The total score (weighted) (TWS) is then calculated by adding the total weighted commercial score (WC) to the total weighted technical score (WT): WC + WT = TWS. </w:t>
      </w:r>
    </w:p>
    <w:p w14:paraId="25C7F0BC" w14:textId="77777777" w:rsidR="00EB23A0" w:rsidRPr="00D322BA" w:rsidRDefault="00EB23A0" w:rsidP="00EB23A0">
      <w:pPr>
        <w:pStyle w:val="Subheading"/>
      </w:pPr>
      <w:r w:rsidRPr="00D322BA">
        <w:t>Information to be returned</w:t>
      </w:r>
    </w:p>
    <w:p w14:paraId="026B1399" w14:textId="77777777" w:rsidR="00EB23A0" w:rsidRPr="00D322BA" w:rsidRDefault="00EB23A0" w:rsidP="00EB23A0">
      <w:r w:rsidRPr="00D322BA">
        <w:t>Please note, the following information requested must be provided. Incomplete tender submissions may be discounted.</w:t>
      </w:r>
    </w:p>
    <w:p w14:paraId="60DB8A01" w14:textId="77777777" w:rsidR="00EB23A0" w:rsidRPr="00D322BA" w:rsidRDefault="00EB23A0" w:rsidP="00EB23A0">
      <w:r w:rsidRPr="00D322BA">
        <w:t>Please complete and return the following information:</w:t>
      </w:r>
    </w:p>
    <w:p w14:paraId="614A35C2" w14:textId="77777777" w:rsidR="00EB23A0" w:rsidRPr="00D322BA" w:rsidRDefault="00EB23A0" w:rsidP="00EB23A0">
      <w:pPr>
        <w:pStyle w:val="BulletText1"/>
        <w:rPr>
          <w:sz w:val="24"/>
          <w:szCs w:val="24"/>
        </w:rPr>
      </w:pPr>
      <w:r w:rsidRPr="00D322BA">
        <w:rPr>
          <w:sz w:val="24"/>
          <w:szCs w:val="24"/>
        </w:rPr>
        <w:t>completed Commercial Response template</w:t>
      </w:r>
    </w:p>
    <w:p w14:paraId="76FD4BCF" w14:textId="77777777" w:rsidR="00EB23A0" w:rsidRPr="00D322BA" w:rsidRDefault="00EB23A0" w:rsidP="00EB23A0">
      <w:pPr>
        <w:pStyle w:val="BulletText1"/>
        <w:rPr>
          <w:sz w:val="24"/>
          <w:szCs w:val="24"/>
        </w:rPr>
      </w:pPr>
      <w:r w:rsidRPr="00D322BA">
        <w:rPr>
          <w:sz w:val="24"/>
          <w:szCs w:val="24"/>
        </w:rPr>
        <w:t xml:space="preserve">separate response submission for each technical question (in accordance with the response instructions) </w:t>
      </w:r>
    </w:p>
    <w:p w14:paraId="6E523976" w14:textId="77777777" w:rsidR="00EB23A0" w:rsidRPr="00D322BA" w:rsidRDefault="00EB23A0" w:rsidP="00EB23A0">
      <w:pPr>
        <w:pStyle w:val="BulletText1"/>
        <w:rPr>
          <w:sz w:val="24"/>
          <w:szCs w:val="24"/>
        </w:rPr>
      </w:pPr>
      <w:r w:rsidRPr="00D322BA">
        <w:rPr>
          <w:sz w:val="24"/>
          <w:szCs w:val="24"/>
        </w:rPr>
        <w:t>completed Mandatory Requirements (Annex 1)</w:t>
      </w:r>
    </w:p>
    <w:p w14:paraId="6373480B" w14:textId="77777777" w:rsidR="00EB23A0" w:rsidRPr="00D322BA" w:rsidRDefault="00EB23A0" w:rsidP="00EB23A0">
      <w:pPr>
        <w:pStyle w:val="BulletText1"/>
        <w:rPr>
          <w:sz w:val="24"/>
          <w:szCs w:val="24"/>
        </w:rPr>
      </w:pPr>
      <w:r w:rsidRPr="00D322BA">
        <w:rPr>
          <w:sz w:val="24"/>
          <w:szCs w:val="24"/>
        </w:rPr>
        <w:t>completed Acceptance of Terms and Conditions (Annex 2)</w:t>
      </w:r>
    </w:p>
    <w:p w14:paraId="589FC8A7" w14:textId="77777777" w:rsidR="00EB23A0" w:rsidRPr="00D322BA" w:rsidRDefault="00EB23A0" w:rsidP="00EB23A0">
      <w:pPr>
        <w:pStyle w:val="Subheading"/>
      </w:pPr>
      <w:r w:rsidRPr="00D322BA">
        <w:t>Award</w:t>
      </w:r>
    </w:p>
    <w:p w14:paraId="04E195C6" w14:textId="77777777" w:rsidR="00EB23A0" w:rsidRPr="00D322BA" w:rsidRDefault="00EB23A0" w:rsidP="00EB23A0">
      <w:r w:rsidRPr="00D322BA">
        <w:t xml:space="preserve">Once the evaluation of the Response(s) is complete all suppliers will be notified of the outcome via email. </w:t>
      </w:r>
    </w:p>
    <w:p w14:paraId="5D3B7E02" w14:textId="50CFD74C" w:rsidR="00EB23A0" w:rsidRPr="00D322BA" w:rsidRDefault="00EB23A0" w:rsidP="00EB23A0">
      <w:pPr>
        <w:rPr>
          <w:rStyle w:val="Important"/>
          <w:color w:val="auto"/>
        </w:rPr>
      </w:pPr>
      <w:r w:rsidRPr="00D322BA">
        <w:rPr>
          <w:rStyle w:val="Important"/>
          <w:color w:val="auto"/>
        </w:rPr>
        <w:t xml:space="preserve">The successful supplier will be issued the contract, incorporating their Response, for signature. The Authority will then counter </w:t>
      </w:r>
      <w:r w:rsidR="00BF7B95" w:rsidRPr="00D322BA">
        <w:rPr>
          <w:rStyle w:val="Important"/>
          <w:color w:val="auto"/>
        </w:rPr>
        <w:t>sign.</w:t>
      </w:r>
    </w:p>
    <w:p w14:paraId="4E5DEB97" w14:textId="77777777" w:rsidR="00EB23A0" w:rsidRPr="00D322BA" w:rsidRDefault="00EB23A0" w:rsidP="00EB23A0">
      <w:r w:rsidRPr="00D322BA">
        <w:br w:type="page"/>
      </w:r>
    </w:p>
    <w:p w14:paraId="0423EA08" w14:textId="77777777" w:rsidR="00EB23A0" w:rsidRPr="00E30A4F" w:rsidRDefault="00EB23A0" w:rsidP="00D322BA">
      <w:pPr>
        <w:pStyle w:val="Heading2"/>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D322BA">
      <w:pPr>
        <w:pStyle w:val="Heading2"/>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9"/>
          <w:headerReference w:type="first" r:id="rId20"/>
          <w:type w:val="continuous"/>
          <w:pgSz w:w="11899" w:h="16838" w:code="9"/>
          <w:pgMar w:top="1134" w:right="1134" w:bottom="1134" w:left="1134" w:header="340" w:footer="340" w:gutter="0"/>
          <w:cols w:space="708"/>
          <w:titlePg/>
          <w:docGrid w:linePitch="326"/>
        </w:sectPr>
      </w:pPr>
    </w:p>
    <w:p w14:paraId="361E5AB0" w14:textId="77777777" w:rsidR="00392797" w:rsidRDefault="00392797">
      <w:pPr>
        <w:spacing w:before="0" w:after="0" w:line="240" w:lineRule="auto"/>
        <w:rPr>
          <w:szCs w:val="24"/>
        </w:rPr>
      </w:pPr>
      <w:r>
        <w:rPr>
          <w:szCs w:val="24"/>
        </w:rPr>
        <w:br w:type="page"/>
      </w:r>
    </w:p>
    <w:p w14:paraId="4589E542" w14:textId="77777777" w:rsidR="00392797" w:rsidRDefault="00392797" w:rsidP="00392797">
      <w:pPr>
        <w:rPr>
          <w:rFonts w:eastAsia="Times New Roman" w:cs="Arial"/>
          <w:szCs w:val="20"/>
        </w:rPr>
      </w:pPr>
    </w:p>
    <w:p w14:paraId="562CEE37" w14:textId="7F3776F3" w:rsidR="00392797" w:rsidRDefault="00392797" w:rsidP="00392797">
      <w:pPr>
        <w:pStyle w:val="Heading1"/>
      </w:pPr>
      <w:bookmarkStart w:id="2" w:name="_Ref165654770"/>
      <w:r>
        <w:t xml:space="preserve">Appendix </w:t>
      </w:r>
      <w:bookmarkEnd w:id="2"/>
      <w:r>
        <w:t>1 - References</w:t>
      </w:r>
    </w:p>
    <w:p w14:paraId="14BB9AA3" w14:textId="77777777" w:rsidR="00392797" w:rsidRDefault="00392797" w:rsidP="00392797"/>
    <w:p w14:paraId="7C280CD8" w14:textId="77777777" w:rsidR="00392797" w:rsidRPr="00EF2D0A" w:rsidRDefault="00392797" w:rsidP="00392797">
      <w:pPr>
        <w:ind w:left="720" w:hanging="720"/>
        <w:jc w:val="both"/>
        <w:rPr>
          <w:rFonts w:cs="Arial"/>
          <w:color w:val="000000"/>
          <w:shd w:val="clear" w:color="auto" w:fill="FFFFFF"/>
        </w:rPr>
      </w:pPr>
      <w:r w:rsidRPr="00EF2D0A">
        <w:rPr>
          <w:rFonts w:cs="Arial"/>
          <w:color w:val="000000"/>
          <w:shd w:val="clear" w:color="auto" w:fill="FFFFFF"/>
        </w:rPr>
        <w:t xml:space="preserve">Doggett, M. and Northen, K.O. (2024). Fal, Helford and St Austell Bay </w:t>
      </w:r>
      <w:proofErr w:type="spellStart"/>
      <w:r w:rsidRPr="00EF2D0A">
        <w:rPr>
          <w:rFonts w:cs="Arial"/>
          <w:color w:val="000000"/>
          <w:shd w:val="clear" w:color="auto" w:fill="FFFFFF"/>
        </w:rPr>
        <w:t>maerl</w:t>
      </w:r>
      <w:proofErr w:type="spellEnd"/>
      <w:r w:rsidRPr="00EF2D0A">
        <w:rPr>
          <w:rFonts w:cs="Arial"/>
          <w:color w:val="000000"/>
          <w:shd w:val="clear" w:color="auto" w:fill="FFFFFF"/>
        </w:rPr>
        <w:t xml:space="preserve"> habitat surveys 2023. [NECRXXX]. Natural England. Unpublished, but will be made available for the July 2024 survey. </w:t>
      </w:r>
    </w:p>
    <w:p w14:paraId="2781AC10" w14:textId="77777777" w:rsidR="00392797" w:rsidRPr="00EF2D0A" w:rsidRDefault="00392797" w:rsidP="00392797">
      <w:pPr>
        <w:ind w:left="720" w:hanging="720"/>
        <w:jc w:val="both"/>
        <w:rPr>
          <w:rFonts w:cs="Arial"/>
          <w:color w:val="000000"/>
          <w:shd w:val="clear" w:color="auto" w:fill="FFFFFF"/>
        </w:rPr>
      </w:pPr>
    </w:p>
    <w:p w14:paraId="34B2A360" w14:textId="77777777" w:rsidR="00392797" w:rsidRPr="00EF2D0A" w:rsidRDefault="00392797" w:rsidP="00392797">
      <w:pPr>
        <w:ind w:left="720" w:hanging="720"/>
        <w:jc w:val="both"/>
        <w:rPr>
          <w:rFonts w:cs="Arial"/>
        </w:rPr>
      </w:pPr>
      <w:r w:rsidRPr="00EF2D0A">
        <w:rPr>
          <w:rFonts w:cs="Arial"/>
        </w:rPr>
        <w:t>Franco, A., Barnard, S. and Smyth, K. (2020). An assessment of the viability of fish monitoring techniques for use in a pilot approach in SW England. NECR 270</w:t>
      </w:r>
    </w:p>
    <w:p w14:paraId="4432713E" w14:textId="77777777" w:rsidR="00392797" w:rsidRPr="00EF2D0A" w:rsidRDefault="00392797" w:rsidP="00392797">
      <w:pPr>
        <w:ind w:left="720" w:hanging="720"/>
        <w:jc w:val="both"/>
        <w:rPr>
          <w:rFonts w:cs="Arial"/>
        </w:rPr>
      </w:pPr>
    </w:p>
    <w:p w14:paraId="5E2F296B" w14:textId="77777777" w:rsidR="00392797" w:rsidRPr="00EF2D0A" w:rsidRDefault="00392797" w:rsidP="00392797">
      <w:pPr>
        <w:ind w:left="720" w:hanging="720"/>
        <w:jc w:val="both"/>
        <w:rPr>
          <w:rFonts w:cs="Arial"/>
          <w:color w:val="70AD47"/>
          <w:shd w:val="clear" w:color="auto" w:fill="FFFFFF"/>
        </w:rPr>
      </w:pPr>
      <w:r w:rsidRPr="00EF2D0A">
        <w:rPr>
          <w:rFonts w:cs="Arial"/>
          <w:color w:val="000000"/>
          <w:shd w:val="clear" w:color="auto" w:fill="FFFFFF"/>
        </w:rPr>
        <w:t xml:space="preserve">Jenkin, A., Street, K., Matthews, R., Trundle, C. and Naylor H. (2016). Verifying acoustic signals for habitat classification within St. Austell Bay, Veryan Bay and Gerrans Bay. Annex 9. Cornwall Inshore Fisheries and Conservation Authority (Cornwall IFCA), Hayle. Available at: </w:t>
      </w:r>
      <w:hyperlink r:id="rId21" w:tgtFrame="_blank" w:history="1">
        <w:r w:rsidRPr="00EF2D0A">
          <w:rPr>
            <w:rFonts w:cs="Arial"/>
            <w:color w:val="0563C1"/>
            <w:u w:val="single"/>
            <w:shd w:val="clear" w:color="auto" w:fill="FFFFFF"/>
          </w:rPr>
          <w:t>https://secure.toolkitfiles.co.uk/clients/17099/sitedata/Research_Reports/StAustellGerransVeryanDDVSSS2016-ANNEX-9.pdf</w:t>
        </w:r>
      </w:hyperlink>
      <w:r w:rsidRPr="00EF2D0A">
        <w:rPr>
          <w:rFonts w:cs="Arial"/>
          <w:color w:val="70AD47"/>
          <w:shd w:val="clear" w:color="auto" w:fill="FFFFFF"/>
        </w:rPr>
        <w:t> </w:t>
      </w:r>
    </w:p>
    <w:p w14:paraId="5254DC2A" w14:textId="77777777" w:rsidR="00392797" w:rsidRPr="00EF2D0A" w:rsidRDefault="00392797" w:rsidP="00392797">
      <w:pPr>
        <w:ind w:left="720" w:hanging="720"/>
        <w:jc w:val="both"/>
        <w:rPr>
          <w:rFonts w:cs="Arial"/>
          <w:color w:val="70AD47"/>
          <w:shd w:val="clear" w:color="auto" w:fill="FFFFFF"/>
        </w:rPr>
      </w:pPr>
    </w:p>
    <w:p w14:paraId="1C8F1F7C" w14:textId="77777777" w:rsidR="00392797" w:rsidRPr="00EF2D0A" w:rsidRDefault="00392797" w:rsidP="00392797">
      <w:pPr>
        <w:ind w:left="720" w:hanging="720"/>
        <w:textAlignment w:val="baseline"/>
        <w:rPr>
          <w:rFonts w:eastAsia="Times New Roman" w:cs="Arial"/>
          <w:color w:val="70AD47"/>
          <w:lang w:eastAsia="en-GB"/>
        </w:rPr>
      </w:pPr>
      <w:r w:rsidRPr="00EF2D0A">
        <w:rPr>
          <w:rFonts w:eastAsia="Times New Roman" w:cs="Arial"/>
          <w:lang w:eastAsia="en-GB"/>
        </w:rPr>
        <w:t xml:space="preserve">Jenkin, A., Street, K., Matthews, R., Trundle, C. and Naylor H. (2016). Verifying acoustic signals for habitat classification within St. </w:t>
      </w:r>
      <w:r w:rsidRPr="00EF2D0A">
        <w:rPr>
          <w:rFonts w:eastAsia="Times New Roman" w:cs="Arial"/>
          <w:lang w:eastAsia="en-GB"/>
        </w:rPr>
        <w:t xml:space="preserve">Austell Bay, Veryan Bay and Gerrans Bay. Annex 10. Cornwall Inshore Fisheries and Conservation Authority (Cornwall IFCA), Hayle. Available at: </w:t>
      </w:r>
      <w:hyperlink r:id="rId22" w:tgtFrame="_blank" w:history="1">
        <w:r w:rsidRPr="00EF2D0A">
          <w:rPr>
            <w:rFonts w:eastAsia="Times New Roman" w:cs="Arial"/>
            <w:color w:val="0563C1"/>
            <w:u w:val="single"/>
            <w:lang w:eastAsia="en-GB"/>
          </w:rPr>
          <w:t>https://secure.toolkitfiles.co.uk/clients/17099/sitedata/Research_Reports/StAustellGerransVeryanDDVSSS2016-ANNEX-10.pdf</w:t>
        </w:r>
      </w:hyperlink>
      <w:r w:rsidRPr="00EF2D0A">
        <w:rPr>
          <w:rFonts w:eastAsia="Times New Roman" w:cs="Arial"/>
          <w:color w:val="70AD47"/>
          <w:lang w:eastAsia="en-GB"/>
        </w:rPr>
        <w:t> </w:t>
      </w:r>
    </w:p>
    <w:p w14:paraId="39B7A4ED" w14:textId="77777777" w:rsidR="00392797" w:rsidRPr="00EF2D0A" w:rsidRDefault="00392797" w:rsidP="00392797">
      <w:pPr>
        <w:ind w:left="720" w:hanging="720"/>
        <w:textAlignment w:val="baseline"/>
        <w:rPr>
          <w:rFonts w:eastAsia="Times New Roman" w:cs="Arial"/>
          <w:lang w:eastAsia="en-GB"/>
        </w:rPr>
      </w:pPr>
    </w:p>
    <w:p w14:paraId="553ED982" w14:textId="77777777" w:rsidR="00392797" w:rsidRPr="00EF2D0A" w:rsidRDefault="00392797" w:rsidP="00392797">
      <w:pPr>
        <w:ind w:left="720" w:hanging="720"/>
        <w:textAlignment w:val="baseline"/>
        <w:rPr>
          <w:rFonts w:eastAsia="Times New Roman" w:cs="Arial"/>
          <w:color w:val="70AD47"/>
          <w:lang w:eastAsia="en-GB"/>
        </w:rPr>
      </w:pPr>
      <w:r w:rsidRPr="00EF2D0A">
        <w:rPr>
          <w:rFonts w:eastAsia="Times New Roman" w:cs="Arial"/>
          <w:lang w:eastAsia="en-GB"/>
        </w:rPr>
        <w:t xml:space="preserve">Jenkin, A., Street, K., Matthews, R., Trundle, C. and Naylor H. (2016). Verifying acoustic signals for habitat classification within St. Austell Bay, Veryan Bay and Gerrans Bay. Annex 11. Cornwall Inshore Fisheries and Conservation Authority (Cornwall IFCA), Hayle. Available at: </w:t>
      </w:r>
      <w:hyperlink r:id="rId23" w:tgtFrame="_blank" w:history="1">
        <w:r w:rsidRPr="00EF2D0A">
          <w:rPr>
            <w:rFonts w:eastAsia="Times New Roman" w:cs="Arial"/>
            <w:color w:val="0563C1"/>
            <w:u w:val="single"/>
            <w:lang w:eastAsia="en-GB"/>
          </w:rPr>
          <w:t>https://secure.toolkitfiles.co.uk/clients/17099/sitedata/Research_Reports/StAustellGerransVeryanDDVSSS2016-ANNEX-11.pdf</w:t>
        </w:r>
      </w:hyperlink>
      <w:r w:rsidRPr="00EF2D0A">
        <w:rPr>
          <w:rFonts w:eastAsia="Times New Roman" w:cs="Arial"/>
          <w:color w:val="70AD47"/>
          <w:lang w:eastAsia="en-GB"/>
        </w:rPr>
        <w:t> </w:t>
      </w:r>
    </w:p>
    <w:p w14:paraId="672B4004" w14:textId="77777777" w:rsidR="00392797" w:rsidRPr="00EF2D0A" w:rsidRDefault="00392797" w:rsidP="00392797">
      <w:pPr>
        <w:ind w:left="720" w:hanging="720"/>
        <w:textAlignment w:val="baseline"/>
        <w:rPr>
          <w:rFonts w:eastAsia="Times New Roman" w:cs="Arial"/>
          <w:lang w:eastAsia="en-GB"/>
        </w:rPr>
      </w:pPr>
    </w:p>
    <w:p w14:paraId="0143D9F6" w14:textId="77777777" w:rsidR="00392797" w:rsidRPr="00EF2D0A" w:rsidRDefault="00392797" w:rsidP="00392797">
      <w:pPr>
        <w:ind w:left="720" w:hanging="720"/>
        <w:textAlignment w:val="baseline"/>
        <w:rPr>
          <w:rFonts w:eastAsia="Times New Roman" w:cs="Arial"/>
          <w:color w:val="70AD47"/>
          <w:lang w:eastAsia="en-GB"/>
        </w:rPr>
      </w:pPr>
      <w:r w:rsidRPr="00EF2D0A">
        <w:rPr>
          <w:rFonts w:eastAsia="Times New Roman" w:cs="Arial"/>
          <w:color w:val="000000"/>
          <w:lang w:eastAsia="en-GB"/>
        </w:rPr>
        <w:t xml:space="preserve">Jenkin, A., Street, K., Matthews, R., Trundle, C. and Naylor H. (2016). Verifying acoustic signals for habitat classification within St. Austell Bay, Veryan Bay and Gerrans Bay. 2016 Summary Report. Cornwall Inshore Fisheries and Conservation Authority (Cornwall IFCA), Hayle. </w:t>
      </w:r>
      <w:hyperlink r:id="rId24" w:tgtFrame="_blank" w:history="1">
        <w:r w:rsidRPr="00EF2D0A">
          <w:rPr>
            <w:rFonts w:eastAsia="Times New Roman" w:cs="Arial"/>
            <w:color w:val="0563C1"/>
            <w:u w:val="single"/>
            <w:lang w:eastAsia="en-GB"/>
          </w:rPr>
          <w:t>https://secure.toolkitfiles.co.uk/clients/17099/sitedata/Research_Reports/StAustellGerransVeryanDDVSSS2016.pdf</w:t>
        </w:r>
      </w:hyperlink>
      <w:r w:rsidRPr="00EF2D0A">
        <w:rPr>
          <w:rFonts w:eastAsia="Times New Roman" w:cs="Arial"/>
          <w:color w:val="70AD47"/>
          <w:lang w:eastAsia="en-GB"/>
        </w:rPr>
        <w:t> </w:t>
      </w:r>
    </w:p>
    <w:p w14:paraId="230D5330" w14:textId="77777777" w:rsidR="00392797" w:rsidRPr="00EF2D0A" w:rsidRDefault="00392797" w:rsidP="00392797">
      <w:pPr>
        <w:ind w:left="720" w:hanging="720"/>
        <w:textAlignment w:val="baseline"/>
        <w:rPr>
          <w:rFonts w:eastAsia="Times New Roman" w:cs="Arial"/>
          <w:lang w:eastAsia="en-GB"/>
        </w:rPr>
      </w:pPr>
    </w:p>
    <w:p w14:paraId="513D2158" w14:textId="77777777" w:rsidR="00392797" w:rsidRPr="00EF2D0A" w:rsidRDefault="00392797" w:rsidP="00392797">
      <w:pPr>
        <w:ind w:left="720" w:hanging="720"/>
        <w:textAlignment w:val="baseline"/>
        <w:rPr>
          <w:rFonts w:eastAsia="Times New Roman" w:cs="Arial"/>
          <w:color w:val="70AD47"/>
          <w:lang w:eastAsia="en-GB"/>
        </w:rPr>
      </w:pPr>
      <w:r w:rsidRPr="00EF2D0A">
        <w:rPr>
          <w:rFonts w:eastAsia="Times New Roman" w:cs="Arial"/>
          <w:color w:val="000000"/>
          <w:lang w:eastAsia="en-GB"/>
        </w:rPr>
        <w:t xml:space="preserve">Jenkin, A., Trundle, C., Sturgeon, S., Daniels, C. and Street, K. (2023). Fal and Helford Drop Down Video </w:t>
      </w:r>
      <w:proofErr w:type="spellStart"/>
      <w:r w:rsidRPr="00EF2D0A">
        <w:rPr>
          <w:rFonts w:eastAsia="Times New Roman" w:cs="Arial"/>
          <w:color w:val="000000"/>
          <w:lang w:eastAsia="en-GB"/>
        </w:rPr>
        <w:lastRenderedPageBreak/>
        <w:t>Maerl</w:t>
      </w:r>
      <w:proofErr w:type="spellEnd"/>
      <w:r w:rsidRPr="00EF2D0A">
        <w:rPr>
          <w:rFonts w:eastAsia="Times New Roman" w:cs="Arial"/>
          <w:color w:val="000000"/>
          <w:lang w:eastAsia="en-GB"/>
        </w:rPr>
        <w:t xml:space="preserve"> Habitat Survey Report. Cornwall Inshore Fisheries and Conservation Authority (Cornwall IFCA), Hayle (Accessed 07/06/2023 </w:t>
      </w:r>
      <w:hyperlink r:id="rId25" w:tgtFrame="_blank" w:history="1">
        <w:r w:rsidRPr="00EF2D0A">
          <w:rPr>
            <w:rFonts w:eastAsia="Times New Roman" w:cs="Arial"/>
            <w:color w:val="0563C1"/>
            <w:u w:val="single"/>
            <w:lang w:eastAsia="en-GB"/>
          </w:rPr>
          <w:t>https://secure.toolkitfiles.co.uk/clients/17099/sitedata/Research_Reports/22F-H-DDV-Maerl-SurveyFINAL.pdf</w:t>
        </w:r>
      </w:hyperlink>
      <w:r w:rsidRPr="00EF2D0A">
        <w:rPr>
          <w:rFonts w:eastAsia="Times New Roman" w:cs="Arial"/>
          <w:color w:val="70AD47"/>
          <w:lang w:eastAsia="en-GB"/>
        </w:rPr>
        <w:t>) </w:t>
      </w:r>
    </w:p>
    <w:p w14:paraId="31350832" w14:textId="77777777" w:rsidR="00392797" w:rsidRPr="00EF2D0A" w:rsidRDefault="00392797" w:rsidP="00392797">
      <w:pPr>
        <w:ind w:left="720" w:hanging="720"/>
        <w:textAlignment w:val="baseline"/>
        <w:rPr>
          <w:rFonts w:eastAsia="Times New Roman" w:cs="Arial"/>
          <w:lang w:eastAsia="en-GB"/>
        </w:rPr>
      </w:pPr>
    </w:p>
    <w:p w14:paraId="5A883271" w14:textId="77777777" w:rsidR="00392797" w:rsidRPr="00EF2D0A" w:rsidRDefault="00392797" w:rsidP="00392797">
      <w:pPr>
        <w:ind w:left="720" w:hanging="720"/>
        <w:textAlignment w:val="baseline"/>
        <w:rPr>
          <w:rFonts w:eastAsia="Times New Roman" w:cs="Arial"/>
          <w:lang w:eastAsia="en-GB"/>
        </w:rPr>
      </w:pPr>
      <w:r w:rsidRPr="00EF2D0A">
        <w:rPr>
          <w:rFonts w:eastAsia="Times New Roman" w:cs="Arial"/>
          <w:color w:val="000000"/>
          <w:lang w:eastAsia="en-GB"/>
        </w:rPr>
        <w:t xml:space="preserve">Jenkin, A., Trundle, C., Sturgeon, S., Daniels, C., and Street, K. (2023). Fal and Helford Drop Down Video </w:t>
      </w:r>
      <w:proofErr w:type="spellStart"/>
      <w:r w:rsidRPr="00EF2D0A">
        <w:rPr>
          <w:rFonts w:eastAsia="Times New Roman" w:cs="Arial"/>
          <w:color w:val="000000"/>
          <w:lang w:eastAsia="en-GB"/>
        </w:rPr>
        <w:t>Maerl</w:t>
      </w:r>
      <w:proofErr w:type="spellEnd"/>
      <w:r w:rsidRPr="00EF2D0A">
        <w:rPr>
          <w:rFonts w:eastAsia="Times New Roman" w:cs="Arial"/>
          <w:color w:val="000000"/>
          <w:lang w:eastAsia="en-GB"/>
        </w:rPr>
        <w:t xml:space="preserve"> Habi</w:t>
      </w:r>
      <w:r w:rsidRPr="00EF2D0A">
        <w:rPr>
          <w:rFonts w:eastAsia="Times New Roman" w:cs="Arial"/>
          <w:lang w:eastAsia="en-GB"/>
        </w:rPr>
        <w:t xml:space="preserve">tat Field Report. Cornwall Inshore Fisheries and Conservation Authority (Cornwall IFCA), Hayle. (Accessed 07/06/2023 </w:t>
      </w:r>
      <w:hyperlink r:id="rId26" w:tgtFrame="_blank" w:history="1">
        <w:r w:rsidRPr="00EF2D0A">
          <w:rPr>
            <w:rFonts w:eastAsia="Times New Roman" w:cs="Arial"/>
            <w:color w:val="0563C1"/>
            <w:u w:val="single"/>
            <w:lang w:eastAsia="en-GB"/>
          </w:rPr>
          <w:t>https://secure.toolkitfiles.co.uk/clients/17099/sitedata/Research_Reports/22F-H-DDV-Maerl-FieldReport-FINAL.pdf</w:t>
        </w:r>
      </w:hyperlink>
      <w:r w:rsidRPr="00EF2D0A">
        <w:rPr>
          <w:rFonts w:eastAsia="Times New Roman" w:cs="Arial"/>
          <w:lang w:eastAsia="en-GB"/>
        </w:rPr>
        <w:t>) </w:t>
      </w:r>
    </w:p>
    <w:p w14:paraId="3603EF72" w14:textId="77777777" w:rsidR="00392797" w:rsidRPr="00EF2D0A" w:rsidRDefault="00392797" w:rsidP="00392797">
      <w:pPr>
        <w:ind w:left="720" w:hanging="720"/>
        <w:textAlignment w:val="baseline"/>
        <w:rPr>
          <w:rFonts w:eastAsia="Times New Roman" w:cs="Arial"/>
          <w:lang w:eastAsia="en-GB"/>
        </w:rPr>
      </w:pPr>
    </w:p>
    <w:p w14:paraId="5005AC73" w14:textId="77777777" w:rsidR="00392797" w:rsidRPr="00EF2D0A" w:rsidRDefault="00392797" w:rsidP="00392797">
      <w:pPr>
        <w:ind w:left="720" w:hanging="720"/>
        <w:jc w:val="both"/>
        <w:rPr>
          <w:rFonts w:cs="Arial"/>
          <w:color w:val="222222"/>
          <w:shd w:val="clear" w:color="auto" w:fill="FFFFFF"/>
        </w:rPr>
      </w:pPr>
      <w:r w:rsidRPr="00EF2D0A">
        <w:rPr>
          <w:rFonts w:cs="Arial"/>
        </w:rPr>
        <w:t xml:space="preserve">Katara, I., Peden, W. J., Bannister, H., Ribeiro, J., </w:t>
      </w:r>
      <w:proofErr w:type="spellStart"/>
      <w:r w:rsidRPr="00EF2D0A">
        <w:rPr>
          <w:rFonts w:cs="Arial"/>
        </w:rPr>
        <w:t>Fronkova</w:t>
      </w:r>
      <w:proofErr w:type="spellEnd"/>
      <w:r w:rsidRPr="00EF2D0A">
        <w:rPr>
          <w:rFonts w:cs="Arial"/>
        </w:rPr>
        <w:t xml:space="preserve">, L., </w:t>
      </w:r>
      <w:proofErr w:type="spellStart"/>
      <w:r w:rsidRPr="00EF2D0A">
        <w:rPr>
          <w:rFonts w:cs="Arial"/>
        </w:rPr>
        <w:t>Scougal</w:t>
      </w:r>
      <w:proofErr w:type="spellEnd"/>
      <w:r w:rsidRPr="00EF2D0A">
        <w:rPr>
          <w:rFonts w:cs="Arial"/>
        </w:rPr>
        <w:t xml:space="preserve">, C., Martinez., R., Downie, A. L. and Sweeting, C. J. 2021. Conservation hotspots for fish habitats: A case study from English and Welsh waters. </w:t>
      </w:r>
      <w:r w:rsidRPr="00EF2D0A">
        <w:rPr>
          <w:rFonts w:cs="Arial"/>
          <w:i/>
          <w:iCs/>
          <w:color w:val="222222"/>
          <w:shd w:val="clear" w:color="auto" w:fill="FFFFFF"/>
        </w:rPr>
        <w:t>Regional Studies in Marine Science</w:t>
      </w:r>
      <w:r w:rsidRPr="00EF2D0A">
        <w:rPr>
          <w:rFonts w:cs="Arial"/>
          <w:color w:val="222222"/>
          <w:shd w:val="clear" w:color="auto" w:fill="FFFFFF"/>
        </w:rPr>
        <w:t>, </w:t>
      </w:r>
      <w:r w:rsidRPr="00EF2D0A">
        <w:rPr>
          <w:rFonts w:cs="Arial"/>
          <w:i/>
          <w:iCs/>
          <w:color w:val="222222"/>
          <w:shd w:val="clear" w:color="auto" w:fill="FFFFFF"/>
        </w:rPr>
        <w:t>44</w:t>
      </w:r>
      <w:r w:rsidRPr="00EF2D0A">
        <w:rPr>
          <w:rFonts w:cs="Arial"/>
          <w:color w:val="222222"/>
          <w:shd w:val="clear" w:color="auto" w:fill="FFFFFF"/>
        </w:rPr>
        <w:t>, p.101745.</w:t>
      </w:r>
    </w:p>
    <w:p w14:paraId="04B58EEC" w14:textId="77777777" w:rsidR="00392797" w:rsidRPr="00EF2D0A" w:rsidRDefault="00392797" w:rsidP="00392797">
      <w:pPr>
        <w:ind w:left="720" w:hanging="720"/>
        <w:jc w:val="both"/>
        <w:rPr>
          <w:rFonts w:cs="Arial"/>
          <w:color w:val="222222"/>
          <w:shd w:val="clear" w:color="auto" w:fill="FFFFFF"/>
        </w:rPr>
      </w:pPr>
    </w:p>
    <w:p w14:paraId="4438B0BA" w14:textId="77777777" w:rsidR="00392797" w:rsidRPr="00EF2D0A" w:rsidRDefault="00392797" w:rsidP="00392797">
      <w:pPr>
        <w:ind w:left="720" w:hanging="720"/>
        <w:jc w:val="both"/>
        <w:rPr>
          <w:rFonts w:cs="Arial"/>
        </w:rPr>
      </w:pPr>
      <w:r w:rsidRPr="00EF2D0A">
        <w:rPr>
          <w:rFonts w:cs="Arial"/>
          <w:color w:val="000000"/>
          <w:shd w:val="clear" w:color="auto" w:fill="FFFFFF"/>
        </w:rPr>
        <w:t xml:space="preserve">Turnbull, L, Benson, A, Sotheran, I, and Aldis, C. 2024 </w:t>
      </w:r>
      <w:proofErr w:type="spellStart"/>
      <w:r w:rsidRPr="00EF2D0A">
        <w:rPr>
          <w:rFonts w:cs="Arial"/>
          <w:color w:val="000000"/>
          <w:shd w:val="clear" w:color="auto" w:fill="FFFFFF"/>
        </w:rPr>
        <w:t>Maerl</w:t>
      </w:r>
      <w:proofErr w:type="spellEnd"/>
      <w:r w:rsidRPr="00EF2D0A">
        <w:rPr>
          <w:rFonts w:cs="Arial"/>
          <w:color w:val="000000"/>
          <w:shd w:val="clear" w:color="auto" w:fill="FFFFFF"/>
        </w:rPr>
        <w:t xml:space="preserve"> Mapping Survey St Austell Bay, Report for Natural England. Envision, Report No. 20240328. In prep. Will be available for survey in July 2024. </w:t>
      </w:r>
    </w:p>
    <w:p w14:paraId="387711AF" w14:textId="234F5937"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7">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0889"/>
    <w:multiLevelType w:val="hybridMultilevel"/>
    <w:tmpl w:val="28DC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305A41"/>
    <w:multiLevelType w:val="hybridMultilevel"/>
    <w:tmpl w:val="42900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E4F07"/>
    <w:multiLevelType w:val="hybridMultilevel"/>
    <w:tmpl w:val="A6A22364"/>
    <w:lvl w:ilvl="0" w:tplc="3D3A504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944B7"/>
    <w:multiLevelType w:val="hybridMultilevel"/>
    <w:tmpl w:val="B12C5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4"/>
  </w:num>
  <w:num w:numId="3" w16cid:durableId="1308122750">
    <w:abstractNumId w:val="6"/>
  </w:num>
  <w:num w:numId="4" w16cid:durableId="1926841019">
    <w:abstractNumId w:val="5"/>
  </w:num>
  <w:num w:numId="5" w16cid:durableId="1903370289">
    <w:abstractNumId w:val="16"/>
  </w:num>
  <w:num w:numId="6" w16cid:durableId="717319088">
    <w:abstractNumId w:val="17"/>
  </w:num>
  <w:num w:numId="7" w16cid:durableId="823743684">
    <w:abstractNumId w:val="2"/>
  </w:num>
  <w:num w:numId="8" w16cid:durableId="1126193826">
    <w:abstractNumId w:val="4"/>
  </w:num>
  <w:num w:numId="9" w16cid:durableId="656885718">
    <w:abstractNumId w:val="8"/>
  </w:num>
  <w:num w:numId="10" w16cid:durableId="150491779">
    <w:abstractNumId w:val="13"/>
  </w:num>
  <w:num w:numId="11" w16cid:durableId="1049958278">
    <w:abstractNumId w:val="18"/>
  </w:num>
  <w:num w:numId="12" w16cid:durableId="1341278562">
    <w:abstractNumId w:val="3"/>
  </w:num>
  <w:num w:numId="13" w16cid:durableId="980043198">
    <w:abstractNumId w:val="10"/>
  </w:num>
  <w:num w:numId="14" w16cid:durableId="344788094">
    <w:abstractNumId w:val="1"/>
  </w:num>
  <w:num w:numId="15" w16cid:durableId="874267851">
    <w:abstractNumId w:val="12"/>
  </w:num>
  <w:num w:numId="16" w16cid:durableId="628316214">
    <w:abstractNumId w:val="11"/>
  </w:num>
  <w:num w:numId="17" w16cid:durableId="1543443833">
    <w:abstractNumId w:val="15"/>
  </w:num>
  <w:num w:numId="18" w16cid:durableId="1877884514">
    <w:abstractNumId w:val="0"/>
  </w:num>
  <w:num w:numId="19" w16cid:durableId="139940006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638"/>
    <w:rsid w:val="000B5C95"/>
    <w:rsid w:val="000C3664"/>
    <w:rsid w:val="000C46CD"/>
    <w:rsid w:val="000D0521"/>
    <w:rsid w:val="000D06C8"/>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0BAB"/>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BC1"/>
    <w:rsid w:val="00253B6D"/>
    <w:rsid w:val="00257719"/>
    <w:rsid w:val="00261CCA"/>
    <w:rsid w:val="00271CAD"/>
    <w:rsid w:val="002752E2"/>
    <w:rsid w:val="00275D20"/>
    <w:rsid w:val="0027724A"/>
    <w:rsid w:val="0028203C"/>
    <w:rsid w:val="0028699A"/>
    <w:rsid w:val="00291CB0"/>
    <w:rsid w:val="00293B38"/>
    <w:rsid w:val="00293D6C"/>
    <w:rsid w:val="00296432"/>
    <w:rsid w:val="002A0F3B"/>
    <w:rsid w:val="002A67C9"/>
    <w:rsid w:val="002A70C1"/>
    <w:rsid w:val="002B5E40"/>
    <w:rsid w:val="002B7DB2"/>
    <w:rsid w:val="002C0BB7"/>
    <w:rsid w:val="002C0E21"/>
    <w:rsid w:val="002C70E8"/>
    <w:rsid w:val="002C7102"/>
    <w:rsid w:val="002D2206"/>
    <w:rsid w:val="002D4999"/>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92797"/>
    <w:rsid w:val="003A1F67"/>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2F61"/>
    <w:rsid w:val="004233E0"/>
    <w:rsid w:val="0043035A"/>
    <w:rsid w:val="00441990"/>
    <w:rsid w:val="00442BC1"/>
    <w:rsid w:val="0045177D"/>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3892"/>
    <w:rsid w:val="00525803"/>
    <w:rsid w:val="0053569D"/>
    <w:rsid w:val="00540537"/>
    <w:rsid w:val="00545F1C"/>
    <w:rsid w:val="005469F0"/>
    <w:rsid w:val="00551AA9"/>
    <w:rsid w:val="00551FC2"/>
    <w:rsid w:val="005540FA"/>
    <w:rsid w:val="00561F29"/>
    <w:rsid w:val="00564DFF"/>
    <w:rsid w:val="005663EE"/>
    <w:rsid w:val="00566F6F"/>
    <w:rsid w:val="00567F6B"/>
    <w:rsid w:val="00572976"/>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4491"/>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777C"/>
    <w:rsid w:val="007506D6"/>
    <w:rsid w:val="007547C8"/>
    <w:rsid w:val="00755ED6"/>
    <w:rsid w:val="00777D92"/>
    <w:rsid w:val="00777F4B"/>
    <w:rsid w:val="00782343"/>
    <w:rsid w:val="00782A10"/>
    <w:rsid w:val="00783D75"/>
    <w:rsid w:val="007879C2"/>
    <w:rsid w:val="00795734"/>
    <w:rsid w:val="007A676A"/>
    <w:rsid w:val="007B581E"/>
    <w:rsid w:val="007B5ECA"/>
    <w:rsid w:val="007C4A23"/>
    <w:rsid w:val="007C4E84"/>
    <w:rsid w:val="007D05D3"/>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0289"/>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A36"/>
    <w:rsid w:val="00902DD7"/>
    <w:rsid w:val="009118D4"/>
    <w:rsid w:val="009162C1"/>
    <w:rsid w:val="00921A67"/>
    <w:rsid w:val="00921FF6"/>
    <w:rsid w:val="009316D8"/>
    <w:rsid w:val="0093243D"/>
    <w:rsid w:val="00934181"/>
    <w:rsid w:val="0094090E"/>
    <w:rsid w:val="009454DF"/>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4FFE"/>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1554D"/>
    <w:rsid w:val="00A17460"/>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70151"/>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37A50"/>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B00C2"/>
    <w:rsid w:val="00BE33E4"/>
    <w:rsid w:val="00BE345D"/>
    <w:rsid w:val="00BE439D"/>
    <w:rsid w:val="00BE619B"/>
    <w:rsid w:val="00BF021E"/>
    <w:rsid w:val="00BF3623"/>
    <w:rsid w:val="00BF44CD"/>
    <w:rsid w:val="00BF4D11"/>
    <w:rsid w:val="00BF515C"/>
    <w:rsid w:val="00BF5798"/>
    <w:rsid w:val="00BF7B95"/>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28A3"/>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22BA"/>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1743"/>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31AB8"/>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D322BA"/>
    <w:pPr>
      <w:keepNext/>
      <w:spacing w:before="240" w:after="360"/>
      <w:jc w:val="both"/>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22B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35"/>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TableTextCharChar">
    <w:name w:val="Table Text Char Char"/>
    <w:link w:val="TableText"/>
    <w:rsid w:val="00902A36"/>
  </w:style>
  <w:style w:type="paragraph" w:customStyle="1" w:styleId="TableText">
    <w:name w:val="Table Text"/>
    <w:basedOn w:val="Normal"/>
    <w:link w:val="TableTextCharChar"/>
    <w:qFormat/>
    <w:rsid w:val="00902A36"/>
    <w:pPr>
      <w:spacing w:before="60" w:after="80"/>
    </w:pPr>
    <w:rPr>
      <w:sz w:val="20"/>
      <w:szCs w:val="20"/>
      <w:lang w:eastAsia="en-GB"/>
    </w:rPr>
  </w:style>
  <w:style w:type="character" w:customStyle="1" w:styleId="ListParagraphChar">
    <w:name w:val="List Paragraph Char"/>
    <w:basedOn w:val="DefaultParagraphFont"/>
    <w:link w:val="ListParagraph"/>
    <w:uiPriority w:val="34"/>
    <w:rsid w:val="00572976"/>
    <w:rPr>
      <w:sz w:val="24"/>
      <w:szCs w:val="22"/>
      <w:lang w:eastAsia="en-US"/>
    </w:rPr>
  </w:style>
  <w:style w:type="paragraph" w:styleId="NoSpacing">
    <w:name w:val="No Spacing"/>
    <w:basedOn w:val="Normal"/>
    <w:uiPriority w:val="1"/>
    <w:qFormat/>
    <w:rsid w:val="00572976"/>
    <w:pPr>
      <w:spacing w:before="0" w:after="0" w:line="240" w:lineRule="auto"/>
    </w:pPr>
    <w:rPr>
      <w:rFonts w:eastAsia="Times New Roman" w:cs="Calibri"/>
      <w:sz w:val="22"/>
      <w:lang w:val="en-US" w:bidi="en-US"/>
    </w:rPr>
  </w:style>
  <w:style w:type="paragraph" w:styleId="BodyText3">
    <w:name w:val="Body Text 3"/>
    <w:basedOn w:val="Normal"/>
    <w:link w:val="BodyText3Char"/>
    <w:uiPriority w:val="99"/>
    <w:semiHidden/>
    <w:unhideWhenUsed/>
    <w:rsid w:val="001E0BAB"/>
    <w:pPr>
      <w:spacing w:before="0" w:line="240" w:lineRule="auto"/>
    </w:pPr>
    <w:rPr>
      <w:rFonts w:eastAsiaTheme="minorHAnsi" w:cs="Calibri"/>
      <w:sz w:val="16"/>
      <w:szCs w:val="16"/>
    </w:rPr>
  </w:style>
  <w:style w:type="character" w:customStyle="1" w:styleId="BodyText3Char">
    <w:name w:val="Body Text 3 Char"/>
    <w:basedOn w:val="DefaultParagraphFont"/>
    <w:link w:val="BodyText3"/>
    <w:uiPriority w:val="99"/>
    <w:semiHidden/>
    <w:rsid w:val="001E0BAB"/>
    <w:rPr>
      <w:rFonts w:eastAsiaTheme="minorHAnsi" w:cs="Calibri"/>
      <w:sz w:val="16"/>
      <w:szCs w:val="16"/>
      <w:lang w:eastAsia="en-US"/>
    </w:rPr>
  </w:style>
  <w:style w:type="paragraph" w:styleId="BodyText2">
    <w:name w:val="Body Text 2"/>
    <w:basedOn w:val="Normal"/>
    <w:link w:val="BodyText2Char"/>
    <w:uiPriority w:val="99"/>
    <w:semiHidden/>
    <w:unhideWhenUsed/>
    <w:rsid w:val="009454DF"/>
    <w:pPr>
      <w:spacing w:line="480" w:lineRule="auto"/>
    </w:pPr>
  </w:style>
  <w:style w:type="character" w:customStyle="1" w:styleId="BodyText2Char">
    <w:name w:val="Body Text 2 Char"/>
    <w:basedOn w:val="DefaultParagraphFont"/>
    <w:link w:val="BodyText2"/>
    <w:uiPriority w:val="99"/>
    <w:semiHidden/>
    <w:rsid w:val="009454D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shua.crane@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secure.toolkitfiles.co.uk/clients/17099/sitedata/Research_Reports/22F-H-DDV-Maerl-FieldReport-FINAL.pdf" TargetMode="External"/><Relationship Id="rId3" Type="http://schemas.openxmlformats.org/officeDocument/2006/relationships/customXml" Target="../customXml/item3.xml"/><Relationship Id="rId21" Type="http://schemas.openxmlformats.org/officeDocument/2006/relationships/hyperlink" Target="https://secure.toolkitfiles.co.uk/clients/17099/sitedata/Research_Reports/StAustellGerransVeryanDDVSSS2016-ANNEX-9.pdf" TargetMode="External"/><Relationship Id="rId7" Type="http://schemas.openxmlformats.org/officeDocument/2006/relationships/styles" Target="styles.xml"/><Relationship Id="rId12" Type="http://schemas.openxmlformats.org/officeDocument/2006/relationships/hyperlink" Target="mailto:adam.waugh@naturalengland.org.uk" TargetMode="External"/><Relationship Id="rId17" Type="http://schemas.openxmlformats.org/officeDocument/2006/relationships/hyperlink" Target="https://ec.europa.eu/growth/smes/business-friendly-environment/sme-definition_en" TargetMode="External"/><Relationship Id="rId25" Type="http://schemas.openxmlformats.org/officeDocument/2006/relationships/hyperlink" Target="https://secure.toolkitfiles.co.uk/clients/17099/sitedata/Research_Reports/22F-H-DDV-Maerl-SurveyFINAL.pdf"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cure.toolkitfiles.co.uk/clients/17099/sitedata/Research_Reports/StAustellGerransVeryanDDVSSS2016.pdf"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secure.toolkitfiles.co.uk/clients/17099/sitedata/Research_Reports/StAustellGerransVeryanDDVSSS2016-ANNEX-11.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secure.toolkitfiles.co.uk/clients/17099/sitedata/Research_Reports/StAustellGerransVeryanDDVSSS2016-ANNEX-10.pdf" TargetMode="External"/><Relationship Id="rId2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mso-contentType ?>
<SharedContentType xmlns="Microsoft.SharePoint.Taxonomy.ContentTypeSync" SourceId="d1117845-93f6-4da3-abaa-fcb4fa669c78"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TotalTime>
  <Pages>23</Pages>
  <Words>5561</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37191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Waugh, Adam</cp:lastModifiedBy>
  <cp:revision>2</cp:revision>
  <cp:lastPrinted>2018-08-21T14:39:00Z</cp:lastPrinted>
  <dcterms:created xsi:type="dcterms:W3CDTF">2024-07-08T14:16:00Z</dcterms:created>
  <dcterms:modified xsi:type="dcterms:W3CDTF">2024-07-08T14:16:00Z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