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738" w:type="dxa"/>
        <w:tblInd w:w="2" w:type="dxa"/>
        <w:tblLook w:val="04A0" w:firstRow="1" w:lastRow="0" w:firstColumn="1" w:lastColumn="0" w:noHBand="0" w:noVBand="1"/>
      </w:tblPr>
      <w:tblGrid>
        <w:gridCol w:w="2398"/>
        <w:gridCol w:w="2268"/>
        <w:gridCol w:w="2552"/>
        <w:gridCol w:w="2693"/>
        <w:gridCol w:w="3827"/>
      </w:tblGrid>
      <w:tr w:rsidR="00210396" w14:paraId="55836C8A" w14:textId="77777777" w:rsidTr="00210396">
        <w:trPr>
          <w:trHeight w:val="275"/>
        </w:trPr>
        <w:tc>
          <w:tcPr>
            <w:tcW w:w="13738" w:type="dxa"/>
            <w:gridSpan w:val="5"/>
            <w:tcBorders>
              <w:bottom w:val="single" w:sz="18" w:space="0" w:color="auto"/>
            </w:tcBorders>
            <w:vAlign w:val="center"/>
          </w:tcPr>
          <w:p w14:paraId="0D0DA9CC" w14:textId="77777777" w:rsidR="00210396" w:rsidRDefault="00210396" w:rsidP="00210396">
            <w:pPr>
              <w:pStyle w:val="ListParagraph"/>
              <w:tabs>
                <w:tab w:val="left" w:pos="912"/>
              </w:tabs>
              <w:spacing w:after="200" w:line="276" w:lineRule="auto"/>
              <w:ind w:left="-30"/>
            </w:pPr>
            <w:r>
              <w:t>The following table format is to be used in providing your bid, the rates that are used in this table will be those that are used in the delivery of the requirement and will form the contracted rates.</w:t>
            </w:r>
            <w:r w:rsidR="009F39F5">
              <w:t xml:space="preserve"> All prices shall be submitted in Great British Pounds Sterling (£). Pricing cannot exceed your maximum framework prices. All pricing shall be exclusive of VAT</w:t>
            </w:r>
          </w:p>
          <w:p w14:paraId="6037BE11" w14:textId="77777777" w:rsidR="00210396" w:rsidRDefault="00210396" w:rsidP="00210396">
            <w:pPr>
              <w:pStyle w:val="ListParagraph"/>
              <w:tabs>
                <w:tab w:val="left" w:pos="912"/>
              </w:tabs>
              <w:spacing w:after="200" w:line="276" w:lineRule="auto"/>
              <w:ind w:left="-30"/>
              <w:rPr>
                <w:rFonts w:ascii="Calibri" w:hAnsi="Calibri" w:cs="Calibri"/>
                <w:b/>
                <w:color w:val="000000"/>
                <w:lang w:eastAsia="en-GB"/>
              </w:rPr>
            </w:pPr>
          </w:p>
        </w:tc>
        <w:bookmarkStart w:id="0" w:name="_GoBack"/>
        <w:bookmarkEnd w:id="0"/>
      </w:tr>
      <w:tr w:rsidR="00F6287D" w14:paraId="7C07D420" w14:textId="77777777" w:rsidTr="00210396">
        <w:trPr>
          <w:trHeight w:val="275"/>
        </w:trPr>
        <w:tc>
          <w:tcPr>
            <w:tcW w:w="2398" w:type="dxa"/>
            <w:tcBorders>
              <w:top w:val="single" w:sz="18" w:space="0" w:color="auto"/>
              <w:left w:val="single" w:sz="18" w:space="0" w:color="auto"/>
              <w:bottom w:val="single" w:sz="18" w:space="0" w:color="auto"/>
              <w:right w:val="single" w:sz="18" w:space="0" w:color="auto"/>
            </w:tcBorders>
            <w:vAlign w:val="center"/>
            <w:hideMark/>
          </w:tcPr>
          <w:p w14:paraId="2DE7C639" w14:textId="77777777" w:rsidR="00F6287D" w:rsidRPr="00210396" w:rsidRDefault="00F6287D" w:rsidP="00B07B4A">
            <w:pPr>
              <w:jc w:val="center"/>
              <w:rPr>
                <w:rFonts w:eastAsia="Times New Roman" w:cs="Arial"/>
                <w:b/>
                <w:color w:val="000000"/>
                <w:lang w:eastAsia="en-GB"/>
              </w:rPr>
            </w:pPr>
            <w:r w:rsidRPr="00210396">
              <w:rPr>
                <w:rFonts w:eastAsia="Times New Roman" w:cs="Arial"/>
                <w:b/>
                <w:color w:val="000000"/>
                <w:lang w:eastAsia="en-GB"/>
              </w:rPr>
              <w:t>Grade</w:t>
            </w:r>
          </w:p>
        </w:tc>
        <w:tc>
          <w:tcPr>
            <w:tcW w:w="2268" w:type="dxa"/>
            <w:tcBorders>
              <w:top w:val="single" w:sz="18" w:space="0" w:color="auto"/>
              <w:left w:val="single" w:sz="18" w:space="0" w:color="auto"/>
              <w:bottom w:val="single" w:sz="18" w:space="0" w:color="auto"/>
              <w:right w:val="single" w:sz="18" w:space="0" w:color="auto"/>
            </w:tcBorders>
            <w:vAlign w:val="center"/>
            <w:hideMark/>
          </w:tcPr>
          <w:p w14:paraId="2FAC3540" w14:textId="77777777" w:rsidR="00F6287D" w:rsidRPr="00210396" w:rsidRDefault="00F6287D" w:rsidP="00B07B4A">
            <w:pPr>
              <w:jc w:val="center"/>
              <w:rPr>
                <w:rFonts w:eastAsia="Times New Roman" w:cs="Arial"/>
                <w:b/>
                <w:color w:val="000000"/>
                <w:lang w:eastAsia="en-GB"/>
              </w:rPr>
            </w:pPr>
            <w:r w:rsidRPr="00210396">
              <w:rPr>
                <w:rFonts w:eastAsia="Times New Roman" w:cs="Arial"/>
                <w:b/>
                <w:color w:val="000000"/>
                <w:lang w:eastAsia="en-GB"/>
              </w:rPr>
              <w:t>Max Man Day Rate</w:t>
            </w:r>
          </w:p>
        </w:tc>
        <w:tc>
          <w:tcPr>
            <w:tcW w:w="2552" w:type="dxa"/>
            <w:tcBorders>
              <w:top w:val="single" w:sz="18" w:space="0" w:color="auto"/>
              <w:left w:val="single" w:sz="18" w:space="0" w:color="auto"/>
              <w:bottom w:val="single" w:sz="18" w:space="0" w:color="auto"/>
              <w:right w:val="single" w:sz="18" w:space="0" w:color="auto"/>
            </w:tcBorders>
            <w:vAlign w:val="center"/>
            <w:hideMark/>
          </w:tcPr>
          <w:p w14:paraId="7C83A918" w14:textId="77777777" w:rsidR="00F6287D" w:rsidRPr="00210396" w:rsidRDefault="00F6287D" w:rsidP="00B07B4A">
            <w:pPr>
              <w:jc w:val="center"/>
              <w:rPr>
                <w:rFonts w:eastAsia="Times New Roman" w:cs="Arial"/>
                <w:b/>
                <w:color w:val="000000"/>
                <w:lang w:eastAsia="en-GB"/>
              </w:rPr>
            </w:pPr>
            <w:r w:rsidRPr="00210396">
              <w:rPr>
                <w:rFonts w:eastAsia="Times New Roman" w:cs="Arial"/>
                <w:b/>
                <w:color w:val="000000"/>
                <w:lang w:eastAsia="en-GB"/>
              </w:rPr>
              <w:t xml:space="preserve"> (A)Tendered Man Day rate</w:t>
            </w:r>
          </w:p>
        </w:tc>
        <w:tc>
          <w:tcPr>
            <w:tcW w:w="2693" w:type="dxa"/>
            <w:tcBorders>
              <w:top w:val="single" w:sz="18" w:space="0" w:color="auto"/>
              <w:left w:val="single" w:sz="18" w:space="0" w:color="auto"/>
              <w:bottom w:val="single" w:sz="18" w:space="0" w:color="auto"/>
              <w:right w:val="single" w:sz="18" w:space="0" w:color="auto"/>
            </w:tcBorders>
            <w:vAlign w:val="center"/>
            <w:hideMark/>
          </w:tcPr>
          <w:p w14:paraId="61FAFD8B" w14:textId="77777777" w:rsidR="00F6287D" w:rsidRPr="00210396" w:rsidRDefault="00F6287D" w:rsidP="00B07B4A">
            <w:pPr>
              <w:jc w:val="center"/>
              <w:rPr>
                <w:rFonts w:eastAsia="Times New Roman" w:cs="Arial"/>
                <w:b/>
                <w:color w:val="000000"/>
                <w:lang w:eastAsia="en-GB"/>
              </w:rPr>
            </w:pPr>
            <w:r w:rsidRPr="00210396">
              <w:rPr>
                <w:rFonts w:eastAsia="Times New Roman" w:cs="Arial"/>
                <w:b/>
                <w:color w:val="000000"/>
                <w:lang w:eastAsia="en-GB"/>
              </w:rPr>
              <w:t>(B) Man Day Qty</w:t>
            </w:r>
          </w:p>
        </w:tc>
        <w:tc>
          <w:tcPr>
            <w:tcW w:w="3827" w:type="dxa"/>
            <w:tcBorders>
              <w:top w:val="single" w:sz="18" w:space="0" w:color="auto"/>
              <w:left w:val="single" w:sz="18" w:space="0" w:color="auto"/>
              <w:bottom w:val="single" w:sz="18" w:space="0" w:color="auto"/>
              <w:right w:val="single" w:sz="18" w:space="0" w:color="auto"/>
            </w:tcBorders>
            <w:vAlign w:val="center"/>
            <w:hideMark/>
          </w:tcPr>
          <w:p w14:paraId="74DDB933" w14:textId="77777777" w:rsidR="00F6287D" w:rsidRPr="00210396" w:rsidRDefault="00F6287D" w:rsidP="00B07B4A">
            <w:pPr>
              <w:jc w:val="center"/>
              <w:rPr>
                <w:rFonts w:eastAsia="Times New Roman" w:cs="Arial"/>
                <w:b/>
                <w:color w:val="000000"/>
                <w:lang w:eastAsia="en-GB"/>
              </w:rPr>
            </w:pPr>
            <w:r w:rsidRPr="00210396">
              <w:rPr>
                <w:rFonts w:eastAsia="Times New Roman" w:cs="Arial"/>
                <w:b/>
                <w:color w:val="000000"/>
                <w:lang w:eastAsia="en-GB"/>
              </w:rPr>
              <w:t>Total Grade Price</w:t>
            </w:r>
          </w:p>
          <w:p w14:paraId="7916D575" w14:textId="77777777" w:rsidR="00F6287D" w:rsidRPr="00210396" w:rsidRDefault="00F6287D" w:rsidP="00F6287D">
            <w:pPr>
              <w:pStyle w:val="ListParagraph"/>
              <w:numPr>
                <w:ilvl w:val="0"/>
                <w:numId w:val="1"/>
              </w:numPr>
              <w:spacing w:before="0" w:after="0"/>
              <w:jc w:val="center"/>
              <w:rPr>
                <w:rFonts w:cs="Arial"/>
                <w:b/>
                <w:color w:val="000000"/>
                <w:lang w:eastAsia="en-GB"/>
              </w:rPr>
            </w:pPr>
            <w:r w:rsidRPr="00210396">
              <w:rPr>
                <w:rFonts w:cs="Arial"/>
                <w:b/>
                <w:color w:val="000000"/>
                <w:lang w:eastAsia="en-GB"/>
              </w:rPr>
              <w:t>X (B)</w:t>
            </w:r>
          </w:p>
        </w:tc>
      </w:tr>
      <w:tr w:rsidR="00F6287D" w:rsidRPr="008E151D" w14:paraId="3533D8B7" w14:textId="77777777" w:rsidTr="00F6287D">
        <w:trPr>
          <w:trHeight w:val="345"/>
        </w:trPr>
        <w:tc>
          <w:tcPr>
            <w:tcW w:w="2398" w:type="dxa"/>
            <w:tcBorders>
              <w:top w:val="single" w:sz="18" w:space="0" w:color="auto"/>
              <w:left w:val="single" w:sz="18" w:space="0" w:color="auto"/>
              <w:bottom w:val="single" w:sz="18" w:space="0" w:color="auto"/>
              <w:right w:val="single" w:sz="18" w:space="0" w:color="auto"/>
            </w:tcBorders>
            <w:vAlign w:val="center"/>
            <w:hideMark/>
          </w:tcPr>
          <w:p w14:paraId="5361BBBF" w14:textId="77777777" w:rsidR="00F6287D" w:rsidRPr="00210396" w:rsidRDefault="00F6287D" w:rsidP="00B07B4A">
            <w:pPr>
              <w:rPr>
                <w:rFonts w:eastAsia="Times New Roman" w:cs="Arial"/>
                <w:color w:val="000000"/>
                <w:lang w:eastAsia="en-GB"/>
              </w:rPr>
            </w:pPr>
            <w:r w:rsidRPr="00210396">
              <w:rPr>
                <w:rFonts w:eastAsia="Times New Roman" w:cs="Arial"/>
                <w:color w:val="000000"/>
                <w:lang w:eastAsia="en-GB"/>
              </w:rPr>
              <w:t>Director</w:t>
            </w:r>
            <w:r w:rsidR="009F39F5">
              <w:rPr>
                <w:rFonts w:eastAsia="Times New Roman" w:cs="Arial"/>
                <w:color w:val="000000"/>
                <w:lang w:eastAsia="en-GB"/>
              </w:rPr>
              <w:t>/Partner</w:t>
            </w:r>
          </w:p>
        </w:tc>
        <w:tc>
          <w:tcPr>
            <w:tcW w:w="2268" w:type="dxa"/>
            <w:tcBorders>
              <w:top w:val="single" w:sz="18" w:space="0" w:color="auto"/>
              <w:left w:val="single" w:sz="18" w:space="0" w:color="auto"/>
              <w:bottom w:val="single" w:sz="18" w:space="0" w:color="auto"/>
              <w:right w:val="single" w:sz="18" w:space="0" w:color="auto"/>
            </w:tcBorders>
            <w:vAlign w:val="center"/>
          </w:tcPr>
          <w:p w14:paraId="676C6C6B" w14:textId="77777777" w:rsidR="00F6287D" w:rsidRPr="00210396" w:rsidRDefault="00F6287D" w:rsidP="00B07B4A">
            <w:pPr>
              <w:jc w:val="center"/>
              <w:rPr>
                <w:rFonts w:eastAsia="Times New Roman" w:cs="Arial"/>
                <w:color w:val="000000"/>
                <w:lang w:eastAsia="en-GB"/>
              </w:rPr>
            </w:pPr>
          </w:p>
        </w:tc>
        <w:tc>
          <w:tcPr>
            <w:tcW w:w="2552" w:type="dxa"/>
            <w:tcBorders>
              <w:top w:val="single" w:sz="18" w:space="0" w:color="auto"/>
              <w:left w:val="single" w:sz="18" w:space="0" w:color="auto"/>
              <w:bottom w:val="single" w:sz="18" w:space="0" w:color="auto"/>
              <w:right w:val="single" w:sz="18" w:space="0" w:color="auto"/>
            </w:tcBorders>
            <w:vAlign w:val="center"/>
          </w:tcPr>
          <w:p w14:paraId="45884380" w14:textId="77777777" w:rsidR="00F6287D" w:rsidRPr="00210396" w:rsidRDefault="00F6287D" w:rsidP="00B07B4A">
            <w:pPr>
              <w:jc w:val="center"/>
              <w:rPr>
                <w:rFonts w:eastAsia="Times New Roman" w:cs="Arial"/>
                <w:color w:val="000000"/>
                <w:lang w:eastAsia="en-GB"/>
              </w:rPr>
            </w:pPr>
          </w:p>
        </w:tc>
        <w:tc>
          <w:tcPr>
            <w:tcW w:w="2693" w:type="dxa"/>
            <w:tcBorders>
              <w:top w:val="single" w:sz="18" w:space="0" w:color="auto"/>
              <w:left w:val="single" w:sz="18" w:space="0" w:color="auto"/>
              <w:bottom w:val="single" w:sz="18" w:space="0" w:color="auto"/>
              <w:right w:val="single" w:sz="18" w:space="0" w:color="auto"/>
            </w:tcBorders>
            <w:vAlign w:val="center"/>
            <w:hideMark/>
          </w:tcPr>
          <w:p w14:paraId="17925E4B" w14:textId="77777777" w:rsidR="00F6287D" w:rsidRPr="00210396" w:rsidRDefault="00F6287D" w:rsidP="00B07B4A">
            <w:pPr>
              <w:jc w:val="center"/>
              <w:rPr>
                <w:rFonts w:eastAsia="Times New Roman" w:cs="Arial"/>
                <w:b/>
                <w:color w:val="000000"/>
                <w:lang w:eastAsia="en-GB"/>
              </w:rPr>
            </w:pPr>
          </w:p>
        </w:tc>
        <w:tc>
          <w:tcPr>
            <w:tcW w:w="3827" w:type="dxa"/>
            <w:tcBorders>
              <w:top w:val="single" w:sz="18" w:space="0" w:color="auto"/>
              <w:left w:val="single" w:sz="18" w:space="0" w:color="auto"/>
              <w:bottom w:val="single" w:sz="18" w:space="0" w:color="auto"/>
              <w:right w:val="single" w:sz="18" w:space="0" w:color="auto"/>
            </w:tcBorders>
            <w:vAlign w:val="center"/>
          </w:tcPr>
          <w:p w14:paraId="65382016" w14:textId="77777777" w:rsidR="00F6287D" w:rsidRPr="00210396" w:rsidRDefault="00F6287D" w:rsidP="00B07B4A">
            <w:pPr>
              <w:jc w:val="center"/>
              <w:rPr>
                <w:rFonts w:eastAsia="Times New Roman" w:cs="Arial"/>
                <w:color w:val="000000"/>
                <w:lang w:eastAsia="en-GB"/>
              </w:rPr>
            </w:pPr>
          </w:p>
        </w:tc>
      </w:tr>
      <w:tr w:rsidR="00F6287D" w:rsidRPr="008E151D" w14:paraId="1AB490F9" w14:textId="77777777" w:rsidTr="00F6287D">
        <w:trPr>
          <w:trHeight w:val="246"/>
        </w:trPr>
        <w:tc>
          <w:tcPr>
            <w:tcW w:w="2398" w:type="dxa"/>
            <w:tcBorders>
              <w:top w:val="single" w:sz="18" w:space="0" w:color="auto"/>
              <w:left w:val="single" w:sz="18" w:space="0" w:color="auto"/>
              <w:bottom w:val="single" w:sz="18" w:space="0" w:color="auto"/>
              <w:right w:val="single" w:sz="18" w:space="0" w:color="auto"/>
            </w:tcBorders>
            <w:vAlign w:val="center"/>
            <w:hideMark/>
          </w:tcPr>
          <w:p w14:paraId="210DAD76" w14:textId="77777777" w:rsidR="00F6287D" w:rsidRPr="00210396" w:rsidRDefault="00F6287D" w:rsidP="00B07B4A">
            <w:pPr>
              <w:rPr>
                <w:rFonts w:eastAsia="Times New Roman" w:cs="Arial"/>
                <w:color w:val="000000"/>
                <w:lang w:eastAsia="en-GB"/>
              </w:rPr>
            </w:pPr>
            <w:r w:rsidRPr="00210396">
              <w:rPr>
                <w:rFonts w:eastAsia="Times New Roman" w:cs="Arial"/>
                <w:color w:val="000000"/>
                <w:lang w:eastAsia="en-GB"/>
              </w:rPr>
              <w:t>Managing Consultant</w:t>
            </w:r>
          </w:p>
        </w:tc>
        <w:tc>
          <w:tcPr>
            <w:tcW w:w="2268" w:type="dxa"/>
            <w:tcBorders>
              <w:top w:val="single" w:sz="18" w:space="0" w:color="auto"/>
              <w:left w:val="single" w:sz="18" w:space="0" w:color="auto"/>
              <w:bottom w:val="single" w:sz="18" w:space="0" w:color="auto"/>
              <w:right w:val="single" w:sz="18" w:space="0" w:color="auto"/>
            </w:tcBorders>
            <w:vAlign w:val="center"/>
          </w:tcPr>
          <w:p w14:paraId="24C45E90" w14:textId="77777777" w:rsidR="00F6287D" w:rsidRPr="00210396" w:rsidRDefault="00F6287D" w:rsidP="00B07B4A">
            <w:pPr>
              <w:jc w:val="center"/>
              <w:rPr>
                <w:rFonts w:eastAsia="Times New Roman" w:cs="Arial"/>
                <w:color w:val="000000"/>
                <w:lang w:eastAsia="en-GB"/>
              </w:rPr>
            </w:pPr>
          </w:p>
        </w:tc>
        <w:tc>
          <w:tcPr>
            <w:tcW w:w="2552" w:type="dxa"/>
            <w:tcBorders>
              <w:top w:val="single" w:sz="18" w:space="0" w:color="auto"/>
              <w:left w:val="single" w:sz="18" w:space="0" w:color="auto"/>
              <w:bottom w:val="single" w:sz="18" w:space="0" w:color="auto"/>
              <w:right w:val="single" w:sz="18" w:space="0" w:color="auto"/>
            </w:tcBorders>
            <w:vAlign w:val="center"/>
          </w:tcPr>
          <w:p w14:paraId="1C6C73DC" w14:textId="77777777" w:rsidR="00F6287D" w:rsidRPr="00210396" w:rsidRDefault="00F6287D" w:rsidP="00B07B4A">
            <w:pPr>
              <w:jc w:val="center"/>
              <w:rPr>
                <w:rFonts w:eastAsia="Times New Roman" w:cs="Arial"/>
                <w:color w:val="000000"/>
                <w:lang w:eastAsia="en-GB"/>
              </w:rPr>
            </w:pPr>
          </w:p>
        </w:tc>
        <w:tc>
          <w:tcPr>
            <w:tcW w:w="2693" w:type="dxa"/>
            <w:tcBorders>
              <w:top w:val="single" w:sz="18" w:space="0" w:color="auto"/>
              <w:left w:val="single" w:sz="18" w:space="0" w:color="auto"/>
              <w:bottom w:val="single" w:sz="18" w:space="0" w:color="auto"/>
              <w:right w:val="single" w:sz="18" w:space="0" w:color="auto"/>
            </w:tcBorders>
            <w:vAlign w:val="center"/>
            <w:hideMark/>
          </w:tcPr>
          <w:p w14:paraId="07A58595" w14:textId="77777777" w:rsidR="00F6287D" w:rsidRPr="00210396" w:rsidRDefault="00F6287D" w:rsidP="00B07B4A">
            <w:pPr>
              <w:jc w:val="center"/>
              <w:rPr>
                <w:rFonts w:eastAsia="Times New Roman" w:cs="Arial"/>
                <w:b/>
                <w:color w:val="000000"/>
                <w:lang w:eastAsia="en-GB"/>
              </w:rPr>
            </w:pPr>
          </w:p>
        </w:tc>
        <w:tc>
          <w:tcPr>
            <w:tcW w:w="3827" w:type="dxa"/>
            <w:tcBorders>
              <w:top w:val="single" w:sz="18" w:space="0" w:color="auto"/>
              <w:left w:val="single" w:sz="18" w:space="0" w:color="auto"/>
              <w:bottom w:val="single" w:sz="18" w:space="0" w:color="auto"/>
              <w:right w:val="single" w:sz="18" w:space="0" w:color="auto"/>
            </w:tcBorders>
            <w:vAlign w:val="center"/>
          </w:tcPr>
          <w:p w14:paraId="7402639E" w14:textId="77777777" w:rsidR="00F6287D" w:rsidRPr="00210396" w:rsidRDefault="00F6287D" w:rsidP="00B07B4A">
            <w:pPr>
              <w:jc w:val="center"/>
              <w:rPr>
                <w:rFonts w:eastAsia="Times New Roman" w:cs="Arial"/>
                <w:color w:val="000000"/>
                <w:lang w:eastAsia="en-GB"/>
              </w:rPr>
            </w:pPr>
          </w:p>
        </w:tc>
      </w:tr>
      <w:tr w:rsidR="00F6287D" w:rsidRPr="008E151D" w14:paraId="1A659578" w14:textId="77777777" w:rsidTr="00F6287D">
        <w:trPr>
          <w:trHeight w:val="585"/>
        </w:trPr>
        <w:tc>
          <w:tcPr>
            <w:tcW w:w="2398" w:type="dxa"/>
            <w:vMerge w:val="restart"/>
            <w:tcBorders>
              <w:top w:val="single" w:sz="18" w:space="0" w:color="auto"/>
              <w:left w:val="single" w:sz="18" w:space="0" w:color="auto"/>
              <w:bottom w:val="single" w:sz="18" w:space="0" w:color="auto"/>
              <w:right w:val="single" w:sz="18" w:space="0" w:color="auto"/>
            </w:tcBorders>
            <w:vAlign w:val="center"/>
            <w:hideMark/>
          </w:tcPr>
          <w:p w14:paraId="1C2A5B94" w14:textId="77777777" w:rsidR="00F6287D" w:rsidRPr="00210396" w:rsidRDefault="00F6287D" w:rsidP="00B07B4A">
            <w:pPr>
              <w:rPr>
                <w:rFonts w:eastAsia="Times New Roman" w:cs="Arial"/>
                <w:color w:val="000000"/>
                <w:lang w:eastAsia="en-GB"/>
              </w:rPr>
            </w:pPr>
            <w:r w:rsidRPr="00210396">
              <w:rPr>
                <w:rFonts w:eastAsia="Times New Roman" w:cs="Arial"/>
                <w:color w:val="000000"/>
                <w:lang w:eastAsia="en-GB"/>
              </w:rPr>
              <w:t>Princip</w:t>
            </w:r>
            <w:r w:rsidR="001372F1">
              <w:rPr>
                <w:rFonts w:eastAsia="Times New Roman" w:cs="Arial"/>
                <w:color w:val="000000"/>
                <w:lang w:eastAsia="en-GB"/>
              </w:rPr>
              <w:t>a</w:t>
            </w:r>
            <w:r w:rsidRPr="00210396">
              <w:rPr>
                <w:rFonts w:eastAsia="Times New Roman" w:cs="Arial"/>
                <w:color w:val="000000"/>
                <w:lang w:eastAsia="en-GB"/>
              </w:rPr>
              <w:t>l Consultant</w:t>
            </w:r>
          </w:p>
        </w:tc>
        <w:tc>
          <w:tcPr>
            <w:tcW w:w="2268" w:type="dxa"/>
            <w:vMerge w:val="restart"/>
            <w:tcBorders>
              <w:top w:val="single" w:sz="18" w:space="0" w:color="auto"/>
              <w:left w:val="single" w:sz="18" w:space="0" w:color="auto"/>
              <w:bottom w:val="single" w:sz="18" w:space="0" w:color="auto"/>
              <w:right w:val="single" w:sz="18" w:space="0" w:color="auto"/>
            </w:tcBorders>
            <w:vAlign w:val="center"/>
          </w:tcPr>
          <w:p w14:paraId="2007FC4F" w14:textId="77777777" w:rsidR="00F6287D" w:rsidRPr="00210396" w:rsidRDefault="00F6287D" w:rsidP="00B07B4A">
            <w:pPr>
              <w:jc w:val="center"/>
              <w:rPr>
                <w:rFonts w:eastAsia="Times New Roman" w:cs="Arial"/>
                <w:color w:val="000000"/>
                <w:lang w:eastAsia="en-GB"/>
              </w:rPr>
            </w:pPr>
          </w:p>
        </w:tc>
        <w:tc>
          <w:tcPr>
            <w:tcW w:w="2552" w:type="dxa"/>
            <w:vMerge w:val="restart"/>
            <w:tcBorders>
              <w:top w:val="single" w:sz="18" w:space="0" w:color="auto"/>
              <w:left w:val="single" w:sz="18" w:space="0" w:color="auto"/>
              <w:bottom w:val="single" w:sz="18" w:space="0" w:color="auto"/>
              <w:right w:val="single" w:sz="18" w:space="0" w:color="auto"/>
            </w:tcBorders>
            <w:vAlign w:val="center"/>
          </w:tcPr>
          <w:p w14:paraId="6D67175F" w14:textId="77777777" w:rsidR="00F6287D" w:rsidRPr="00210396" w:rsidRDefault="00F6287D" w:rsidP="00B07B4A">
            <w:pPr>
              <w:jc w:val="center"/>
              <w:rPr>
                <w:rFonts w:eastAsia="Times New Roman" w:cs="Arial"/>
                <w:color w:val="000000"/>
                <w:lang w:eastAsia="en-GB"/>
              </w:rPr>
            </w:pPr>
          </w:p>
        </w:tc>
        <w:tc>
          <w:tcPr>
            <w:tcW w:w="2693" w:type="dxa"/>
            <w:vMerge w:val="restart"/>
            <w:tcBorders>
              <w:top w:val="single" w:sz="18" w:space="0" w:color="auto"/>
              <w:left w:val="single" w:sz="18" w:space="0" w:color="auto"/>
              <w:bottom w:val="single" w:sz="18" w:space="0" w:color="auto"/>
              <w:right w:val="single" w:sz="18" w:space="0" w:color="auto"/>
            </w:tcBorders>
            <w:vAlign w:val="center"/>
            <w:hideMark/>
          </w:tcPr>
          <w:p w14:paraId="26F88BF4" w14:textId="77777777" w:rsidR="00F6287D" w:rsidRPr="00210396" w:rsidRDefault="00F6287D" w:rsidP="00B07B4A">
            <w:pPr>
              <w:jc w:val="center"/>
              <w:rPr>
                <w:rFonts w:eastAsia="Times New Roman" w:cs="Arial"/>
                <w:b/>
                <w:color w:val="000000"/>
                <w:lang w:eastAsia="en-GB"/>
              </w:rPr>
            </w:pPr>
          </w:p>
        </w:tc>
        <w:tc>
          <w:tcPr>
            <w:tcW w:w="3827" w:type="dxa"/>
            <w:vMerge w:val="restart"/>
            <w:tcBorders>
              <w:top w:val="single" w:sz="18" w:space="0" w:color="auto"/>
              <w:left w:val="single" w:sz="18" w:space="0" w:color="auto"/>
              <w:bottom w:val="single" w:sz="18" w:space="0" w:color="auto"/>
              <w:right w:val="single" w:sz="18" w:space="0" w:color="auto"/>
            </w:tcBorders>
            <w:vAlign w:val="center"/>
          </w:tcPr>
          <w:p w14:paraId="281DCD9C" w14:textId="77777777" w:rsidR="00F6287D" w:rsidRPr="00210396" w:rsidRDefault="00F6287D" w:rsidP="00B07B4A">
            <w:pPr>
              <w:jc w:val="center"/>
              <w:rPr>
                <w:rFonts w:eastAsia="Times New Roman" w:cs="Arial"/>
                <w:color w:val="000000"/>
                <w:lang w:eastAsia="en-GB"/>
              </w:rPr>
            </w:pPr>
          </w:p>
        </w:tc>
      </w:tr>
      <w:tr w:rsidR="00F6287D" w:rsidRPr="008E151D" w14:paraId="3D2A021A" w14:textId="77777777" w:rsidTr="00F6287D">
        <w:trPr>
          <w:trHeight w:val="450"/>
        </w:trPr>
        <w:tc>
          <w:tcPr>
            <w:tcW w:w="2398" w:type="dxa"/>
            <w:vMerge/>
            <w:tcBorders>
              <w:top w:val="single" w:sz="18" w:space="0" w:color="auto"/>
              <w:left w:val="single" w:sz="18" w:space="0" w:color="auto"/>
              <w:bottom w:val="single" w:sz="18" w:space="0" w:color="auto"/>
              <w:right w:val="single" w:sz="18" w:space="0" w:color="auto"/>
            </w:tcBorders>
            <w:vAlign w:val="center"/>
            <w:hideMark/>
          </w:tcPr>
          <w:p w14:paraId="4623CE1F" w14:textId="77777777" w:rsidR="00F6287D" w:rsidRPr="00210396" w:rsidRDefault="00F6287D" w:rsidP="00B07B4A">
            <w:pPr>
              <w:rPr>
                <w:rFonts w:eastAsia="Times New Roman" w:cs="Arial"/>
                <w:color w:val="000000"/>
                <w:lang w:eastAsia="en-GB"/>
              </w:rPr>
            </w:pPr>
          </w:p>
        </w:tc>
        <w:tc>
          <w:tcPr>
            <w:tcW w:w="2268" w:type="dxa"/>
            <w:vMerge/>
            <w:tcBorders>
              <w:top w:val="single" w:sz="18" w:space="0" w:color="auto"/>
              <w:left w:val="single" w:sz="18" w:space="0" w:color="auto"/>
              <w:bottom w:val="single" w:sz="18" w:space="0" w:color="auto"/>
              <w:right w:val="single" w:sz="18" w:space="0" w:color="auto"/>
            </w:tcBorders>
            <w:vAlign w:val="center"/>
          </w:tcPr>
          <w:p w14:paraId="66A75792" w14:textId="77777777" w:rsidR="00F6287D" w:rsidRPr="00210396" w:rsidRDefault="00F6287D" w:rsidP="00B07B4A">
            <w:pPr>
              <w:rPr>
                <w:rFonts w:eastAsia="Times New Roman" w:cs="Arial"/>
                <w:color w:val="000000"/>
                <w:lang w:eastAsia="en-GB"/>
              </w:rPr>
            </w:pPr>
          </w:p>
        </w:tc>
        <w:tc>
          <w:tcPr>
            <w:tcW w:w="2552" w:type="dxa"/>
            <w:vMerge/>
            <w:tcBorders>
              <w:top w:val="single" w:sz="18" w:space="0" w:color="auto"/>
              <w:left w:val="single" w:sz="18" w:space="0" w:color="auto"/>
              <w:bottom w:val="single" w:sz="18" w:space="0" w:color="auto"/>
              <w:right w:val="single" w:sz="18" w:space="0" w:color="auto"/>
            </w:tcBorders>
            <w:vAlign w:val="center"/>
          </w:tcPr>
          <w:p w14:paraId="3CD773DA" w14:textId="77777777" w:rsidR="00F6287D" w:rsidRPr="00210396" w:rsidRDefault="00F6287D" w:rsidP="00B07B4A">
            <w:pPr>
              <w:rPr>
                <w:rFonts w:eastAsia="Times New Roman" w:cs="Arial"/>
                <w:color w:val="000000"/>
                <w:lang w:eastAsia="en-GB"/>
              </w:rPr>
            </w:pPr>
          </w:p>
        </w:tc>
        <w:tc>
          <w:tcPr>
            <w:tcW w:w="2693" w:type="dxa"/>
            <w:vMerge/>
            <w:tcBorders>
              <w:top w:val="single" w:sz="18" w:space="0" w:color="auto"/>
              <w:left w:val="single" w:sz="18" w:space="0" w:color="auto"/>
              <w:bottom w:val="single" w:sz="18" w:space="0" w:color="auto"/>
              <w:right w:val="single" w:sz="18" w:space="0" w:color="auto"/>
            </w:tcBorders>
            <w:vAlign w:val="center"/>
            <w:hideMark/>
          </w:tcPr>
          <w:p w14:paraId="308436AE" w14:textId="77777777" w:rsidR="00F6287D" w:rsidRPr="00210396" w:rsidRDefault="00F6287D" w:rsidP="00B07B4A">
            <w:pPr>
              <w:rPr>
                <w:rFonts w:eastAsia="Times New Roman" w:cs="Arial"/>
                <w:b/>
                <w:color w:val="000000"/>
                <w:lang w:eastAsia="en-GB"/>
              </w:rPr>
            </w:pPr>
          </w:p>
        </w:tc>
        <w:tc>
          <w:tcPr>
            <w:tcW w:w="3827" w:type="dxa"/>
            <w:vMerge/>
            <w:tcBorders>
              <w:top w:val="single" w:sz="18" w:space="0" w:color="auto"/>
              <w:left w:val="single" w:sz="18" w:space="0" w:color="auto"/>
              <w:bottom w:val="single" w:sz="18" w:space="0" w:color="auto"/>
              <w:right w:val="single" w:sz="18" w:space="0" w:color="auto"/>
            </w:tcBorders>
            <w:vAlign w:val="center"/>
          </w:tcPr>
          <w:p w14:paraId="5B328BCC" w14:textId="77777777" w:rsidR="00F6287D" w:rsidRPr="00210396" w:rsidRDefault="00F6287D" w:rsidP="00B07B4A">
            <w:pPr>
              <w:rPr>
                <w:rFonts w:eastAsia="Times New Roman" w:cs="Arial"/>
                <w:color w:val="000000"/>
                <w:lang w:eastAsia="en-GB"/>
              </w:rPr>
            </w:pPr>
          </w:p>
        </w:tc>
      </w:tr>
      <w:tr w:rsidR="00F6287D" w:rsidRPr="008E151D" w14:paraId="6661C398" w14:textId="77777777" w:rsidTr="00F6287D">
        <w:trPr>
          <w:trHeight w:val="192"/>
        </w:trPr>
        <w:tc>
          <w:tcPr>
            <w:tcW w:w="2398" w:type="dxa"/>
            <w:tcBorders>
              <w:top w:val="single" w:sz="18" w:space="0" w:color="auto"/>
              <w:left w:val="single" w:sz="18" w:space="0" w:color="auto"/>
              <w:bottom w:val="single" w:sz="18" w:space="0" w:color="auto"/>
              <w:right w:val="single" w:sz="18" w:space="0" w:color="auto"/>
            </w:tcBorders>
            <w:vAlign w:val="center"/>
            <w:hideMark/>
          </w:tcPr>
          <w:p w14:paraId="0F9F75FE" w14:textId="77777777" w:rsidR="00F6287D" w:rsidRPr="00210396" w:rsidRDefault="00F6287D" w:rsidP="00B07B4A">
            <w:pPr>
              <w:rPr>
                <w:rFonts w:eastAsia="Times New Roman" w:cs="Arial"/>
                <w:color w:val="000000"/>
                <w:lang w:eastAsia="en-GB"/>
              </w:rPr>
            </w:pPr>
            <w:r w:rsidRPr="00210396">
              <w:rPr>
                <w:rFonts w:eastAsia="Times New Roman" w:cs="Arial"/>
                <w:color w:val="000000"/>
                <w:lang w:eastAsia="en-GB"/>
              </w:rPr>
              <w:t>Senior Consultant</w:t>
            </w:r>
          </w:p>
        </w:tc>
        <w:tc>
          <w:tcPr>
            <w:tcW w:w="2268" w:type="dxa"/>
            <w:tcBorders>
              <w:top w:val="single" w:sz="18" w:space="0" w:color="auto"/>
              <w:left w:val="single" w:sz="18" w:space="0" w:color="auto"/>
              <w:bottom w:val="single" w:sz="18" w:space="0" w:color="auto"/>
              <w:right w:val="single" w:sz="18" w:space="0" w:color="auto"/>
            </w:tcBorders>
            <w:vAlign w:val="center"/>
          </w:tcPr>
          <w:p w14:paraId="737E3CE1" w14:textId="77777777" w:rsidR="00F6287D" w:rsidRPr="00210396" w:rsidRDefault="00F6287D" w:rsidP="00B07B4A">
            <w:pPr>
              <w:jc w:val="center"/>
              <w:rPr>
                <w:rFonts w:eastAsia="Times New Roman" w:cs="Arial"/>
                <w:color w:val="000000"/>
                <w:lang w:eastAsia="en-GB"/>
              </w:rPr>
            </w:pPr>
          </w:p>
        </w:tc>
        <w:tc>
          <w:tcPr>
            <w:tcW w:w="2552" w:type="dxa"/>
            <w:tcBorders>
              <w:top w:val="single" w:sz="18" w:space="0" w:color="auto"/>
              <w:left w:val="single" w:sz="18" w:space="0" w:color="auto"/>
              <w:bottom w:val="single" w:sz="18" w:space="0" w:color="auto"/>
              <w:right w:val="single" w:sz="18" w:space="0" w:color="auto"/>
            </w:tcBorders>
            <w:vAlign w:val="center"/>
          </w:tcPr>
          <w:p w14:paraId="4CF27900" w14:textId="77777777" w:rsidR="00F6287D" w:rsidRPr="00210396" w:rsidRDefault="00F6287D" w:rsidP="00B07B4A">
            <w:pPr>
              <w:jc w:val="center"/>
              <w:rPr>
                <w:rFonts w:eastAsia="Times New Roman" w:cs="Arial"/>
                <w:color w:val="000000"/>
                <w:lang w:eastAsia="en-GB"/>
              </w:rPr>
            </w:pPr>
          </w:p>
        </w:tc>
        <w:tc>
          <w:tcPr>
            <w:tcW w:w="2693" w:type="dxa"/>
            <w:tcBorders>
              <w:top w:val="single" w:sz="18" w:space="0" w:color="auto"/>
              <w:left w:val="single" w:sz="18" w:space="0" w:color="auto"/>
              <w:bottom w:val="single" w:sz="18" w:space="0" w:color="auto"/>
              <w:right w:val="single" w:sz="18" w:space="0" w:color="auto"/>
            </w:tcBorders>
            <w:vAlign w:val="center"/>
            <w:hideMark/>
          </w:tcPr>
          <w:p w14:paraId="0D18D92F" w14:textId="77777777" w:rsidR="00F6287D" w:rsidRPr="00210396" w:rsidRDefault="00F6287D" w:rsidP="00B07B4A">
            <w:pPr>
              <w:jc w:val="center"/>
              <w:rPr>
                <w:rFonts w:eastAsia="Times New Roman" w:cs="Arial"/>
                <w:b/>
                <w:color w:val="000000"/>
                <w:lang w:eastAsia="en-GB"/>
              </w:rPr>
            </w:pPr>
          </w:p>
        </w:tc>
        <w:tc>
          <w:tcPr>
            <w:tcW w:w="3827" w:type="dxa"/>
            <w:vMerge w:val="restart"/>
            <w:tcBorders>
              <w:top w:val="single" w:sz="18" w:space="0" w:color="auto"/>
              <w:left w:val="single" w:sz="18" w:space="0" w:color="auto"/>
              <w:bottom w:val="single" w:sz="18" w:space="0" w:color="auto"/>
              <w:right w:val="single" w:sz="18" w:space="0" w:color="auto"/>
            </w:tcBorders>
            <w:vAlign w:val="center"/>
          </w:tcPr>
          <w:p w14:paraId="0D508DEF" w14:textId="77777777" w:rsidR="00F6287D" w:rsidRPr="00210396" w:rsidRDefault="00F6287D" w:rsidP="00B07B4A">
            <w:pPr>
              <w:jc w:val="center"/>
              <w:rPr>
                <w:rFonts w:eastAsia="Times New Roman" w:cs="Arial"/>
                <w:color w:val="000000"/>
                <w:lang w:eastAsia="en-GB"/>
              </w:rPr>
            </w:pPr>
          </w:p>
        </w:tc>
      </w:tr>
      <w:tr w:rsidR="00F6287D" w:rsidRPr="008E151D" w14:paraId="2CFD21BE" w14:textId="77777777" w:rsidTr="00F6287D">
        <w:trPr>
          <w:trHeight w:val="261"/>
        </w:trPr>
        <w:tc>
          <w:tcPr>
            <w:tcW w:w="2398" w:type="dxa"/>
            <w:tcBorders>
              <w:top w:val="single" w:sz="18" w:space="0" w:color="auto"/>
              <w:left w:val="single" w:sz="18" w:space="0" w:color="auto"/>
              <w:bottom w:val="single" w:sz="18" w:space="0" w:color="auto"/>
              <w:right w:val="single" w:sz="18" w:space="0" w:color="auto"/>
            </w:tcBorders>
            <w:vAlign w:val="center"/>
            <w:hideMark/>
          </w:tcPr>
          <w:p w14:paraId="4F9979C8" w14:textId="77777777" w:rsidR="00F6287D" w:rsidRPr="00210396" w:rsidRDefault="00F6287D" w:rsidP="00B07B4A">
            <w:pPr>
              <w:rPr>
                <w:rFonts w:eastAsia="Times New Roman" w:cs="Arial"/>
                <w:color w:val="000000"/>
                <w:lang w:eastAsia="en-GB"/>
              </w:rPr>
            </w:pPr>
            <w:r w:rsidRPr="00210396">
              <w:rPr>
                <w:rFonts w:eastAsia="Times New Roman" w:cs="Arial"/>
                <w:color w:val="000000"/>
                <w:lang w:eastAsia="en-GB"/>
              </w:rPr>
              <w:t>Consultant</w:t>
            </w:r>
          </w:p>
        </w:tc>
        <w:tc>
          <w:tcPr>
            <w:tcW w:w="2268" w:type="dxa"/>
            <w:tcBorders>
              <w:top w:val="single" w:sz="18" w:space="0" w:color="auto"/>
              <w:left w:val="single" w:sz="18" w:space="0" w:color="auto"/>
              <w:bottom w:val="single" w:sz="18" w:space="0" w:color="auto"/>
              <w:right w:val="single" w:sz="18" w:space="0" w:color="auto"/>
            </w:tcBorders>
            <w:vAlign w:val="center"/>
          </w:tcPr>
          <w:p w14:paraId="4DE1C625" w14:textId="77777777" w:rsidR="00F6287D" w:rsidRPr="00210396" w:rsidRDefault="00F6287D" w:rsidP="00B07B4A">
            <w:pPr>
              <w:jc w:val="center"/>
              <w:rPr>
                <w:rFonts w:eastAsia="Times New Roman" w:cs="Arial"/>
                <w:color w:val="000000"/>
                <w:lang w:eastAsia="en-GB"/>
              </w:rPr>
            </w:pPr>
          </w:p>
        </w:tc>
        <w:tc>
          <w:tcPr>
            <w:tcW w:w="2552" w:type="dxa"/>
            <w:tcBorders>
              <w:top w:val="single" w:sz="18" w:space="0" w:color="auto"/>
              <w:left w:val="single" w:sz="18" w:space="0" w:color="auto"/>
              <w:bottom w:val="single" w:sz="18" w:space="0" w:color="auto"/>
              <w:right w:val="single" w:sz="18" w:space="0" w:color="auto"/>
            </w:tcBorders>
            <w:vAlign w:val="center"/>
          </w:tcPr>
          <w:p w14:paraId="697B6722" w14:textId="77777777" w:rsidR="00F6287D" w:rsidRPr="00210396" w:rsidRDefault="00F6287D" w:rsidP="00B07B4A">
            <w:pPr>
              <w:jc w:val="center"/>
              <w:rPr>
                <w:rFonts w:eastAsia="Times New Roman" w:cs="Arial"/>
                <w:color w:val="000000"/>
                <w:lang w:eastAsia="en-GB"/>
              </w:rPr>
            </w:pPr>
          </w:p>
        </w:tc>
        <w:tc>
          <w:tcPr>
            <w:tcW w:w="2693" w:type="dxa"/>
            <w:tcBorders>
              <w:top w:val="single" w:sz="18" w:space="0" w:color="auto"/>
              <w:left w:val="single" w:sz="18" w:space="0" w:color="auto"/>
              <w:bottom w:val="single" w:sz="18" w:space="0" w:color="auto"/>
              <w:right w:val="single" w:sz="18" w:space="0" w:color="auto"/>
            </w:tcBorders>
            <w:vAlign w:val="center"/>
            <w:hideMark/>
          </w:tcPr>
          <w:p w14:paraId="3E30808F" w14:textId="77777777" w:rsidR="00F6287D" w:rsidRPr="00210396" w:rsidRDefault="00F6287D" w:rsidP="00B07B4A">
            <w:pPr>
              <w:jc w:val="center"/>
              <w:rPr>
                <w:rFonts w:eastAsia="Times New Roman" w:cs="Arial"/>
                <w:b/>
                <w:color w:val="000000"/>
                <w:lang w:eastAsia="en-GB"/>
              </w:rPr>
            </w:pPr>
          </w:p>
        </w:tc>
        <w:tc>
          <w:tcPr>
            <w:tcW w:w="3827" w:type="dxa"/>
            <w:vMerge/>
            <w:tcBorders>
              <w:top w:val="single" w:sz="18" w:space="0" w:color="auto"/>
              <w:left w:val="single" w:sz="18" w:space="0" w:color="auto"/>
              <w:bottom w:val="single" w:sz="18" w:space="0" w:color="auto"/>
              <w:right w:val="single" w:sz="18" w:space="0" w:color="auto"/>
            </w:tcBorders>
            <w:vAlign w:val="center"/>
          </w:tcPr>
          <w:p w14:paraId="65C0B56E" w14:textId="77777777" w:rsidR="00F6287D" w:rsidRPr="00210396" w:rsidRDefault="00F6287D" w:rsidP="00B07B4A">
            <w:pPr>
              <w:rPr>
                <w:rFonts w:eastAsia="Times New Roman" w:cs="Arial"/>
                <w:color w:val="000000"/>
                <w:lang w:eastAsia="en-GB"/>
              </w:rPr>
            </w:pPr>
          </w:p>
        </w:tc>
      </w:tr>
      <w:tr w:rsidR="00F6287D" w:rsidRPr="008E151D" w14:paraId="196768D2" w14:textId="77777777" w:rsidTr="00F6287D">
        <w:trPr>
          <w:trHeight w:val="341"/>
        </w:trPr>
        <w:tc>
          <w:tcPr>
            <w:tcW w:w="2398" w:type="dxa"/>
            <w:tcBorders>
              <w:top w:val="single" w:sz="18" w:space="0" w:color="auto"/>
              <w:left w:val="single" w:sz="18" w:space="0" w:color="auto"/>
              <w:bottom w:val="single" w:sz="18" w:space="0" w:color="auto"/>
              <w:right w:val="single" w:sz="18" w:space="0" w:color="auto"/>
            </w:tcBorders>
            <w:vAlign w:val="center"/>
            <w:hideMark/>
          </w:tcPr>
          <w:p w14:paraId="06043544" w14:textId="77777777" w:rsidR="00F6287D" w:rsidRPr="00210396" w:rsidRDefault="00F6287D" w:rsidP="00B07B4A">
            <w:pPr>
              <w:rPr>
                <w:rFonts w:eastAsia="Times New Roman" w:cs="Arial"/>
                <w:color w:val="000000"/>
                <w:lang w:eastAsia="en-GB"/>
              </w:rPr>
            </w:pPr>
            <w:r w:rsidRPr="00210396">
              <w:rPr>
                <w:rFonts w:eastAsia="Times New Roman" w:cs="Arial"/>
                <w:color w:val="000000"/>
                <w:lang w:eastAsia="en-GB"/>
              </w:rPr>
              <w:t>Junior Consultant</w:t>
            </w:r>
          </w:p>
        </w:tc>
        <w:tc>
          <w:tcPr>
            <w:tcW w:w="2268" w:type="dxa"/>
            <w:tcBorders>
              <w:top w:val="single" w:sz="18" w:space="0" w:color="auto"/>
              <w:left w:val="single" w:sz="18" w:space="0" w:color="auto"/>
              <w:bottom w:val="single" w:sz="18" w:space="0" w:color="auto"/>
              <w:right w:val="single" w:sz="18" w:space="0" w:color="auto"/>
            </w:tcBorders>
            <w:vAlign w:val="center"/>
          </w:tcPr>
          <w:p w14:paraId="6A7C30DE" w14:textId="77777777" w:rsidR="00F6287D" w:rsidRPr="00210396" w:rsidRDefault="00F6287D" w:rsidP="00B07B4A">
            <w:pPr>
              <w:jc w:val="center"/>
              <w:rPr>
                <w:rFonts w:eastAsia="Times New Roman" w:cs="Arial"/>
                <w:color w:val="000000"/>
                <w:lang w:eastAsia="en-GB"/>
              </w:rPr>
            </w:pPr>
          </w:p>
        </w:tc>
        <w:tc>
          <w:tcPr>
            <w:tcW w:w="2552" w:type="dxa"/>
            <w:tcBorders>
              <w:top w:val="single" w:sz="18" w:space="0" w:color="auto"/>
              <w:left w:val="single" w:sz="18" w:space="0" w:color="auto"/>
              <w:bottom w:val="single" w:sz="18" w:space="0" w:color="auto"/>
              <w:right w:val="single" w:sz="18" w:space="0" w:color="auto"/>
            </w:tcBorders>
            <w:vAlign w:val="center"/>
          </w:tcPr>
          <w:p w14:paraId="396B9335" w14:textId="77777777" w:rsidR="00F6287D" w:rsidRPr="00210396" w:rsidRDefault="00F6287D" w:rsidP="00B07B4A">
            <w:pPr>
              <w:jc w:val="center"/>
              <w:rPr>
                <w:rFonts w:eastAsia="Times New Roman" w:cs="Arial"/>
                <w:color w:val="000000"/>
                <w:lang w:eastAsia="en-GB"/>
              </w:rPr>
            </w:pPr>
          </w:p>
        </w:tc>
        <w:tc>
          <w:tcPr>
            <w:tcW w:w="2693" w:type="dxa"/>
            <w:tcBorders>
              <w:top w:val="single" w:sz="18" w:space="0" w:color="auto"/>
              <w:left w:val="single" w:sz="18" w:space="0" w:color="auto"/>
              <w:bottom w:val="single" w:sz="18" w:space="0" w:color="auto"/>
              <w:right w:val="single" w:sz="18" w:space="0" w:color="auto"/>
            </w:tcBorders>
            <w:vAlign w:val="center"/>
            <w:hideMark/>
          </w:tcPr>
          <w:p w14:paraId="6EFB3AEF" w14:textId="77777777" w:rsidR="00F6287D" w:rsidRPr="00210396" w:rsidRDefault="00F6287D" w:rsidP="00B07B4A">
            <w:pPr>
              <w:jc w:val="center"/>
              <w:rPr>
                <w:rFonts w:eastAsia="Times New Roman" w:cs="Arial"/>
                <w:b/>
                <w:color w:val="000000"/>
                <w:lang w:eastAsia="en-GB"/>
              </w:rPr>
            </w:pPr>
          </w:p>
        </w:tc>
        <w:tc>
          <w:tcPr>
            <w:tcW w:w="3827" w:type="dxa"/>
            <w:tcBorders>
              <w:top w:val="single" w:sz="18" w:space="0" w:color="auto"/>
              <w:left w:val="single" w:sz="18" w:space="0" w:color="auto"/>
              <w:bottom w:val="single" w:sz="18" w:space="0" w:color="auto"/>
              <w:right w:val="single" w:sz="18" w:space="0" w:color="auto"/>
            </w:tcBorders>
            <w:vAlign w:val="center"/>
          </w:tcPr>
          <w:p w14:paraId="3710C522" w14:textId="77777777" w:rsidR="00F6287D" w:rsidRPr="00210396" w:rsidRDefault="00F6287D" w:rsidP="00B07B4A">
            <w:pPr>
              <w:jc w:val="center"/>
              <w:rPr>
                <w:rFonts w:eastAsia="Times New Roman" w:cs="Arial"/>
                <w:color w:val="000000"/>
                <w:lang w:eastAsia="en-GB"/>
              </w:rPr>
            </w:pPr>
          </w:p>
        </w:tc>
      </w:tr>
      <w:tr w:rsidR="00F6287D" w14:paraId="1825CC30" w14:textId="77777777" w:rsidTr="00F6287D">
        <w:trPr>
          <w:trHeight w:val="315"/>
        </w:trPr>
        <w:tc>
          <w:tcPr>
            <w:tcW w:w="9911" w:type="dxa"/>
            <w:gridSpan w:val="4"/>
            <w:tcBorders>
              <w:top w:val="single" w:sz="18" w:space="0" w:color="auto"/>
              <w:left w:val="single" w:sz="18" w:space="0" w:color="auto"/>
              <w:bottom w:val="single" w:sz="18" w:space="0" w:color="auto"/>
              <w:right w:val="single" w:sz="18" w:space="0" w:color="auto"/>
            </w:tcBorders>
            <w:vAlign w:val="center"/>
            <w:hideMark/>
          </w:tcPr>
          <w:p w14:paraId="2F2CEDFF" w14:textId="77777777" w:rsidR="00F6287D" w:rsidRPr="00210396" w:rsidRDefault="00F6287D" w:rsidP="00B07B4A">
            <w:pPr>
              <w:jc w:val="right"/>
              <w:rPr>
                <w:rFonts w:eastAsia="Times New Roman" w:cs="Arial"/>
                <w:b/>
                <w:color w:val="000000"/>
                <w:lang w:eastAsia="en-GB"/>
              </w:rPr>
            </w:pPr>
            <w:r w:rsidRPr="00210396">
              <w:rPr>
                <w:rFonts w:eastAsia="Times New Roman" w:cs="Arial"/>
                <w:b/>
                <w:color w:val="000000"/>
                <w:lang w:eastAsia="en-GB"/>
              </w:rPr>
              <w:t>Total</w:t>
            </w:r>
          </w:p>
        </w:tc>
        <w:tc>
          <w:tcPr>
            <w:tcW w:w="3827" w:type="dxa"/>
            <w:tcBorders>
              <w:top w:val="single" w:sz="18" w:space="0" w:color="auto"/>
              <w:left w:val="single" w:sz="18" w:space="0" w:color="auto"/>
              <w:bottom w:val="single" w:sz="18" w:space="0" w:color="auto"/>
              <w:right w:val="single" w:sz="18" w:space="0" w:color="auto"/>
            </w:tcBorders>
            <w:vAlign w:val="center"/>
            <w:hideMark/>
          </w:tcPr>
          <w:p w14:paraId="69B321D5" w14:textId="77777777" w:rsidR="00F6287D" w:rsidRPr="00210396" w:rsidRDefault="00F6287D" w:rsidP="00B07B4A">
            <w:pPr>
              <w:jc w:val="center"/>
              <w:rPr>
                <w:rFonts w:eastAsia="Times New Roman" w:cs="Arial"/>
                <w:b/>
                <w:color w:val="000000"/>
                <w:lang w:eastAsia="en-GB"/>
              </w:rPr>
            </w:pPr>
          </w:p>
        </w:tc>
      </w:tr>
    </w:tbl>
    <w:p w14:paraId="7D16FED0" w14:textId="77777777" w:rsidR="00F47D21" w:rsidRDefault="00F47D21"/>
    <w:p w14:paraId="763A664C" w14:textId="77777777" w:rsidR="00210396" w:rsidRDefault="00210396"/>
    <w:p w14:paraId="397371D0" w14:textId="77777777" w:rsidR="00210396" w:rsidRDefault="00210396"/>
    <w:p w14:paraId="1CE20A50" w14:textId="77777777" w:rsidR="00210396" w:rsidRDefault="00210396"/>
    <w:p w14:paraId="26B2590F" w14:textId="77777777" w:rsidR="00210396" w:rsidRPr="00210396" w:rsidRDefault="00210396" w:rsidP="00210396">
      <w:pPr>
        <w:pStyle w:val="ListParagraph"/>
        <w:spacing w:after="200" w:line="276" w:lineRule="auto"/>
        <w:ind w:left="0"/>
        <w:rPr>
          <w:rFonts w:eastAsia="Arial"/>
          <w:b/>
          <w:szCs w:val="22"/>
          <w:u w:val="single"/>
        </w:rPr>
      </w:pPr>
      <w:r w:rsidRPr="00210396">
        <w:rPr>
          <w:b/>
          <w:szCs w:val="22"/>
          <w:u w:val="single"/>
        </w:rPr>
        <w:t>Travel and Subsistence Rates</w:t>
      </w:r>
    </w:p>
    <w:p w14:paraId="230F5E8E" w14:textId="77777777" w:rsidR="00210396" w:rsidRPr="00210396" w:rsidRDefault="00210396" w:rsidP="00210396">
      <w:pPr>
        <w:pStyle w:val="ListParagraph"/>
        <w:spacing w:after="200" w:line="276" w:lineRule="auto"/>
        <w:ind w:left="0"/>
        <w:rPr>
          <w:szCs w:val="22"/>
        </w:rPr>
      </w:pPr>
      <w:r w:rsidRPr="00210396">
        <w:rPr>
          <w:szCs w:val="22"/>
        </w:rPr>
        <w:t xml:space="preserve">T&amp;S rates are to be applied to work that is directed away from either the potential bidders’ premises or nominated Authority location. The bid price for tender must not include any anticipated T&amp;S beyond delivery at known locations (i.e. Authority/contractor premises). </w:t>
      </w:r>
    </w:p>
    <w:tbl>
      <w:tblPr>
        <w:tblStyle w:val="TableGrid"/>
        <w:tblW w:w="0" w:type="auto"/>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807"/>
        <w:gridCol w:w="7796"/>
      </w:tblGrid>
      <w:tr w:rsidR="00210396" w:rsidRPr="00210396" w14:paraId="3E086877" w14:textId="77777777" w:rsidTr="005A5A63">
        <w:tc>
          <w:tcPr>
            <w:tcW w:w="5807" w:type="dxa"/>
            <w:hideMark/>
          </w:tcPr>
          <w:p w14:paraId="1FAB39B7" w14:textId="77777777" w:rsidR="00210396" w:rsidRPr="00210396" w:rsidRDefault="00210396">
            <w:pPr>
              <w:pStyle w:val="ListParagraph"/>
              <w:spacing w:after="200" w:line="276" w:lineRule="auto"/>
              <w:ind w:left="0"/>
              <w:rPr>
                <w:sz w:val="22"/>
                <w:szCs w:val="22"/>
              </w:rPr>
            </w:pPr>
            <w:r w:rsidRPr="00210396">
              <w:rPr>
                <w:sz w:val="22"/>
                <w:szCs w:val="22"/>
              </w:rPr>
              <w:t>Motor Mileage Rate (per mile)</w:t>
            </w:r>
          </w:p>
        </w:tc>
        <w:tc>
          <w:tcPr>
            <w:tcW w:w="7796" w:type="dxa"/>
            <w:hideMark/>
          </w:tcPr>
          <w:p w14:paraId="06D1E9F1" w14:textId="77777777" w:rsidR="00210396" w:rsidRPr="00210396" w:rsidRDefault="00210396">
            <w:pPr>
              <w:pStyle w:val="ListParagraph"/>
              <w:spacing w:after="200" w:line="276" w:lineRule="auto"/>
              <w:ind w:left="0"/>
              <w:rPr>
                <w:sz w:val="22"/>
                <w:szCs w:val="22"/>
              </w:rPr>
            </w:pPr>
            <w:r w:rsidRPr="00210396">
              <w:rPr>
                <w:sz w:val="22"/>
                <w:szCs w:val="22"/>
              </w:rPr>
              <w:t>£</w:t>
            </w:r>
          </w:p>
        </w:tc>
      </w:tr>
      <w:tr w:rsidR="00210396" w:rsidRPr="00210396" w14:paraId="6F5D4D09" w14:textId="77777777" w:rsidTr="005A5A63">
        <w:tc>
          <w:tcPr>
            <w:tcW w:w="5807" w:type="dxa"/>
            <w:hideMark/>
          </w:tcPr>
          <w:p w14:paraId="639C739F" w14:textId="77777777" w:rsidR="00210396" w:rsidRPr="00210396" w:rsidRDefault="00210396">
            <w:pPr>
              <w:pStyle w:val="ListParagraph"/>
              <w:spacing w:after="200" w:line="276" w:lineRule="auto"/>
              <w:ind w:left="0"/>
              <w:rPr>
                <w:sz w:val="22"/>
                <w:szCs w:val="22"/>
              </w:rPr>
            </w:pPr>
            <w:r w:rsidRPr="00210396">
              <w:rPr>
                <w:sz w:val="22"/>
                <w:szCs w:val="22"/>
              </w:rPr>
              <w:t xml:space="preserve">Train </w:t>
            </w:r>
          </w:p>
        </w:tc>
        <w:tc>
          <w:tcPr>
            <w:tcW w:w="7796" w:type="dxa"/>
            <w:hideMark/>
          </w:tcPr>
          <w:p w14:paraId="040C852A" w14:textId="77777777" w:rsidR="00210396" w:rsidRPr="00210396" w:rsidRDefault="00210396">
            <w:pPr>
              <w:pStyle w:val="ListParagraph"/>
              <w:spacing w:after="200" w:line="276" w:lineRule="auto"/>
              <w:ind w:left="0"/>
              <w:jc w:val="center"/>
              <w:rPr>
                <w:sz w:val="22"/>
                <w:szCs w:val="22"/>
              </w:rPr>
            </w:pPr>
            <w:r w:rsidRPr="00210396">
              <w:rPr>
                <w:sz w:val="22"/>
                <w:szCs w:val="22"/>
              </w:rPr>
              <w:t>As individually priced</w:t>
            </w:r>
          </w:p>
        </w:tc>
      </w:tr>
      <w:tr w:rsidR="00210396" w:rsidRPr="00210396" w14:paraId="7A8922B6" w14:textId="77777777" w:rsidTr="005A5A63">
        <w:tc>
          <w:tcPr>
            <w:tcW w:w="5807" w:type="dxa"/>
            <w:hideMark/>
          </w:tcPr>
          <w:p w14:paraId="6961359F" w14:textId="77777777" w:rsidR="00210396" w:rsidRPr="00210396" w:rsidRDefault="00210396">
            <w:pPr>
              <w:pStyle w:val="ListParagraph"/>
              <w:spacing w:after="200" w:line="276" w:lineRule="auto"/>
              <w:ind w:left="0"/>
              <w:rPr>
                <w:sz w:val="22"/>
                <w:szCs w:val="22"/>
              </w:rPr>
            </w:pPr>
            <w:r w:rsidRPr="00210396">
              <w:rPr>
                <w:sz w:val="22"/>
                <w:szCs w:val="22"/>
              </w:rPr>
              <w:t>Hotel</w:t>
            </w:r>
          </w:p>
        </w:tc>
        <w:tc>
          <w:tcPr>
            <w:tcW w:w="7796" w:type="dxa"/>
            <w:hideMark/>
          </w:tcPr>
          <w:p w14:paraId="51530F92" w14:textId="77777777" w:rsidR="00210396" w:rsidRPr="00210396" w:rsidRDefault="00210396">
            <w:pPr>
              <w:pStyle w:val="ListParagraph"/>
              <w:spacing w:after="200" w:line="276" w:lineRule="auto"/>
              <w:ind w:left="0"/>
              <w:jc w:val="center"/>
              <w:rPr>
                <w:sz w:val="22"/>
                <w:szCs w:val="22"/>
              </w:rPr>
            </w:pPr>
            <w:r w:rsidRPr="00210396">
              <w:rPr>
                <w:sz w:val="22"/>
                <w:szCs w:val="22"/>
              </w:rPr>
              <w:t>As individually priced</w:t>
            </w:r>
          </w:p>
        </w:tc>
      </w:tr>
      <w:tr w:rsidR="00210396" w:rsidRPr="00210396" w14:paraId="57BE1ABA" w14:textId="77777777" w:rsidTr="005A5A63">
        <w:tc>
          <w:tcPr>
            <w:tcW w:w="5807" w:type="dxa"/>
            <w:hideMark/>
          </w:tcPr>
          <w:p w14:paraId="7A0595AD" w14:textId="77777777" w:rsidR="00210396" w:rsidRPr="00210396" w:rsidRDefault="00210396">
            <w:pPr>
              <w:pStyle w:val="ListParagraph"/>
              <w:spacing w:after="200" w:line="276" w:lineRule="auto"/>
              <w:ind w:left="0"/>
              <w:rPr>
                <w:sz w:val="22"/>
                <w:szCs w:val="22"/>
              </w:rPr>
            </w:pPr>
            <w:r w:rsidRPr="00210396">
              <w:rPr>
                <w:sz w:val="22"/>
                <w:szCs w:val="22"/>
              </w:rPr>
              <w:t>Flights</w:t>
            </w:r>
          </w:p>
        </w:tc>
        <w:tc>
          <w:tcPr>
            <w:tcW w:w="7796" w:type="dxa"/>
            <w:hideMark/>
          </w:tcPr>
          <w:p w14:paraId="434C0DE6" w14:textId="77777777" w:rsidR="00210396" w:rsidRPr="00210396" w:rsidRDefault="00210396">
            <w:pPr>
              <w:pStyle w:val="ListParagraph"/>
              <w:spacing w:after="200" w:line="276" w:lineRule="auto"/>
              <w:ind w:left="0"/>
              <w:jc w:val="center"/>
              <w:rPr>
                <w:sz w:val="22"/>
                <w:szCs w:val="22"/>
              </w:rPr>
            </w:pPr>
            <w:r w:rsidRPr="00210396">
              <w:rPr>
                <w:sz w:val="22"/>
                <w:szCs w:val="22"/>
              </w:rPr>
              <w:t>As individually priced</w:t>
            </w:r>
          </w:p>
        </w:tc>
      </w:tr>
      <w:tr w:rsidR="00210396" w:rsidRPr="00210396" w14:paraId="213DA3C7" w14:textId="77777777" w:rsidTr="005A5A63">
        <w:tc>
          <w:tcPr>
            <w:tcW w:w="5807" w:type="dxa"/>
            <w:hideMark/>
          </w:tcPr>
          <w:p w14:paraId="33143A2C" w14:textId="77777777" w:rsidR="00210396" w:rsidRPr="00210396" w:rsidRDefault="00210396">
            <w:pPr>
              <w:pStyle w:val="ListParagraph"/>
              <w:spacing w:after="200" w:line="276" w:lineRule="auto"/>
              <w:ind w:left="0"/>
              <w:rPr>
                <w:sz w:val="22"/>
                <w:szCs w:val="22"/>
              </w:rPr>
            </w:pPr>
            <w:r w:rsidRPr="00210396">
              <w:rPr>
                <w:sz w:val="22"/>
                <w:szCs w:val="22"/>
              </w:rPr>
              <w:t>Meals</w:t>
            </w:r>
          </w:p>
        </w:tc>
        <w:tc>
          <w:tcPr>
            <w:tcW w:w="7796" w:type="dxa"/>
            <w:hideMark/>
          </w:tcPr>
          <w:p w14:paraId="2A087357" w14:textId="77777777" w:rsidR="00210396" w:rsidRPr="00210396" w:rsidRDefault="00210396">
            <w:pPr>
              <w:pStyle w:val="ListParagraph"/>
              <w:spacing w:after="200" w:line="276" w:lineRule="auto"/>
              <w:ind w:left="0"/>
              <w:jc w:val="center"/>
              <w:rPr>
                <w:sz w:val="22"/>
                <w:szCs w:val="22"/>
              </w:rPr>
            </w:pPr>
            <w:r w:rsidRPr="00210396">
              <w:rPr>
                <w:sz w:val="22"/>
                <w:szCs w:val="22"/>
              </w:rPr>
              <w:t>As individually priced</w:t>
            </w:r>
          </w:p>
        </w:tc>
      </w:tr>
    </w:tbl>
    <w:p w14:paraId="54C0D498" w14:textId="77777777" w:rsidR="00210396" w:rsidRPr="00210396" w:rsidRDefault="00210396"/>
    <w:p w14:paraId="04A8BA1E" w14:textId="77777777" w:rsidR="00210396" w:rsidRDefault="00210396"/>
    <w:sectPr w:rsidR="00210396" w:rsidSect="00F6287D">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FAC00" w14:textId="77777777" w:rsidR="006C6EFA" w:rsidRDefault="006C6EFA" w:rsidP="00F6287D">
      <w:pPr>
        <w:spacing w:after="0" w:line="240" w:lineRule="auto"/>
      </w:pPr>
      <w:r>
        <w:separator/>
      </w:r>
    </w:p>
  </w:endnote>
  <w:endnote w:type="continuationSeparator" w:id="0">
    <w:p w14:paraId="1F322F4A" w14:textId="77777777" w:rsidR="006C6EFA" w:rsidRDefault="006C6EFA" w:rsidP="00F6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573ED" w14:textId="77777777" w:rsidR="006C6EFA" w:rsidRDefault="006C6EFA" w:rsidP="00F6287D">
      <w:pPr>
        <w:spacing w:after="0" w:line="240" w:lineRule="auto"/>
      </w:pPr>
      <w:r>
        <w:separator/>
      </w:r>
    </w:p>
  </w:footnote>
  <w:footnote w:type="continuationSeparator" w:id="0">
    <w:p w14:paraId="20587FB5" w14:textId="77777777" w:rsidR="006C6EFA" w:rsidRDefault="006C6EFA" w:rsidP="00F62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1FE13" w14:textId="77777777" w:rsidR="00F6287D" w:rsidRDefault="00F6287D" w:rsidP="00F6287D">
    <w:pPr>
      <w:pStyle w:val="Header"/>
      <w:jc w:val="center"/>
    </w:pPr>
    <w:r>
      <w:t>OFFICIAL-SENSITIVE-COMMERCIAL (WHEN COMPLETED)</w:t>
    </w:r>
  </w:p>
  <w:p w14:paraId="251CE1F7" w14:textId="77777777" w:rsidR="00F6287D" w:rsidRDefault="00F6287D" w:rsidP="00F6287D">
    <w:pPr>
      <w:pStyle w:val="Header"/>
      <w:jc w:val="center"/>
    </w:pPr>
  </w:p>
  <w:p w14:paraId="60158A02" w14:textId="77777777" w:rsidR="00F6287D" w:rsidRDefault="00F6287D" w:rsidP="00F6287D">
    <w:pPr>
      <w:pStyle w:val="Header"/>
      <w:jc w:val="center"/>
    </w:pPr>
    <w:r>
      <w:rPr>
        <w:u w:val="single"/>
      </w:rPr>
      <w:t xml:space="preserve">APPENDIX </w:t>
    </w:r>
    <w:r w:rsidR="009F39F5">
      <w:rPr>
        <w:u w:val="single"/>
      </w:rPr>
      <w:t>E</w:t>
    </w:r>
    <w:r>
      <w:rPr>
        <w:u w:val="single"/>
      </w:rPr>
      <w:t xml:space="preserve"> – ITT REFERENCE:  70000</w:t>
    </w:r>
    <w:r w:rsidR="009F39F5">
      <w:rPr>
        <w:u w:val="single"/>
      </w:rPr>
      <w:t>6374</w:t>
    </w:r>
  </w:p>
  <w:p w14:paraId="355C614B" w14:textId="77777777" w:rsidR="00F6287D" w:rsidRDefault="00F6287D" w:rsidP="00F6287D">
    <w:pPr>
      <w:pStyle w:val="Header"/>
      <w:jc w:val="center"/>
    </w:pPr>
  </w:p>
  <w:p w14:paraId="340D49AC" w14:textId="77777777" w:rsidR="00F6287D" w:rsidRPr="00F6287D" w:rsidRDefault="00F6287D" w:rsidP="00F6287D">
    <w:pPr>
      <w:pStyle w:val="Header"/>
      <w:jc w:val="center"/>
      <w:rPr>
        <w:u w:val="single"/>
      </w:rPr>
    </w:pPr>
    <w:r>
      <w:rPr>
        <w:u w:val="single"/>
      </w:rPr>
      <w:t>PRICING SCHEDULE</w:t>
    </w:r>
  </w:p>
  <w:p w14:paraId="7CD013A3" w14:textId="77777777" w:rsidR="00F6287D" w:rsidRPr="00F6287D" w:rsidRDefault="00F6287D" w:rsidP="00F6287D">
    <w:pPr>
      <w:pStyle w:val="Header"/>
      <w:tabs>
        <w:tab w:val="left" w:pos="10915"/>
      </w:tabs>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826B4"/>
    <w:multiLevelType w:val="hybridMultilevel"/>
    <w:tmpl w:val="C652F52A"/>
    <w:lvl w:ilvl="0" w:tplc="4DDE8B70">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7D"/>
    <w:rsid w:val="000B6FF6"/>
    <w:rsid w:val="001372F1"/>
    <w:rsid w:val="00210396"/>
    <w:rsid w:val="004E4899"/>
    <w:rsid w:val="005A5A63"/>
    <w:rsid w:val="006C6EFA"/>
    <w:rsid w:val="00882271"/>
    <w:rsid w:val="008E039C"/>
    <w:rsid w:val="009F39F5"/>
    <w:rsid w:val="00A916BE"/>
    <w:rsid w:val="00B55084"/>
    <w:rsid w:val="00C43296"/>
    <w:rsid w:val="00CA7142"/>
    <w:rsid w:val="00F47D21"/>
    <w:rsid w:val="00F6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6D7529"/>
  <w15:chartTrackingRefBased/>
  <w15:docId w15:val="{26CE33D5-02A9-48E8-9126-BC19EBC2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287D"/>
    <w:pPr>
      <w:spacing w:after="200" w:line="276" w:lineRule="auto"/>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87D"/>
    <w:pPr>
      <w:spacing w:before="120" w:after="120" w:line="240" w:lineRule="auto"/>
      <w:ind w:left="720"/>
    </w:pPr>
    <w:rPr>
      <w:rFonts w:eastAsia="Times New Roman"/>
      <w:szCs w:val="24"/>
    </w:rPr>
  </w:style>
  <w:style w:type="paragraph" w:styleId="Header">
    <w:name w:val="header"/>
    <w:basedOn w:val="Normal"/>
    <w:link w:val="HeaderChar"/>
    <w:uiPriority w:val="99"/>
    <w:unhideWhenUsed/>
    <w:rsid w:val="00F62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7D"/>
    <w:rPr>
      <w:rFonts w:ascii="Arial" w:eastAsia="Calibri" w:hAnsi="Arial" w:cs="Times New Roman"/>
    </w:rPr>
  </w:style>
  <w:style w:type="paragraph" w:styleId="Footer">
    <w:name w:val="footer"/>
    <w:basedOn w:val="Normal"/>
    <w:link w:val="FooterChar"/>
    <w:uiPriority w:val="99"/>
    <w:unhideWhenUsed/>
    <w:rsid w:val="00F62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7D"/>
    <w:rPr>
      <w:rFonts w:ascii="Arial" w:eastAsia="Calibri" w:hAnsi="Arial" w:cs="Times New Roman"/>
    </w:rPr>
  </w:style>
  <w:style w:type="table" w:styleId="TableGrid">
    <w:name w:val="Table Grid"/>
    <w:basedOn w:val="TableNormal"/>
    <w:uiPriority w:val="39"/>
    <w:rsid w:val="00210396"/>
    <w:pPr>
      <w:spacing w:after="0" w:line="240" w:lineRule="auto"/>
    </w:pPr>
    <w:rPr>
      <w:rFonts w:ascii="Arial" w:eastAsia="Arial" w:hAnsi="Arial"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07457">
      <w:bodyDiv w:val="1"/>
      <w:marLeft w:val="0"/>
      <w:marRight w:val="0"/>
      <w:marTop w:val="0"/>
      <w:marBottom w:val="0"/>
      <w:divBdr>
        <w:top w:val="none" w:sz="0" w:space="0" w:color="auto"/>
        <w:left w:val="none" w:sz="0" w:space="0" w:color="auto"/>
        <w:bottom w:val="none" w:sz="0" w:space="0" w:color="auto"/>
        <w:right w:val="none" w:sz="0" w:space="0" w:color="auto"/>
      </w:divBdr>
    </w:div>
    <w:div w:id="88213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1AFD62139434386B34E37B1944D6C" ma:contentTypeVersion="9" ma:contentTypeDescription="Create a new document." ma:contentTypeScope="" ma:versionID="ff95f2f123387fb5bfe614bef29b9977">
  <xsd:schema xmlns:xsd="http://www.w3.org/2001/XMLSchema" xmlns:xs="http://www.w3.org/2001/XMLSchema" xmlns:p="http://schemas.microsoft.com/office/2006/metadata/properties" xmlns:ns3="05c6b2bd-f158-4f4f-b992-05ce42b4dc32" xmlns:ns4="c9a84ea3-55aa-404f-a5d4-ba09519413fa" targetNamespace="http://schemas.microsoft.com/office/2006/metadata/properties" ma:root="true" ma:fieldsID="391e79880e034bbdc43eabb32f3ca418" ns3:_="" ns4:_="">
    <xsd:import namespace="05c6b2bd-f158-4f4f-b992-05ce42b4dc32"/>
    <xsd:import namespace="c9a84ea3-55aa-404f-a5d4-ba09519413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6b2bd-f158-4f4f-b992-05ce42b4dc3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84ea3-55aa-404f-a5d4-ba09519413f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93EC4E-988F-48C8-9AA5-128359D73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6b2bd-f158-4f4f-b992-05ce42b4dc32"/>
    <ds:schemaRef ds:uri="c9a84ea3-55aa-404f-a5d4-ba0951941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BDD96-13A4-4A85-A84C-854402969DD1}">
  <ds:schemaRefs>
    <ds:schemaRef ds:uri="http://schemas.microsoft.com/sharepoint/v3/contenttype/forms"/>
  </ds:schemaRefs>
</ds:datastoreItem>
</file>

<file path=customXml/itemProps3.xml><?xml version="1.0" encoding="utf-8"?>
<ds:datastoreItem xmlns:ds="http://schemas.openxmlformats.org/officeDocument/2006/customXml" ds:itemID="{EFFA1FE9-751A-4D30-B1D3-F033239AEF45}">
  <ds:schemaRefs>
    <ds:schemaRef ds:uri="http://schemas.microsoft.com/office/2006/metadata/properties"/>
    <ds:schemaRef ds:uri="05c6b2bd-f158-4f4f-b992-05ce42b4dc32"/>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c9a84ea3-55aa-404f-a5d4-ba09519413fa"/>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Ann C2 (Navy Comrcl-Sourcing 4)</dc:creator>
  <cp:keywords/>
  <dc:description/>
  <cp:lastModifiedBy>Grady, Jack Mr (Navy Comrcl-Sourcing 7)</cp:lastModifiedBy>
  <cp:revision>2</cp:revision>
  <cp:lastPrinted>2019-07-18T10:50:00Z</cp:lastPrinted>
  <dcterms:created xsi:type="dcterms:W3CDTF">2019-07-30T08:26:00Z</dcterms:created>
  <dcterms:modified xsi:type="dcterms:W3CDTF">2019-07-30T08:26:00Z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0x010100FBF1AFD62139434386B34E37B1944D6C</vt:lpwstr>
  </property>
</Properties>
</file>