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center" w:leader="none" w:pos="4513"/>
          <w:tab w:val="right" w:leader="none" w:pos="8306"/>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center" w:leader="none" w:pos="4513"/>
          <w:tab w:val="right" w:leader="none" w:pos="8306"/>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6 (ICT Services)</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201.0" w:type="dxa"/>
        <w:jc w:val="left"/>
        <w:tblInd w:w="828.0" w:type="dxa"/>
        <w:tblLayout w:type="fixed"/>
        <w:tblLook w:val="0000"/>
      </w:tblPr>
      <w:tblGrid>
        <w:gridCol w:w="2740"/>
        <w:gridCol w:w="5461"/>
        <w:tblGridChange w:id="0">
          <w:tblGrid>
            <w:gridCol w:w="2740"/>
            <w:gridCol w:w="5461"/>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Property"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property, other than real property and IPR, including the Buyer System, any equipment issued or made available to the Supplier by the Buyer in connection with this Contract;</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Software"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which is owned by or licensed to the Buyer and which is or will be used by the Supplier for the purposes of providing the Deliverables;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System"</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“Commercial off the shelf Software” or “COTS Software”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Non-customised software where the IPR may be owned and licensed either by the Supplier or a third party depending on the context, and which is commercially available for purchase and subject to standard licence terms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"Defect"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1"/>
              </w:tabs>
              <w:spacing w:after="120" w:before="0" w:line="240" w:lineRule="auto"/>
              <w:ind w:left="170" w:right="0" w:hanging="1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86"/>
              </w:tabs>
              <w:spacing w:after="120" w:before="0" w:line="240" w:lineRule="auto"/>
              <w:ind w:left="342" w:right="0" w:hanging="34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error, damage or defect in the manufacturing of a Deliverable; or</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86"/>
              </w:tabs>
              <w:spacing w:after="120" w:before="0" w:line="240" w:lineRule="auto"/>
              <w:ind w:left="342" w:right="0" w:hanging="34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error or failure of code within the Software which causes a Deliverable to malfunction or to produce unintelligible or incorrect results; or</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86"/>
              </w:tabs>
              <w:spacing w:after="120" w:before="0" w:line="240" w:lineRule="auto"/>
              <w:ind w:left="342" w:right="0" w:hanging="34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86"/>
              </w:tabs>
              <w:spacing w:after="120" w:before="0" w:line="240" w:lineRule="auto"/>
              <w:ind w:left="342" w:right="0" w:hanging="34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"Emergency Maintenance"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 hoc and unplanned maintenance provided by the Supplier where either Party reasonably suspects that the ICT Environment or the Services, or any part of the ICT Environment or the Services, has or may have developed a fault;</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Environment"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System and the Supplier System;</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Software"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and any Software licensed by or through the Supplier, its Sub-Contractors or any third party to the Buyer for the purposes of or pursuant to this Call Off Contract, including any COTS Software;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Schedule"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Release"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 Software"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"Operating Environment"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Buyer System and any premises (including the Buyer Premises, the Supplier’s premises or third party premises) from, to or at which:</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86"/>
                <w:tab w:val="left" w:leader="none" w:pos="684"/>
              </w:tabs>
              <w:spacing w:after="120" w:before="0" w:line="240" w:lineRule="auto"/>
              <w:ind w:left="342"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are (or are to be) provided; or</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86"/>
                <w:tab w:val="left" w:leader="none" w:pos="684"/>
              </w:tabs>
              <w:spacing w:after="120" w:before="0" w:line="240" w:lineRule="auto"/>
              <w:ind w:left="342"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manages, organises or otherwise directs the provision or the use of the Deliverables; or</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86"/>
                <w:tab w:val="left" w:leader="none" w:pos="684"/>
              </w:tabs>
              <w:spacing w:after="120" w:before="0" w:line="240" w:lineRule="auto"/>
              <w:ind w:left="342"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part of the Supplier System is situated;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Maintenance"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Plans"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6.1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Joint Schedule 1(Definitions), and for the purposes of this Call Off Schedule shall also include any premises from, to or at which physical interface with the Buyer System takes place;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Specially Written Software COTS Software and non-COTS Supplier and third party Software;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9.1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"Source Code"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"Specially Written Software"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System"</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hen this Schedule should be used</w:t>
      </w:r>
      <w:r w:rsidDel="00000000" w:rsidR="00000000" w:rsidRPr="00000000">
        <w:rPr>
          <w:rtl w:val="0"/>
        </w:rPr>
      </w:r>
    </w:p>
    <w:p w:rsidR="00000000" w:rsidDel="00000000" w:rsidP="00000000" w:rsidRDefault="00000000" w:rsidRPr="00000000" w14:paraId="0000003C">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is designed to provide additional provisions necessary to facilitate the provision of ICT Services which are part of the Deliverables.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 w:val="left" w:leader="none" w:pos="3686"/>
        </w:tabs>
        <w:spacing w:after="240" w:before="12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due diligence requirements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42"/>
          <w:tab w:val="left" w:leader="none" w:pos="3686"/>
        </w:tabs>
        <w:spacing w:after="240" w:before="12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satisfy itself of all relevant details, including but not limited to, details relating to the following;</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suitability of the existing and (to the extent that it is defined or reasonably foreseeable at the Start Date) future Operating Environment;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processes and procedures and the working methods of the Buyer;</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ownership, functionality, capacity, condition and suitability for use in the provision of the Deliverables of the Buyer Assets; and</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confirms that it has advised the Buyer in writing of:</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aspect, if any, of the Operating Environment that is not suitable for the provision of the ICT Services;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actions needed to remedy each such unsuitable aspect; and</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timetable for and the costs of those actions.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software warranty</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represents and warrants that:</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components of the Specially Written Software shall:</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free from material design and programming errors;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in all material respects in accordance with the relevant specifications contained in Call Off Schedule 14 (Service Levels) and Documentation; and</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infringe any IPR.</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Provision of ICT Services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Software including upgrades, updates and New Releases used by or on behalf of the Supplier are currently supported versions of that Software and perform in all material respects in accordance with the relevant specification;</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Supplier System will be free of all encumbrances;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Deliverables are fully compatible with any Buyer Software, Buyer System, or otherwise used by the Supplier in connection with this Contract;</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any disruption to the Services and the ICT Environment  and/or the Buyer's operations when providing the Deliverables;</w:t>
      </w:r>
      <w:r w:rsidDel="00000000" w:rsidR="00000000" w:rsidRPr="00000000">
        <w:rPr>
          <w:rtl w:val="0"/>
        </w:rPr>
      </w:r>
    </w:p>
    <w:p w:rsidR="00000000" w:rsidDel="00000000" w:rsidP="00000000" w:rsidRDefault="00000000" w:rsidRPr="00000000" w14:paraId="0000005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Standards and Quality Requirements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Plans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the approval of the Quality Plans, the Supplier shall provide all Deliverables in accordance with the Quality Plans.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Supplier Personnel shall at all times during the Call Off Contract Period:</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appropriately experienced, qualified and trained to supply the Deliverables in accordance with this Contract;</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all due skill, care, diligence in faithfully performing those duties and exercising such powers as necessary in connection with the provision of the Deliverables; and</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obey all lawful instructions and reasonable directions of the Buyer (including, if so required by the Buyer, the ICT Policy) and provide the Deliverables to the reasonable satisfaction of the Buyer.</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Audit</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allow any auditor access to the Supplier premises to:</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 the ICT Environment and the wider service delivery environment (or any part of them);</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any records created during the design and development of the Supplier System and pre-operational environment such as information relating to Testing;</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Supplier’s quality management systems including all relevant Quality Plans.</w:t>
      </w:r>
      <w:r w:rsidDel="00000000" w:rsidR="00000000" w:rsidRPr="00000000">
        <w:rPr>
          <w:rtl w:val="0"/>
        </w:rPr>
      </w:r>
    </w:p>
    <w:p w:rsidR="00000000" w:rsidDel="00000000" w:rsidP="00000000" w:rsidRDefault="00000000" w:rsidRPr="00000000" w14:paraId="00000062">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of the ICT Environment</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specified by the Buyer in the Order Form, the Supplier shall create and maintain a rolling schedule of planned maintenance to the ICT Environment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Schedule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make it available to the Buyer for Approval in accordance with the timetable and instructions specified by the Buyer.</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both"/>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Maintenance Schedule has been Approved, the Supplier shall only undertake such planned maintenance (which shall be known 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Maintenance Schedule.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give as much notice as is reasonably practicable to the Buyer prior to carrying out any Emergency Maintenance.</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936" w:right="0" w:hanging="57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r w:rsidDel="00000000" w:rsidR="00000000" w:rsidRPr="00000000">
        <w:rPr>
          <w:rtl w:val="0"/>
        </w:rPr>
      </w:r>
    </w:p>
    <w:p w:rsidR="00000000" w:rsidDel="00000000" w:rsidP="00000000" w:rsidRDefault="00000000" w:rsidRPr="00000000" w14:paraId="0000006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Intellectual Property Rights in ICT</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bookmarkStart w:colFirst="0" w:colLast="0" w:name="_heading=h.1t3h5sf" w:id="7"/>
      <w:bookmarkEnd w:id="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Assignments granted by the Supplier: Specially Written Software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Documentation, Source Code and the Object Code of the Specially Written Software; and</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build instructions, test instructions, test scripts, test data, operating instructions and other documents and tools necessary for maintaining and supporting the Specially Written Software and the New IPR (together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the Buyer of all Specially Written Software or New IPRs that are a modification, customisation, configuration or enhancement to any COTS Software;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execute all such assignments as are required to ensure that any rights in the Specially Written Software and New IPRs are properly transferred to the Buyer.</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bookmarkStart w:colFirst="0" w:colLast="0" w:name="_heading=h.26in1rg"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Licences for non-COTS IPR from the Supplier and third parties to the Buyer</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gives its Approval the Supplier must not use any:</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6"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its own Existing IPR that is not COTS Software;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6"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third party software that is not COTS Software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Call Off Contract Period and after expiry of the Contract to the extent necessary to ensure continuity of service and an effective transition of Services to a Replacement Supplier.</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in writing giving details of what licence terms can be obtained and whether there are alternative software providers which the Supplier could seek to use; and</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use such third party IPR as referred to at paragraph 9.2.3.1 if the Buyer Approves the terms of the licence from the relevant third party.</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unable to provide a license to the Supplier’s Existing IPR in accordance with Paragraph 9.2.2 above, it must meet the requirement by making use of COTS Software or Specially Written Software.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bookmarkStart w:colFirst="0" w:colLast="0" w:name="_heading=h.44sinio"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for COTS Software by the Supplier and third parties to the Buyer</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either grant, or procure that the owners or the authorised licensors of any COTS Software grant, a direct licence to the Buyer on terms no less favourable than those standard commercial terms on which such software is usually made commercially available.</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owns the COTS Software it shall make available the COTS software to a Replacement Supplier at a price and on terms no less favourable than those standard commercial terms on which such software is usually made commercially available.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Buyer within seven (7) days of becoming aware of any COTS Software which in the next thirty-six (36) months: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 longer be maintained or supported by the developer; or</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 longer be made commercially available</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right to assign/novate licences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assign, novate or otherwise transfer its rights and obligations under the licences granted pursuant to paragraph 9.2 (to:</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Central Government Body; or</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any body (including any private sector body) which performs or carries on any of the functions and/or activities that previously had been performed and/or carried on by the Buyer.</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ceases to be a Central Government Body, the successor body to the Buyer shall still be entitled to the benefit of the licences granted in paragraph 9.2.</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936" w:right="0" w:hanging="576"/>
        <w:jc w:val="both"/>
        <w:rPr/>
      </w:pPr>
      <w:bookmarkStart w:colFirst="0" w:colLast="0" w:name="_heading=h.3j2qqm3" w:id="19"/>
      <w:bookmarkEnd w:id="1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 granted by the Buyer</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bookmarkStart w:colFirst="0" w:colLast="0" w:name="_heading=h.4i7ojhp" w:id="21"/>
      <w:bookmarkEnd w:id="2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 Publication</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suitable for publication by the Buyer as Open Source; and</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Open Standards (where applicable),</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21"/>
          <w:tab w:val="left" w:leader="none" w:pos="3063"/>
        </w:tabs>
        <w:spacing w:after="120" w:before="120" w:line="240" w:lineRule="auto"/>
        <w:ind w:left="936"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Buyer may, at its sole discretion, publish the same as Open Source.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34"/>
          <w:tab w:val="left" w:leader="none" w:pos="1985"/>
        </w:tabs>
        <w:spacing w:after="120" w:before="120" w:line="240" w:lineRule="auto"/>
        <w:ind w:left="1656" w:right="0" w:hanging="720"/>
        <w:jc w:val="both"/>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hereby warrants that the Specially Written Software and the New IPR:</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20" w:before="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20" w:before="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been developed using reasonable endeavours to ensure that their publication by the Buyer shall not cause any harm or damage to any party using them;</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20" w:before="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contain any material which would bring the Buyer into disrepute;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20" w:before="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be published as Open Source without breaching the rights of any third party;</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20" w:before="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supplied in a format suitable for publication as Open Source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Open Source Publication Material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later than the date notified by the Buyer to the Supplier; and</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20" w:before="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contain any Malicious Software.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provide written details of the nature of the IPRs and items or Deliverables based on IPRs which are to be excluded from Open Source publication; and</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bookmarkStart w:colFirst="0" w:colLast="0" w:name="_heading=h.3as4poj"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throughout the Contract Period, use the latest versions of anti-virus definitions and software available from an industry accepted anti-virus software vendor to check for, contain the spread of, and minimise the impact of Malicious Software.</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bookmarkStart w:colFirst="0" w:colLast="0" w:name="_heading=h.1pxezwc"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cost arising out of the actions of the Parties taken in compliance with the provisions of paragraph 9.7.2 shall be borne by the Parties as follows:</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Buyer, if the Malicious Software originates from the Buyer Software or the Buyer Data (whilst the Buyer Data was under the control of the Buyer).</w:t>
      </w:r>
      <w:r w:rsidDel="00000000" w:rsidR="00000000" w:rsidRPr="00000000">
        <w:rPr>
          <w:rtl w:val="0"/>
        </w:rPr>
      </w:r>
    </w:p>
    <w:p w:rsidR="00000000" w:rsidDel="00000000" w:rsidP="00000000" w:rsidRDefault="00000000" w:rsidRPr="00000000" w14:paraId="0000009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RM6168 - Estate Management services</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w:t>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6 (ICT Services)</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2020</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70" w:hanging="170"/>
      </w:pPr>
      <w:rPr>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170" w:hanging="170"/>
      </w:pPr>
      <w:rPr>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decimal"/>
      <w:lvlText w:val="%1.%2."/>
      <w:lvlJc w:val="left"/>
      <w:pPr>
        <w:ind w:left="936" w:hanging="576"/>
      </w:pPr>
      <w:rPr>
        <w:rFonts w:ascii="Arial" w:cs="Arial" w:eastAsia="Arial" w:hAnsi="Arial"/>
        <w:b w:val="1"/>
        <w:sz w:val="24"/>
        <w:szCs w:val="24"/>
      </w:rPr>
    </w:lvl>
    <w:lvl w:ilvl="2">
      <w:start w:val="1"/>
      <w:numFmt w:val="decimal"/>
      <w:lvlText w:val="%1.%2.%3."/>
      <w:lvlJc w:val="left"/>
      <w:pPr>
        <w:ind w:left="1656" w:hanging="720"/>
      </w:pPr>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2346" w:hanging="360"/>
      </w:pPr>
      <w:rPr/>
    </w:lvl>
    <w:lvl w:ilvl="1">
      <w:start w:val="1"/>
      <w:numFmt w:val="lowerLetter"/>
      <w:lvlText w:val="%2."/>
      <w:lvlJc w:val="left"/>
      <w:pPr>
        <w:ind w:left="3066" w:hanging="360"/>
      </w:pPr>
      <w:rPr/>
    </w:lvl>
    <w:lvl w:ilvl="2">
      <w:start w:val="1"/>
      <w:numFmt w:val="lowerRoman"/>
      <w:lvlText w:val="%3."/>
      <w:lvlJc w:val="right"/>
      <w:pPr>
        <w:ind w:left="3786" w:hanging="180"/>
      </w:pPr>
      <w:rPr/>
    </w:lvl>
    <w:lvl w:ilvl="3">
      <w:start w:val="1"/>
      <w:numFmt w:val="decimal"/>
      <w:lvlText w:val="%4."/>
      <w:lvlJc w:val="left"/>
      <w:pPr>
        <w:ind w:left="4506" w:hanging="360"/>
      </w:pPr>
      <w:rPr/>
    </w:lvl>
    <w:lvl w:ilvl="4">
      <w:start w:val="1"/>
      <w:numFmt w:val="lowerLetter"/>
      <w:lvlText w:val="%5."/>
      <w:lvlJc w:val="left"/>
      <w:pPr>
        <w:ind w:left="5226" w:hanging="360"/>
      </w:pPr>
      <w:rPr/>
    </w:lvl>
    <w:lvl w:ilvl="5">
      <w:start w:val="1"/>
      <w:numFmt w:val="lowerRoman"/>
      <w:lvlText w:val="%6."/>
      <w:lvlJc w:val="right"/>
      <w:pPr>
        <w:ind w:left="5946" w:hanging="180"/>
      </w:pPr>
      <w:rPr/>
    </w:lvl>
    <w:lvl w:ilvl="6">
      <w:start w:val="1"/>
      <w:numFmt w:val="decimal"/>
      <w:lvlText w:val="%7."/>
      <w:lvlJc w:val="left"/>
      <w:pPr>
        <w:ind w:left="6666" w:hanging="360"/>
      </w:pPr>
      <w:rPr/>
    </w:lvl>
    <w:lvl w:ilvl="7">
      <w:start w:val="1"/>
      <w:numFmt w:val="lowerLetter"/>
      <w:lvlText w:val="%8."/>
      <w:lvlJc w:val="left"/>
      <w:pPr>
        <w:ind w:left="7386" w:hanging="360"/>
      </w:pPr>
      <w:rPr/>
    </w:lvl>
    <w:lvl w:ilvl="8">
      <w:start w:val="1"/>
      <w:numFmt w:val="lowerRoman"/>
      <w:lvlText w:val="%9."/>
      <w:lvlJc w:val="right"/>
      <w:pPr>
        <w:ind w:left="8106"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0" w:hanging="720"/>
    </w:pPr>
    <w:rPr>
      <w:color w:val="000000"/>
    </w:rPr>
  </w:style>
  <w:style w:type="paragraph" w:styleId="Heading2">
    <w:name w:val="heading 2"/>
    <w:basedOn w:val="Normal"/>
    <w:next w:val="Normal"/>
    <w:pPr>
      <w:ind w:left="720" w:hanging="720"/>
    </w:pPr>
    <w:rPr>
      <w:color w:val="000000"/>
    </w:rPr>
  </w:style>
  <w:style w:type="paragraph" w:styleId="Heading3">
    <w:name w:val="heading 3"/>
    <w:basedOn w:val="Normal"/>
    <w:next w:val="Normal"/>
    <w:pPr>
      <w:ind w:left="1800" w:hanging="1080"/>
    </w:pPr>
    <w:rPr>
      <w:color w:val="000000"/>
    </w:rPr>
  </w:style>
  <w:style w:type="paragraph" w:styleId="Heading4">
    <w:name w:val="heading 4"/>
    <w:basedOn w:val="Normal"/>
    <w:next w:val="Normal"/>
    <w:pPr>
      <w:ind w:left="2880" w:hanging="1080"/>
    </w:pPr>
    <w:rPr>
      <w:color w:val="000000"/>
    </w:rPr>
  </w:style>
  <w:style w:type="paragraph" w:styleId="Heading5">
    <w:name w:val="heading 5"/>
    <w:basedOn w:val="Normal"/>
    <w:next w:val="Normal"/>
    <w:pPr>
      <w:ind w:left="3600" w:hanging="720"/>
    </w:pPr>
    <w:rPr>
      <w:color w:val="000000"/>
    </w:rPr>
  </w:style>
  <w:style w:type="paragraph" w:styleId="Heading6">
    <w:name w:val="heading 6"/>
    <w:basedOn w:val="Normal"/>
    <w:next w:val="Normal"/>
    <w:pPr>
      <w:ind w:left="4320" w:hanging="720"/>
    </w:pPr>
    <w:rPr>
      <w:color w:val="000000"/>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pPr>
      <w:widowControl w:val="1"/>
      <w:suppressAutoHyphens w:val="1"/>
      <w:jc w:val="both"/>
    </w:pPr>
  </w:style>
  <w:style w:type="paragraph" w:styleId="Heading1">
    <w:name w:val="heading 1"/>
    <w:basedOn w:val="Normal"/>
    <w:next w:val="Standard"/>
    <w:uiPriority w:val="9"/>
    <w:qFormat w:val="1"/>
    <w:pPr>
      <w:ind w:left="720" w:hanging="720"/>
      <w:outlineLvl w:val="0"/>
    </w:pPr>
    <w:rPr>
      <w:color w:val="000000"/>
    </w:rPr>
  </w:style>
  <w:style w:type="paragraph" w:styleId="Heading2">
    <w:name w:val="heading 2"/>
    <w:basedOn w:val="Normal"/>
    <w:next w:val="Standard"/>
    <w:uiPriority w:val="9"/>
    <w:semiHidden w:val="1"/>
    <w:unhideWhenUsed w:val="1"/>
    <w:qFormat w:val="1"/>
    <w:pPr>
      <w:ind w:left="720" w:hanging="720"/>
      <w:outlineLvl w:val="1"/>
    </w:pPr>
    <w:rPr>
      <w:rFonts w:cs="Calibri" w:eastAsia="Calibri"/>
      <w:color w:val="000000"/>
    </w:rPr>
  </w:style>
  <w:style w:type="paragraph" w:styleId="Heading3">
    <w:name w:val="heading 3"/>
    <w:basedOn w:val="Normal"/>
    <w:next w:val="Standard"/>
    <w:uiPriority w:val="9"/>
    <w:semiHidden w:val="1"/>
    <w:unhideWhenUsed w:val="1"/>
    <w:qFormat w:val="1"/>
    <w:pPr>
      <w:ind w:left="1800" w:hanging="1080"/>
      <w:outlineLvl w:val="2"/>
    </w:pPr>
    <w:rPr>
      <w:color w:val="000000"/>
    </w:rPr>
  </w:style>
  <w:style w:type="paragraph" w:styleId="Heading4">
    <w:name w:val="heading 4"/>
    <w:basedOn w:val="Normal"/>
    <w:next w:val="Standard"/>
    <w:uiPriority w:val="9"/>
    <w:semiHidden w:val="1"/>
    <w:unhideWhenUsed w:val="1"/>
    <w:qFormat w:val="1"/>
    <w:pPr>
      <w:ind w:left="2880" w:hanging="1080"/>
      <w:outlineLvl w:val="3"/>
    </w:pPr>
    <w:rPr>
      <w:color w:val="000000"/>
    </w:rPr>
  </w:style>
  <w:style w:type="paragraph" w:styleId="Heading5">
    <w:name w:val="heading 5"/>
    <w:basedOn w:val="Normal"/>
    <w:next w:val="Standard"/>
    <w:uiPriority w:val="9"/>
    <w:semiHidden w:val="1"/>
    <w:unhideWhenUsed w:val="1"/>
    <w:qFormat w:val="1"/>
    <w:pPr>
      <w:ind w:left="3600" w:hanging="720"/>
      <w:outlineLvl w:val="4"/>
    </w:pPr>
    <w:rPr>
      <w:color w:val="000000"/>
    </w:rPr>
  </w:style>
  <w:style w:type="paragraph" w:styleId="Heading6">
    <w:name w:val="heading 6"/>
    <w:basedOn w:val="Normal"/>
    <w:next w:val="Standard"/>
    <w:uiPriority w:val="9"/>
    <w:semiHidden w:val="1"/>
    <w:unhideWhenUsed w:val="1"/>
    <w:qFormat w:val="1"/>
    <w:pPr>
      <w:ind w:left="4320" w:hanging="720"/>
      <w:outlineLvl w:val="5"/>
    </w:pPr>
    <w:rPr>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spacing w:after="240" w:line="360" w:lineRule="auto"/>
      <w:jc w:val="both"/>
    </w:pPr>
  </w:style>
  <w:style w:type="paragraph" w:styleId="Heading" w:customStyle="1">
    <w:name w:val="Heading"/>
    <w:basedOn w:val="Standard"/>
    <w:next w:val="Textbody"/>
    <w:pPr>
      <w:keepNext w:val="1"/>
      <w:spacing w:after="120" w:before="240"/>
    </w:pPr>
    <w:rPr>
      <w:rFonts w:ascii="Liberation Sans"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Title">
    <w:name w:val="Title"/>
    <w:basedOn w:val="Normal"/>
    <w:next w:val="Standard"/>
    <w:uiPriority w:val="10"/>
    <w:qFormat w:val="1"/>
    <w:pPr>
      <w:spacing w:after="60" w:before="240"/>
      <w:jc w:val="center"/>
    </w:pPr>
    <w:rPr>
      <w:rFonts w:ascii="Arial" w:cs="Arial" w:eastAsia="Arial" w:hAnsi="Arial"/>
      <w:b w:val="1"/>
      <w:sz w:val="32"/>
      <w:szCs w:val="32"/>
    </w:rPr>
  </w:style>
  <w:style w:type="paragraph" w:styleId="Subtitle">
    <w:name w:val="Subtitle"/>
    <w:basedOn w:val="Normal"/>
    <w:next w:val="Standard"/>
    <w:uiPriority w:val="11"/>
    <w:qFormat w:val="1"/>
    <w:pPr>
      <w:spacing w:after="60"/>
      <w:jc w:val="center"/>
    </w:pPr>
    <w:rPr>
      <w:rFonts w:ascii="Cambria" w:cs="Cambria" w:eastAsia="Cambria" w:hAnsi="Cambria"/>
      <w:sz w:val="24"/>
      <w:szCs w:val="24"/>
    </w:rPr>
  </w:style>
  <w:style w:type="paragraph" w:styleId="Header">
    <w:name w:val="header"/>
    <w:basedOn w:val="Standard"/>
  </w:style>
  <w:style w:type="paragraph" w:styleId="Footer">
    <w:name w:val="footer"/>
    <w:basedOn w:val="Standard"/>
  </w:style>
  <w:style w:type="character" w:styleId="ListLabel1" w:customStyle="1">
    <w:name w:val="ListLabel 1"/>
    <w:rPr>
      <w:rFonts w:cs="Arial" w:eastAsia="Arial"/>
      <w:sz w:val="22"/>
      <w:szCs w:val="22"/>
    </w:rPr>
  </w:style>
  <w:style w:type="character" w:styleId="ListLabel2" w:customStyle="1">
    <w:name w:val="ListLabel 2"/>
    <w:rPr>
      <w:rFonts w:ascii="Arial" w:cs="Arial" w:eastAsia="Arial" w:hAnsi="Arial"/>
      <w:b w:val="0"/>
      <w:i w:val="0"/>
      <w:caps w:val="0"/>
      <w:smallCaps w:val="0"/>
      <w:strike w:val="0"/>
      <w:dstrike w:val="0"/>
      <w:color w:val="000000"/>
      <w:position w:val="0"/>
      <w:sz w:val="24"/>
      <w:u w:val="none"/>
      <w:vertAlign w:val="baseline"/>
    </w:rPr>
  </w:style>
  <w:style w:type="character" w:styleId="ListLabel3" w:customStyle="1">
    <w:name w:val="ListLabel 3"/>
    <w:rPr>
      <w:rFonts w:cs="Arial" w:eastAsia="Arial"/>
      <w:sz w:val="22"/>
      <w:szCs w:val="22"/>
    </w:rPr>
  </w:style>
  <w:style w:type="character" w:styleId="ListLabel4" w:customStyle="1">
    <w:name w:val="ListLabel 4"/>
    <w:rPr>
      <w:rFonts w:ascii="Arial" w:cs="Arial" w:eastAsia="Arial" w:hAnsi="Arial"/>
      <w:b w:val="1"/>
      <w:sz w:val="24"/>
    </w:rPr>
  </w:style>
  <w:style w:type="character" w:styleId="ListLabel5" w:customStyle="1">
    <w:name w:val="ListLabel 5"/>
    <w:rPr>
      <w:rFonts w:cs="Arial" w:eastAsia="Arial"/>
      <w:sz w:val="22"/>
      <w:szCs w:val="22"/>
    </w:rPr>
  </w:style>
  <w:style w:type="character" w:styleId="ListLabel6" w:customStyle="1">
    <w:name w:val="ListLabel 6"/>
    <w:rPr>
      <w:rFonts w:ascii="Arial" w:cs="Arial" w:eastAsia="Arial" w:hAnsi="Arial"/>
      <w:b w:val="0"/>
      <w:i w:val="0"/>
      <w:caps w:val="0"/>
      <w:smallCaps w:val="0"/>
      <w:strike w:val="0"/>
      <w:dstrike w:val="0"/>
      <w:color w:val="000000"/>
      <w:position w:val="0"/>
      <w:sz w:val="24"/>
      <w:u w:val="none"/>
      <w:vertAlign w:val="baseline"/>
    </w:rPr>
  </w:style>
  <w:style w:type="character" w:styleId="ListLabel7" w:customStyle="1">
    <w:name w:val="ListLabel 7"/>
    <w:rPr>
      <w:rFonts w:cs="Arial" w:eastAsia="Arial"/>
      <w:sz w:val="22"/>
      <w:szCs w:val="22"/>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numbering" w:styleId="WWNum3" w:customStyle="1">
    <w:name w:val="WWNum3"/>
    <w:basedOn w:val="NoList"/>
    <w:pPr>
      <w:numPr>
        <w:numId w:val="4"/>
      </w:numPr>
    </w:pPr>
  </w:style>
  <w:style w:type="numbering" w:styleId="WWNum4" w:customStyle="1">
    <w:name w:val="WWNum4"/>
    <w:basedOn w:val="NoList"/>
    <w:pPr>
      <w:numPr>
        <w:numId w:val="5"/>
      </w:numPr>
    </w:p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7wv3dV0QUeysZWPnIxRnjElfR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gAciExR2pEU3lNcHQ5NWJROWJXZzVYbWRGX0w2X18tLUptZ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2025-02-04T10:44:00Z</dcterms:created>
  <dc:creator>Caroline Peake</dc:creator>
</cp:coreProperties>
</file>