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D59FF0" w14:textId="28E0B78B" w:rsidR="009939FF" w:rsidRPr="004158F9" w:rsidRDefault="009939FF" w:rsidP="00280F75">
      <w:pPr>
        <w:jc w:val="both"/>
        <w:rPr>
          <w:rFonts w:ascii="Arial" w:hAnsi="Arial" w:cs="Arial"/>
          <w:b/>
          <w:sz w:val="24"/>
          <w:szCs w:val="24"/>
        </w:rPr>
      </w:pPr>
      <w:r w:rsidRPr="004158F9">
        <w:rPr>
          <w:rFonts w:ascii="Arial" w:hAnsi="Arial" w:cs="Arial"/>
          <w:b/>
          <w:sz w:val="24"/>
          <w:szCs w:val="24"/>
        </w:rPr>
        <w:t>Document No. 0</w:t>
      </w:r>
      <w:r>
        <w:rPr>
          <w:rFonts w:ascii="Arial" w:hAnsi="Arial" w:cs="Arial"/>
          <w:b/>
          <w:sz w:val="24"/>
          <w:szCs w:val="24"/>
        </w:rPr>
        <w:t>4b</w:t>
      </w:r>
    </w:p>
    <w:p w14:paraId="27658E69" w14:textId="77777777" w:rsidR="009939FF" w:rsidRPr="00667472" w:rsidRDefault="009939FF" w:rsidP="00280F75">
      <w:pPr>
        <w:jc w:val="both"/>
        <w:rPr>
          <w:rFonts w:ascii="Arial" w:hAnsi="Arial" w:cs="Arial"/>
          <w:sz w:val="28"/>
          <w:szCs w:val="28"/>
        </w:rPr>
      </w:pPr>
    </w:p>
    <w:p w14:paraId="7E150BE9" w14:textId="77777777" w:rsidR="009939FF" w:rsidRPr="007E0361" w:rsidRDefault="009939FF" w:rsidP="00280F75">
      <w:pPr>
        <w:jc w:val="both"/>
        <w:rPr>
          <w:rFonts w:ascii="Arial" w:hAnsi="Arial" w:cs="Arial"/>
          <w:sz w:val="24"/>
          <w:szCs w:val="24"/>
        </w:rPr>
      </w:pPr>
    </w:p>
    <w:p w14:paraId="1653C9F0" w14:textId="77777777" w:rsidR="00EC77C4" w:rsidRPr="00EC77C4" w:rsidRDefault="009E3FCF" w:rsidP="00EC77C4">
      <w:pPr>
        <w:tabs>
          <w:tab w:val="left" w:pos="1985"/>
          <w:tab w:val="left" w:pos="3544"/>
        </w:tabs>
        <w:rPr>
          <w:rFonts w:ascii="Arial" w:hAnsi="Arial" w:cs="Arial"/>
          <w:b/>
          <w:bCs/>
          <w:sz w:val="24"/>
          <w:szCs w:val="24"/>
          <w:lang w:eastAsia="en-GB"/>
        </w:rPr>
      </w:pPr>
      <w:r w:rsidRPr="009E3FCF">
        <w:rPr>
          <w:rFonts w:ascii="Arial" w:hAnsi="Arial" w:cs="Arial"/>
          <w:b/>
          <w:sz w:val="24"/>
          <w:szCs w:val="24"/>
        </w:rPr>
        <w:t>Project title:</w:t>
      </w:r>
      <w:bookmarkStart w:id="0" w:name="_Hlk106284004"/>
      <w:r w:rsidRPr="009E3FCF">
        <w:rPr>
          <w:rFonts w:ascii="Arial" w:hAnsi="Arial" w:cs="Arial"/>
          <w:b/>
          <w:sz w:val="24"/>
          <w:szCs w:val="24"/>
        </w:rPr>
        <w:t xml:space="preserve"> </w:t>
      </w:r>
      <w:bookmarkEnd w:id="0"/>
      <w:r w:rsidR="00EC77C4" w:rsidRPr="00EC77C4">
        <w:rPr>
          <w:rFonts w:ascii="Arial" w:hAnsi="Arial" w:cs="Arial"/>
          <w:b/>
          <w:bCs/>
          <w:sz w:val="24"/>
          <w:szCs w:val="24"/>
          <w:lang w:eastAsia="en-GB"/>
        </w:rPr>
        <w:t>NHS National Framework Agreement for the supply of Eculizumab</w:t>
      </w:r>
    </w:p>
    <w:p w14:paraId="2776BCED" w14:textId="77777777" w:rsidR="00EC77C4" w:rsidRPr="00EC77C4" w:rsidRDefault="00EC77C4" w:rsidP="00EC77C4">
      <w:pPr>
        <w:tabs>
          <w:tab w:val="left" w:pos="1985"/>
          <w:tab w:val="left" w:pos="3544"/>
        </w:tabs>
        <w:rPr>
          <w:rFonts w:ascii="Arial" w:hAnsi="Arial" w:cs="Arial"/>
          <w:b/>
          <w:bCs/>
          <w:sz w:val="24"/>
          <w:szCs w:val="24"/>
          <w:lang w:eastAsia="en-GB"/>
        </w:rPr>
      </w:pPr>
    </w:p>
    <w:p w14:paraId="113AA78B" w14:textId="77777777" w:rsidR="00EC77C4" w:rsidRPr="00EC77C4" w:rsidRDefault="00EC77C4" w:rsidP="00EC77C4">
      <w:pPr>
        <w:tabs>
          <w:tab w:val="left" w:pos="1985"/>
          <w:tab w:val="left" w:pos="3544"/>
        </w:tabs>
        <w:rPr>
          <w:rFonts w:ascii="Arial" w:hAnsi="Arial" w:cs="Arial"/>
          <w:b/>
          <w:bCs/>
          <w:sz w:val="24"/>
          <w:szCs w:val="24"/>
          <w:lang w:eastAsia="en-GB"/>
        </w:rPr>
      </w:pPr>
      <w:r w:rsidRPr="00EC77C4">
        <w:rPr>
          <w:rFonts w:ascii="Arial" w:hAnsi="Arial" w:cs="Arial"/>
          <w:b/>
          <w:bCs/>
          <w:sz w:val="24"/>
          <w:szCs w:val="24"/>
          <w:lang w:eastAsia="en-GB"/>
        </w:rPr>
        <w:t xml:space="preserve">Offer reference number: CM/PHR/22/5659 </w:t>
      </w:r>
    </w:p>
    <w:p w14:paraId="123A3200" w14:textId="77777777" w:rsidR="00EC77C4" w:rsidRPr="00EC77C4" w:rsidRDefault="00EC77C4" w:rsidP="00EC77C4">
      <w:pPr>
        <w:tabs>
          <w:tab w:val="left" w:pos="1985"/>
          <w:tab w:val="left" w:pos="3544"/>
        </w:tabs>
        <w:rPr>
          <w:rFonts w:ascii="Arial" w:hAnsi="Arial" w:cs="Arial"/>
          <w:b/>
          <w:bCs/>
          <w:sz w:val="24"/>
          <w:szCs w:val="24"/>
          <w:lang w:eastAsia="en-GB"/>
        </w:rPr>
      </w:pPr>
    </w:p>
    <w:p w14:paraId="7233D443" w14:textId="5D9CEDCF" w:rsidR="009939FF" w:rsidRPr="007E0361" w:rsidRDefault="00EC77C4" w:rsidP="00EC77C4">
      <w:pPr>
        <w:tabs>
          <w:tab w:val="left" w:pos="1985"/>
          <w:tab w:val="left" w:pos="3544"/>
        </w:tabs>
        <w:rPr>
          <w:rFonts w:ascii="Arial" w:hAnsi="Arial" w:cs="Arial"/>
          <w:b/>
          <w:sz w:val="24"/>
          <w:szCs w:val="24"/>
        </w:rPr>
      </w:pPr>
      <w:r w:rsidRPr="00EC77C4">
        <w:rPr>
          <w:rFonts w:ascii="Arial" w:hAnsi="Arial" w:cs="Arial"/>
          <w:b/>
          <w:bCs/>
          <w:sz w:val="24"/>
          <w:szCs w:val="24"/>
          <w:lang w:eastAsia="en-GB"/>
        </w:rPr>
        <w:t>Period of framework: 01 January 2023 to 31 December 2023 with an option or options to extend (at the Authority’s discretion) for a period or periods up to a total of 24 months</w:t>
      </w:r>
    </w:p>
    <w:p w14:paraId="4962F12C" w14:textId="77777777" w:rsidR="009939FF" w:rsidRDefault="009939FF" w:rsidP="00280F75">
      <w:pPr>
        <w:jc w:val="both"/>
        <w:rPr>
          <w:rFonts w:ascii="Arial" w:hAnsi="Arial" w:cs="Arial"/>
          <w:sz w:val="28"/>
          <w:szCs w:val="28"/>
        </w:rPr>
      </w:pPr>
    </w:p>
    <w:p w14:paraId="4B3D51BE" w14:textId="77777777" w:rsidR="009939FF" w:rsidRDefault="009939FF" w:rsidP="00280F75">
      <w:pPr>
        <w:jc w:val="both"/>
        <w:rPr>
          <w:rFonts w:ascii="Arial" w:hAnsi="Arial" w:cs="Arial"/>
          <w:sz w:val="28"/>
          <w:szCs w:val="28"/>
        </w:rPr>
      </w:pPr>
    </w:p>
    <w:p w14:paraId="0A75B6E0" w14:textId="6B2D7D2A" w:rsidR="009939FF" w:rsidRPr="009E3FCF" w:rsidRDefault="006173AA" w:rsidP="00280F75">
      <w:pPr>
        <w:jc w:val="both"/>
        <w:rPr>
          <w:rFonts w:ascii="Arial" w:hAnsi="Arial" w:cs="Arial"/>
          <w:b/>
          <w:sz w:val="32"/>
          <w:szCs w:val="32"/>
        </w:rPr>
      </w:pPr>
      <w:r w:rsidRPr="009E3FCF">
        <w:rPr>
          <w:rFonts w:ascii="Arial" w:hAnsi="Arial" w:cs="Arial"/>
          <w:b/>
          <w:sz w:val="32"/>
          <w:szCs w:val="32"/>
        </w:rPr>
        <w:t xml:space="preserve">Assessment Criteria, Stability Protocol and Additional Specification Requirements </w:t>
      </w:r>
    </w:p>
    <w:p w14:paraId="60F56279" w14:textId="77777777" w:rsidR="009939FF" w:rsidRDefault="009939FF" w:rsidP="00280F75">
      <w:pPr>
        <w:jc w:val="both"/>
        <w:rPr>
          <w:rFonts w:ascii="Arial" w:hAnsi="Arial" w:cs="Arial"/>
          <w:sz w:val="28"/>
          <w:szCs w:val="28"/>
        </w:rPr>
      </w:pPr>
    </w:p>
    <w:p w14:paraId="40CFB784" w14:textId="77777777" w:rsidR="009939FF" w:rsidRDefault="009939FF" w:rsidP="00280F75">
      <w:pPr>
        <w:jc w:val="both"/>
        <w:rPr>
          <w:rFonts w:ascii="Arial" w:hAnsi="Arial" w:cs="Arial"/>
          <w:sz w:val="28"/>
          <w:szCs w:val="28"/>
        </w:rPr>
      </w:pPr>
    </w:p>
    <w:p w14:paraId="7BC00A95" w14:textId="77777777" w:rsidR="009939FF" w:rsidRDefault="009939FF" w:rsidP="00280F75">
      <w:pPr>
        <w:jc w:val="both"/>
        <w:rPr>
          <w:rFonts w:ascii="Arial" w:hAnsi="Arial" w:cs="Arial"/>
          <w:sz w:val="28"/>
          <w:szCs w:val="28"/>
        </w:rPr>
      </w:pPr>
    </w:p>
    <w:p w14:paraId="1162E8D9" w14:textId="77777777" w:rsidR="009939FF" w:rsidRDefault="009939FF" w:rsidP="00280F75">
      <w:pPr>
        <w:jc w:val="both"/>
        <w:rPr>
          <w:rFonts w:ascii="Arial" w:hAnsi="Arial" w:cs="Arial"/>
          <w:sz w:val="28"/>
          <w:szCs w:val="28"/>
        </w:rPr>
      </w:pPr>
    </w:p>
    <w:p w14:paraId="7C0B5890" w14:textId="77777777" w:rsidR="009939FF" w:rsidRDefault="009939FF" w:rsidP="00280F75">
      <w:pPr>
        <w:jc w:val="both"/>
        <w:rPr>
          <w:rFonts w:ascii="Arial" w:hAnsi="Arial" w:cs="Arial"/>
          <w:b/>
          <w:sz w:val="28"/>
          <w:szCs w:val="28"/>
        </w:rPr>
      </w:pPr>
    </w:p>
    <w:p w14:paraId="025AFA3A" w14:textId="77777777" w:rsidR="009939FF" w:rsidRDefault="009939FF" w:rsidP="00280F75">
      <w:pPr>
        <w:jc w:val="both"/>
        <w:rPr>
          <w:rFonts w:ascii="Arial" w:hAnsi="Arial" w:cs="Arial"/>
          <w:b/>
          <w:sz w:val="28"/>
          <w:szCs w:val="28"/>
        </w:rPr>
      </w:pPr>
    </w:p>
    <w:p w14:paraId="2AFB70CD" w14:textId="685C06CC" w:rsidR="00EC77C4" w:rsidRDefault="00EC77C4">
      <w:pPr>
        <w:spacing w:after="160" w:line="259" w:lineRule="auto"/>
        <w:rPr>
          <w:rFonts w:ascii="Arial" w:hAnsi="Arial" w:cs="Arial"/>
          <w:b/>
          <w:sz w:val="28"/>
          <w:szCs w:val="28"/>
        </w:rPr>
      </w:pPr>
      <w:r>
        <w:rPr>
          <w:rFonts w:ascii="Arial" w:hAnsi="Arial" w:cs="Arial"/>
          <w:b/>
          <w:sz w:val="28"/>
          <w:szCs w:val="28"/>
        </w:rPr>
        <w:br w:type="page"/>
      </w:r>
    </w:p>
    <w:p w14:paraId="4F15D626" w14:textId="77777777" w:rsidR="00280F75" w:rsidRPr="00280F75" w:rsidRDefault="00280F75" w:rsidP="00280F75">
      <w:pPr>
        <w:jc w:val="both"/>
        <w:rPr>
          <w:rFonts w:ascii="Arial" w:hAnsi="Arial" w:cs="Arial"/>
          <w:b/>
          <w:bCs/>
          <w:sz w:val="24"/>
          <w:szCs w:val="24"/>
        </w:rPr>
      </w:pPr>
      <w:r w:rsidRPr="00280F75">
        <w:rPr>
          <w:rFonts w:ascii="Arial" w:hAnsi="Arial" w:cs="Arial"/>
          <w:b/>
          <w:bCs/>
          <w:sz w:val="24"/>
          <w:szCs w:val="24"/>
        </w:rPr>
        <w:lastRenderedPageBreak/>
        <w:t>Assessment criteria</w:t>
      </w:r>
    </w:p>
    <w:p w14:paraId="13C54932" w14:textId="77777777" w:rsidR="00280F75" w:rsidRPr="00280F75" w:rsidRDefault="00280F75" w:rsidP="00280F75">
      <w:pPr>
        <w:pStyle w:val="ListParagraph"/>
        <w:ind w:left="792"/>
        <w:jc w:val="both"/>
        <w:rPr>
          <w:rFonts w:ascii="Arial" w:hAnsi="Arial" w:cs="Arial"/>
        </w:rPr>
      </w:pPr>
    </w:p>
    <w:p w14:paraId="1295D164" w14:textId="77777777" w:rsidR="00280F75" w:rsidRPr="00280F75" w:rsidRDefault="00280F75" w:rsidP="00280F75">
      <w:pPr>
        <w:pStyle w:val="ListParagraph"/>
        <w:numPr>
          <w:ilvl w:val="0"/>
          <w:numId w:val="31"/>
        </w:numPr>
        <w:jc w:val="both"/>
        <w:rPr>
          <w:rFonts w:ascii="Arial" w:hAnsi="Arial" w:cs="Arial"/>
        </w:rPr>
      </w:pPr>
      <w:r w:rsidRPr="00280F75">
        <w:rPr>
          <w:rFonts w:ascii="Arial" w:hAnsi="Arial" w:cs="Arial"/>
        </w:rPr>
        <w:t xml:space="preserve">All medicines must </w:t>
      </w:r>
    </w:p>
    <w:p w14:paraId="188EB515" w14:textId="77777777" w:rsidR="00280F75" w:rsidRPr="00280F75" w:rsidRDefault="00280F75" w:rsidP="00280F75">
      <w:pPr>
        <w:jc w:val="both"/>
        <w:rPr>
          <w:rFonts w:ascii="Arial" w:eastAsiaTheme="minorHAnsi" w:hAnsi="Arial" w:cs="Arial"/>
          <w:sz w:val="24"/>
          <w:szCs w:val="24"/>
        </w:rPr>
      </w:pPr>
    </w:p>
    <w:p w14:paraId="35C5B29B" w14:textId="77777777" w:rsidR="00280F75" w:rsidRPr="00280F75" w:rsidRDefault="00280F75" w:rsidP="00280F75">
      <w:pPr>
        <w:pStyle w:val="ListParagraph"/>
        <w:numPr>
          <w:ilvl w:val="0"/>
          <w:numId w:val="32"/>
        </w:numPr>
        <w:jc w:val="both"/>
        <w:rPr>
          <w:rFonts w:ascii="Arial" w:hAnsi="Arial" w:cs="Arial"/>
        </w:rPr>
      </w:pPr>
      <w:r w:rsidRPr="00280F75">
        <w:rPr>
          <w:rFonts w:ascii="Arial" w:hAnsi="Arial" w:cs="Arial"/>
        </w:rPr>
        <w:t>fully match the NPC descriptor against which they are offered (e.g. co-name medicines must be labelled with the co-name, not individual drug names); medicines requiring specific features (e.g. licensed route; prohibited excipients; scored tablets; container type) must have that feature.</w:t>
      </w:r>
    </w:p>
    <w:p w14:paraId="155BAA74" w14:textId="6B5F3AEB" w:rsidR="006849E3" w:rsidRPr="006849E3" w:rsidRDefault="00280F75" w:rsidP="006849E3">
      <w:pPr>
        <w:pStyle w:val="ListParagraph"/>
        <w:numPr>
          <w:ilvl w:val="0"/>
          <w:numId w:val="32"/>
        </w:numPr>
        <w:jc w:val="both"/>
        <w:rPr>
          <w:rFonts w:ascii="Arial" w:hAnsi="Arial" w:cs="Arial"/>
        </w:rPr>
      </w:pPr>
      <w:r w:rsidRPr="00280F75">
        <w:rPr>
          <w:rFonts w:ascii="Arial" w:hAnsi="Arial" w:cs="Arial"/>
        </w:rPr>
        <w:t xml:space="preserve">conform to the </w:t>
      </w:r>
      <w:bookmarkStart w:id="1" w:name="_Hlk109816662"/>
      <w:r w:rsidRPr="00280F75">
        <w:rPr>
          <w:rFonts w:ascii="Arial" w:hAnsi="Arial" w:cs="Arial"/>
        </w:rPr>
        <w:t xml:space="preserve">fixed gateway criteria listed in Appendix 2 </w:t>
      </w:r>
      <w:r w:rsidRPr="007F2EAC">
        <w:rPr>
          <w:rFonts w:ascii="Arial" w:hAnsi="Arial" w:cs="Arial"/>
        </w:rPr>
        <w:t xml:space="preserve">of Document </w:t>
      </w:r>
      <w:r w:rsidR="007F2EAC" w:rsidRPr="007F2EAC">
        <w:rPr>
          <w:rFonts w:ascii="Arial" w:hAnsi="Arial" w:cs="Arial"/>
        </w:rPr>
        <w:t xml:space="preserve">No. </w:t>
      </w:r>
      <w:r w:rsidRPr="007F2EAC">
        <w:rPr>
          <w:rFonts w:ascii="Arial" w:hAnsi="Arial" w:cs="Arial"/>
        </w:rPr>
        <w:t>7b</w:t>
      </w:r>
      <w:r w:rsidR="007F2EAC" w:rsidRPr="007F2EAC">
        <w:rPr>
          <w:rFonts w:ascii="Arial" w:hAnsi="Arial" w:cs="Arial"/>
        </w:rPr>
        <w:t xml:space="preserve"> Quality Assuranc</w:t>
      </w:r>
      <w:r w:rsidR="006849E3">
        <w:rPr>
          <w:rFonts w:ascii="Arial" w:hAnsi="Arial" w:cs="Arial"/>
        </w:rPr>
        <w:t>e Policy to Support the National Contract Procurement of Licensed Medicines.</w:t>
      </w:r>
    </w:p>
    <w:p w14:paraId="4DD6BD52" w14:textId="77777777" w:rsidR="00280F75" w:rsidRPr="00280F75" w:rsidRDefault="00280F75" w:rsidP="00280F75">
      <w:pPr>
        <w:pStyle w:val="ListParagraph"/>
        <w:ind w:left="1843"/>
        <w:jc w:val="both"/>
        <w:rPr>
          <w:rFonts w:ascii="Arial" w:eastAsiaTheme="minorHAnsi" w:hAnsi="Arial" w:cs="Arial"/>
        </w:rPr>
      </w:pPr>
    </w:p>
    <w:p w14:paraId="4229C86F" w14:textId="77777777" w:rsidR="00280F75" w:rsidRPr="00280F75" w:rsidRDefault="00280F75" w:rsidP="00280F75">
      <w:pPr>
        <w:pStyle w:val="ListParagraph"/>
        <w:numPr>
          <w:ilvl w:val="0"/>
          <w:numId w:val="31"/>
        </w:numPr>
        <w:jc w:val="both"/>
        <w:rPr>
          <w:rFonts w:ascii="Arial" w:hAnsi="Arial" w:cs="Arial"/>
        </w:rPr>
      </w:pPr>
      <w:r w:rsidRPr="00280F75">
        <w:rPr>
          <w:rFonts w:ascii="Arial" w:hAnsi="Arial" w:cs="Arial"/>
        </w:rPr>
        <w:t xml:space="preserve">In addition, the medicines must </w:t>
      </w:r>
    </w:p>
    <w:bookmarkEnd w:id="1"/>
    <w:p w14:paraId="57FB1567" w14:textId="77777777" w:rsidR="00280F75" w:rsidRPr="00280F75" w:rsidRDefault="00280F75" w:rsidP="00280F75">
      <w:pPr>
        <w:pStyle w:val="ListParagraph"/>
        <w:jc w:val="both"/>
        <w:rPr>
          <w:rFonts w:ascii="Arial" w:eastAsiaTheme="minorHAnsi" w:hAnsi="Arial" w:cs="Arial"/>
        </w:rPr>
      </w:pPr>
    </w:p>
    <w:p w14:paraId="33480474" w14:textId="0A9863C3" w:rsidR="007F2EAC" w:rsidRPr="00056E5D" w:rsidRDefault="007F2EAC" w:rsidP="007F2EAC">
      <w:pPr>
        <w:pStyle w:val="ListParagraph"/>
        <w:numPr>
          <w:ilvl w:val="0"/>
          <w:numId w:val="33"/>
        </w:numPr>
        <w:ind w:left="720"/>
        <w:contextualSpacing w:val="0"/>
        <w:jc w:val="both"/>
        <w:rPr>
          <w:rFonts w:ascii="Arial" w:hAnsi="Arial" w:cs="Arial"/>
        </w:rPr>
      </w:pPr>
      <w:r w:rsidRPr="00056E5D">
        <w:rPr>
          <w:rFonts w:ascii="Arial" w:hAnsi="Arial" w:cs="Arial"/>
        </w:rPr>
        <w:t xml:space="preserve">be clearly labelled, with the critical information prominent and readable. </w:t>
      </w:r>
      <w:r w:rsidR="00AB7823">
        <w:rPr>
          <w:rFonts w:ascii="Arial" w:hAnsi="Arial" w:cs="Arial"/>
        </w:rPr>
        <w:t>The critical information is the generic name (NPCode name) of the medicine, the strength of the medicine, the form of the medicine, the route of administration and posology and warnings.</w:t>
      </w:r>
    </w:p>
    <w:p w14:paraId="44DD7764" w14:textId="77777777" w:rsidR="00280F75" w:rsidRPr="00280F75" w:rsidRDefault="00280F75" w:rsidP="00280F75">
      <w:pPr>
        <w:pStyle w:val="ListParagraph"/>
        <w:numPr>
          <w:ilvl w:val="0"/>
          <w:numId w:val="33"/>
        </w:numPr>
        <w:ind w:left="720"/>
        <w:contextualSpacing w:val="0"/>
        <w:jc w:val="both"/>
        <w:rPr>
          <w:rFonts w:ascii="Arial" w:hAnsi="Arial" w:cs="Arial"/>
        </w:rPr>
      </w:pPr>
      <w:r w:rsidRPr="00280F75">
        <w:rPr>
          <w:rFonts w:ascii="Arial" w:hAnsi="Arial" w:cs="Arial"/>
        </w:rPr>
        <w:t xml:space="preserve">be adequately differentiated from other medicines in the range (same molecule) and other Look Alike/Sound Alike medicines from the same manufacturer. Packaging and labelling (primary and secondary) will be considered poorly differentiated if there is no judicious use of colour or differentiation in text size or layout to emphasise the key differences in critical information. This applies to all primary and secondary packaging, and any printed overwraps </w:t>
      </w:r>
    </w:p>
    <w:p w14:paraId="7F3A0879" w14:textId="77777777" w:rsidR="00280F75" w:rsidRPr="00280F75" w:rsidRDefault="00280F75" w:rsidP="00280F75">
      <w:pPr>
        <w:pStyle w:val="ListParagraph"/>
        <w:numPr>
          <w:ilvl w:val="0"/>
          <w:numId w:val="33"/>
        </w:numPr>
        <w:ind w:left="720"/>
        <w:contextualSpacing w:val="0"/>
        <w:jc w:val="both"/>
        <w:rPr>
          <w:rFonts w:ascii="Arial" w:hAnsi="Arial" w:cs="Arial"/>
        </w:rPr>
      </w:pPr>
      <w:r w:rsidRPr="00280F75">
        <w:rPr>
          <w:rFonts w:ascii="Arial" w:hAnsi="Arial" w:cs="Arial"/>
        </w:rPr>
        <w:t>include sufficient, clearly presented technical information on the packaging or in the PIL to direct the intended user to prepare and administer the medicine safely</w:t>
      </w:r>
    </w:p>
    <w:p w14:paraId="7063FF4B" w14:textId="77777777" w:rsidR="00280F75" w:rsidRPr="00280F75" w:rsidRDefault="00280F75" w:rsidP="00280F75">
      <w:pPr>
        <w:pStyle w:val="ListParagraph"/>
        <w:ind w:left="1778"/>
        <w:jc w:val="both"/>
        <w:rPr>
          <w:rFonts w:ascii="Arial" w:hAnsi="Arial" w:cs="Arial"/>
        </w:rPr>
      </w:pPr>
    </w:p>
    <w:p w14:paraId="4745CB78" w14:textId="41C4D7BB" w:rsidR="00280F75" w:rsidRPr="00280F75" w:rsidRDefault="00280F75" w:rsidP="00280F75">
      <w:pPr>
        <w:pStyle w:val="ListParagraph"/>
        <w:numPr>
          <w:ilvl w:val="0"/>
          <w:numId w:val="31"/>
        </w:numPr>
        <w:jc w:val="both"/>
        <w:rPr>
          <w:rFonts w:ascii="Arial" w:hAnsi="Arial" w:cs="Arial"/>
        </w:rPr>
      </w:pPr>
      <w:r w:rsidRPr="00280F75">
        <w:rPr>
          <w:rFonts w:ascii="Arial" w:hAnsi="Arial" w:cs="Arial"/>
        </w:rPr>
        <w:t xml:space="preserve">For pre-labelled packs, the pre-label element must be incorporated into the carton artwork. </w:t>
      </w:r>
      <w:r>
        <w:rPr>
          <w:rFonts w:ascii="Arial" w:hAnsi="Arial" w:cs="Arial"/>
        </w:rPr>
        <w:t xml:space="preserve"> </w:t>
      </w:r>
      <w:r w:rsidRPr="00280F75">
        <w:rPr>
          <w:rFonts w:ascii="Arial" w:hAnsi="Arial" w:cs="Arial"/>
        </w:rPr>
        <w:t xml:space="preserve">Packs overlabelled with a separate label will be given No Score. </w:t>
      </w:r>
      <w:r>
        <w:rPr>
          <w:rFonts w:ascii="Arial" w:hAnsi="Arial" w:cs="Arial"/>
        </w:rPr>
        <w:t xml:space="preserve"> </w:t>
      </w:r>
      <w:r w:rsidRPr="00280F75">
        <w:rPr>
          <w:rFonts w:ascii="Arial" w:hAnsi="Arial" w:cs="Arial"/>
        </w:rPr>
        <w:t xml:space="preserve">The pre-label wording should either be in accordance with the pre-label specifications for each pre-labelled line, if included in the tender specification, or in accordance with the PIL and BNF warnings if there is no specified pre-label. </w:t>
      </w:r>
    </w:p>
    <w:p w14:paraId="5B9B91BC" w14:textId="77777777" w:rsidR="00280F75" w:rsidRPr="00280F75" w:rsidRDefault="00280F75" w:rsidP="00280F75">
      <w:pPr>
        <w:pStyle w:val="ListParagraph"/>
        <w:ind w:left="504"/>
        <w:jc w:val="both"/>
        <w:rPr>
          <w:rFonts w:ascii="Arial" w:eastAsiaTheme="minorHAnsi" w:hAnsi="Arial" w:cs="Arial"/>
        </w:rPr>
      </w:pPr>
    </w:p>
    <w:p w14:paraId="7A32BCA6" w14:textId="77777777" w:rsidR="00280F75" w:rsidRPr="00280F75" w:rsidRDefault="00280F75" w:rsidP="00280F75">
      <w:pPr>
        <w:pStyle w:val="ListParagraph"/>
        <w:numPr>
          <w:ilvl w:val="0"/>
          <w:numId w:val="31"/>
        </w:numPr>
        <w:jc w:val="both"/>
        <w:rPr>
          <w:rFonts w:ascii="Arial" w:hAnsi="Arial" w:cs="Arial"/>
        </w:rPr>
      </w:pPr>
      <w:r w:rsidRPr="00280F75">
        <w:rPr>
          <w:rFonts w:ascii="Arial" w:hAnsi="Arial" w:cs="Arial"/>
        </w:rPr>
        <w:t>Medicines should also comply with the general good practice principles set out in</w:t>
      </w:r>
    </w:p>
    <w:p w14:paraId="077C26F7" w14:textId="77777777" w:rsidR="00280F75" w:rsidRPr="00280F75" w:rsidRDefault="00280F75" w:rsidP="00280F75">
      <w:pPr>
        <w:pStyle w:val="ListParagraph"/>
        <w:ind w:left="504"/>
        <w:jc w:val="both"/>
        <w:rPr>
          <w:rFonts w:ascii="Arial" w:eastAsiaTheme="minorHAnsi" w:hAnsi="Arial" w:cs="Arial"/>
        </w:rPr>
      </w:pPr>
    </w:p>
    <w:p w14:paraId="40EF928B" w14:textId="77777777" w:rsidR="00280F75" w:rsidRPr="00280F75" w:rsidRDefault="00280F75" w:rsidP="00280F75">
      <w:pPr>
        <w:pStyle w:val="ListParagraph"/>
        <w:numPr>
          <w:ilvl w:val="1"/>
          <w:numId w:val="34"/>
        </w:numPr>
        <w:jc w:val="both"/>
        <w:rPr>
          <w:rFonts w:ascii="Arial" w:hAnsi="Arial" w:cs="Arial"/>
        </w:rPr>
      </w:pPr>
      <w:bookmarkStart w:id="2" w:name="_Hlk109889188"/>
      <w:r w:rsidRPr="00280F75">
        <w:rPr>
          <w:rFonts w:ascii="Arial" w:hAnsi="Arial" w:cs="Arial"/>
        </w:rPr>
        <w:t xml:space="preserve">Promoting safer use of injectable medicines (NPSA Alert 20, March 2007) </w:t>
      </w:r>
    </w:p>
    <w:p w14:paraId="41D5BCE8" w14:textId="77777777" w:rsidR="00280F75" w:rsidRPr="00280F75" w:rsidRDefault="00280F75" w:rsidP="00280F75">
      <w:pPr>
        <w:pStyle w:val="ListParagraph"/>
        <w:numPr>
          <w:ilvl w:val="1"/>
          <w:numId w:val="34"/>
        </w:numPr>
        <w:jc w:val="both"/>
        <w:rPr>
          <w:rFonts w:ascii="Arial" w:hAnsi="Arial" w:cs="Arial"/>
        </w:rPr>
      </w:pPr>
      <w:r w:rsidRPr="00280F75">
        <w:rPr>
          <w:rFonts w:ascii="Arial" w:hAnsi="Arial" w:cs="Arial"/>
        </w:rPr>
        <w:t>Design for patient safety: A guide to the graphic design of medication packaging (NPSA 0463A 2008)</w:t>
      </w:r>
    </w:p>
    <w:p w14:paraId="3FBCE507" w14:textId="77777777" w:rsidR="00280F75" w:rsidRPr="00280F75" w:rsidRDefault="00280F75" w:rsidP="00280F75">
      <w:pPr>
        <w:pStyle w:val="ListParagraph"/>
        <w:numPr>
          <w:ilvl w:val="1"/>
          <w:numId w:val="34"/>
        </w:numPr>
        <w:jc w:val="both"/>
        <w:rPr>
          <w:rFonts w:ascii="Arial" w:hAnsi="Arial" w:cs="Arial"/>
        </w:rPr>
      </w:pPr>
      <w:r w:rsidRPr="00280F75">
        <w:rPr>
          <w:rFonts w:ascii="Arial" w:hAnsi="Arial" w:cs="Arial"/>
        </w:rPr>
        <w:t xml:space="preserve">Design for patient safety: A guide to labelling and packaging of injectable medicines (NPSA 2008) ISBN: 978-1-906624-02-6 </w:t>
      </w:r>
    </w:p>
    <w:bookmarkEnd w:id="2"/>
    <w:p w14:paraId="4CAB01BA" w14:textId="77777777" w:rsidR="00280F75" w:rsidRPr="00280F75" w:rsidRDefault="00280F75" w:rsidP="00280F75">
      <w:pPr>
        <w:pStyle w:val="ListParagraph"/>
        <w:numPr>
          <w:ilvl w:val="1"/>
          <w:numId w:val="34"/>
        </w:numPr>
        <w:jc w:val="both"/>
        <w:rPr>
          <w:rFonts w:ascii="Arial" w:hAnsi="Arial" w:cs="Arial"/>
        </w:rPr>
      </w:pPr>
      <w:r w:rsidRPr="00280F75">
        <w:rPr>
          <w:rFonts w:ascii="Arial" w:hAnsi="Arial" w:cs="Arial"/>
        </w:rPr>
        <w:t xml:space="preserve">Best practice guidance on the labelling and packaging of medicines (MHRA December 2020) </w:t>
      </w:r>
    </w:p>
    <w:p w14:paraId="576E21A6" w14:textId="77777777" w:rsidR="00280F75" w:rsidRPr="00280F75" w:rsidRDefault="00280F75" w:rsidP="00280F75">
      <w:pPr>
        <w:jc w:val="both"/>
        <w:rPr>
          <w:rFonts w:ascii="Arial" w:hAnsi="Arial" w:cs="Arial"/>
          <w:sz w:val="24"/>
          <w:szCs w:val="24"/>
        </w:rPr>
      </w:pPr>
    </w:p>
    <w:p w14:paraId="370DB86B" w14:textId="77777777" w:rsidR="00280F75" w:rsidRPr="00280F75" w:rsidRDefault="00280F75" w:rsidP="00280F75">
      <w:pPr>
        <w:jc w:val="both"/>
        <w:rPr>
          <w:rFonts w:ascii="Arial" w:hAnsi="Arial" w:cs="Arial"/>
          <w:sz w:val="24"/>
          <w:szCs w:val="24"/>
        </w:rPr>
      </w:pPr>
    </w:p>
    <w:p w14:paraId="64E5955F" w14:textId="56A04416" w:rsidR="00DF5748" w:rsidRPr="00280F75" w:rsidRDefault="00DF5748" w:rsidP="00280F75">
      <w:pPr>
        <w:jc w:val="both"/>
        <w:rPr>
          <w:rFonts w:ascii="Arial" w:hAnsi="Arial" w:cs="Arial"/>
          <w:sz w:val="24"/>
          <w:szCs w:val="24"/>
        </w:rPr>
      </w:pPr>
    </w:p>
    <w:p w14:paraId="5D60F361" w14:textId="6B65C5F3" w:rsidR="00DF5748" w:rsidRPr="00280F75" w:rsidRDefault="00DF5748" w:rsidP="00280F75">
      <w:pPr>
        <w:jc w:val="both"/>
        <w:rPr>
          <w:rFonts w:ascii="Arial" w:hAnsi="Arial" w:cs="Arial"/>
          <w:sz w:val="24"/>
          <w:szCs w:val="24"/>
        </w:rPr>
      </w:pPr>
    </w:p>
    <w:p w14:paraId="145B9EA6" w14:textId="19E204A6" w:rsidR="00DF5748" w:rsidRPr="00280F75" w:rsidRDefault="00DF5748" w:rsidP="00280F75">
      <w:pPr>
        <w:jc w:val="both"/>
        <w:rPr>
          <w:rFonts w:ascii="Arial" w:hAnsi="Arial" w:cs="Arial"/>
          <w:sz w:val="24"/>
          <w:szCs w:val="24"/>
        </w:rPr>
      </w:pPr>
    </w:p>
    <w:p w14:paraId="0ED90C94" w14:textId="37C44D0D" w:rsidR="00DF5748" w:rsidRPr="00280F75" w:rsidRDefault="00DF5748" w:rsidP="00280F75">
      <w:pPr>
        <w:jc w:val="both"/>
        <w:rPr>
          <w:rFonts w:ascii="Arial" w:hAnsi="Arial" w:cs="Arial"/>
          <w:sz w:val="24"/>
          <w:szCs w:val="24"/>
        </w:rPr>
      </w:pPr>
    </w:p>
    <w:p w14:paraId="5F76CB4A" w14:textId="6B61B736" w:rsidR="00DF5748" w:rsidRPr="00280F75" w:rsidRDefault="00DF5748" w:rsidP="00280F75">
      <w:pPr>
        <w:jc w:val="both"/>
        <w:rPr>
          <w:rFonts w:ascii="Arial" w:hAnsi="Arial" w:cs="Arial"/>
          <w:sz w:val="24"/>
          <w:szCs w:val="24"/>
        </w:rPr>
      </w:pPr>
    </w:p>
    <w:p w14:paraId="1EBE90F3" w14:textId="41BD3F6D" w:rsidR="00DF5748" w:rsidRDefault="00DF5748" w:rsidP="00280F75">
      <w:pPr>
        <w:jc w:val="both"/>
        <w:rPr>
          <w:noProof/>
        </w:rPr>
      </w:pPr>
      <w:r>
        <w:rPr>
          <w:noProof/>
        </w:rPr>
        <w:drawing>
          <wp:inline distT="0" distB="0" distL="0" distR="0" wp14:anchorId="63530C86" wp14:editId="4312FB58">
            <wp:extent cx="5295900" cy="7200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95900" cy="7200900"/>
                    </a:xfrm>
                    <a:prstGeom prst="rect">
                      <a:avLst/>
                    </a:prstGeom>
                    <a:noFill/>
                    <a:ln>
                      <a:noFill/>
                    </a:ln>
                  </pic:spPr>
                </pic:pic>
              </a:graphicData>
            </a:graphic>
          </wp:inline>
        </w:drawing>
      </w:r>
    </w:p>
    <w:p w14:paraId="14370866" w14:textId="5784B0B0" w:rsidR="00DF5748" w:rsidRPr="00DF5748" w:rsidRDefault="00DF5748" w:rsidP="00280F75">
      <w:pPr>
        <w:jc w:val="both"/>
      </w:pPr>
    </w:p>
    <w:p w14:paraId="187B414F" w14:textId="1615E9E2" w:rsidR="00DF5748" w:rsidRDefault="00DF5748" w:rsidP="00280F75">
      <w:pPr>
        <w:jc w:val="both"/>
        <w:rPr>
          <w:noProof/>
        </w:rPr>
      </w:pPr>
    </w:p>
    <w:p w14:paraId="61BA3FF1" w14:textId="4133ED46" w:rsidR="00CE1D87" w:rsidRDefault="00CE1D87" w:rsidP="00280F75">
      <w:pPr>
        <w:jc w:val="both"/>
        <w:rPr>
          <w:noProof/>
        </w:rPr>
      </w:pPr>
    </w:p>
    <w:p w14:paraId="00225F6A" w14:textId="41B315D6" w:rsidR="00CE1D87" w:rsidRDefault="00CE1D87" w:rsidP="00280F75">
      <w:pPr>
        <w:jc w:val="both"/>
        <w:rPr>
          <w:noProof/>
        </w:rPr>
      </w:pPr>
    </w:p>
    <w:p w14:paraId="0E5992A8" w14:textId="1D5BE5B7" w:rsidR="00CE1D87" w:rsidRDefault="00CE1D87" w:rsidP="00280F75">
      <w:pPr>
        <w:jc w:val="both"/>
        <w:rPr>
          <w:noProof/>
        </w:rPr>
      </w:pPr>
    </w:p>
    <w:p w14:paraId="6988572C" w14:textId="77777777" w:rsidR="00CE1D87" w:rsidRDefault="00CE1D87" w:rsidP="00280F75">
      <w:pPr>
        <w:jc w:val="both"/>
        <w:rPr>
          <w:noProof/>
        </w:rPr>
      </w:pPr>
    </w:p>
    <w:p w14:paraId="4D3726CA" w14:textId="1058A508" w:rsidR="00DF5748" w:rsidRDefault="00DF5748" w:rsidP="00280F75">
      <w:pPr>
        <w:tabs>
          <w:tab w:val="left" w:pos="2028"/>
        </w:tabs>
        <w:jc w:val="both"/>
      </w:pPr>
      <w:r>
        <w:tab/>
      </w:r>
    </w:p>
    <w:p w14:paraId="33BFD6DC" w14:textId="61A27D2D" w:rsidR="00DF5748" w:rsidRDefault="00DF5748" w:rsidP="00280F75">
      <w:pPr>
        <w:tabs>
          <w:tab w:val="left" w:pos="2028"/>
        </w:tabs>
        <w:jc w:val="both"/>
      </w:pPr>
    </w:p>
    <w:p w14:paraId="31A91D96" w14:textId="3FE0CF18" w:rsidR="00DF5748" w:rsidRDefault="00DF5748" w:rsidP="00280F75">
      <w:pPr>
        <w:tabs>
          <w:tab w:val="left" w:pos="2028"/>
        </w:tabs>
        <w:jc w:val="both"/>
      </w:pPr>
    </w:p>
    <w:p w14:paraId="52BD7206" w14:textId="5BD3B585" w:rsidR="00DF5748" w:rsidRDefault="00DF5748" w:rsidP="00280F75">
      <w:pPr>
        <w:autoSpaceDE w:val="0"/>
        <w:autoSpaceDN w:val="0"/>
        <w:adjustRightInd w:val="0"/>
        <w:jc w:val="both"/>
        <w:rPr>
          <w:rFonts w:ascii="Arial" w:eastAsiaTheme="minorHAnsi" w:hAnsi="Arial" w:cs="Arial"/>
          <w:color w:val="000000"/>
          <w:sz w:val="23"/>
          <w:szCs w:val="23"/>
        </w:rPr>
      </w:pPr>
      <w:r w:rsidRPr="00DF5748">
        <w:rPr>
          <w:rFonts w:ascii="Arial" w:eastAsiaTheme="minorHAnsi" w:hAnsi="Arial" w:cs="Arial"/>
          <w:color w:val="000000"/>
          <w:sz w:val="23"/>
          <w:szCs w:val="23"/>
        </w:rPr>
        <w:lastRenderedPageBreak/>
        <w:t xml:space="preserve">This document has been produced on behalf of the NHS Pharmaceutical Quality Assurance Committee, the NHS Pharmaceutical Production Committee and the NHS Pharmaceutical Aseptic Services Group by the NHS Pharmaceutical Research and Development Working Group. Membership of the NHS Pharmaceutical Research and Development Working Group is shown below. </w:t>
      </w:r>
    </w:p>
    <w:p w14:paraId="63E7A148" w14:textId="77777777" w:rsidR="00525B7F" w:rsidRPr="00DF5748" w:rsidRDefault="00525B7F" w:rsidP="00280F75">
      <w:pPr>
        <w:autoSpaceDE w:val="0"/>
        <w:autoSpaceDN w:val="0"/>
        <w:adjustRightInd w:val="0"/>
        <w:jc w:val="both"/>
        <w:rPr>
          <w:rFonts w:ascii="Arial" w:eastAsiaTheme="minorHAnsi" w:hAnsi="Arial" w:cs="Arial"/>
          <w:color w:val="000000"/>
          <w:sz w:val="23"/>
          <w:szCs w:val="23"/>
        </w:rPr>
      </w:pPr>
    </w:p>
    <w:p w14:paraId="48CC448B" w14:textId="48232B8F" w:rsidR="00DF5748" w:rsidRDefault="00DF5748" w:rsidP="00280F75">
      <w:pPr>
        <w:autoSpaceDE w:val="0"/>
        <w:autoSpaceDN w:val="0"/>
        <w:adjustRightInd w:val="0"/>
        <w:jc w:val="both"/>
        <w:rPr>
          <w:rFonts w:ascii="Arial" w:eastAsiaTheme="minorHAnsi" w:hAnsi="Arial" w:cs="Arial"/>
          <w:color w:val="000000"/>
          <w:sz w:val="23"/>
          <w:szCs w:val="23"/>
        </w:rPr>
      </w:pPr>
      <w:r w:rsidRPr="00DF5748">
        <w:rPr>
          <w:rFonts w:ascii="Arial" w:eastAsiaTheme="minorHAnsi" w:hAnsi="Arial" w:cs="Arial"/>
          <w:color w:val="000000"/>
          <w:sz w:val="23"/>
          <w:szCs w:val="23"/>
        </w:rPr>
        <w:t xml:space="preserve">Mark Santillo (Chair), Regional Quality Assurance Officer, Torbay &amp; South Devon NHS Foundation Trust. </w:t>
      </w:r>
    </w:p>
    <w:p w14:paraId="084AF614" w14:textId="77777777" w:rsidR="00525B7F" w:rsidRPr="00DF5748" w:rsidRDefault="00525B7F" w:rsidP="00280F75">
      <w:pPr>
        <w:autoSpaceDE w:val="0"/>
        <w:autoSpaceDN w:val="0"/>
        <w:adjustRightInd w:val="0"/>
        <w:jc w:val="both"/>
        <w:rPr>
          <w:rFonts w:ascii="Arial" w:eastAsiaTheme="minorHAnsi" w:hAnsi="Arial" w:cs="Arial"/>
          <w:color w:val="000000"/>
          <w:sz w:val="23"/>
          <w:szCs w:val="23"/>
        </w:rPr>
      </w:pPr>
    </w:p>
    <w:p w14:paraId="5F6E65B5" w14:textId="3ECF0AAC" w:rsidR="00DF5748" w:rsidRDefault="00DF5748" w:rsidP="00280F75">
      <w:pPr>
        <w:autoSpaceDE w:val="0"/>
        <w:autoSpaceDN w:val="0"/>
        <w:adjustRightInd w:val="0"/>
        <w:jc w:val="both"/>
        <w:rPr>
          <w:rFonts w:ascii="Arial" w:eastAsiaTheme="minorHAnsi" w:hAnsi="Arial" w:cs="Arial"/>
          <w:color w:val="000000"/>
          <w:sz w:val="23"/>
          <w:szCs w:val="23"/>
        </w:rPr>
      </w:pPr>
      <w:r w:rsidRPr="00DF5748">
        <w:rPr>
          <w:rFonts w:ascii="Arial" w:eastAsiaTheme="minorHAnsi" w:hAnsi="Arial" w:cs="Arial"/>
          <w:color w:val="000000"/>
          <w:sz w:val="23"/>
          <w:szCs w:val="23"/>
        </w:rPr>
        <w:t xml:space="preserve">Peter Austin, Consultant Pharmacist and Team Pharmacist Lead, Oxford University Hospitals NHS Foundation Trust. </w:t>
      </w:r>
    </w:p>
    <w:p w14:paraId="27D9452C" w14:textId="77777777" w:rsidR="00525B7F" w:rsidRPr="00DF5748" w:rsidRDefault="00525B7F" w:rsidP="00280F75">
      <w:pPr>
        <w:autoSpaceDE w:val="0"/>
        <w:autoSpaceDN w:val="0"/>
        <w:adjustRightInd w:val="0"/>
        <w:jc w:val="both"/>
        <w:rPr>
          <w:rFonts w:ascii="Arial" w:eastAsiaTheme="minorHAnsi" w:hAnsi="Arial" w:cs="Arial"/>
          <w:color w:val="000000"/>
          <w:sz w:val="23"/>
          <w:szCs w:val="23"/>
        </w:rPr>
      </w:pPr>
    </w:p>
    <w:p w14:paraId="2940A919" w14:textId="553F76E9" w:rsidR="00DF5748" w:rsidRDefault="00DF5748" w:rsidP="00280F75">
      <w:pPr>
        <w:autoSpaceDE w:val="0"/>
        <w:autoSpaceDN w:val="0"/>
        <w:adjustRightInd w:val="0"/>
        <w:jc w:val="both"/>
        <w:rPr>
          <w:rFonts w:ascii="Arial" w:eastAsiaTheme="minorHAnsi" w:hAnsi="Arial" w:cs="Arial"/>
          <w:color w:val="000000"/>
          <w:sz w:val="23"/>
          <w:szCs w:val="23"/>
        </w:rPr>
      </w:pPr>
      <w:r w:rsidRPr="00DF5748">
        <w:rPr>
          <w:rFonts w:ascii="Arial" w:eastAsiaTheme="minorHAnsi" w:hAnsi="Arial" w:cs="Arial"/>
          <w:color w:val="000000"/>
          <w:sz w:val="23"/>
          <w:szCs w:val="23"/>
        </w:rPr>
        <w:t xml:space="preserve">Caroline Campbell, Laboratory Manager, Quality Control Laboratory, Newcastle upon Tyne Hospitals NHS Foundation Trust. </w:t>
      </w:r>
    </w:p>
    <w:p w14:paraId="7EC19EE2" w14:textId="77777777" w:rsidR="00525B7F" w:rsidRPr="00DF5748" w:rsidRDefault="00525B7F" w:rsidP="00280F75">
      <w:pPr>
        <w:autoSpaceDE w:val="0"/>
        <w:autoSpaceDN w:val="0"/>
        <w:adjustRightInd w:val="0"/>
        <w:jc w:val="both"/>
        <w:rPr>
          <w:rFonts w:ascii="Arial" w:eastAsiaTheme="minorHAnsi" w:hAnsi="Arial" w:cs="Arial"/>
          <w:color w:val="000000"/>
          <w:sz w:val="23"/>
          <w:szCs w:val="23"/>
        </w:rPr>
      </w:pPr>
    </w:p>
    <w:p w14:paraId="30A3DD7A" w14:textId="64F946ED" w:rsidR="00DF5748" w:rsidRDefault="00DF5748" w:rsidP="00280F75">
      <w:pPr>
        <w:autoSpaceDE w:val="0"/>
        <w:autoSpaceDN w:val="0"/>
        <w:adjustRightInd w:val="0"/>
        <w:jc w:val="both"/>
        <w:rPr>
          <w:rFonts w:ascii="Arial" w:eastAsiaTheme="minorHAnsi" w:hAnsi="Arial" w:cs="Arial"/>
          <w:color w:val="000000"/>
          <w:sz w:val="23"/>
          <w:szCs w:val="23"/>
        </w:rPr>
      </w:pPr>
      <w:r w:rsidRPr="00DF5748">
        <w:rPr>
          <w:rFonts w:ascii="Arial" w:eastAsiaTheme="minorHAnsi" w:hAnsi="Arial" w:cs="Arial"/>
          <w:color w:val="000000"/>
          <w:sz w:val="23"/>
          <w:szCs w:val="23"/>
        </w:rPr>
        <w:t xml:space="preserve">Lyndsay Davies Senior Pharmaceutical Biochemistry Analyst, Quality Control North West (Liverpool). </w:t>
      </w:r>
    </w:p>
    <w:p w14:paraId="4A22D1A2" w14:textId="77777777" w:rsidR="00525B7F" w:rsidRPr="00DF5748" w:rsidRDefault="00525B7F" w:rsidP="00280F75">
      <w:pPr>
        <w:autoSpaceDE w:val="0"/>
        <w:autoSpaceDN w:val="0"/>
        <w:adjustRightInd w:val="0"/>
        <w:jc w:val="both"/>
        <w:rPr>
          <w:rFonts w:ascii="Arial" w:eastAsiaTheme="minorHAnsi" w:hAnsi="Arial" w:cs="Arial"/>
          <w:color w:val="000000"/>
          <w:sz w:val="23"/>
          <w:szCs w:val="23"/>
        </w:rPr>
      </w:pPr>
    </w:p>
    <w:p w14:paraId="50AE4C00" w14:textId="77777777" w:rsidR="00525B7F" w:rsidRDefault="00DF5748" w:rsidP="00280F75">
      <w:pPr>
        <w:autoSpaceDE w:val="0"/>
        <w:autoSpaceDN w:val="0"/>
        <w:adjustRightInd w:val="0"/>
        <w:jc w:val="both"/>
        <w:rPr>
          <w:rFonts w:ascii="Arial" w:eastAsiaTheme="minorHAnsi" w:hAnsi="Arial" w:cs="Arial"/>
          <w:color w:val="000000"/>
          <w:sz w:val="23"/>
          <w:szCs w:val="23"/>
        </w:rPr>
      </w:pPr>
      <w:r w:rsidRPr="00DF5748">
        <w:rPr>
          <w:rFonts w:ascii="Arial" w:eastAsiaTheme="minorHAnsi" w:hAnsi="Arial" w:cs="Arial"/>
          <w:color w:val="000000"/>
          <w:sz w:val="23"/>
          <w:szCs w:val="23"/>
        </w:rPr>
        <w:t>Chris Marks, Scientific Officer, Regional Quality Control, North Bristol NHS Trust.</w:t>
      </w:r>
    </w:p>
    <w:p w14:paraId="19747068" w14:textId="34D0FE08" w:rsidR="00DF5748" w:rsidRPr="00DF5748" w:rsidRDefault="00DF5748" w:rsidP="00280F75">
      <w:pPr>
        <w:autoSpaceDE w:val="0"/>
        <w:autoSpaceDN w:val="0"/>
        <w:adjustRightInd w:val="0"/>
        <w:jc w:val="both"/>
        <w:rPr>
          <w:rFonts w:ascii="Arial" w:eastAsiaTheme="minorHAnsi" w:hAnsi="Arial" w:cs="Arial"/>
          <w:color w:val="000000"/>
          <w:sz w:val="23"/>
          <w:szCs w:val="23"/>
        </w:rPr>
      </w:pPr>
      <w:r w:rsidRPr="00DF5748">
        <w:rPr>
          <w:rFonts w:ascii="Arial" w:eastAsiaTheme="minorHAnsi" w:hAnsi="Arial" w:cs="Arial"/>
          <w:color w:val="000000"/>
          <w:sz w:val="23"/>
          <w:szCs w:val="23"/>
        </w:rPr>
        <w:t xml:space="preserve"> </w:t>
      </w:r>
    </w:p>
    <w:p w14:paraId="23090C84" w14:textId="49A686B3" w:rsidR="00DF5748" w:rsidRDefault="00DF5748" w:rsidP="00280F75">
      <w:pPr>
        <w:autoSpaceDE w:val="0"/>
        <w:autoSpaceDN w:val="0"/>
        <w:adjustRightInd w:val="0"/>
        <w:jc w:val="both"/>
        <w:rPr>
          <w:rFonts w:ascii="Arial" w:eastAsiaTheme="minorHAnsi" w:hAnsi="Arial" w:cs="Arial"/>
          <w:color w:val="000000"/>
          <w:sz w:val="23"/>
          <w:szCs w:val="23"/>
        </w:rPr>
      </w:pPr>
      <w:r w:rsidRPr="00DF5748">
        <w:rPr>
          <w:rFonts w:ascii="Arial" w:eastAsiaTheme="minorHAnsi" w:hAnsi="Arial" w:cs="Arial"/>
          <w:color w:val="000000"/>
          <w:sz w:val="23"/>
          <w:szCs w:val="23"/>
        </w:rPr>
        <w:t xml:space="preserve">Andrew Merriman, Lead Quality Assurance and Technical Services Pharmacist, Betsi Cadwaladr University Health Board. </w:t>
      </w:r>
    </w:p>
    <w:p w14:paraId="148A4DAF" w14:textId="77777777" w:rsidR="00525B7F" w:rsidRPr="00DF5748" w:rsidRDefault="00525B7F" w:rsidP="00280F75">
      <w:pPr>
        <w:autoSpaceDE w:val="0"/>
        <w:autoSpaceDN w:val="0"/>
        <w:adjustRightInd w:val="0"/>
        <w:jc w:val="both"/>
        <w:rPr>
          <w:rFonts w:ascii="Arial" w:eastAsiaTheme="minorHAnsi" w:hAnsi="Arial" w:cs="Arial"/>
          <w:color w:val="000000"/>
          <w:sz w:val="23"/>
          <w:szCs w:val="23"/>
        </w:rPr>
      </w:pPr>
    </w:p>
    <w:p w14:paraId="2D31E96A" w14:textId="18D2DF16" w:rsidR="00DF5748" w:rsidRDefault="00DF5748" w:rsidP="00280F75">
      <w:pPr>
        <w:autoSpaceDE w:val="0"/>
        <w:autoSpaceDN w:val="0"/>
        <w:adjustRightInd w:val="0"/>
        <w:jc w:val="both"/>
        <w:rPr>
          <w:rFonts w:ascii="Arial" w:eastAsiaTheme="minorHAnsi" w:hAnsi="Arial" w:cs="Arial"/>
          <w:color w:val="000000"/>
          <w:sz w:val="23"/>
          <w:szCs w:val="23"/>
        </w:rPr>
      </w:pPr>
      <w:r w:rsidRPr="00DF5748">
        <w:rPr>
          <w:rFonts w:ascii="Arial" w:eastAsiaTheme="minorHAnsi" w:hAnsi="Arial" w:cs="Arial"/>
          <w:color w:val="000000"/>
          <w:sz w:val="23"/>
          <w:szCs w:val="23"/>
        </w:rPr>
        <w:t xml:space="preserve">Adam Millington, Specialist Pharmacist - Production Services and Clinical Trials, Nottingham University Hospitals NHS Trust. </w:t>
      </w:r>
    </w:p>
    <w:p w14:paraId="6CC4FE6B" w14:textId="77777777" w:rsidR="00525B7F" w:rsidRPr="00DF5748" w:rsidRDefault="00525B7F" w:rsidP="00280F75">
      <w:pPr>
        <w:autoSpaceDE w:val="0"/>
        <w:autoSpaceDN w:val="0"/>
        <w:adjustRightInd w:val="0"/>
        <w:jc w:val="both"/>
        <w:rPr>
          <w:rFonts w:ascii="Arial" w:eastAsiaTheme="minorHAnsi" w:hAnsi="Arial" w:cs="Arial"/>
          <w:color w:val="000000"/>
          <w:sz w:val="23"/>
          <w:szCs w:val="23"/>
        </w:rPr>
      </w:pPr>
    </w:p>
    <w:p w14:paraId="1C03BF00" w14:textId="77777777" w:rsidR="00525B7F" w:rsidRDefault="00DF5748" w:rsidP="00280F75">
      <w:pPr>
        <w:autoSpaceDE w:val="0"/>
        <w:autoSpaceDN w:val="0"/>
        <w:adjustRightInd w:val="0"/>
        <w:jc w:val="both"/>
        <w:rPr>
          <w:rFonts w:ascii="Arial" w:eastAsiaTheme="minorHAnsi" w:hAnsi="Arial" w:cs="Arial"/>
          <w:color w:val="000000"/>
          <w:sz w:val="23"/>
          <w:szCs w:val="23"/>
        </w:rPr>
      </w:pPr>
      <w:r w:rsidRPr="00DF5748">
        <w:rPr>
          <w:rFonts w:ascii="Arial" w:eastAsiaTheme="minorHAnsi" w:hAnsi="Arial" w:cs="Arial"/>
          <w:color w:val="000000"/>
          <w:sz w:val="23"/>
          <w:szCs w:val="23"/>
        </w:rPr>
        <w:t>Phil Weir, Principal Scientist – Head of Scientific Services, Quality Control North West (Stockport).</w:t>
      </w:r>
    </w:p>
    <w:p w14:paraId="6ED44998" w14:textId="5C614E3F" w:rsidR="00DF5748" w:rsidRPr="00DF5748" w:rsidRDefault="00DF5748" w:rsidP="00280F75">
      <w:pPr>
        <w:autoSpaceDE w:val="0"/>
        <w:autoSpaceDN w:val="0"/>
        <w:adjustRightInd w:val="0"/>
        <w:jc w:val="both"/>
        <w:rPr>
          <w:rFonts w:ascii="Arial" w:eastAsiaTheme="minorHAnsi" w:hAnsi="Arial" w:cs="Arial"/>
          <w:color w:val="000000"/>
          <w:sz w:val="23"/>
          <w:szCs w:val="23"/>
        </w:rPr>
      </w:pPr>
      <w:r w:rsidRPr="00DF5748">
        <w:rPr>
          <w:rFonts w:ascii="Arial" w:eastAsiaTheme="minorHAnsi" w:hAnsi="Arial" w:cs="Arial"/>
          <w:color w:val="000000"/>
          <w:sz w:val="23"/>
          <w:szCs w:val="23"/>
        </w:rPr>
        <w:t xml:space="preserve"> </w:t>
      </w:r>
    </w:p>
    <w:p w14:paraId="2E75B020" w14:textId="27DA2D72" w:rsidR="00DF5748" w:rsidRDefault="00525B7F" w:rsidP="00280F75">
      <w:pPr>
        <w:tabs>
          <w:tab w:val="left" w:pos="2028"/>
        </w:tabs>
        <w:jc w:val="both"/>
        <w:rPr>
          <w:rFonts w:ascii="Arial" w:hAnsi="Arial" w:cs="Arial"/>
          <w:sz w:val="23"/>
          <w:szCs w:val="23"/>
        </w:rPr>
      </w:pPr>
      <w:r w:rsidRPr="00525B7F">
        <w:rPr>
          <w:rFonts w:ascii="Arial" w:hAnsi="Arial" w:cs="Arial"/>
          <w:sz w:val="23"/>
          <w:szCs w:val="23"/>
        </w:rPr>
        <w:t>Industrial, academic and regulatory experts have been consulted in the preparation of this protocol.</w:t>
      </w:r>
    </w:p>
    <w:p w14:paraId="780E45A1" w14:textId="56921BCF" w:rsidR="00525B7F" w:rsidRDefault="00525B7F" w:rsidP="00280F75">
      <w:pPr>
        <w:tabs>
          <w:tab w:val="left" w:pos="2028"/>
        </w:tabs>
        <w:jc w:val="both"/>
        <w:rPr>
          <w:rFonts w:ascii="Arial" w:hAnsi="Arial" w:cs="Arial"/>
          <w:sz w:val="23"/>
          <w:szCs w:val="23"/>
        </w:rPr>
      </w:pPr>
    </w:p>
    <w:p w14:paraId="3E41CAD0" w14:textId="36E1E01D" w:rsidR="00525B7F" w:rsidRDefault="00525B7F" w:rsidP="00280F75">
      <w:pPr>
        <w:tabs>
          <w:tab w:val="left" w:pos="2028"/>
        </w:tabs>
        <w:jc w:val="both"/>
        <w:rPr>
          <w:rFonts w:ascii="Arial" w:hAnsi="Arial" w:cs="Arial"/>
        </w:rPr>
      </w:pPr>
      <w:r>
        <w:rPr>
          <w:noProof/>
        </w:rPr>
        <w:drawing>
          <wp:inline distT="0" distB="0" distL="0" distR="0" wp14:anchorId="082A4B46" wp14:editId="59967F6A">
            <wp:extent cx="5657850" cy="3143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57850" cy="3143250"/>
                    </a:xfrm>
                    <a:prstGeom prst="rect">
                      <a:avLst/>
                    </a:prstGeom>
                  </pic:spPr>
                </pic:pic>
              </a:graphicData>
            </a:graphic>
          </wp:inline>
        </w:drawing>
      </w:r>
    </w:p>
    <w:p w14:paraId="429760BD" w14:textId="77777777" w:rsidR="00280F75" w:rsidRDefault="00280F75" w:rsidP="00280F75">
      <w:pPr>
        <w:jc w:val="both"/>
        <w:rPr>
          <w:rFonts w:ascii="Arial" w:hAnsi="Arial" w:cs="Arial"/>
        </w:rPr>
      </w:pPr>
    </w:p>
    <w:p w14:paraId="64AC9B63" w14:textId="51ECD80A" w:rsidR="00525B7F" w:rsidRPr="00525B7F" w:rsidRDefault="00525B7F" w:rsidP="00280F75">
      <w:pPr>
        <w:autoSpaceDE w:val="0"/>
        <w:autoSpaceDN w:val="0"/>
        <w:adjustRightInd w:val="0"/>
        <w:jc w:val="both"/>
        <w:rPr>
          <w:rFonts w:ascii="Arial" w:eastAsiaTheme="minorHAnsi" w:hAnsi="Arial" w:cs="Arial"/>
          <w:b/>
          <w:bCs/>
          <w:color w:val="000000"/>
          <w:sz w:val="23"/>
          <w:szCs w:val="23"/>
        </w:rPr>
      </w:pPr>
      <w:r>
        <w:rPr>
          <w:rFonts w:ascii="Arial" w:eastAsiaTheme="minorHAnsi" w:hAnsi="Arial" w:cs="Arial"/>
          <w:b/>
          <w:bCs/>
          <w:color w:val="000000"/>
          <w:sz w:val="23"/>
          <w:szCs w:val="23"/>
        </w:rPr>
        <w:lastRenderedPageBreak/>
        <w:t xml:space="preserve">1. </w:t>
      </w:r>
      <w:r w:rsidRPr="00525B7F">
        <w:rPr>
          <w:rFonts w:ascii="Arial" w:eastAsiaTheme="minorHAnsi" w:hAnsi="Arial" w:cs="Arial"/>
          <w:b/>
          <w:bCs/>
          <w:color w:val="000000"/>
          <w:sz w:val="23"/>
          <w:szCs w:val="23"/>
          <w:u w:val="single"/>
        </w:rPr>
        <w:t>Scope</w:t>
      </w:r>
    </w:p>
    <w:p w14:paraId="2D31F3BE" w14:textId="28B28BDE" w:rsidR="00525B7F" w:rsidRPr="00525B7F" w:rsidRDefault="00525B7F" w:rsidP="00280F75">
      <w:pPr>
        <w:autoSpaceDE w:val="0"/>
        <w:autoSpaceDN w:val="0"/>
        <w:adjustRightInd w:val="0"/>
        <w:ind w:left="360"/>
        <w:jc w:val="both"/>
        <w:rPr>
          <w:rFonts w:ascii="Arial" w:eastAsiaTheme="minorHAnsi" w:hAnsi="Arial" w:cs="Arial"/>
          <w:b/>
          <w:bCs/>
          <w:color w:val="000000"/>
          <w:sz w:val="23"/>
          <w:szCs w:val="23"/>
        </w:rPr>
      </w:pPr>
      <w:r w:rsidRPr="00525B7F">
        <w:rPr>
          <w:rFonts w:ascii="Arial" w:eastAsiaTheme="minorHAnsi" w:hAnsi="Arial" w:cs="Arial"/>
          <w:b/>
          <w:bCs/>
          <w:color w:val="000000"/>
          <w:sz w:val="23"/>
          <w:szCs w:val="23"/>
        </w:rPr>
        <w:t xml:space="preserve"> </w:t>
      </w:r>
    </w:p>
    <w:p w14:paraId="706086E7" w14:textId="4BBD5EA8" w:rsid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 xml:space="preserve">Standards produced by the NHS Pharmaceutical Quality Assurance Committee and its sub-committees are produced with a distinctive yellow cover and are therefore known as Yellow Cover Documents (YCDs). This document, produced by the Pharmaceutical Research and Development Group, is the first in a series looking at stability of pharmaceuticals. </w:t>
      </w:r>
    </w:p>
    <w:p w14:paraId="3AE538EF"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p>
    <w:p w14:paraId="422445AD" w14:textId="2AC8D6F1" w:rsid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This YCD applies to small molecule products of all presentations prepared by aseptic manipulation of sterile pharmaceutical products. In this context, a small molecule is defined as a medicinal drug compound having a molecular weight of less than 2000 Daltons, with two main exceptions. The first exception is any medicinal drug compound comprised of peptide sequences and the second exception are small molecule products produced using sterilisation by filtration that is followed by aseptic filling. For Biopharmaceuticals please refer to A Standard Protocol for Deriving and Assessment of Stability: Part 2 - Aseptic Preparations (Biopharmaceuticals)</w:t>
      </w:r>
      <w:r w:rsidRPr="00525B7F">
        <w:rPr>
          <w:rFonts w:ascii="Arial" w:eastAsiaTheme="minorHAnsi" w:hAnsi="Arial" w:cs="Arial"/>
          <w:color w:val="000000"/>
          <w:sz w:val="16"/>
          <w:szCs w:val="16"/>
        </w:rPr>
        <w:t>1</w:t>
      </w:r>
      <w:r w:rsidRPr="00525B7F">
        <w:rPr>
          <w:rFonts w:ascii="Arial" w:eastAsiaTheme="minorHAnsi" w:hAnsi="Arial" w:cs="Arial"/>
          <w:color w:val="000000"/>
          <w:sz w:val="23"/>
          <w:szCs w:val="23"/>
        </w:rPr>
        <w:t xml:space="preserve">. </w:t>
      </w:r>
    </w:p>
    <w:p w14:paraId="75EAA128"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p>
    <w:p w14:paraId="0491DE22"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b/>
          <w:bCs/>
          <w:color w:val="000000"/>
          <w:sz w:val="23"/>
          <w:szCs w:val="23"/>
        </w:rPr>
        <w:t xml:space="preserve">2. </w:t>
      </w:r>
      <w:r w:rsidRPr="00525B7F">
        <w:rPr>
          <w:rFonts w:ascii="Arial" w:eastAsiaTheme="minorHAnsi" w:hAnsi="Arial" w:cs="Arial"/>
          <w:b/>
          <w:bCs/>
          <w:color w:val="000000"/>
          <w:sz w:val="23"/>
          <w:szCs w:val="23"/>
          <w:u w:val="single"/>
        </w:rPr>
        <w:t xml:space="preserve">Introduction </w:t>
      </w:r>
    </w:p>
    <w:p w14:paraId="2E601DE9" w14:textId="77777777" w:rsidR="00525B7F" w:rsidRDefault="00525B7F" w:rsidP="00280F75">
      <w:pPr>
        <w:autoSpaceDE w:val="0"/>
        <w:autoSpaceDN w:val="0"/>
        <w:adjustRightInd w:val="0"/>
        <w:jc w:val="both"/>
        <w:rPr>
          <w:rFonts w:ascii="Arial" w:eastAsiaTheme="minorHAnsi" w:hAnsi="Arial" w:cs="Arial"/>
          <w:color w:val="000000"/>
          <w:sz w:val="23"/>
          <w:szCs w:val="23"/>
        </w:rPr>
      </w:pPr>
    </w:p>
    <w:p w14:paraId="6B03817C" w14:textId="7FA2895E" w:rsid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The 2007 NPSA (National Patient Safety Agency) alert 20</w:t>
      </w:r>
      <w:r w:rsidRPr="00525B7F">
        <w:rPr>
          <w:rFonts w:ascii="Arial" w:eastAsiaTheme="minorHAnsi" w:hAnsi="Arial" w:cs="Arial"/>
          <w:color w:val="000000"/>
          <w:sz w:val="16"/>
          <w:szCs w:val="16"/>
        </w:rPr>
        <w:t xml:space="preserve">2 </w:t>
      </w:r>
      <w:r w:rsidRPr="00525B7F">
        <w:rPr>
          <w:rFonts w:ascii="Arial" w:eastAsiaTheme="minorHAnsi" w:hAnsi="Arial" w:cs="Arial"/>
          <w:color w:val="000000"/>
          <w:sz w:val="23"/>
          <w:szCs w:val="23"/>
        </w:rPr>
        <w:t xml:space="preserve">recommended the supply of ready-to-administer products, at least for high risk injectables, rather than aseptic preparation in clinical areas. The practicality of this is in part reliant on the availability of valid and robust stability data. </w:t>
      </w:r>
    </w:p>
    <w:p w14:paraId="197CDAE8" w14:textId="65E6AC9A" w:rsidR="00525B7F" w:rsidRDefault="00525B7F" w:rsidP="00280F75">
      <w:pPr>
        <w:autoSpaceDE w:val="0"/>
        <w:autoSpaceDN w:val="0"/>
        <w:adjustRightInd w:val="0"/>
        <w:jc w:val="both"/>
        <w:rPr>
          <w:rFonts w:ascii="Arial" w:eastAsiaTheme="minorHAnsi" w:hAnsi="Arial" w:cs="Arial"/>
          <w:color w:val="000000"/>
          <w:sz w:val="23"/>
          <w:szCs w:val="23"/>
        </w:rPr>
      </w:pPr>
    </w:p>
    <w:p w14:paraId="008B68AA" w14:textId="7375C809" w:rsid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 xml:space="preserve">This protocol, which was prepared jointly by the Research &amp; Development sub-group of the NHS Pharmaceutical Aseptic Services Group, the NHS Pharmaceutical Quality Assurance Committee and the NHS Pharmaceutical Production Committee and which has been updated by the NHS Pharmaceutical Research and Development Working Group, presents a standardised methodology to establish shelf life for aseptically prepared products. It is expected that the principles of this protocol are used for local stability trials, stability trials outsourced to third parties and when the validity of published stability data or commercially supplied stability data need to be assessed. Compliance with this protocol should also be sought from compounded product suppliers when products are outsourced, and Appendix 2 may be used to support that aim. </w:t>
      </w:r>
    </w:p>
    <w:p w14:paraId="08880419"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p>
    <w:p w14:paraId="7F3AE38C" w14:textId="36F8C1D8" w:rsid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 xml:space="preserve">The principles that inform this protocol are: </w:t>
      </w:r>
    </w:p>
    <w:p w14:paraId="00315550"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p>
    <w:p w14:paraId="11386EFE" w14:textId="6511EC40" w:rsid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 xml:space="preserve">2.1 Information available from a manufacturer may not offer the required stability data, for example from the relevant SmPC or from additional information from the medical information department. </w:t>
      </w:r>
    </w:p>
    <w:p w14:paraId="7BA143CA"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p>
    <w:p w14:paraId="3D06D253" w14:textId="74B295D7" w:rsid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 xml:space="preserve">2.2 Published stability data may be of limited value because of inappropriate or inadequate analytical methodology, limited study duration or improper processing of analytical data. </w:t>
      </w:r>
    </w:p>
    <w:p w14:paraId="022B43E2"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p>
    <w:p w14:paraId="111F29AE" w14:textId="33AE89DC" w:rsidR="00525B7F" w:rsidRDefault="00525B7F" w:rsidP="00280F75">
      <w:pPr>
        <w:jc w:val="both"/>
        <w:rPr>
          <w:rFonts w:ascii="Arial" w:eastAsiaTheme="minorHAnsi" w:hAnsi="Arial" w:cs="Arial"/>
          <w:color w:val="000000"/>
          <w:sz w:val="23"/>
          <w:szCs w:val="23"/>
        </w:rPr>
      </w:pPr>
      <w:r w:rsidRPr="00525B7F">
        <w:rPr>
          <w:rFonts w:ascii="Arial" w:eastAsiaTheme="minorHAnsi" w:hAnsi="Arial" w:cs="Arial"/>
          <w:color w:val="000000"/>
          <w:sz w:val="23"/>
          <w:szCs w:val="23"/>
        </w:rPr>
        <w:t>2.3 Shelf lives are derived from diverse sources of data including physico-chemical stability, microbiological integrity, consideration of licensed status of the preparation facilities and their compliance with standards.</w:t>
      </w:r>
    </w:p>
    <w:p w14:paraId="49EB7CB0" w14:textId="6A1B3584" w:rsidR="00525B7F" w:rsidRDefault="00525B7F" w:rsidP="00280F75">
      <w:pPr>
        <w:jc w:val="both"/>
        <w:rPr>
          <w:rFonts w:ascii="Arial" w:eastAsiaTheme="minorHAnsi" w:hAnsi="Arial" w:cs="Arial"/>
          <w:color w:val="000000"/>
          <w:sz w:val="23"/>
          <w:szCs w:val="23"/>
        </w:rPr>
      </w:pPr>
    </w:p>
    <w:p w14:paraId="06A4BA68"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 xml:space="preserve">2.4 Once allocated, the shelf life should be subject to on-going validation including robust control of any changes to materials or components. </w:t>
      </w:r>
    </w:p>
    <w:p w14:paraId="788FDBDA"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 xml:space="preserve">Appendix 2 of this document is supplied to assist procurement staff in assessing the suitability of products to be procured as unlicensed small molecule aseptically prepared </w:t>
      </w:r>
      <w:r w:rsidRPr="00525B7F">
        <w:rPr>
          <w:rFonts w:ascii="Arial" w:eastAsiaTheme="minorHAnsi" w:hAnsi="Arial" w:cs="Arial"/>
          <w:color w:val="000000"/>
          <w:sz w:val="23"/>
          <w:szCs w:val="23"/>
        </w:rPr>
        <w:lastRenderedPageBreak/>
        <w:t xml:space="preserve">products, including assessment of the shelf life assigned and stability information supplied or otherwise available for the specific product. </w:t>
      </w:r>
    </w:p>
    <w:p w14:paraId="41F2439D" w14:textId="2E1C4BEE" w:rsid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 xml:space="preserve">The R&amp;D Group Assessment Template for Aseptic Small Molecule Products should be completed for all assessments of stability for this product group. </w:t>
      </w:r>
    </w:p>
    <w:p w14:paraId="0E99B01F"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p>
    <w:p w14:paraId="0618BCF9"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b/>
          <w:bCs/>
          <w:color w:val="000000"/>
          <w:sz w:val="23"/>
          <w:szCs w:val="23"/>
        </w:rPr>
        <w:t xml:space="preserve">3. </w:t>
      </w:r>
      <w:r w:rsidRPr="00525B7F">
        <w:rPr>
          <w:rFonts w:ascii="Arial" w:eastAsiaTheme="minorHAnsi" w:hAnsi="Arial" w:cs="Arial"/>
          <w:b/>
          <w:bCs/>
          <w:color w:val="000000"/>
          <w:sz w:val="23"/>
          <w:szCs w:val="23"/>
          <w:u w:val="single"/>
        </w:rPr>
        <w:t>Analytical Methods</w:t>
      </w:r>
      <w:r w:rsidRPr="00525B7F">
        <w:rPr>
          <w:rFonts w:ascii="Arial" w:eastAsiaTheme="minorHAnsi" w:hAnsi="Arial" w:cs="Arial"/>
          <w:b/>
          <w:bCs/>
          <w:color w:val="000000"/>
          <w:sz w:val="23"/>
          <w:szCs w:val="23"/>
        </w:rPr>
        <w:t xml:space="preserve"> </w:t>
      </w:r>
    </w:p>
    <w:p w14:paraId="42C7D952" w14:textId="77777777" w:rsidR="00525B7F" w:rsidRDefault="00525B7F" w:rsidP="00280F75">
      <w:pPr>
        <w:autoSpaceDE w:val="0"/>
        <w:autoSpaceDN w:val="0"/>
        <w:adjustRightInd w:val="0"/>
        <w:jc w:val="both"/>
        <w:rPr>
          <w:rFonts w:ascii="Arial" w:eastAsiaTheme="minorHAnsi" w:hAnsi="Arial" w:cs="Arial"/>
          <w:color w:val="000000"/>
          <w:sz w:val="23"/>
          <w:szCs w:val="23"/>
        </w:rPr>
      </w:pPr>
    </w:p>
    <w:p w14:paraId="7E165540" w14:textId="07E90033" w:rsid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The development, validation, and adoption of analytical methods are beyond the scope of this protocol except to note that any method used must be able to indicate stability, be robust and be fully validated. The principles of ‘Guidance on the Validation of Pharmaceutical Quality Control Analytical Methods’</w:t>
      </w:r>
      <w:r w:rsidRPr="00525B7F">
        <w:rPr>
          <w:rFonts w:ascii="Arial" w:eastAsiaTheme="minorHAnsi" w:hAnsi="Arial" w:cs="Arial"/>
          <w:color w:val="000000"/>
          <w:sz w:val="16"/>
          <w:szCs w:val="16"/>
        </w:rPr>
        <w:t xml:space="preserve">3 </w:t>
      </w:r>
      <w:r w:rsidRPr="00525B7F">
        <w:rPr>
          <w:rFonts w:ascii="Arial" w:eastAsiaTheme="minorHAnsi" w:hAnsi="Arial" w:cs="Arial"/>
          <w:color w:val="000000"/>
          <w:sz w:val="23"/>
          <w:szCs w:val="23"/>
        </w:rPr>
        <w:t>and ICH Q2(R1)</w:t>
      </w:r>
      <w:r w:rsidRPr="00525B7F">
        <w:rPr>
          <w:rFonts w:ascii="Arial" w:eastAsiaTheme="minorHAnsi" w:hAnsi="Arial" w:cs="Arial"/>
          <w:color w:val="000000"/>
          <w:sz w:val="16"/>
          <w:szCs w:val="16"/>
        </w:rPr>
        <w:t xml:space="preserve">4 </w:t>
      </w:r>
      <w:r w:rsidRPr="00525B7F">
        <w:rPr>
          <w:rFonts w:ascii="Arial" w:eastAsiaTheme="minorHAnsi" w:hAnsi="Arial" w:cs="Arial"/>
          <w:color w:val="000000"/>
          <w:sz w:val="23"/>
          <w:szCs w:val="23"/>
        </w:rPr>
        <w:t xml:space="preserve">(implemented as CPMP/ICH/281/95) should be followed, as appropriate. </w:t>
      </w:r>
    </w:p>
    <w:p w14:paraId="10B95D1A"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p>
    <w:p w14:paraId="39D16C51"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b/>
          <w:bCs/>
          <w:color w:val="000000"/>
          <w:sz w:val="23"/>
          <w:szCs w:val="23"/>
        </w:rPr>
        <w:t xml:space="preserve">4. </w:t>
      </w:r>
      <w:r w:rsidRPr="00525B7F">
        <w:rPr>
          <w:rFonts w:ascii="Arial" w:eastAsiaTheme="minorHAnsi" w:hAnsi="Arial" w:cs="Arial"/>
          <w:b/>
          <w:bCs/>
          <w:color w:val="000000"/>
          <w:sz w:val="23"/>
          <w:szCs w:val="23"/>
          <w:u w:val="single"/>
        </w:rPr>
        <w:t>Diluents</w:t>
      </w:r>
      <w:r w:rsidRPr="00525B7F">
        <w:rPr>
          <w:rFonts w:ascii="Arial" w:eastAsiaTheme="minorHAnsi" w:hAnsi="Arial" w:cs="Arial"/>
          <w:b/>
          <w:bCs/>
          <w:color w:val="000000"/>
          <w:sz w:val="23"/>
          <w:szCs w:val="23"/>
        </w:rPr>
        <w:t xml:space="preserve"> </w:t>
      </w:r>
    </w:p>
    <w:p w14:paraId="45C68339" w14:textId="77777777" w:rsidR="00525B7F" w:rsidRDefault="00525B7F" w:rsidP="00280F75">
      <w:pPr>
        <w:autoSpaceDE w:val="0"/>
        <w:autoSpaceDN w:val="0"/>
        <w:adjustRightInd w:val="0"/>
        <w:jc w:val="both"/>
        <w:rPr>
          <w:rFonts w:ascii="Arial" w:eastAsiaTheme="minorHAnsi" w:hAnsi="Arial" w:cs="Arial"/>
          <w:color w:val="000000"/>
          <w:sz w:val="23"/>
          <w:szCs w:val="23"/>
        </w:rPr>
      </w:pPr>
    </w:p>
    <w:p w14:paraId="323520D7" w14:textId="6BA50968" w:rsid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 xml:space="preserve">The default diluent will normally be 0.9% w/v sodium chloride as a typical diluent used in practice, but 5% w/v glucose should be used where applicable and other diluents may be added or supplemented, if recommended in the SmPC or otherwise required. </w:t>
      </w:r>
    </w:p>
    <w:p w14:paraId="3566C39B"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p>
    <w:p w14:paraId="3B39A189" w14:textId="426AEFA5" w:rsidR="00525B7F" w:rsidRDefault="00525B7F" w:rsidP="00280F75">
      <w:pPr>
        <w:autoSpaceDE w:val="0"/>
        <w:autoSpaceDN w:val="0"/>
        <w:adjustRightInd w:val="0"/>
        <w:jc w:val="both"/>
        <w:rPr>
          <w:rFonts w:ascii="Arial" w:eastAsiaTheme="minorHAnsi" w:hAnsi="Arial" w:cs="Arial"/>
          <w:b/>
          <w:bCs/>
          <w:color w:val="000000"/>
          <w:sz w:val="23"/>
          <w:szCs w:val="23"/>
        </w:rPr>
      </w:pPr>
      <w:r w:rsidRPr="00525B7F">
        <w:rPr>
          <w:rFonts w:ascii="Arial" w:eastAsiaTheme="minorHAnsi" w:hAnsi="Arial" w:cs="Arial"/>
          <w:b/>
          <w:bCs/>
          <w:color w:val="000000"/>
          <w:sz w:val="23"/>
          <w:szCs w:val="23"/>
        </w:rPr>
        <w:t xml:space="preserve">5. </w:t>
      </w:r>
      <w:r w:rsidRPr="00525B7F">
        <w:rPr>
          <w:rFonts w:ascii="Arial" w:eastAsiaTheme="minorHAnsi" w:hAnsi="Arial" w:cs="Arial"/>
          <w:b/>
          <w:bCs/>
          <w:color w:val="000000"/>
          <w:sz w:val="23"/>
          <w:szCs w:val="23"/>
          <w:u w:val="single"/>
        </w:rPr>
        <w:t>Containers</w:t>
      </w:r>
      <w:r w:rsidRPr="00525B7F">
        <w:rPr>
          <w:rFonts w:ascii="Arial" w:eastAsiaTheme="minorHAnsi" w:hAnsi="Arial" w:cs="Arial"/>
          <w:b/>
          <w:bCs/>
          <w:color w:val="000000"/>
          <w:sz w:val="23"/>
          <w:szCs w:val="23"/>
        </w:rPr>
        <w:t xml:space="preserve"> </w:t>
      </w:r>
    </w:p>
    <w:p w14:paraId="1B785AB8"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p>
    <w:p w14:paraId="2CF6DEE9" w14:textId="2623F56F" w:rsid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 xml:space="preserve">5.1 </w:t>
      </w:r>
      <w:r w:rsidRPr="00525B7F">
        <w:rPr>
          <w:rFonts w:ascii="Arial" w:eastAsiaTheme="minorHAnsi" w:hAnsi="Arial" w:cs="Arial"/>
          <w:color w:val="000000"/>
          <w:sz w:val="23"/>
          <w:szCs w:val="23"/>
          <w:u w:val="single"/>
        </w:rPr>
        <w:t>General considerations</w:t>
      </w:r>
      <w:r w:rsidRPr="00525B7F">
        <w:rPr>
          <w:rFonts w:ascii="Arial" w:eastAsiaTheme="minorHAnsi" w:hAnsi="Arial" w:cs="Arial"/>
          <w:color w:val="000000"/>
          <w:sz w:val="23"/>
          <w:szCs w:val="23"/>
        </w:rPr>
        <w:t xml:space="preserve"> </w:t>
      </w:r>
    </w:p>
    <w:p w14:paraId="4C8B7479"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p>
    <w:p w14:paraId="15D257D4" w14:textId="1D0014EF" w:rsid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 xml:space="preserve">Care should be taken to check the container proposed to store the product is the same used for each supporting stability study. </w:t>
      </w:r>
    </w:p>
    <w:p w14:paraId="272FD989"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p>
    <w:p w14:paraId="418028EC" w14:textId="71B925E6" w:rsid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 xml:space="preserve">Extrapolation of data between different containers and infuser devices may be permissible provided the drug degradation pathway and physical properties of the container are well understood. Critical physical properties of a container include oxygen permeability, water permeability (water loss), light permeability, material constitution and possible extractives and adsorbent potential. Any extrapolation must be evaluated and justified. </w:t>
      </w:r>
    </w:p>
    <w:p w14:paraId="66EFCD2E"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p>
    <w:p w14:paraId="6CAEB575" w14:textId="189F5BD1" w:rsid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 xml:space="preserve">5.2 </w:t>
      </w:r>
      <w:r w:rsidRPr="00525B7F">
        <w:rPr>
          <w:rFonts w:ascii="Arial" w:eastAsiaTheme="minorHAnsi" w:hAnsi="Arial" w:cs="Arial"/>
          <w:color w:val="000000"/>
          <w:sz w:val="23"/>
          <w:szCs w:val="23"/>
          <w:u w:val="single"/>
        </w:rPr>
        <w:t xml:space="preserve">Syringes </w:t>
      </w:r>
    </w:p>
    <w:p w14:paraId="34922F4D"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p>
    <w:p w14:paraId="05742D89" w14:textId="672D76A9" w:rsid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Syringes used as storage containers must be fully validated, including adequate consideration of microbiological ingress and physical robustness. Please refer to the ‘Microbiological protocol for the integrity testing of syringes’</w:t>
      </w:r>
      <w:r w:rsidRPr="00525B7F">
        <w:rPr>
          <w:rFonts w:ascii="Arial" w:eastAsiaTheme="minorHAnsi" w:hAnsi="Arial" w:cs="Arial"/>
          <w:color w:val="000000"/>
          <w:sz w:val="16"/>
          <w:szCs w:val="16"/>
        </w:rPr>
        <w:t>5</w:t>
      </w:r>
      <w:r w:rsidRPr="00525B7F">
        <w:rPr>
          <w:rFonts w:ascii="Arial" w:eastAsiaTheme="minorHAnsi" w:hAnsi="Arial" w:cs="Arial"/>
          <w:color w:val="000000"/>
          <w:sz w:val="23"/>
          <w:szCs w:val="23"/>
        </w:rPr>
        <w:t>. Any syringe used to store medicines must be assessed as compliant with the BP Monograph for plastic syringes ‘Appendix XIX G’</w:t>
      </w:r>
      <w:r w:rsidRPr="00525B7F">
        <w:rPr>
          <w:rFonts w:ascii="Arial" w:eastAsiaTheme="minorHAnsi" w:hAnsi="Arial" w:cs="Arial"/>
          <w:color w:val="000000"/>
          <w:sz w:val="16"/>
          <w:szCs w:val="16"/>
        </w:rPr>
        <w:t>6</w:t>
      </w:r>
      <w:r w:rsidRPr="00525B7F">
        <w:rPr>
          <w:rFonts w:ascii="Arial" w:eastAsiaTheme="minorHAnsi" w:hAnsi="Arial" w:cs="Arial"/>
          <w:color w:val="000000"/>
          <w:sz w:val="23"/>
          <w:szCs w:val="23"/>
        </w:rPr>
        <w:t xml:space="preserve">. </w:t>
      </w:r>
    </w:p>
    <w:p w14:paraId="562E1B7E"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p>
    <w:p w14:paraId="68385C38" w14:textId="5CD564CF" w:rsidR="00525B7F" w:rsidRDefault="00525B7F" w:rsidP="00280F75">
      <w:pPr>
        <w:jc w:val="both"/>
        <w:rPr>
          <w:rFonts w:ascii="Arial" w:eastAsiaTheme="minorHAnsi" w:hAnsi="Arial" w:cs="Arial"/>
          <w:color w:val="000000"/>
          <w:sz w:val="23"/>
          <w:szCs w:val="23"/>
        </w:rPr>
      </w:pPr>
      <w:r w:rsidRPr="00525B7F">
        <w:rPr>
          <w:rFonts w:ascii="Arial" w:eastAsiaTheme="minorHAnsi" w:hAnsi="Arial" w:cs="Arial"/>
          <w:color w:val="000000"/>
          <w:sz w:val="23"/>
          <w:szCs w:val="23"/>
        </w:rPr>
        <w:t>In each case, the syringes used in a stability trial, together with the specific closure system, should be specified in the protocol. Consideration should be also given to</w:t>
      </w:r>
      <w:r>
        <w:rPr>
          <w:rFonts w:ascii="Arial" w:eastAsiaTheme="minorHAnsi" w:hAnsi="Arial" w:cs="Arial"/>
          <w:color w:val="000000"/>
          <w:sz w:val="23"/>
          <w:szCs w:val="23"/>
        </w:rPr>
        <w:t xml:space="preserve"> </w:t>
      </w:r>
      <w:r w:rsidRPr="00525B7F">
        <w:rPr>
          <w:rFonts w:ascii="Arial" w:eastAsiaTheme="minorHAnsi" w:hAnsi="Arial" w:cs="Arial"/>
          <w:color w:val="000000"/>
          <w:sz w:val="23"/>
          <w:szCs w:val="23"/>
        </w:rPr>
        <w:t>the inclusion of suitable CE marked drug storage syringes in any new study. Two piece polypropylene syringes may be required for some products although past history indicates that there may be more failures during the integrity testing with those syringes</w:t>
      </w:r>
      <w:r w:rsidRPr="00525B7F">
        <w:rPr>
          <w:rFonts w:ascii="Arial" w:eastAsiaTheme="minorHAnsi" w:hAnsi="Arial" w:cs="Arial"/>
          <w:color w:val="000000"/>
          <w:sz w:val="16"/>
          <w:szCs w:val="16"/>
        </w:rPr>
        <w:t>7</w:t>
      </w:r>
      <w:r w:rsidRPr="00525B7F">
        <w:rPr>
          <w:rFonts w:ascii="Arial" w:eastAsiaTheme="minorHAnsi" w:hAnsi="Arial" w:cs="Arial"/>
          <w:color w:val="000000"/>
          <w:sz w:val="23"/>
          <w:szCs w:val="23"/>
        </w:rPr>
        <w:t xml:space="preserve">. </w:t>
      </w:r>
    </w:p>
    <w:p w14:paraId="01894FF7" w14:textId="77777777" w:rsidR="00525B7F" w:rsidRPr="00525B7F" w:rsidRDefault="00525B7F" w:rsidP="00280F75">
      <w:pPr>
        <w:jc w:val="both"/>
        <w:rPr>
          <w:rFonts w:ascii="Arial" w:eastAsiaTheme="minorHAnsi" w:hAnsi="Arial" w:cs="Arial"/>
          <w:color w:val="000000"/>
          <w:sz w:val="23"/>
          <w:szCs w:val="23"/>
        </w:rPr>
      </w:pPr>
    </w:p>
    <w:p w14:paraId="5536AFF4" w14:textId="0BCD6663" w:rsid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It is preferable that syringes with the plunger attached should not be filled beyond 85% of their marked capacity in order to prevent undue plunger movement, which may compromise microbial integrity during shipping/ distribution; this is as outlined in ‘Microbiological protocol for the integrity testing of syringes’</w:t>
      </w:r>
      <w:r w:rsidRPr="00525B7F">
        <w:rPr>
          <w:rFonts w:ascii="Arial" w:eastAsiaTheme="minorHAnsi" w:hAnsi="Arial" w:cs="Arial"/>
          <w:color w:val="000000"/>
          <w:sz w:val="16"/>
          <w:szCs w:val="16"/>
        </w:rPr>
        <w:t xml:space="preserve">5 </w:t>
      </w:r>
      <w:r w:rsidRPr="00525B7F">
        <w:rPr>
          <w:rFonts w:ascii="Arial" w:eastAsiaTheme="minorHAnsi" w:hAnsi="Arial" w:cs="Arial"/>
          <w:color w:val="000000"/>
          <w:sz w:val="23"/>
          <w:szCs w:val="23"/>
        </w:rPr>
        <w:t>and national cytotoxic standardised specifications</w:t>
      </w:r>
      <w:r w:rsidRPr="00525B7F">
        <w:rPr>
          <w:rFonts w:ascii="Arial" w:eastAsiaTheme="minorHAnsi" w:hAnsi="Arial" w:cs="Arial"/>
          <w:color w:val="000000"/>
          <w:sz w:val="16"/>
          <w:szCs w:val="16"/>
        </w:rPr>
        <w:t>21</w:t>
      </w:r>
      <w:r w:rsidRPr="00525B7F">
        <w:rPr>
          <w:rFonts w:ascii="Arial" w:eastAsiaTheme="minorHAnsi" w:hAnsi="Arial" w:cs="Arial"/>
          <w:color w:val="000000"/>
          <w:sz w:val="23"/>
          <w:szCs w:val="23"/>
        </w:rPr>
        <w:t xml:space="preserve">. </w:t>
      </w:r>
    </w:p>
    <w:p w14:paraId="61DDAB85"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p>
    <w:p w14:paraId="2E090041" w14:textId="100A0491" w:rsid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lastRenderedPageBreak/>
        <w:t>It is noteworthy that syringes currently used for storage of aseptically prepared medicines are not CE registered as drug storage devices, which has meant manufacturers have often made important changes to the syringes they manufacture without informing the end users. In some cases, changes to syringes have had apparent effects on drug stability and/or adsorption</w:t>
      </w:r>
      <w:r w:rsidRPr="00525B7F">
        <w:rPr>
          <w:rFonts w:ascii="Arial" w:eastAsiaTheme="minorHAnsi" w:hAnsi="Arial" w:cs="Arial"/>
          <w:color w:val="000000"/>
          <w:sz w:val="16"/>
          <w:szCs w:val="16"/>
        </w:rPr>
        <w:t xml:space="preserve">8 </w:t>
      </w:r>
      <w:r w:rsidRPr="00525B7F">
        <w:rPr>
          <w:rFonts w:ascii="Arial" w:eastAsiaTheme="minorHAnsi" w:hAnsi="Arial" w:cs="Arial"/>
          <w:color w:val="000000"/>
          <w:sz w:val="23"/>
          <w:szCs w:val="23"/>
        </w:rPr>
        <w:t xml:space="preserve">when the syringe is used to store aseptically prepared medicines. Therefore, for these products an on-going programme of stability reassessment is strongly recommended. This could take the form of repeated stability testing at defined regular intervals or a programme of end of shelf life testing for the products that feeds into an annual Product Quality Review (PQR). </w:t>
      </w:r>
    </w:p>
    <w:p w14:paraId="6B5DF867"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p>
    <w:p w14:paraId="2A5B8492"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 xml:space="preserve">5.3 </w:t>
      </w:r>
      <w:r w:rsidRPr="00525B7F">
        <w:rPr>
          <w:rFonts w:ascii="Arial" w:eastAsiaTheme="minorHAnsi" w:hAnsi="Arial" w:cs="Arial"/>
          <w:color w:val="000000"/>
          <w:sz w:val="23"/>
          <w:szCs w:val="23"/>
          <w:u w:val="single"/>
        </w:rPr>
        <w:t>Infusion Containers</w:t>
      </w:r>
      <w:r w:rsidRPr="00525B7F">
        <w:rPr>
          <w:rFonts w:ascii="Arial" w:eastAsiaTheme="minorHAnsi" w:hAnsi="Arial" w:cs="Arial"/>
          <w:color w:val="000000"/>
          <w:sz w:val="23"/>
          <w:szCs w:val="23"/>
        </w:rPr>
        <w:t xml:space="preserve"> </w:t>
      </w:r>
    </w:p>
    <w:p w14:paraId="604BC218" w14:textId="77777777" w:rsidR="00525B7F" w:rsidRDefault="00525B7F" w:rsidP="00280F75">
      <w:pPr>
        <w:autoSpaceDE w:val="0"/>
        <w:autoSpaceDN w:val="0"/>
        <w:adjustRightInd w:val="0"/>
        <w:jc w:val="both"/>
        <w:rPr>
          <w:rFonts w:ascii="Arial" w:eastAsiaTheme="minorHAnsi" w:hAnsi="Arial" w:cs="Arial"/>
          <w:color w:val="000000"/>
          <w:sz w:val="23"/>
          <w:szCs w:val="23"/>
        </w:rPr>
      </w:pPr>
    </w:p>
    <w:p w14:paraId="13F9AF68" w14:textId="0F0F7D6F" w:rsidR="00525B7F" w:rsidRP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 xml:space="preserve">Non-PVC containers (polyolefin) should routinely be the first choice container. The choice of flexible versus semi-rigid containers is product and/or study specific but it may not always be possible to extrapolate between the two due to fundamental differences in certain properties, which include the material and quantity of residual air. </w:t>
      </w:r>
    </w:p>
    <w:p w14:paraId="6CCADE81"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 xml:space="preserve">5.4 </w:t>
      </w:r>
      <w:r w:rsidRPr="00525B7F">
        <w:rPr>
          <w:rFonts w:ascii="Arial" w:eastAsiaTheme="minorHAnsi" w:hAnsi="Arial" w:cs="Arial"/>
          <w:color w:val="000000"/>
          <w:sz w:val="23"/>
          <w:szCs w:val="23"/>
          <w:u w:val="single"/>
        </w:rPr>
        <w:t>Ambulatory Infuser Devices</w:t>
      </w:r>
      <w:r w:rsidRPr="00525B7F">
        <w:rPr>
          <w:rFonts w:ascii="Arial" w:eastAsiaTheme="minorHAnsi" w:hAnsi="Arial" w:cs="Arial"/>
          <w:color w:val="000000"/>
          <w:sz w:val="23"/>
          <w:szCs w:val="23"/>
        </w:rPr>
        <w:t xml:space="preserve"> </w:t>
      </w:r>
    </w:p>
    <w:p w14:paraId="2D37E806" w14:textId="77777777" w:rsidR="00525B7F" w:rsidRDefault="00525B7F" w:rsidP="00280F75">
      <w:pPr>
        <w:autoSpaceDE w:val="0"/>
        <w:autoSpaceDN w:val="0"/>
        <w:adjustRightInd w:val="0"/>
        <w:jc w:val="both"/>
        <w:rPr>
          <w:rFonts w:ascii="Arial" w:eastAsiaTheme="minorHAnsi" w:hAnsi="Arial" w:cs="Arial"/>
          <w:color w:val="000000"/>
          <w:sz w:val="23"/>
          <w:szCs w:val="23"/>
        </w:rPr>
      </w:pPr>
    </w:p>
    <w:p w14:paraId="3DC6DDC5" w14:textId="54CCE686" w:rsid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 xml:space="preserve">There are a range of elastomeric devices as well as other ambulatory infuser devices. These should be included in studies when such devices will be used for administration. In addition, the drug contact surfaces need to be understood if data is extrapolated between different types of elastomeric and other infusion devices. </w:t>
      </w:r>
    </w:p>
    <w:p w14:paraId="53B4934C"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p>
    <w:p w14:paraId="11369F6B"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 xml:space="preserve">5.5 </w:t>
      </w:r>
      <w:r w:rsidRPr="00525B7F">
        <w:rPr>
          <w:rFonts w:ascii="Arial" w:eastAsiaTheme="minorHAnsi" w:hAnsi="Arial" w:cs="Arial"/>
          <w:color w:val="000000"/>
          <w:sz w:val="23"/>
          <w:szCs w:val="23"/>
          <w:u w:val="single"/>
        </w:rPr>
        <w:t>Glass vials</w:t>
      </w:r>
      <w:r w:rsidRPr="00525B7F">
        <w:rPr>
          <w:rFonts w:ascii="Arial" w:eastAsiaTheme="minorHAnsi" w:hAnsi="Arial" w:cs="Arial"/>
          <w:color w:val="000000"/>
          <w:sz w:val="23"/>
          <w:szCs w:val="23"/>
        </w:rPr>
        <w:t xml:space="preserve"> </w:t>
      </w:r>
    </w:p>
    <w:p w14:paraId="42514110" w14:textId="77777777" w:rsidR="00525B7F" w:rsidRDefault="00525B7F" w:rsidP="00280F75">
      <w:pPr>
        <w:autoSpaceDE w:val="0"/>
        <w:autoSpaceDN w:val="0"/>
        <w:adjustRightInd w:val="0"/>
        <w:jc w:val="both"/>
        <w:rPr>
          <w:rFonts w:ascii="Arial" w:eastAsiaTheme="minorHAnsi" w:hAnsi="Arial" w:cs="Arial"/>
          <w:color w:val="000000"/>
          <w:sz w:val="23"/>
          <w:szCs w:val="23"/>
        </w:rPr>
      </w:pPr>
    </w:p>
    <w:p w14:paraId="778E7EF8" w14:textId="4239CFD7" w:rsid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 xml:space="preserve">The type of glass and the nature of the vial stopper are important considerations when using glass vials as final containers. The physical robustness and potential for microbiological ingress should also be considered. </w:t>
      </w:r>
    </w:p>
    <w:p w14:paraId="3EE73A74"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p>
    <w:p w14:paraId="30A9EBA7"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 xml:space="preserve">5.6 </w:t>
      </w:r>
      <w:r w:rsidRPr="00525B7F">
        <w:rPr>
          <w:rFonts w:ascii="Arial" w:eastAsiaTheme="minorHAnsi" w:hAnsi="Arial" w:cs="Arial"/>
          <w:color w:val="000000"/>
          <w:sz w:val="23"/>
          <w:szCs w:val="23"/>
          <w:u w:val="single"/>
        </w:rPr>
        <w:t>Eye dropper bottles</w:t>
      </w:r>
      <w:r w:rsidRPr="00525B7F">
        <w:rPr>
          <w:rFonts w:ascii="Arial" w:eastAsiaTheme="minorHAnsi" w:hAnsi="Arial" w:cs="Arial"/>
          <w:color w:val="000000"/>
          <w:sz w:val="23"/>
          <w:szCs w:val="23"/>
        </w:rPr>
        <w:t xml:space="preserve"> </w:t>
      </w:r>
    </w:p>
    <w:p w14:paraId="535C7030" w14:textId="77777777" w:rsidR="00525B7F" w:rsidRDefault="00525B7F" w:rsidP="00280F75">
      <w:pPr>
        <w:jc w:val="both"/>
        <w:rPr>
          <w:rFonts w:ascii="Arial" w:eastAsiaTheme="minorHAnsi" w:hAnsi="Arial" w:cs="Arial"/>
          <w:color w:val="000000"/>
          <w:sz w:val="23"/>
          <w:szCs w:val="23"/>
        </w:rPr>
      </w:pPr>
    </w:p>
    <w:p w14:paraId="229F968B" w14:textId="7843EB5D" w:rsidR="00525B7F" w:rsidRDefault="00525B7F" w:rsidP="00280F75">
      <w:pPr>
        <w:jc w:val="both"/>
        <w:rPr>
          <w:rFonts w:ascii="Arial" w:eastAsiaTheme="minorHAnsi" w:hAnsi="Arial" w:cs="Arial"/>
          <w:color w:val="000000"/>
          <w:sz w:val="23"/>
          <w:szCs w:val="23"/>
        </w:rPr>
      </w:pPr>
      <w:r w:rsidRPr="00525B7F">
        <w:rPr>
          <w:rFonts w:ascii="Arial" w:eastAsiaTheme="minorHAnsi" w:hAnsi="Arial" w:cs="Arial"/>
          <w:color w:val="000000"/>
          <w:sz w:val="23"/>
          <w:szCs w:val="23"/>
        </w:rPr>
        <w:t>Eye dropper bottles may include capped glass bottles (with a screw top or dropper) or plastic three piece eye dropper bottles. A stability study must be carried out in the container in which the product will be supplied; physical robustness and container integrity are important considerations</w:t>
      </w:r>
    </w:p>
    <w:p w14:paraId="404EF617" w14:textId="30439E35" w:rsidR="0036312E" w:rsidRPr="0036312E" w:rsidRDefault="0036312E" w:rsidP="00280F75">
      <w:pPr>
        <w:jc w:val="both"/>
        <w:rPr>
          <w:rFonts w:ascii="Arial" w:hAnsi="Arial" w:cs="Arial"/>
        </w:rPr>
      </w:pPr>
    </w:p>
    <w:p w14:paraId="2D192688" w14:textId="38E7E9A0" w:rsidR="0036312E" w:rsidRDefault="0036312E" w:rsidP="00280F75">
      <w:pPr>
        <w:jc w:val="both"/>
        <w:rPr>
          <w:rFonts w:ascii="Arial" w:eastAsiaTheme="minorHAnsi" w:hAnsi="Arial" w:cs="Arial"/>
          <w:color w:val="000000"/>
          <w:sz w:val="23"/>
          <w:szCs w:val="23"/>
        </w:rPr>
      </w:pPr>
    </w:p>
    <w:p w14:paraId="65D58725"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b/>
          <w:bCs/>
          <w:color w:val="000000"/>
          <w:sz w:val="23"/>
          <w:szCs w:val="23"/>
        </w:rPr>
        <w:t xml:space="preserve">6. </w:t>
      </w:r>
      <w:r w:rsidRPr="0036312E">
        <w:rPr>
          <w:rFonts w:ascii="Arial" w:eastAsiaTheme="minorHAnsi" w:hAnsi="Arial" w:cs="Arial"/>
          <w:b/>
          <w:bCs/>
          <w:color w:val="000000"/>
          <w:sz w:val="23"/>
          <w:szCs w:val="23"/>
          <w:u w:val="single"/>
        </w:rPr>
        <w:t>Concentrations</w:t>
      </w:r>
      <w:r w:rsidRPr="0036312E">
        <w:rPr>
          <w:rFonts w:ascii="Arial" w:eastAsiaTheme="minorHAnsi" w:hAnsi="Arial" w:cs="Arial"/>
          <w:b/>
          <w:bCs/>
          <w:color w:val="000000"/>
          <w:sz w:val="23"/>
          <w:szCs w:val="23"/>
        </w:rPr>
        <w:t xml:space="preserve"> </w:t>
      </w:r>
    </w:p>
    <w:p w14:paraId="49545218" w14:textId="77777777" w:rsidR="0036312E" w:rsidRDefault="0036312E" w:rsidP="00280F75">
      <w:pPr>
        <w:autoSpaceDE w:val="0"/>
        <w:autoSpaceDN w:val="0"/>
        <w:adjustRightInd w:val="0"/>
        <w:jc w:val="both"/>
        <w:rPr>
          <w:rFonts w:ascii="Arial" w:eastAsiaTheme="minorHAnsi" w:hAnsi="Arial" w:cs="Arial"/>
          <w:color w:val="000000"/>
          <w:sz w:val="23"/>
          <w:szCs w:val="23"/>
        </w:rPr>
      </w:pPr>
    </w:p>
    <w:p w14:paraId="4BAE9585" w14:textId="42DE434D"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Ideally each drug should be studied at each of a low and high clinically relevant concentration. In this way, if there is consistent degradation reaction kinetics of the drug then it should be possible to interpolate to concentrations in between the two. If there is likely to be a significant difference in stability across a range of concentrations or another physical stability issue then additional concentrations may also be required. </w:t>
      </w:r>
    </w:p>
    <w:p w14:paraId="63C8BFFB"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03AAEB8F"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b/>
          <w:bCs/>
          <w:color w:val="000000"/>
          <w:sz w:val="23"/>
          <w:szCs w:val="23"/>
        </w:rPr>
        <w:t xml:space="preserve">7. </w:t>
      </w:r>
      <w:r w:rsidRPr="0036312E">
        <w:rPr>
          <w:rFonts w:ascii="Arial" w:eastAsiaTheme="minorHAnsi" w:hAnsi="Arial" w:cs="Arial"/>
          <w:b/>
          <w:bCs/>
          <w:color w:val="000000"/>
          <w:sz w:val="23"/>
          <w:szCs w:val="23"/>
          <w:u w:val="single"/>
        </w:rPr>
        <w:t>Storage Conditions</w:t>
      </w:r>
      <w:r w:rsidRPr="0036312E">
        <w:rPr>
          <w:rFonts w:ascii="Arial" w:eastAsiaTheme="minorHAnsi" w:hAnsi="Arial" w:cs="Arial"/>
          <w:b/>
          <w:bCs/>
          <w:color w:val="000000"/>
          <w:sz w:val="23"/>
          <w:szCs w:val="23"/>
        </w:rPr>
        <w:t xml:space="preserve"> </w:t>
      </w:r>
    </w:p>
    <w:p w14:paraId="0A8554A5" w14:textId="77777777" w:rsidR="0036312E" w:rsidRDefault="0036312E" w:rsidP="00280F75">
      <w:pPr>
        <w:autoSpaceDE w:val="0"/>
        <w:autoSpaceDN w:val="0"/>
        <w:adjustRightInd w:val="0"/>
        <w:jc w:val="both"/>
        <w:rPr>
          <w:rFonts w:ascii="Arial" w:eastAsiaTheme="minorHAnsi" w:hAnsi="Arial" w:cs="Arial"/>
          <w:color w:val="000000"/>
          <w:sz w:val="23"/>
          <w:szCs w:val="23"/>
        </w:rPr>
      </w:pPr>
    </w:p>
    <w:p w14:paraId="4F1B7110" w14:textId="256E9538"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Standard storage conditions can be found in Table 1. Control of relative humidity is not required for aseptically prepared products because they are essentially aqueous solutions and the storage times comparatively short. However, the properties of the container need to be assessed and understood (e.g. water loss by weight loss on storage, see above). </w:t>
      </w:r>
    </w:p>
    <w:p w14:paraId="1E5F5419" w14:textId="4A29F2E3" w:rsidR="0036312E" w:rsidRDefault="0036312E" w:rsidP="00280F75">
      <w:pPr>
        <w:autoSpaceDE w:val="0"/>
        <w:autoSpaceDN w:val="0"/>
        <w:adjustRightInd w:val="0"/>
        <w:jc w:val="both"/>
        <w:rPr>
          <w:rFonts w:ascii="Arial" w:eastAsiaTheme="minorHAnsi" w:hAnsi="Arial" w:cs="Arial"/>
          <w:color w:val="000000"/>
          <w:sz w:val="23"/>
          <w:szCs w:val="23"/>
        </w:rPr>
      </w:pPr>
    </w:p>
    <w:p w14:paraId="65B88EF8"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33FA7E23" w14:textId="1E8EA487" w:rsidR="0036312E" w:rsidRDefault="0036312E" w:rsidP="00280F75">
      <w:pPr>
        <w:jc w:val="both"/>
        <w:rPr>
          <w:rFonts w:ascii="Arial" w:eastAsiaTheme="minorHAnsi" w:hAnsi="Arial" w:cs="Arial"/>
          <w:b/>
          <w:bCs/>
          <w:color w:val="000000"/>
          <w:sz w:val="23"/>
          <w:szCs w:val="23"/>
        </w:rPr>
      </w:pPr>
      <w:r w:rsidRPr="0036312E">
        <w:rPr>
          <w:rFonts w:ascii="Arial" w:eastAsiaTheme="minorHAnsi" w:hAnsi="Arial" w:cs="Arial"/>
          <w:b/>
          <w:bCs/>
          <w:color w:val="000000"/>
          <w:sz w:val="23"/>
          <w:szCs w:val="23"/>
        </w:rPr>
        <w:t>Table 1. A summary of stability testing temperature requirements</w:t>
      </w:r>
    </w:p>
    <w:p w14:paraId="614A8E48" w14:textId="044145B0" w:rsidR="0036312E" w:rsidRPr="0036312E" w:rsidRDefault="0036312E" w:rsidP="00280F75">
      <w:pPr>
        <w:jc w:val="both"/>
        <w:rPr>
          <w:rFonts w:ascii="Arial" w:hAnsi="Arial" w:cs="Arial"/>
        </w:rPr>
      </w:pPr>
    </w:p>
    <w:p w14:paraId="571B2922" w14:textId="4805E008" w:rsidR="0036312E" w:rsidRPr="0036312E" w:rsidRDefault="0036312E" w:rsidP="00280F75">
      <w:pPr>
        <w:jc w:val="both"/>
        <w:rPr>
          <w:rFonts w:ascii="Arial" w:hAnsi="Arial" w:cs="Arial"/>
        </w:rPr>
      </w:pPr>
    </w:p>
    <w:p w14:paraId="24707537" w14:textId="094D7E73" w:rsidR="0036312E" w:rsidRDefault="0036312E" w:rsidP="00280F75">
      <w:pPr>
        <w:jc w:val="both"/>
        <w:rPr>
          <w:rFonts w:ascii="Arial" w:eastAsiaTheme="minorHAnsi" w:hAnsi="Arial" w:cs="Arial"/>
          <w:b/>
          <w:bCs/>
          <w:color w:val="000000"/>
          <w:sz w:val="23"/>
          <w:szCs w:val="23"/>
        </w:rPr>
      </w:pPr>
    </w:p>
    <w:p w14:paraId="7CF8AF7B" w14:textId="6F7A232E" w:rsidR="0036312E" w:rsidRDefault="0036312E" w:rsidP="00280F75">
      <w:pPr>
        <w:jc w:val="both"/>
        <w:rPr>
          <w:rFonts w:ascii="Arial" w:hAnsi="Arial" w:cs="Arial"/>
        </w:rPr>
      </w:pPr>
      <w:r>
        <w:rPr>
          <w:noProof/>
        </w:rPr>
        <w:drawing>
          <wp:inline distT="0" distB="0" distL="0" distR="0" wp14:anchorId="64F8D02A" wp14:editId="3856BE04">
            <wp:extent cx="5133975" cy="26289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33975" cy="2628900"/>
                    </a:xfrm>
                    <a:prstGeom prst="rect">
                      <a:avLst/>
                    </a:prstGeom>
                  </pic:spPr>
                </pic:pic>
              </a:graphicData>
            </a:graphic>
          </wp:inline>
        </w:drawing>
      </w:r>
    </w:p>
    <w:p w14:paraId="30A7E2EB" w14:textId="33B91E40" w:rsidR="0036312E" w:rsidRDefault="0036312E" w:rsidP="00280F75">
      <w:pPr>
        <w:jc w:val="both"/>
        <w:rPr>
          <w:rFonts w:ascii="Arial" w:hAnsi="Arial" w:cs="Arial"/>
        </w:rPr>
      </w:pPr>
    </w:p>
    <w:p w14:paraId="5FCA3EA9" w14:textId="7F41241A" w:rsidR="0036312E" w:rsidRDefault="0036312E" w:rsidP="00280F75">
      <w:pPr>
        <w:jc w:val="both"/>
        <w:rPr>
          <w:rFonts w:ascii="Arial" w:hAnsi="Arial" w:cs="Arial"/>
          <w:sz w:val="23"/>
          <w:szCs w:val="23"/>
        </w:rPr>
      </w:pPr>
      <w:r w:rsidRPr="0036312E">
        <w:rPr>
          <w:rFonts w:ascii="Arial" w:hAnsi="Arial" w:cs="Arial"/>
          <w:sz w:val="16"/>
          <w:szCs w:val="16"/>
        </w:rPr>
        <w:t xml:space="preserve">a </w:t>
      </w:r>
      <w:r w:rsidRPr="0036312E">
        <w:rPr>
          <w:rFonts w:ascii="Arial" w:hAnsi="Arial" w:cs="Arial"/>
          <w:sz w:val="23"/>
          <w:szCs w:val="23"/>
        </w:rPr>
        <w:t>Represents a “worst case scenario” for device reservoirs worn under clothes</w:t>
      </w:r>
    </w:p>
    <w:p w14:paraId="01130318" w14:textId="44670D19" w:rsidR="0036312E" w:rsidRDefault="0036312E" w:rsidP="00280F75">
      <w:pPr>
        <w:jc w:val="both"/>
        <w:rPr>
          <w:rFonts w:ascii="Arial" w:hAnsi="Arial" w:cs="Arial"/>
        </w:rPr>
      </w:pPr>
    </w:p>
    <w:p w14:paraId="406E5B23" w14:textId="77777777" w:rsidR="00280F75" w:rsidRPr="0036312E" w:rsidRDefault="00280F75" w:rsidP="00280F75">
      <w:pPr>
        <w:jc w:val="both"/>
        <w:rPr>
          <w:rFonts w:ascii="Arial" w:hAnsi="Arial" w:cs="Arial"/>
        </w:rPr>
      </w:pPr>
    </w:p>
    <w:p w14:paraId="39E1EF21"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b/>
          <w:bCs/>
          <w:color w:val="000000"/>
          <w:sz w:val="23"/>
          <w:szCs w:val="23"/>
        </w:rPr>
        <w:t xml:space="preserve">8. </w:t>
      </w:r>
      <w:r w:rsidRPr="0036312E">
        <w:rPr>
          <w:rFonts w:ascii="Arial" w:eastAsiaTheme="minorHAnsi" w:hAnsi="Arial" w:cs="Arial"/>
          <w:b/>
          <w:bCs/>
          <w:color w:val="000000"/>
          <w:sz w:val="23"/>
          <w:szCs w:val="23"/>
          <w:u w:val="single"/>
        </w:rPr>
        <w:t>Storage Protocols</w:t>
      </w:r>
      <w:r w:rsidRPr="0036312E">
        <w:rPr>
          <w:rFonts w:ascii="Arial" w:eastAsiaTheme="minorHAnsi" w:hAnsi="Arial" w:cs="Arial"/>
          <w:b/>
          <w:bCs/>
          <w:color w:val="000000"/>
          <w:sz w:val="23"/>
          <w:szCs w:val="23"/>
        </w:rPr>
        <w:t xml:space="preserve"> </w:t>
      </w:r>
    </w:p>
    <w:p w14:paraId="003F579E" w14:textId="77777777" w:rsidR="0036312E" w:rsidRDefault="0036312E" w:rsidP="00280F75">
      <w:pPr>
        <w:autoSpaceDE w:val="0"/>
        <w:autoSpaceDN w:val="0"/>
        <w:adjustRightInd w:val="0"/>
        <w:jc w:val="both"/>
        <w:rPr>
          <w:rFonts w:ascii="Arial" w:eastAsiaTheme="minorHAnsi" w:hAnsi="Arial" w:cs="Arial"/>
          <w:color w:val="000000"/>
          <w:sz w:val="23"/>
          <w:szCs w:val="23"/>
        </w:rPr>
      </w:pPr>
    </w:p>
    <w:p w14:paraId="3CE9030C" w14:textId="77777777"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The conditions referred to within this section can be found in Table 1, temperatures for all storage chambers should be constantly monitored, for example using a wireless monitoring system.</w:t>
      </w:r>
    </w:p>
    <w:p w14:paraId="2B9FA4F9" w14:textId="19110492" w:rsidR="0036312E" w:rsidRP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 </w:t>
      </w:r>
    </w:p>
    <w:p w14:paraId="2688B216" w14:textId="5226B96F"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8.1 </w:t>
      </w:r>
      <w:r w:rsidRPr="0036312E">
        <w:rPr>
          <w:rFonts w:ascii="Arial" w:eastAsiaTheme="minorHAnsi" w:hAnsi="Arial" w:cs="Arial"/>
          <w:color w:val="000000"/>
          <w:sz w:val="23"/>
          <w:szCs w:val="23"/>
          <w:u w:val="single"/>
        </w:rPr>
        <w:t>Refrigerator stored products</w:t>
      </w:r>
      <w:r w:rsidRPr="0036312E">
        <w:rPr>
          <w:rFonts w:ascii="Arial" w:eastAsiaTheme="minorHAnsi" w:hAnsi="Arial" w:cs="Arial"/>
          <w:color w:val="000000"/>
          <w:sz w:val="23"/>
          <w:szCs w:val="23"/>
        </w:rPr>
        <w:t xml:space="preserve"> </w:t>
      </w:r>
    </w:p>
    <w:p w14:paraId="32A4ADB8"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13AD1243" w14:textId="2699672B" w:rsidR="0036312E" w:rsidRDefault="0036312E" w:rsidP="00280F75">
      <w:pPr>
        <w:jc w:val="both"/>
        <w:rPr>
          <w:rFonts w:ascii="Arial" w:hAnsi="Arial" w:cs="Arial"/>
          <w:sz w:val="23"/>
          <w:szCs w:val="23"/>
        </w:rPr>
      </w:pPr>
      <w:r w:rsidRPr="0036312E">
        <w:rPr>
          <w:rFonts w:ascii="Arial" w:eastAsiaTheme="minorHAnsi" w:hAnsi="Arial" w:cs="Arial"/>
          <w:color w:val="000000"/>
          <w:sz w:val="23"/>
          <w:szCs w:val="23"/>
        </w:rPr>
        <w:t>Products should routinely be stored refrigerated as required by the Farwell Report</w:t>
      </w:r>
      <w:r w:rsidRPr="0036312E">
        <w:rPr>
          <w:rFonts w:ascii="Arial" w:eastAsiaTheme="minorHAnsi" w:hAnsi="Arial" w:cs="Arial"/>
          <w:color w:val="000000"/>
          <w:sz w:val="16"/>
          <w:szCs w:val="16"/>
        </w:rPr>
        <w:t xml:space="preserve">9 </w:t>
      </w:r>
      <w:r w:rsidRPr="0036312E">
        <w:rPr>
          <w:rFonts w:ascii="Arial" w:eastAsiaTheme="minorHAnsi" w:hAnsi="Arial" w:cs="Arial"/>
          <w:color w:val="000000"/>
          <w:sz w:val="23"/>
          <w:szCs w:val="23"/>
        </w:rPr>
        <w:t>unless that is precluded by physical considerations. The assessment of the maximum refrigerated shelf life and ‘in-use’ shelf life at room temperature should be assessed as part of a study. This may be followed by a second ‘sequential’ study</w:t>
      </w:r>
      <w:r>
        <w:rPr>
          <w:rFonts w:ascii="Arial" w:hAnsi="Arial" w:cs="Arial"/>
        </w:rPr>
        <w:t xml:space="preserve"> </w:t>
      </w:r>
      <w:r w:rsidRPr="0036312E">
        <w:rPr>
          <w:rFonts w:ascii="Arial" w:hAnsi="Arial" w:cs="Arial"/>
          <w:sz w:val="23"/>
          <w:szCs w:val="23"/>
        </w:rPr>
        <w:t>including refrigerated storage followed by in-use conditions for an appropriate period prior to testing (Table 1).</w:t>
      </w:r>
    </w:p>
    <w:p w14:paraId="6617B615" w14:textId="36B13F30" w:rsidR="0036312E" w:rsidRDefault="0036312E" w:rsidP="00280F75">
      <w:pPr>
        <w:jc w:val="both"/>
        <w:rPr>
          <w:rFonts w:ascii="Arial" w:hAnsi="Arial" w:cs="Arial"/>
          <w:sz w:val="23"/>
          <w:szCs w:val="23"/>
        </w:rPr>
      </w:pPr>
    </w:p>
    <w:p w14:paraId="7D3F972D" w14:textId="0C261E61"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8.2 </w:t>
      </w:r>
      <w:r w:rsidRPr="0036312E">
        <w:rPr>
          <w:rFonts w:ascii="Arial" w:eastAsiaTheme="minorHAnsi" w:hAnsi="Arial" w:cs="Arial"/>
          <w:color w:val="000000"/>
          <w:sz w:val="23"/>
          <w:szCs w:val="23"/>
          <w:u w:val="single"/>
        </w:rPr>
        <w:t>Room Temperature stored products</w:t>
      </w:r>
      <w:r w:rsidRPr="0036312E">
        <w:rPr>
          <w:rFonts w:ascii="Arial" w:eastAsiaTheme="minorHAnsi" w:hAnsi="Arial" w:cs="Arial"/>
          <w:color w:val="000000"/>
          <w:sz w:val="23"/>
          <w:szCs w:val="23"/>
        </w:rPr>
        <w:t xml:space="preserve"> </w:t>
      </w:r>
    </w:p>
    <w:p w14:paraId="2D681C59"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0B9791E9" w14:textId="64AB2C7F"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Products for which there are solubility issues under refrigeration can be stored at room temperature, which may also be appropriate for Controlled Drugs due to their storage requirements. For Controlled Drugs, stability trials may need to be conducted at room temperature without exposure to UV light (Table 1). </w:t>
      </w:r>
    </w:p>
    <w:p w14:paraId="15D6FBBA" w14:textId="77777777" w:rsidR="00280F75" w:rsidRPr="0036312E" w:rsidRDefault="00280F75" w:rsidP="00280F75">
      <w:pPr>
        <w:autoSpaceDE w:val="0"/>
        <w:autoSpaceDN w:val="0"/>
        <w:adjustRightInd w:val="0"/>
        <w:jc w:val="both"/>
        <w:rPr>
          <w:rFonts w:ascii="Arial" w:eastAsiaTheme="minorHAnsi" w:hAnsi="Arial" w:cs="Arial"/>
          <w:color w:val="000000"/>
          <w:sz w:val="23"/>
          <w:szCs w:val="23"/>
        </w:rPr>
      </w:pPr>
    </w:p>
    <w:p w14:paraId="50C55529" w14:textId="0E144EA6" w:rsidR="0036312E" w:rsidRPr="0036312E" w:rsidRDefault="0036312E" w:rsidP="00280F75">
      <w:pPr>
        <w:autoSpaceDE w:val="0"/>
        <w:autoSpaceDN w:val="0"/>
        <w:adjustRightInd w:val="0"/>
        <w:jc w:val="both"/>
        <w:rPr>
          <w:rFonts w:ascii="Arial" w:eastAsiaTheme="minorHAnsi" w:hAnsi="Arial" w:cs="Arial"/>
          <w:color w:val="000000"/>
          <w:sz w:val="23"/>
          <w:szCs w:val="23"/>
          <w:u w:val="single"/>
        </w:rPr>
      </w:pPr>
      <w:r w:rsidRPr="0036312E">
        <w:rPr>
          <w:rFonts w:ascii="Arial" w:eastAsiaTheme="minorHAnsi" w:hAnsi="Arial" w:cs="Arial"/>
          <w:color w:val="000000"/>
          <w:sz w:val="23"/>
          <w:szCs w:val="23"/>
        </w:rPr>
        <w:t xml:space="preserve">8.3 </w:t>
      </w:r>
      <w:r w:rsidRPr="0036312E">
        <w:rPr>
          <w:rFonts w:ascii="Arial" w:eastAsiaTheme="minorHAnsi" w:hAnsi="Arial" w:cs="Arial"/>
          <w:color w:val="000000"/>
          <w:sz w:val="23"/>
          <w:szCs w:val="23"/>
          <w:u w:val="single"/>
        </w:rPr>
        <w:t xml:space="preserve">Devices worn at body temperature </w:t>
      </w:r>
    </w:p>
    <w:p w14:paraId="3C19FD00"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3D60E49B" w14:textId="4C0BBE28"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For elastomeric devices or others where evidence exists that the drug solution will not reach temperatures above 32</w:t>
      </w:r>
      <w:r w:rsidRPr="0036312E">
        <w:rPr>
          <w:rFonts w:ascii="Arial" w:eastAsiaTheme="minorHAnsi" w:hAnsi="Arial" w:cs="Arial"/>
          <w:color w:val="000000"/>
          <w:sz w:val="16"/>
          <w:szCs w:val="16"/>
        </w:rPr>
        <w:t>o</w:t>
      </w:r>
      <w:r w:rsidRPr="0036312E">
        <w:rPr>
          <w:rFonts w:ascii="Arial" w:eastAsiaTheme="minorHAnsi" w:hAnsi="Arial" w:cs="Arial"/>
          <w:color w:val="000000"/>
          <w:sz w:val="23"/>
          <w:szCs w:val="23"/>
        </w:rPr>
        <w:t>C then the in-use period should be studied at 32</w:t>
      </w:r>
      <w:r w:rsidRPr="0036312E">
        <w:rPr>
          <w:rFonts w:ascii="Arial" w:eastAsiaTheme="minorHAnsi" w:hAnsi="Arial" w:cs="Arial"/>
          <w:color w:val="000000"/>
          <w:sz w:val="16"/>
          <w:szCs w:val="16"/>
        </w:rPr>
        <w:t>o</w:t>
      </w:r>
      <w:r w:rsidRPr="0036312E">
        <w:rPr>
          <w:rFonts w:ascii="Arial" w:eastAsiaTheme="minorHAnsi" w:hAnsi="Arial" w:cs="Arial"/>
          <w:color w:val="000000"/>
          <w:sz w:val="23"/>
          <w:szCs w:val="23"/>
        </w:rPr>
        <w:t>C +/- 1</w:t>
      </w:r>
      <w:r w:rsidRPr="0036312E">
        <w:rPr>
          <w:rFonts w:ascii="Arial" w:eastAsiaTheme="minorHAnsi" w:hAnsi="Arial" w:cs="Arial"/>
          <w:color w:val="000000"/>
          <w:sz w:val="16"/>
          <w:szCs w:val="16"/>
        </w:rPr>
        <w:t>o</w:t>
      </w:r>
      <w:r w:rsidRPr="0036312E">
        <w:rPr>
          <w:rFonts w:ascii="Arial" w:eastAsiaTheme="minorHAnsi" w:hAnsi="Arial" w:cs="Arial"/>
          <w:color w:val="000000"/>
          <w:sz w:val="23"/>
          <w:szCs w:val="23"/>
        </w:rPr>
        <w:t>C. For implantable devices (installed under the skin) then this should be 37</w:t>
      </w:r>
      <w:r w:rsidRPr="0036312E">
        <w:rPr>
          <w:rFonts w:ascii="Arial" w:eastAsiaTheme="minorHAnsi" w:hAnsi="Arial" w:cs="Arial"/>
          <w:color w:val="000000"/>
          <w:sz w:val="16"/>
          <w:szCs w:val="16"/>
        </w:rPr>
        <w:t>o</w:t>
      </w:r>
      <w:r w:rsidRPr="0036312E">
        <w:rPr>
          <w:rFonts w:ascii="Arial" w:eastAsiaTheme="minorHAnsi" w:hAnsi="Arial" w:cs="Arial"/>
          <w:color w:val="000000"/>
          <w:sz w:val="23"/>
          <w:szCs w:val="23"/>
        </w:rPr>
        <w:t>C +/- 2</w:t>
      </w:r>
      <w:r w:rsidRPr="0036312E">
        <w:rPr>
          <w:rFonts w:ascii="Arial" w:eastAsiaTheme="minorHAnsi" w:hAnsi="Arial" w:cs="Arial"/>
          <w:color w:val="000000"/>
          <w:sz w:val="16"/>
          <w:szCs w:val="16"/>
        </w:rPr>
        <w:t>o</w:t>
      </w:r>
      <w:r w:rsidRPr="0036312E">
        <w:rPr>
          <w:rFonts w:ascii="Arial" w:eastAsiaTheme="minorHAnsi" w:hAnsi="Arial" w:cs="Arial"/>
          <w:color w:val="000000"/>
          <w:sz w:val="23"/>
          <w:szCs w:val="23"/>
        </w:rPr>
        <w:t>C, this would also be appropriate for non-insulated devices or those for which evidence suggests may reach temperatures above 32</w:t>
      </w:r>
      <w:r w:rsidRPr="0036312E">
        <w:rPr>
          <w:rFonts w:ascii="Arial" w:eastAsiaTheme="minorHAnsi" w:hAnsi="Arial" w:cs="Arial"/>
          <w:color w:val="000000"/>
          <w:sz w:val="16"/>
          <w:szCs w:val="16"/>
        </w:rPr>
        <w:t>o</w:t>
      </w:r>
      <w:r w:rsidRPr="0036312E">
        <w:rPr>
          <w:rFonts w:ascii="Arial" w:eastAsiaTheme="minorHAnsi" w:hAnsi="Arial" w:cs="Arial"/>
          <w:color w:val="000000"/>
          <w:sz w:val="23"/>
          <w:szCs w:val="23"/>
        </w:rPr>
        <w:t xml:space="preserve">C during routine infusion periods. </w:t>
      </w:r>
    </w:p>
    <w:p w14:paraId="798ADBE5"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492ED890" w14:textId="5F22D873"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The rationale behind this standard is based on a series of published studies</w:t>
      </w:r>
      <w:r w:rsidRPr="0036312E">
        <w:rPr>
          <w:rFonts w:ascii="Arial" w:eastAsiaTheme="minorHAnsi" w:hAnsi="Arial" w:cs="Arial"/>
          <w:color w:val="000000"/>
          <w:sz w:val="16"/>
          <w:szCs w:val="16"/>
        </w:rPr>
        <w:t xml:space="preserve">10,11,12 </w:t>
      </w:r>
      <w:r w:rsidRPr="0036312E">
        <w:rPr>
          <w:rFonts w:ascii="Arial" w:eastAsiaTheme="minorHAnsi" w:hAnsi="Arial" w:cs="Arial"/>
          <w:color w:val="000000"/>
          <w:sz w:val="23"/>
          <w:szCs w:val="23"/>
        </w:rPr>
        <w:t>which have shown that for elastometric devices handled appropriately the drug solution does not exceed 32</w:t>
      </w:r>
      <w:r w:rsidRPr="0036312E">
        <w:rPr>
          <w:rFonts w:ascii="Arial" w:eastAsiaTheme="minorHAnsi" w:hAnsi="Arial" w:cs="Arial"/>
          <w:color w:val="000000"/>
          <w:sz w:val="16"/>
          <w:szCs w:val="16"/>
        </w:rPr>
        <w:t>°</w:t>
      </w:r>
      <w:r w:rsidRPr="0036312E">
        <w:rPr>
          <w:rFonts w:ascii="Arial" w:eastAsiaTheme="minorHAnsi" w:hAnsi="Arial" w:cs="Arial"/>
          <w:color w:val="000000"/>
          <w:sz w:val="23"/>
          <w:szCs w:val="23"/>
        </w:rPr>
        <w:t xml:space="preserve">C throughout the infusion period. </w:t>
      </w:r>
    </w:p>
    <w:p w14:paraId="56D6A225"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2536E661" w14:textId="031754A4"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The Van der Merwe paper</w:t>
      </w:r>
      <w:r w:rsidRPr="0036312E">
        <w:rPr>
          <w:rFonts w:ascii="Arial" w:eastAsiaTheme="minorHAnsi" w:hAnsi="Arial" w:cs="Arial"/>
          <w:color w:val="000000"/>
          <w:sz w:val="16"/>
          <w:szCs w:val="16"/>
        </w:rPr>
        <w:t xml:space="preserve">10 </w:t>
      </w:r>
      <w:r w:rsidRPr="0036312E">
        <w:rPr>
          <w:rFonts w:ascii="Arial" w:eastAsiaTheme="minorHAnsi" w:hAnsi="Arial" w:cs="Arial"/>
          <w:color w:val="000000"/>
          <w:sz w:val="23"/>
          <w:szCs w:val="23"/>
        </w:rPr>
        <w:t>in particular used a thermocouple placed inside the solution itself and this showed that for the two infusors studied including one with a flexible and one with a rigid shell the solution does not even reach 30</w:t>
      </w:r>
      <w:r w:rsidRPr="0036312E">
        <w:rPr>
          <w:rFonts w:ascii="Arial" w:eastAsiaTheme="minorHAnsi" w:hAnsi="Arial" w:cs="Arial"/>
          <w:color w:val="000000"/>
          <w:sz w:val="16"/>
          <w:szCs w:val="16"/>
        </w:rPr>
        <w:t>°</w:t>
      </w:r>
      <w:r w:rsidRPr="0036312E">
        <w:rPr>
          <w:rFonts w:ascii="Arial" w:eastAsiaTheme="minorHAnsi" w:hAnsi="Arial" w:cs="Arial"/>
          <w:color w:val="000000"/>
          <w:sz w:val="23"/>
          <w:szCs w:val="23"/>
        </w:rPr>
        <w:t xml:space="preserve">C during 24 hours of simulated use. </w:t>
      </w:r>
    </w:p>
    <w:p w14:paraId="3116B9F9"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435F18CC" w14:textId="77777777"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Another rationale behind this temperature is that 32</w:t>
      </w:r>
      <w:r w:rsidRPr="0036312E">
        <w:rPr>
          <w:rFonts w:ascii="Arial" w:eastAsiaTheme="minorHAnsi" w:hAnsi="Arial" w:cs="Arial"/>
          <w:color w:val="000000"/>
          <w:sz w:val="16"/>
          <w:szCs w:val="16"/>
        </w:rPr>
        <w:t>°</w:t>
      </w:r>
      <w:r w:rsidRPr="0036312E">
        <w:rPr>
          <w:rFonts w:ascii="Arial" w:eastAsiaTheme="minorHAnsi" w:hAnsi="Arial" w:cs="Arial"/>
          <w:color w:val="000000"/>
          <w:sz w:val="23"/>
          <w:szCs w:val="23"/>
        </w:rPr>
        <w:t>C is the temperature for the EP dissolution test for transdermal devices</w:t>
      </w:r>
      <w:r w:rsidRPr="0036312E">
        <w:rPr>
          <w:rFonts w:ascii="Arial" w:eastAsiaTheme="minorHAnsi" w:hAnsi="Arial" w:cs="Arial"/>
          <w:color w:val="000000"/>
          <w:sz w:val="16"/>
          <w:szCs w:val="16"/>
        </w:rPr>
        <w:t xml:space="preserve">13 </w:t>
      </w:r>
      <w:r w:rsidRPr="0036312E">
        <w:rPr>
          <w:rFonts w:ascii="Arial" w:eastAsiaTheme="minorHAnsi" w:hAnsi="Arial" w:cs="Arial"/>
          <w:color w:val="000000"/>
          <w:sz w:val="23"/>
          <w:szCs w:val="23"/>
        </w:rPr>
        <w:t>(which is based on a harmonised worldwide standard).</w:t>
      </w:r>
    </w:p>
    <w:p w14:paraId="4630D774" w14:textId="4FE9473F" w:rsidR="0036312E" w:rsidRP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 </w:t>
      </w:r>
    </w:p>
    <w:p w14:paraId="5AC64A2A" w14:textId="32472CF1"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It is important that patients receive instruction on how to handle their infusors as exposure to direct sunlight even within a pouch can have a significant impact on the temperatures seen with temperatures being shown to reach above 40</w:t>
      </w:r>
      <w:r w:rsidRPr="0036312E">
        <w:rPr>
          <w:rFonts w:ascii="Arial" w:eastAsiaTheme="minorHAnsi" w:hAnsi="Arial" w:cs="Arial"/>
          <w:color w:val="000000"/>
          <w:sz w:val="16"/>
          <w:szCs w:val="16"/>
        </w:rPr>
        <w:t>°</w:t>
      </w:r>
      <w:r w:rsidRPr="0036312E">
        <w:rPr>
          <w:rFonts w:ascii="Arial" w:eastAsiaTheme="minorHAnsi" w:hAnsi="Arial" w:cs="Arial"/>
          <w:color w:val="000000"/>
          <w:sz w:val="23"/>
          <w:szCs w:val="23"/>
        </w:rPr>
        <w:t xml:space="preserve">C in some studies. It is also important that at night the infusor is placed outside of the bed covers if at all possible. </w:t>
      </w:r>
    </w:p>
    <w:p w14:paraId="6F93E36D"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041822F9" w14:textId="1788D08D"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Where technology exists to maintain the infuser at a lower temperature throughout the infusion period, for example below 25</w:t>
      </w:r>
      <w:r w:rsidRPr="0036312E">
        <w:rPr>
          <w:rFonts w:ascii="Arial" w:eastAsiaTheme="minorHAnsi" w:hAnsi="Arial" w:cs="Arial"/>
          <w:color w:val="000000"/>
          <w:sz w:val="16"/>
          <w:szCs w:val="16"/>
        </w:rPr>
        <w:t>o</w:t>
      </w:r>
      <w:r w:rsidRPr="0036312E">
        <w:rPr>
          <w:rFonts w:ascii="Arial" w:eastAsiaTheme="minorHAnsi" w:hAnsi="Arial" w:cs="Arial"/>
          <w:color w:val="000000"/>
          <w:sz w:val="23"/>
          <w:szCs w:val="23"/>
        </w:rPr>
        <w:t>C by using insulated infusion devices, then it is appropriate to use this temperature for the in-use period in the study. It must be borne in mind that the elastomeric infusors are designed to deliver the set flow rate at a set temperature which is often 32</w:t>
      </w:r>
      <w:r w:rsidRPr="0036312E">
        <w:rPr>
          <w:rFonts w:ascii="Arial" w:eastAsiaTheme="minorHAnsi" w:hAnsi="Arial" w:cs="Arial"/>
          <w:color w:val="000000"/>
          <w:sz w:val="16"/>
          <w:szCs w:val="16"/>
        </w:rPr>
        <w:t>o</w:t>
      </w:r>
      <w:r w:rsidRPr="0036312E">
        <w:rPr>
          <w:rFonts w:ascii="Arial" w:eastAsiaTheme="minorHAnsi" w:hAnsi="Arial" w:cs="Arial"/>
          <w:color w:val="000000"/>
          <w:sz w:val="23"/>
          <w:szCs w:val="23"/>
        </w:rPr>
        <w:t xml:space="preserve">C, therefore, temperatures well below this can have a significant impact on flow rate and therefore dose for continuous infusions. </w:t>
      </w:r>
    </w:p>
    <w:p w14:paraId="76B55FC0"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48D1DC12" w14:textId="50944C99" w:rsidR="0036312E" w:rsidRDefault="0036312E" w:rsidP="00280F75">
      <w:pPr>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Care needs to be taken with implantable reservoirs where the device is refilled </w:t>
      </w:r>
      <w:r w:rsidRPr="0036312E">
        <w:rPr>
          <w:rFonts w:ascii="Arial" w:eastAsiaTheme="minorHAnsi" w:hAnsi="Arial" w:cs="Arial"/>
          <w:i/>
          <w:iCs/>
          <w:color w:val="000000"/>
          <w:sz w:val="23"/>
          <w:szCs w:val="23"/>
        </w:rPr>
        <w:t xml:space="preserve">in situ </w:t>
      </w:r>
      <w:r w:rsidRPr="0036312E">
        <w:rPr>
          <w:rFonts w:ascii="Arial" w:eastAsiaTheme="minorHAnsi" w:hAnsi="Arial" w:cs="Arial"/>
          <w:color w:val="000000"/>
          <w:sz w:val="23"/>
          <w:szCs w:val="23"/>
        </w:rPr>
        <w:t>and therefore drug solutions may be stored within them for longer than expected.</w:t>
      </w:r>
    </w:p>
    <w:p w14:paraId="13E40B86" w14:textId="2E9ACF2D" w:rsidR="0036312E" w:rsidRDefault="0036312E" w:rsidP="00280F75">
      <w:pPr>
        <w:jc w:val="both"/>
        <w:rPr>
          <w:rFonts w:ascii="Arial" w:eastAsiaTheme="minorHAnsi" w:hAnsi="Arial" w:cs="Arial"/>
          <w:color w:val="000000"/>
          <w:sz w:val="23"/>
          <w:szCs w:val="23"/>
        </w:rPr>
      </w:pPr>
    </w:p>
    <w:p w14:paraId="354662E0"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u w:val="single"/>
        </w:rPr>
      </w:pPr>
      <w:r w:rsidRPr="0036312E">
        <w:rPr>
          <w:rFonts w:ascii="Arial" w:eastAsiaTheme="minorHAnsi" w:hAnsi="Arial" w:cs="Arial"/>
          <w:color w:val="000000"/>
          <w:sz w:val="23"/>
          <w:szCs w:val="23"/>
        </w:rPr>
        <w:t xml:space="preserve">8.4 </w:t>
      </w:r>
      <w:r w:rsidRPr="0036312E">
        <w:rPr>
          <w:rFonts w:ascii="Arial" w:eastAsiaTheme="minorHAnsi" w:hAnsi="Arial" w:cs="Arial"/>
          <w:color w:val="000000"/>
          <w:sz w:val="23"/>
          <w:szCs w:val="23"/>
          <w:u w:val="single"/>
        </w:rPr>
        <w:t>Products stored frozen</w:t>
      </w:r>
    </w:p>
    <w:p w14:paraId="3D443ED3" w14:textId="205D45AB" w:rsidR="0036312E" w:rsidRP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 </w:t>
      </w:r>
    </w:p>
    <w:p w14:paraId="489D041B" w14:textId="77777777"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For products to be stored frozen the process of defrosting must be documented and fully validated for its impact on stability. In addition, the stability of the product once defrosted must be validated, which may involve refrigeration, or storage at room temperature or body temperature (Table 1). It is not normally recommended that plastic syringes are frozen but if this is necessary robust integrity testing must be undertaken at all stages of storage, thawing and any post thaw storage. There may also be risks associated with freezing products in elastomeric reservoirs that need to be assessed. </w:t>
      </w:r>
    </w:p>
    <w:p w14:paraId="5B835DFF" w14:textId="77777777" w:rsidR="0036312E" w:rsidRDefault="0036312E" w:rsidP="00280F75">
      <w:pPr>
        <w:autoSpaceDE w:val="0"/>
        <w:autoSpaceDN w:val="0"/>
        <w:adjustRightInd w:val="0"/>
        <w:jc w:val="both"/>
        <w:rPr>
          <w:rFonts w:ascii="Arial" w:eastAsiaTheme="minorHAnsi" w:hAnsi="Arial" w:cs="Arial"/>
          <w:color w:val="000000"/>
          <w:sz w:val="23"/>
          <w:szCs w:val="23"/>
        </w:rPr>
      </w:pPr>
    </w:p>
    <w:p w14:paraId="4F641C9F" w14:textId="41BC898A" w:rsidR="0036312E" w:rsidRPr="0036312E" w:rsidRDefault="0036312E" w:rsidP="00280F75">
      <w:pPr>
        <w:autoSpaceDE w:val="0"/>
        <w:autoSpaceDN w:val="0"/>
        <w:adjustRightInd w:val="0"/>
        <w:jc w:val="both"/>
        <w:rPr>
          <w:rFonts w:ascii="Arial" w:eastAsiaTheme="minorHAnsi" w:hAnsi="Arial" w:cs="Arial"/>
          <w:color w:val="000000"/>
          <w:sz w:val="23"/>
          <w:szCs w:val="23"/>
          <w:u w:val="single"/>
        </w:rPr>
      </w:pPr>
      <w:r w:rsidRPr="0036312E">
        <w:rPr>
          <w:rFonts w:ascii="Arial" w:eastAsiaTheme="minorHAnsi" w:hAnsi="Arial" w:cs="Arial"/>
          <w:color w:val="000000"/>
          <w:sz w:val="23"/>
          <w:szCs w:val="23"/>
        </w:rPr>
        <w:t xml:space="preserve">8.5 </w:t>
      </w:r>
      <w:r w:rsidRPr="0036312E">
        <w:rPr>
          <w:rFonts w:ascii="Arial" w:eastAsiaTheme="minorHAnsi" w:hAnsi="Arial" w:cs="Arial"/>
          <w:color w:val="000000"/>
          <w:sz w:val="23"/>
          <w:szCs w:val="23"/>
          <w:u w:val="single"/>
        </w:rPr>
        <w:t xml:space="preserve">Light exposure </w:t>
      </w:r>
    </w:p>
    <w:p w14:paraId="78F55656"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4EAAE1B1" w14:textId="76FE0DF6"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The effect of light on the stability of a medicinal product requires assessment unless the exposure to light is eliminated during routine clinical use. Condition 4 in Table 1 may apply if the product shelf life is dependent on light induced degradation. Under these circumstances further details as to the techniques to be used can be found in ICH Q1(B) Photostability Testing of New Active Substances and Medicinal Products</w:t>
      </w:r>
      <w:r w:rsidRPr="0036312E">
        <w:rPr>
          <w:rFonts w:ascii="Arial" w:eastAsiaTheme="minorHAnsi" w:hAnsi="Arial" w:cs="Arial"/>
          <w:color w:val="000000"/>
          <w:sz w:val="16"/>
          <w:szCs w:val="16"/>
        </w:rPr>
        <w:t>14</w:t>
      </w:r>
      <w:r w:rsidRPr="0036312E">
        <w:rPr>
          <w:rFonts w:ascii="Arial" w:eastAsiaTheme="minorHAnsi" w:hAnsi="Arial" w:cs="Arial"/>
          <w:color w:val="000000"/>
          <w:sz w:val="23"/>
          <w:szCs w:val="23"/>
        </w:rPr>
        <w:t xml:space="preserve">. </w:t>
      </w:r>
    </w:p>
    <w:p w14:paraId="0B6A85CA"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0CA12CA7"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8.6 </w:t>
      </w:r>
      <w:r w:rsidRPr="0036312E">
        <w:rPr>
          <w:rFonts w:ascii="Arial" w:eastAsiaTheme="minorHAnsi" w:hAnsi="Arial" w:cs="Arial"/>
          <w:color w:val="000000"/>
          <w:sz w:val="23"/>
          <w:szCs w:val="23"/>
          <w:u w:val="single"/>
        </w:rPr>
        <w:t>Study and sampling periods</w:t>
      </w:r>
      <w:r w:rsidRPr="0036312E">
        <w:rPr>
          <w:rFonts w:ascii="Arial" w:eastAsiaTheme="minorHAnsi" w:hAnsi="Arial" w:cs="Arial"/>
          <w:color w:val="000000"/>
          <w:sz w:val="23"/>
          <w:szCs w:val="23"/>
        </w:rPr>
        <w:t xml:space="preserve"> </w:t>
      </w:r>
    </w:p>
    <w:p w14:paraId="3102C7DF" w14:textId="77777777" w:rsidR="0036312E" w:rsidRDefault="0036312E" w:rsidP="00280F75">
      <w:pPr>
        <w:autoSpaceDE w:val="0"/>
        <w:autoSpaceDN w:val="0"/>
        <w:adjustRightInd w:val="0"/>
        <w:jc w:val="both"/>
        <w:rPr>
          <w:rFonts w:ascii="Arial" w:eastAsiaTheme="minorHAnsi" w:hAnsi="Arial" w:cs="Arial"/>
          <w:color w:val="000000"/>
          <w:sz w:val="23"/>
          <w:szCs w:val="23"/>
        </w:rPr>
      </w:pPr>
    </w:p>
    <w:p w14:paraId="1E3AC4FB" w14:textId="2A608546"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Sampling periods are study specific and the intrinsic stability of the system will determine the overall study duration as well as each sampling time point. </w:t>
      </w:r>
    </w:p>
    <w:p w14:paraId="53E58DD1"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4FA3A182" w14:textId="287E7E64"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lastRenderedPageBreak/>
        <w:t xml:space="preserve">Sufficient time to allow critical parameters (i.e. those that which will control the shelf life of the product) to be assessed beyond the appropriate confidence interval of its specification limits needs to be built into the stability study. A minimum of 4 justified time points plus the initial data is the minimum required. Note that increasing the number of time points can help minimise the 95% confidence interval, which may otherwise restrict the allocated shelf life. This is particularly applicable to studies of drugs in syringes in which between-day repeatability may be higher than for other container types. </w:t>
      </w:r>
    </w:p>
    <w:p w14:paraId="17C398A6"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5377C746" w14:textId="45C3D55F"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In the case of the critical parameter being the Active Pharmaceutical Ingredient (API) concentration, the study period should allow the concentration to fall to a value that allows a complete understanding of the reaction kinetics. This will not, however, be possible for very stable drugs. Other factors may also be relevant in determining shelf life (see 2.3). </w:t>
      </w:r>
    </w:p>
    <w:p w14:paraId="04DD78C7"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3524BA79" w14:textId="3F6F26E9"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Consideration should be given to carrying out accelerated stability studies for products expected to be or known to be relatively stable. Condition 3 in Table 1 is the temperature normally selected for this purpose. </w:t>
      </w:r>
    </w:p>
    <w:p w14:paraId="26349076"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5D1278F7"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u w:val="single"/>
        </w:rPr>
      </w:pPr>
      <w:r w:rsidRPr="0036312E">
        <w:rPr>
          <w:rFonts w:ascii="Arial" w:eastAsiaTheme="minorHAnsi" w:hAnsi="Arial" w:cs="Arial"/>
          <w:color w:val="000000"/>
          <w:sz w:val="23"/>
          <w:szCs w:val="23"/>
          <w:u w:val="single"/>
        </w:rPr>
        <w:t xml:space="preserve">Abridged studies </w:t>
      </w:r>
    </w:p>
    <w:p w14:paraId="3A57F130" w14:textId="77777777" w:rsidR="0036312E" w:rsidRDefault="0036312E" w:rsidP="00280F75">
      <w:pPr>
        <w:jc w:val="both"/>
        <w:rPr>
          <w:rFonts w:ascii="Arial" w:eastAsiaTheme="minorHAnsi" w:hAnsi="Arial" w:cs="Arial"/>
          <w:color w:val="000000"/>
          <w:sz w:val="23"/>
          <w:szCs w:val="23"/>
        </w:rPr>
      </w:pPr>
    </w:p>
    <w:p w14:paraId="040AAD5F" w14:textId="69D2F5C7" w:rsidR="0036312E" w:rsidRDefault="0036312E" w:rsidP="00280F75">
      <w:pPr>
        <w:jc w:val="both"/>
        <w:rPr>
          <w:rFonts w:ascii="Arial" w:hAnsi="Arial" w:cs="Arial"/>
          <w:sz w:val="23"/>
          <w:szCs w:val="23"/>
        </w:rPr>
      </w:pPr>
      <w:r w:rsidRPr="0036312E">
        <w:rPr>
          <w:rFonts w:ascii="Arial" w:eastAsiaTheme="minorHAnsi" w:hAnsi="Arial" w:cs="Arial"/>
          <w:color w:val="000000"/>
          <w:sz w:val="23"/>
          <w:szCs w:val="23"/>
        </w:rPr>
        <w:t>Where relatively robust information exists from another study including the preparation’s reaction kinetics, and those data are available to the researcher, an abridged study may be considered to fill in knowledge gaps. For example, techniques that were not used in the original study may need to be used in order to</w:t>
      </w:r>
      <w:r>
        <w:rPr>
          <w:rFonts w:ascii="Arial" w:hAnsi="Arial" w:cs="Arial"/>
        </w:rPr>
        <w:t xml:space="preserve"> </w:t>
      </w:r>
      <w:r w:rsidRPr="0036312E">
        <w:rPr>
          <w:rFonts w:ascii="Arial" w:hAnsi="Arial" w:cs="Arial"/>
          <w:sz w:val="23"/>
          <w:szCs w:val="23"/>
        </w:rPr>
        <w:t>extrapolate a study to a different container type, or to assess an extended infusion period at a raised temperature.</w:t>
      </w:r>
    </w:p>
    <w:p w14:paraId="5D2BBDD7" w14:textId="721EC62E" w:rsidR="0036312E" w:rsidRPr="0036312E" w:rsidRDefault="0036312E" w:rsidP="00280F75">
      <w:pPr>
        <w:jc w:val="both"/>
        <w:rPr>
          <w:rFonts w:ascii="Arial" w:hAnsi="Arial" w:cs="Arial"/>
        </w:rPr>
      </w:pPr>
    </w:p>
    <w:p w14:paraId="62368702" w14:textId="35FFC43E"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In the case of abridged studies it may be possible to reduce the number of data points or to spread them over the storage period and the final infusion period to cover both aspects of the study. For example a study may be considered to include time points T= 0, one intermediate point of refrigerated storage, the end point of refrigerated storage plus the post infusion temperature storage period data point. </w:t>
      </w:r>
    </w:p>
    <w:p w14:paraId="30184EA0" w14:textId="2F8D0A45" w:rsidR="0036312E" w:rsidRDefault="0036312E" w:rsidP="00280F75">
      <w:pPr>
        <w:autoSpaceDE w:val="0"/>
        <w:autoSpaceDN w:val="0"/>
        <w:adjustRightInd w:val="0"/>
        <w:jc w:val="both"/>
        <w:rPr>
          <w:rFonts w:ascii="Arial" w:eastAsiaTheme="minorHAnsi" w:hAnsi="Arial" w:cs="Arial"/>
          <w:color w:val="000000"/>
          <w:sz w:val="23"/>
          <w:szCs w:val="23"/>
        </w:rPr>
      </w:pPr>
    </w:p>
    <w:p w14:paraId="60E639A8" w14:textId="5BC2DB08" w:rsidR="0036312E" w:rsidRPr="0036312E" w:rsidRDefault="00280F75" w:rsidP="00280F75">
      <w:pPr>
        <w:autoSpaceDE w:val="0"/>
        <w:autoSpaceDN w:val="0"/>
        <w:adjustRightInd w:val="0"/>
        <w:jc w:val="both"/>
        <w:rPr>
          <w:rFonts w:ascii="Arial" w:eastAsiaTheme="minorHAnsi" w:hAnsi="Arial" w:cs="Arial"/>
          <w:color w:val="000000"/>
          <w:sz w:val="23"/>
          <w:szCs w:val="23"/>
        </w:rPr>
      </w:pPr>
      <w:r>
        <w:rPr>
          <w:rFonts w:ascii="Arial" w:eastAsiaTheme="minorHAnsi" w:hAnsi="Arial" w:cs="Arial"/>
          <w:b/>
          <w:bCs/>
          <w:color w:val="000000"/>
          <w:sz w:val="23"/>
          <w:szCs w:val="23"/>
        </w:rPr>
        <w:t>9</w:t>
      </w:r>
      <w:r w:rsidR="0036312E" w:rsidRPr="0036312E">
        <w:rPr>
          <w:rFonts w:ascii="Arial" w:eastAsiaTheme="minorHAnsi" w:hAnsi="Arial" w:cs="Arial"/>
          <w:b/>
          <w:bCs/>
          <w:color w:val="000000"/>
          <w:sz w:val="23"/>
          <w:szCs w:val="23"/>
        </w:rPr>
        <w:t xml:space="preserve">. </w:t>
      </w:r>
      <w:r w:rsidR="0036312E" w:rsidRPr="0036312E">
        <w:rPr>
          <w:rFonts w:ascii="Arial" w:eastAsiaTheme="minorHAnsi" w:hAnsi="Arial" w:cs="Arial"/>
          <w:b/>
          <w:bCs/>
          <w:color w:val="000000"/>
          <w:sz w:val="23"/>
          <w:szCs w:val="23"/>
          <w:u w:val="single"/>
        </w:rPr>
        <w:t>Sample Numbers</w:t>
      </w:r>
      <w:r w:rsidR="0036312E" w:rsidRPr="0036312E">
        <w:rPr>
          <w:rFonts w:ascii="Arial" w:eastAsiaTheme="minorHAnsi" w:hAnsi="Arial" w:cs="Arial"/>
          <w:b/>
          <w:bCs/>
          <w:color w:val="000000"/>
          <w:sz w:val="23"/>
          <w:szCs w:val="23"/>
        </w:rPr>
        <w:t xml:space="preserve"> </w:t>
      </w:r>
    </w:p>
    <w:p w14:paraId="54111D32" w14:textId="77777777" w:rsidR="0036312E" w:rsidRDefault="0036312E" w:rsidP="00280F75">
      <w:pPr>
        <w:autoSpaceDE w:val="0"/>
        <w:autoSpaceDN w:val="0"/>
        <w:adjustRightInd w:val="0"/>
        <w:jc w:val="both"/>
        <w:rPr>
          <w:rFonts w:ascii="Arial" w:eastAsiaTheme="minorHAnsi" w:hAnsi="Arial" w:cs="Arial"/>
          <w:color w:val="000000"/>
          <w:sz w:val="23"/>
          <w:szCs w:val="23"/>
        </w:rPr>
      </w:pPr>
    </w:p>
    <w:p w14:paraId="7B3ECB61" w14:textId="2F99DC49"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For licensed products and regularly manufactured specials there should be a programme of ongoing stability work. It is required that three independent batches have been studied for licence submissions</w:t>
      </w:r>
      <w:r w:rsidRPr="0036312E">
        <w:rPr>
          <w:rFonts w:ascii="Arial" w:eastAsiaTheme="minorHAnsi" w:hAnsi="Arial" w:cs="Arial"/>
          <w:color w:val="000000"/>
          <w:sz w:val="16"/>
          <w:szCs w:val="16"/>
        </w:rPr>
        <w:t>15</w:t>
      </w:r>
      <w:r w:rsidRPr="0036312E">
        <w:rPr>
          <w:rFonts w:ascii="Arial" w:eastAsiaTheme="minorHAnsi" w:hAnsi="Arial" w:cs="Arial"/>
          <w:color w:val="000000"/>
          <w:sz w:val="23"/>
          <w:szCs w:val="23"/>
        </w:rPr>
        <w:t xml:space="preserve">. </w:t>
      </w:r>
    </w:p>
    <w:p w14:paraId="3CA49D2F"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330D30EA" w14:textId="122EE48D"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For studies of aseptically prepared products, the initial stability assessment is often carried out on a single batch, but this must include at least three replicates (independent containers) from each of the starting concentrations selected. The use of two or three fully independent batches (i.e. unique batches of stating materials) affords a much higher level of assurance to studies. </w:t>
      </w:r>
    </w:p>
    <w:p w14:paraId="2C02ABD9"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1C1A5169" w14:textId="7D876744"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The three samples must be analysed at each time point in duplicate or preferably triplicate. Note that increasing the number of replicates for analysis can help minimise the 95% confidence interval which otherwise may restrict allocated shelf lives. </w:t>
      </w:r>
    </w:p>
    <w:p w14:paraId="4E9187D3"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38B1D8CD" w14:textId="401487B0"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The result of each sample test should be reported independently or if summarised a measure of spread provided, such as the standard deviation. For example, for samples tested in triplicate an average and spread for each set of triplicate samples as well as an average and spread for all the samples combined for each time point should be reported (example in Appendix 1). For samples tested in duplicate this should be reported as a </w:t>
      </w:r>
      <w:r w:rsidRPr="0036312E">
        <w:rPr>
          <w:rFonts w:ascii="Arial" w:eastAsiaTheme="minorHAnsi" w:hAnsi="Arial" w:cs="Arial"/>
          <w:color w:val="000000"/>
          <w:sz w:val="23"/>
          <w:szCs w:val="23"/>
        </w:rPr>
        <w:lastRenderedPageBreak/>
        <w:t xml:space="preserve">range for each sample together with the population mean and variance of the three samples. </w:t>
      </w:r>
    </w:p>
    <w:p w14:paraId="6EA64333"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19D6F808" w14:textId="2F3D024B"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Ideally test results should be reported as a percentage of the baseline concentration, so as to fully understand the degradation levels. </w:t>
      </w:r>
    </w:p>
    <w:p w14:paraId="1ED9C87E"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66F6104A"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9.1 </w:t>
      </w:r>
      <w:r w:rsidRPr="0036312E">
        <w:rPr>
          <w:rFonts w:ascii="Arial" w:eastAsiaTheme="minorHAnsi" w:hAnsi="Arial" w:cs="Arial"/>
          <w:color w:val="000000"/>
          <w:sz w:val="23"/>
          <w:szCs w:val="23"/>
          <w:u w:val="single"/>
        </w:rPr>
        <w:t>Sampling considerations</w:t>
      </w:r>
      <w:r w:rsidRPr="0036312E">
        <w:rPr>
          <w:rFonts w:ascii="Arial" w:eastAsiaTheme="minorHAnsi" w:hAnsi="Arial" w:cs="Arial"/>
          <w:color w:val="000000"/>
          <w:sz w:val="23"/>
          <w:szCs w:val="23"/>
        </w:rPr>
        <w:t xml:space="preserve"> </w:t>
      </w:r>
    </w:p>
    <w:p w14:paraId="6336252C" w14:textId="77777777" w:rsidR="0036312E" w:rsidRDefault="0036312E" w:rsidP="00280F75">
      <w:pPr>
        <w:autoSpaceDE w:val="0"/>
        <w:autoSpaceDN w:val="0"/>
        <w:adjustRightInd w:val="0"/>
        <w:jc w:val="both"/>
        <w:rPr>
          <w:rFonts w:ascii="Arial" w:eastAsiaTheme="minorHAnsi" w:hAnsi="Arial" w:cs="Arial"/>
          <w:color w:val="000000"/>
          <w:sz w:val="23"/>
          <w:szCs w:val="23"/>
        </w:rPr>
      </w:pPr>
    </w:p>
    <w:p w14:paraId="08DBC85E" w14:textId="260B259F"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For containers with a sufficient capacity (for example greater than 60mL), individual units may be regarded as a batch and multiple samples taken from them, pulled dosage units being replaced in storage condition. Note that samples must be removed aseptically to prevent the risk of spoilage. For containers with an insufficient capacity (for example less than 60mL) in order to carry out analysis at all data points it will be necessary to prepare a fully mixed bulk before filling into its storage container to ensure all such containers contain an identical homogenous solution. </w:t>
      </w:r>
    </w:p>
    <w:p w14:paraId="14AF16E3"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6CB6A9ED" w14:textId="5D59A33D" w:rsidR="0036312E" w:rsidRPr="00280F75" w:rsidRDefault="0036312E" w:rsidP="00280F75">
      <w:pPr>
        <w:jc w:val="both"/>
        <w:rPr>
          <w:rFonts w:ascii="Arial" w:hAnsi="Arial" w:cs="Arial"/>
          <w:sz w:val="23"/>
          <w:szCs w:val="23"/>
        </w:rPr>
      </w:pPr>
      <w:r w:rsidRPr="0036312E">
        <w:rPr>
          <w:rFonts w:ascii="Arial" w:eastAsiaTheme="minorHAnsi" w:hAnsi="Arial" w:cs="Arial"/>
          <w:color w:val="000000"/>
          <w:sz w:val="23"/>
          <w:szCs w:val="23"/>
        </w:rPr>
        <w:t>For elastomeric infusors the solution homogeneity needs to be assured and it is suggested that dilutions are made before the device itself is filled since mixing within the device itself is difficult due to the lack of air in the device and also the solution</w:t>
      </w:r>
      <w:r>
        <w:rPr>
          <w:rFonts w:ascii="Arial" w:eastAsiaTheme="minorHAnsi" w:hAnsi="Arial" w:cs="Arial"/>
          <w:color w:val="000000"/>
          <w:sz w:val="23"/>
          <w:szCs w:val="23"/>
        </w:rPr>
        <w:t xml:space="preserve"> </w:t>
      </w:r>
      <w:r w:rsidRPr="0036312E">
        <w:rPr>
          <w:rFonts w:ascii="Arial" w:hAnsi="Arial" w:cs="Arial"/>
          <w:sz w:val="23"/>
          <w:szCs w:val="23"/>
        </w:rPr>
        <w:t>added may start to fill the delivery tubing meaning that the initial sample will not be homogeneous. Removal and discarding a validated volume prior to sample removal can also be considered for these devices</w:t>
      </w:r>
    </w:p>
    <w:p w14:paraId="7AF63282" w14:textId="51FCA80D" w:rsidR="0036312E" w:rsidRDefault="0036312E" w:rsidP="00280F75">
      <w:pPr>
        <w:jc w:val="both"/>
        <w:rPr>
          <w:rFonts w:ascii="Arial" w:hAnsi="Arial" w:cs="Arial"/>
          <w:sz w:val="23"/>
          <w:szCs w:val="23"/>
        </w:rPr>
      </w:pPr>
    </w:p>
    <w:p w14:paraId="73B60FE2" w14:textId="06270345"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It is vital that the sample is representative of the product to be delivered to the patient; there is some concern that products susceptible to adsorption to tubing may be adversely affected if sampled from the terminal end of giving sets for elastomeric devices. In this case it may be better to cut and clamp the tubing nearer to the reservoir, although it is important that the impact of any adsorption to the tubing is understood. </w:t>
      </w:r>
    </w:p>
    <w:p w14:paraId="21B5109C"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2A8C38BB" w14:textId="3A4B0065"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For sub-visible particle counts it is paramount to sample ahead of any in-line filters and so for these samples the tubing will need to be cut ahead of the filter to allow representative sampling. </w:t>
      </w:r>
    </w:p>
    <w:p w14:paraId="6A5B06B8"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60691980"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b/>
          <w:bCs/>
          <w:color w:val="000000"/>
          <w:sz w:val="23"/>
          <w:szCs w:val="23"/>
        </w:rPr>
        <w:t>10</w:t>
      </w:r>
      <w:r w:rsidRPr="0036312E">
        <w:rPr>
          <w:rFonts w:ascii="Arial" w:eastAsiaTheme="minorHAnsi" w:hAnsi="Arial" w:cs="Arial"/>
          <w:b/>
          <w:bCs/>
          <w:color w:val="000000"/>
          <w:sz w:val="23"/>
          <w:szCs w:val="23"/>
          <w:u w:val="single"/>
        </w:rPr>
        <w:t>. Testing Protocols</w:t>
      </w:r>
      <w:r w:rsidRPr="0036312E">
        <w:rPr>
          <w:rFonts w:ascii="Arial" w:eastAsiaTheme="minorHAnsi" w:hAnsi="Arial" w:cs="Arial"/>
          <w:b/>
          <w:bCs/>
          <w:color w:val="000000"/>
          <w:sz w:val="23"/>
          <w:szCs w:val="23"/>
        </w:rPr>
        <w:t xml:space="preserve"> </w:t>
      </w:r>
    </w:p>
    <w:p w14:paraId="2A957CC9" w14:textId="77777777" w:rsidR="0036312E" w:rsidRDefault="0036312E" w:rsidP="00280F75">
      <w:pPr>
        <w:autoSpaceDE w:val="0"/>
        <w:autoSpaceDN w:val="0"/>
        <w:adjustRightInd w:val="0"/>
        <w:jc w:val="both"/>
        <w:rPr>
          <w:rFonts w:ascii="Arial" w:eastAsiaTheme="minorHAnsi" w:hAnsi="Arial" w:cs="Arial"/>
          <w:color w:val="000000"/>
          <w:sz w:val="23"/>
          <w:szCs w:val="23"/>
        </w:rPr>
      </w:pPr>
    </w:p>
    <w:p w14:paraId="3B042CDA" w14:textId="43E105D5"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The minimum testing protocol should include a consideration of the following points. </w:t>
      </w:r>
    </w:p>
    <w:p w14:paraId="2AA99BEA"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2A396982" w14:textId="47CF2A30"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10.1 </w:t>
      </w:r>
      <w:r w:rsidRPr="0036312E">
        <w:rPr>
          <w:rFonts w:ascii="Arial" w:eastAsiaTheme="minorHAnsi" w:hAnsi="Arial" w:cs="Arial"/>
          <w:color w:val="000000"/>
          <w:sz w:val="23"/>
          <w:szCs w:val="23"/>
          <w:u w:val="single"/>
        </w:rPr>
        <w:t>Colour, clarity and precipitation</w:t>
      </w:r>
      <w:r w:rsidRPr="0036312E">
        <w:rPr>
          <w:rFonts w:ascii="Arial" w:eastAsiaTheme="minorHAnsi" w:hAnsi="Arial" w:cs="Arial"/>
          <w:color w:val="000000"/>
          <w:sz w:val="23"/>
          <w:szCs w:val="23"/>
        </w:rPr>
        <w:t xml:space="preserve"> </w:t>
      </w:r>
    </w:p>
    <w:p w14:paraId="71924688"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7791708C" w14:textId="13A8BA1B"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The appearance of the product may be the stability limiting factor, particularly with the formation of visible particles / precipitates. Significant colour changes, even when associated with relatively low levels of degradation, may make the product unacceptable or non-compliant with standards (see relevant BP Monograph). </w:t>
      </w:r>
    </w:p>
    <w:p w14:paraId="4AF86A76"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2197A046"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u w:val="single"/>
        </w:rPr>
      </w:pPr>
      <w:r w:rsidRPr="0036312E">
        <w:rPr>
          <w:rFonts w:ascii="Arial" w:eastAsiaTheme="minorHAnsi" w:hAnsi="Arial" w:cs="Arial"/>
          <w:color w:val="000000"/>
          <w:sz w:val="23"/>
          <w:szCs w:val="23"/>
        </w:rPr>
        <w:t xml:space="preserve">10.2 </w:t>
      </w:r>
      <w:r w:rsidRPr="0036312E">
        <w:rPr>
          <w:rFonts w:ascii="Arial" w:eastAsiaTheme="minorHAnsi" w:hAnsi="Arial" w:cs="Arial"/>
          <w:color w:val="000000"/>
          <w:sz w:val="23"/>
          <w:szCs w:val="23"/>
          <w:u w:val="single"/>
        </w:rPr>
        <w:t xml:space="preserve">pH </w:t>
      </w:r>
    </w:p>
    <w:p w14:paraId="55B13F74" w14:textId="77777777" w:rsidR="0036312E" w:rsidRDefault="0036312E" w:rsidP="00280F75">
      <w:pPr>
        <w:autoSpaceDE w:val="0"/>
        <w:autoSpaceDN w:val="0"/>
        <w:adjustRightInd w:val="0"/>
        <w:jc w:val="both"/>
        <w:rPr>
          <w:rFonts w:ascii="Arial" w:eastAsiaTheme="minorHAnsi" w:hAnsi="Arial" w:cs="Arial"/>
          <w:color w:val="000000"/>
          <w:sz w:val="23"/>
          <w:szCs w:val="23"/>
        </w:rPr>
      </w:pPr>
    </w:p>
    <w:p w14:paraId="50EC692E" w14:textId="0BDC1E29"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The pH is likely to be critical to the stability of most drugs and changes in pH are likely to be indicative of other changes in the stored container that need investigation. </w:t>
      </w:r>
    </w:p>
    <w:p w14:paraId="167DB648" w14:textId="52D83320" w:rsidR="0036312E" w:rsidRDefault="0036312E" w:rsidP="00280F75">
      <w:pPr>
        <w:autoSpaceDE w:val="0"/>
        <w:autoSpaceDN w:val="0"/>
        <w:adjustRightInd w:val="0"/>
        <w:jc w:val="both"/>
        <w:rPr>
          <w:rFonts w:ascii="Arial" w:eastAsiaTheme="minorHAnsi" w:hAnsi="Arial" w:cs="Arial"/>
          <w:color w:val="000000"/>
          <w:sz w:val="23"/>
          <w:szCs w:val="23"/>
        </w:rPr>
      </w:pPr>
    </w:p>
    <w:p w14:paraId="4B2E35E8" w14:textId="46D6D29B" w:rsidR="00280F75" w:rsidRDefault="00280F75" w:rsidP="00280F75">
      <w:pPr>
        <w:autoSpaceDE w:val="0"/>
        <w:autoSpaceDN w:val="0"/>
        <w:adjustRightInd w:val="0"/>
        <w:jc w:val="both"/>
        <w:rPr>
          <w:rFonts w:ascii="Arial" w:eastAsiaTheme="minorHAnsi" w:hAnsi="Arial" w:cs="Arial"/>
          <w:color w:val="000000"/>
          <w:sz w:val="23"/>
          <w:szCs w:val="23"/>
        </w:rPr>
      </w:pPr>
    </w:p>
    <w:p w14:paraId="3A5A6F88" w14:textId="3A758B79" w:rsidR="00280F75" w:rsidRDefault="00280F75" w:rsidP="00280F75">
      <w:pPr>
        <w:autoSpaceDE w:val="0"/>
        <w:autoSpaceDN w:val="0"/>
        <w:adjustRightInd w:val="0"/>
        <w:jc w:val="both"/>
        <w:rPr>
          <w:rFonts w:ascii="Arial" w:eastAsiaTheme="minorHAnsi" w:hAnsi="Arial" w:cs="Arial"/>
          <w:color w:val="000000"/>
          <w:sz w:val="23"/>
          <w:szCs w:val="23"/>
        </w:rPr>
      </w:pPr>
    </w:p>
    <w:p w14:paraId="4A747D58" w14:textId="77777777" w:rsidR="00280F75" w:rsidRPr="0036312E" w:rsidRDefault="00280F75" w:rsidP="00280F75">
      <w:pPr>
        <w:autoSpaceDE w:val="0"/>
        <w:autoSpaceDN w:val="0"/>
        <w:adjustRightInd w:val="0"/>
        <w:jc w:val="both"/>
        <w:rPr>
          <w:rFonts w:ascii="Arial" w:eastAsiaTheme="minorHAnsi" w:hAnsi="Arial" w:cs="Arial"/>
          <w:color w:val="000000"/>
          <w:sz w:val="23"/>
          <w:szCs w:val="23"/>
        </w:rPr>
      </w:pPr>
    </w:p>
    <w:p w14:paraId="188BFC0E"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lastRenderedPageBreak/>
        <w:t xml:space="preserve">10.3 </w:t>
      </w:r>
      <w:r w:rsidRPr="0036312E">
        <w:rPr>
          <w:rFonts w:ascii="Arial" w:eastAsiaTheme="minorHAnsi" w:hAnsi="Arial" w:cs="Arial"/>
          <w:color w:val="000000"/>
          <w:sz w:val="23"/>
          <w:szCs w:val="23"/>
          <w:u w:val="single"/>
        </w:rPr>
        <w:t>API concentration</w:t>
      </w:r>
      <w:r w:rsidRPr="0036312E">
        <w:rPr>
          <w:rFonts w:ascii="Arial" w:eastAsiaTheme="minorHAnsi" w:hAnsi="Arial" w:cs="Arial"/>
          <w:color w:val="000000"/>
          <w:sz w:val="23"/>
          <w:szCs w:val="23"/>
        </w:rPr>
        <w:t xml:space="preserve"> </w:t>
      </w:r>
    </w:p>
    <w:p w14:paraId="32477C46" w14:textId="77777777" w:rsidR="0036312E" w:rsidRDefault="0036312E" w:rsidP="00280F75">
      <w:pPr>
        <w:autoSpaceDE w:val="0"/>
        <w:autoSpaceDN w:val="0"/>
        <w:adjustRightInd w:val="0"/>
        <w:jc w:val="both"/>
        <w:rPr>
          <w:rFonts w:ascii="Arial" w:eastAsiaTheme="minorHAnsi" w:hAnsi="Arial" w:cs="Arial"/>
          <w:color w:val="000000"/>
          <w:sz w:val="23"/>
          <w:szCs w:val="23"/>
        </w:rPr>
      </w:pPr>
    </w:p>
    <w:p w14:paraId="4D515F9B" w14:textId="0EEAA231"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Often API concentration is the critical shelf life limiting factor, usually assayed by HPLC either linked to Diode Array Detector (DAD) or with a standard UV detector, other stability indicating methods may be suitable including UHPLC-MS-MS (see further section 10.5). Analytical method validation needs to be in line with the documents referenced in point 3 above whichever method is used. </w:t>
      </w:r>
    </w:p>
    <w:p w14:paraId="5A5CF9A8" w14:textId="77777777" w:rsidR="00421FD9" w:rsidRPr="0036312E" w:rsidRDefault="00421FD9" w:rsidP="00280F75">
      <w:pPr>
        <w:autoSpaceDE w:val="0"/>
        <w:autoSpaceDN w:val="0"/>
        <w:adjustRightInd w:val="0"/>
        <w:jc w:val="both"/>
        <w:rPr>
          <w:rFonts w:ascii="Arial" w:eastAsiaTheme="minorHAnsi" w:hAnsi="Arial" w:cs="Arial"/>
          <w:color w:val="000000"/>
          <w:sz w:val="23"/>
          <w:szCs w:val="23"/>
        </w:rPr>
      </w:pPr>
    </w:p>
    <w:p w14:paraId="45CD91D4"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10.4 </w:t>
      </w:r>
      <w:r w:rsidRPr="0036312E">
        <w:rPr>
          <w:rFonts w:ascii="Arial" w:eastAsiaTheme="minorHAnsi" w:hAnsi="Arial" w:cs="Arial"/>
          <w:color w:val="000000"/>
          <w:sz w:val="23"/>
          <w:szCs w:val="23"/>
          <w:u w:val="single"/>
        </w:rPr>
        <w:t>Sub-visible particle counts</w:t>
      </w:r>
      <w:r w:rsidRPr="0036312E">
        <w:rPr>
          <w:rFonts w:ascii="Arial" w:eastAsiaTheme="minorHAnsi" w:hAnsi="Arial" w:cs="Arial"/>
          <w:color w:val="000000"/>
          <w:sz w:val="23"/>
          <w:szCs w:val="23"/>
        </w:rPr>
        <w:t xml:space="preserve"> </w:t>
      </w:r>
    </w:p>
    <w:p w14:paraId="7BD37EE1" w14:textId="77777777" w:rsidR="00421FD9" w:rsidRDefault="00421FD9" w:rsidP="00280F75">
      <w:pPr>
        <w:jc w:val="both"/>
        <w:rPr>
          <w:rFonts w:ascii="Arial" w:eastAsiaTheme="minorHAnsi" w:hAnsi="Arial" w:cs="Arial"/>
          <w:color w:val="000000"/>
          <w:sz w:val="23"/>
          <w:szCs w:val="23"/>
        </w:rPr>
      </w:pPr>
    </w:p>
    <w:p w14:paraId="64C7DA41" w14:textId="4E9885CD" w:rsidR="0036312E" w:rsidRDefault="0036312E" w:rsidP="00280F75">
      <w:pPr>
        <w:jc w:val="both"/>
        <w:rPr>
          <w:rFonts w:ascii="Arial" w:eastAsiaTheme="minorHAnsi" w:hAnsi="Arial" w:cs="Arial"/>
          <w:color w:val="000000"/>
          <w:sz w:val="23"/>
          <w:szCs w:val="23"/>
        </w:rPr>
      </w:pPr>
      <w:r w:rsidRPr="0036312E">
        <w:rPr>
          <w:rFonts w:ascii="Arial" w:eastAsiaTheme="minorHAnsi" w:hAnsi="Arial" w:cs="Arial"/>
          <w:color w:val="000000"/>
          <w:sz w:val="23"/>
          <w:szCs w:val="23"/>
        </w:rPr>
        <w:t>The test for sub-visible particulates is an important part of any stability protocol and will normal follow the BP Light Obscuration technique, and if carried out to the Pharmacopoeial standard tests this technique does need relatively large sample volumes. There is evidence that a smaller sample volume will provide equivalent accuracy in terms of particle level analysis</w:t>
      </w:r>
      <w:r w:rsidRPr="0036312E">
        <w:rPr>
          <w:rFonts w:ascii="Arial" w:eastAsiaTheme="minorHAnsi" w:hAnsi="Arial" w:cs="Arial"/>
          <w:color w:val="000000"/>
          <w:sz w:val="16"/>
          <w:szCs w:val="16"/>
        </w:rPr>
        <w:t xml:space="preserve">16 </w:t>
      </w:r>
      <w:r w:rsidRPr="0036312E">
        <w:rPr>
          <w:rFonts w:ascii="Arial" w:eastAsiaTheme="minorHAnsi" w:hAnsi="Arial" w:cs="Arial"/>
          <w:color w:val="000000"/>
          <w:sz w:val="23"/>
          <w:szCs w:val="23"/>
        </w:rPr>
        <w:t>and therefore smaller sample sizes for particle analysis may be acceptable. The Microscopic Particle Count test may also be used if appropriate</w:t>
      </w:r>
      <w:r w:rsidRPr="0036312E">
        <w:rPr>
          <w:rFonts w:ascii="Arial" w:eastAsiaTheme="minorHAnsi" w:hAnsi="Arial" w:cs="Arial"/>
          <w:color w:val="000000"/>
          <w:sz w:val="16"/>
          <w:szCs w:val="16"/>
        </w:rPr>
        <w:t>17</w:t>
      </w:r>
      <w:r w:rsidRPr="0036312E">
        <w:rPr>
          <w:rFonts w:ascii="Arial" w:eastAsiaTheme="minorHAnsi" w:hAnsi="Arial" w:cs="Arial"/>
          <w:color w:val="000000"/>
          <w:sz w:val="23"/>
          <w:szCs w:val="23"/>
        </w:rPr>
        <w:t>. For suspensions for injection it is expected that assessment of the particle size of the suspension be included in the stability protocol.</w:t>
      </w:r>
    </w:p>
    <w:p w14:paraId="60F2DA08" w14:textId="5FA35EBD" w:rsidR="00421FD9" w:rsidRDefault="00421FD9" w:rsidP="00280F75">
      <w:pPr>
        <w:jc w:val="both"/>
        <w:rPr>
          <w:rFonts w:ascii="Arial" w:eastAsiaTheme="minorHAnsi" w:hAnsi="Arial" w:cs="Arial"/>
          <w:color w:val="000000"/>
          <w:sz w:val="23"/>
          <w:szCs w:val="23"/>
        </w:rPr>
      </w:pPr>
    </w:p>
    <w:p w14:paraId="7592C4CF" w14:textId="77777777" w:rsidR="00421FD9" w:rsidRPr="00421FD9" w:rsidRDefault="00421FD9" w:rsidP="00280F75">
      <w:pPr>
        <w:autoSpaceDE w:val="0"/>
        <w:autoSpaceDN w:val="0"/>
        <w:adjustRightInd w:val="0"/>
        <w:jc w:val="both"/>
        <w:rPr>
          <w:rFonts w:ascii="Arial" w:eastAsiaTheme="minorHAnsi" w:hAnsi="Arial" w:cs="Arial"/>
          <w:color w:val="000000"/>
          <w:sz w:val="23"/>
          <w:szCs w:val="23"/>
          <w:u w:val="single"/>
        </w:rPr>
      </w:pPr>
      <w:r w:rsidRPr="00421FD9">
        <w:rPr>
          <w:rFonts w:ascii="Arial" w:eastAsiaTheme="minorHAnsi" w:hAnsi="Arial" w:cs="Arial"/>
          <w:color w:val="000000"/>
          <w:sz w:val="23"/>
          <w:szCs w:val="23"/>
        </w:rPr>
        <w:t xml:space="preserve">10.5 </w:t>
      </w:r>
      <w:r w:rsidRPr="00421FD9">
        <w:rPr>
          <w:rFonts w:ascii="Arial" w:eastAsiaTheme="minorHAnsi" w:hAnsi="Arial" w:cs="Arial"/>
          <w:color w:val="000000"/>
          <w:sz w:val="23"/>
          <w:szCs w:val="23"/>
          <w:u w:val="single"/>
        </w:rPr>
        <w:t xml:space="preserve">Degradation product concentration </w:t>
      </w:r>
    </w:p>
    <w:p w14:paraId="5287BFF5" w14:textId="77777777" w:rsidR="00421FD9" w:rsidRPr="00421FD9" w:rsidRDefault="00421FD9" w:rsidP="00280F75">
      <w:pPr>
        <w:autoSpaceDE w:val="0"/>
        <w:autoSpaceDN w:val="0"/>
        <w:adjustRightInd w:val="0"/>
        <w:jc w:val="both"/>
        <w:rPr>
          <w:rFonts w:ascii="Arial" w:eastAsiaTheme="minorHAnsi" w:hAnsi="Arial" w:cs="Arial"/>
          <w:color w:val="000000"/>
          <w:sz w:val="23"/>
          <w:szCs w:val="23"/>
          <w:u w:val="single"/>
        </w:rPr>
      </w:pPr>
    </w:p>
    <w:p w14:paraId="1A951D28" w14:textId="3CDBFDE2" w:rsidR="00421FD9" w:rsidRDefault="00421FD9" w:rsidP="00280F75">
      <w:pPr>
        <w:autoSpaceDE w:val="0"/>
        <w:autoSpaceDN w:val="0"/>
        <w:adjustRightInd w:val="0"/>
        <w:jc w:val="both"/>
        <w:rPr>
          <w:rFonts w:ascii="Arial" w:eastAsiaTheme="minorHAnsi" w:hAnsi="Arial" w:cs="Arial"/>
          <w:color w:val="000000"/>
          <w:sz w:val="23"/>
          <w:szCs w:val="23"/>
        </w:rPr>
      </w:pPr>
      <w:r w:rsidRPr="00421FD9">
        <w:rPr>
          <w:rFonts w:ascii="Arial" w:eastAsiaTheme="minorHAnsi" w:hAnsi="Arial" w:cs="Arial"/>
          <w:color w:val="000000"/>
          <w:sz w:val="23"/>
          <w:szCs w:val="23"/>
        </w:rPr>
        <w:t xml:space="preserve">Degradation product concentration may be a critical parameter in shelf life assignment, together with an understanding of the degradation mechanism and/or a risk assessment of the properties of the degradation products. With a validated HPLC assay, the resolution factor between the active ingredient and degradation products is a critical stage of the assay validation procedure. </w:t>
      </w:r>
    </w:p>
    <w:p w14:paraId="5EA7A5CF" w14:textId="77777777" w:rsidR="00421FD9" w:rsidRPr="00421FD9" w:rsidRDefault="00421FD9" w:rsidP="00280F75">
      <w:pPr>
        <w:autoSpaceDE w:val="0"/>
        <w:autoSpaceDN w:val="0"/>
        <w:adjustRightInd w:val="0"/>
        <w:jc w:val="both"/>
        <w:rPr>
          <w:rFonts w:ascii="Arial" w:eastAsiaTheme="minorHAnsi" w:hAnsi="Arial" w:cs="Arial"/>
          <w:color w:val="000000"/>
          <w:sz w:val="23"/>
          <w:szCs w:val="23"/>
        </w:rPr>
      </w:pPr>
    </w:p>
    <w:p w14:paraId="658C46FE" w14:textId="6090E6D1" w:rsidR="00421FD9" w:rsidRDefault="00421FD9" w:rsidP="00280F75">
      <w:pPr>
        <w:autoSpaceDE w:val="0"/>
        <w:autoSpaceDN w:val="0"/>
        <w:adjustRightInd w:val="0"/>
        <w:jc w:val="both"/>
        <w:rPr>
          <w:rFonts w:ascii="Arial" w:eastAsiaTheme="minorHAnsi" w:hAnsi="Arial" w:cs="Arial"/>
          <w:color w:val="000000"/>
          <w:sz w:val="23"/>
          <w:szCs w:val="23"/>
        </w:rPr>
      </w:pPr>
      <w:r w:rsidRPr="00421FD9">
        <w:rPr>
          <w:rFonts w:ascii="Arial" w:eastAsiaTheme="minorHAnsi" w:hAnsi="Arial" w:cs="Arial"/>
          <w:color w:val="000000"/>
          <w:sz w:val="23"/>
          <w:szCs w:val="23"/>
        </w:rPr>
        <w:t xml:space="preserve">UHPLC with dual Mass Spectrophotometer detection (UHPLC-MS-MS) allows chemical species to be separated both temporally and spatially and it does not rely upon achieving a physical separation in the same way as standard HPLC methodology. </w:t>
      </w:r>
    </w:p>
    <w:p w14:paraId="31F3B9FE" w14:textId="77777777" w:rsidR="00421FD9" w:rsidRPr="00421FD9" w:rsidRDefault="00421FD9" w:rsidP="00280F75">
      <w:pPr>
        <w:autoSpaceDE w:val="0"/>
        <w:autoSpaceDN w:val="0"/>
        <w:adjustRightInd w:val="0"/>
        <w:jc w:val="both"/>
        <w:rPr>
          <w:rFonts w:ascii="Arial" w:eastAsiaTheme="minorHAnsi" w:hAnsi="Arial" w:cs="Arial"/>
          <w:color w:val="000000"/>
          <w:sz w:val="23"/>
          <w:szCs w:val="23"/>
        </w:rPr>
      </w:pPr>
    </w:p>
    <w:p w14:paraId="518C78B5" w14:textId="6E33057C" w:rsidR="00421FD9" w:rsidRDefault="00421FD9" w:rsidP="00280F75">
      <w:pPr>
        <w:autoSpaceDE w:val="0"/>
        <w:autoSpaceDN w:val="0"/>
        <w:adjustRightInd w:val="0"/>
        <w:jc w:val="both"/>
        <w:rPr>
          <w:rFonts w:ascii="Arial" w:eastAsiaTheme="minorHAnsi" w:hAnsi="Arial" w:cs="Arial"/>
          <w:color w:val="000000"/>
          <w:sz w:val="23"/>
          <w:szCs w:val="23"/>
        </w:rPr>
      </w:pPr>
      <w:r w:rsidRPr="00421FD9">
        <w:rPr>
          <w:rFonts w:ascii="Arial" w:eastAsiaTheme="minorHAnsi" w:hAnsi="Arial" w:cs="Arial"/>
          <w:color w:val="000000"/>
          <w:sz w:val="23"/>
          <w:szCs w:val="23"/>
        </w:rPr>
        <w:t xml:space="preserve">Provided the system suitability is demonstrated in terms of the instrument response factor for each compound being determined (if analysing a mixture without a physical separation being achieved) it allows the simultaneous quantitative determination of different chemical species in a very short analysis time without prior physical separation. This technique may alleviate the need for forced degradation studies as species detected will enable full identification of the degradants. </w:t>
      </w:r>
    </w:p>
    <w:p w14:paraId="36665970" w14:textId="77777777" w:rsidR="00421FD9" w:rsidRPr="00421FD9" w:rsidRDefault="00421FD9" w:rsidP="00280F75">
      <w:pPr>
        <w:autoSpaceDE w:val="0"/>
        <w:autoSpaceDN w:val="0"/>
        <w:adjustRightInd w:val="0"/>
        <w:jc w:val="both"/>
        <w:rPr>
          <w:rFonts w:ascii="Arial" w:eastAsiaTheme="minorHAnsi" w:hAnsi="Arial" w:cs="Arial"/>
          <w:color w:val="000000"/>
          <w:sz w:val="23"/>
          <w:szCs w:val="23"/>
        </w:rPr>
      </w:pPr>
    </w:p>
    <w:p w14:paraId="14FF89F4" w14:textId="0F81ED0A" w:rsidR="00421FD9" w:rsidRDefault="00421FD9" w:rsidP="00280F75">
      <w:pPr>
        <w:autoSpaceDE w:val="0"/>
        <w:autoSpaceDN w:val="0"/>
        <w:adjustRightInd w:val="0"/>
        <w:jc w:val="both"/>
        <w:rPr>
          <w:rFonts w:ascii="Arial" w:eastAsiaTheme="minorHAnsi" w:hAnsi="Arial" w:cs="Arial"/>
          <w:color w:val="000000"/>
          <w:sz w:val="23"/>
          <w:szCs w:val="23"/>
        </w:rPr>
      </w:pPr>
      <w:r w:rsidRPr="00421FD9">
        <w:rPr>
          <w:rFonts w:ascii="Arial" w:eastAsiaTheme="minorHAnsi" w:hAnsi="Arial" w:cs="Arial"/>
          <w:color w:val="000000"/>
          <w:sz w:val="23"/>
          <w:szCs w:val="23"/>
        </w:rPr>
        <w:t xml:space="preserve">There is generally no need to include other related substance tests where those substances are process impurities from the original manufacturing process, and would not change as a result of aseptic manipulation and subsequent storage of the product. However, these may still impact on compliance with the BP monograph for overall related substance limits and this should be considered. </w:t>
      </w:r>
    </w:p>
    <w:p w14:paraId="066F59D3" w14:textId="77777777" w:rsidR="00421FD9" w:rsidRPr="00421FD9" w:rsidRDefault="00421FD9" w:rsidP="00280F75">
      <w:pPr>
        <w:autoSpaceDE w:val="0"/>
        <w:autoSpaceDN w:val="0"/>
        <w:adjustRightInd w:val="0"/>
        <w:jc w:val="both"/>
        <w:rPr>
          <w:rFonts w:ascii="Arial" w:eastAsiaTheme="minorHAnsi" w:hAnsi="Arial" w:cs="Arial"/>
          <w:color w:val="000000"/>
          <w:sz w:val="23"/>
          <w:szCs w:val="23"/>
        </w:rPr>
      </w:pPr>
    </w:p>
    <w:p w14:paraId="2A5C1315" w14:textId="78D5A82D" w:rsidR="00421FD9" w:rsidRDefault="00421FD9" w:rsidP="00280F75">
      <w:pPr>
        <w:autoSpaceDE w:val="0"/>
        <w:autoSpaceDN w:val="0"/>
        <w:adjustRightInd w:val="0"/>
        <w:jc w:val="both"/>
        <w:rPr>
          <w:rFonts w:ascii="Arial" w:eastAsiaTheme="minorHAnsi" w:hAnsi="Arial" w:cs="Arial"/>
          <w:color w:val="000000"/>
          <w:sz w:val="23"/>
          <w:szCs w:val="23"/>
        </w:rPr>
      </w:pPr>
      <w:r w:rsidRPr="00421FD9">
        <w:rPr>
          <w:rFonts w:ascii="Arial" w:eastAsiaTheme="minorHAnsi" w:hAnsi="Arial" w:cs="Arial"/>
          <w:color w:val="000000"/>
          <w:sz w:val="23"/>
          <w:szCs w:val="23"/>
        </w:rPr>
        <w:t xml:space="preserve">Additional tests are to be included where applicable. </w:t>
      </w:r>
    </w:p>
    <w:p w14:paraId="37A1ACDA" w14:textId="77777777" w:rsidR="00421FD9" w:rsidRPr="00421FD9" w:rsidRDefault="00421FD9" w:rsidP="00280F75">
      <w:pPr>
        <w:autoSpaceDE w:val="0"/>
        <w:autoSpaceDN w:val="0"/>
        <w:adjustRightInd w:val="0"/>
        <w:jc w:val="both"/>
        <w:rPr>
          <w:rFonts w:ascii="Arial" w:eastAsiaTheme="minorHAnsi" w:hAnsi="Arial" w:cs="Arial"/>
          <w:color w:val="000000"/>
          <w:sz w:val="23"/>
          <w:szCs w:val="23"/>
        </w:rPr>
      </w:pPr>
    </w:p>
    <w:p w14:paraId="2954E45F" w14:textId="77777777" w:rsidR="00421FD9" w:rsidRPr="00421FD9" w:rsidRDefault="00421FD9" w:rsidP="00280F75">
      <w:pPr>
        <w:autoSpaceDE w:val="0"/>
        <w:autoSpaceDN w:val="0"/>
        <w:adjustRightInd w:val="0"/>
        <w:jc w:val="both"/>
        <w:rPr>
          <w:rFonts w:ascii="Arial" w:eastAsiaTheme="minorHAnsi" w:hAnsi="Arial" w:cs="Arial"/>
          <w:color w:val="000000"/>
          <w:sz w:val="23"/>
          <w:szCs w:val="23"/>
        </w:rPr>
      </w:pPr>
      <w:r w:rsidRPr="00421FD9">
        <w:rPr>
          <w:rFonts w:ascii="Arial" w:eastAsiaTheme="minorHAnsi" w:hAnsi="Arial" w:cs="Arial"/>
          <w:color w:val="000000"/>
          <w:sz w:val="23"/>
          <w:szCs w:val="23"/>
        </w:rPr>
        <w:t xml:space="preserve">10.6 </w:t>
      </w:r>
      <w:r w:rsidRPr="00421FD9">
        <w:rPr>
          <w:rFonts w:ascii="Arial" w:eastAsiaTheme="minorHAnsi" w:hAnsi="Arial" w:cs="Arial"/>
          <w:color w:val="000000"/>
          <w:sz w:val="23"/>
          <w:szCs w:val="23"/>
          <w:u w:val="single"/>
        </w:rPr>
        <w:t>Moisture loss</w:t>
      </w:r>
      <w:r w:rsidRPr="00421FD9">
        <w:rPr>
          <w:rFonts w:ascii="Arial" w:eastAsiaTheme="minorHAnsi" w:hAnsi="Arial" w:cs="Arial"/>
          <w:color w:val="000000"/>
          <w:sz w:val="23"/>
          <w:szCs w:val="23"/>
        </w:rPr>
        <w:t xml:space="preserve"> </w:t>
      </w:r>
    </w:p>
    <w:p w14:paraId="174AAA16" w14:textId="77777777" w:rsidR="00421FD9" w:rsidRDefault="00421FD9" w:rsidP="00280F75">
      <w:pPr>
        <w:autoSpaceDE w:val="0"/>
        <w:autoSpaceDN w:val="0"/>
        <w:adjustRightInd w:val="0"/>
        <w:jc w:val="both"/>
        <w:rPr>
          <w:rFonts w:ascii="Arial" w:eastAsiaTheme="minorHAnsi" w:hAnsi="Arial" w:cs="Arial"/>
          <w:color w:val="000000"/>
          <w:sz w:val="23"/>
          <w:szCs w:val="23"/>
        </w:rPr>
      </w:pPr>
    </w:p>
    <w:p w14:paraId="38C9DEE3" w14:textId="266BCECF" w:rsidR="00421FD9" w:rsidRDefault="00421FD9" w:rsidP="00280F75">
      <w:pPr>
        <w:autoSpaceDE w:val="0"/>
        <w:autoSpaceDN w:val="0"/>
        <w:adjustRightInd w:val="0"/>
        <w:jc w:val="both"/>
        <w:rPr>
          <w:rFonts w:ascii="Arial" w:eastAsiaTheme="minorHAnsi" w:hAnsi="Arial" w:cs="Arial"/>
          <w:color w:val="000000"/>
          <w:sz w:val="23"/>
          <w:szCs w:val="23"/>
        </w:rPr>
      </w:pPr>
      <w:r w:rsidRPr="00421FD9">
        <w:rPr>
          <w:rFonts w:ascii="Arial" w:eastAsiaTheme="minorHAnsi" w:hAnsi="Arial" w:cs="Arial"/>
          <w:color w:val="000000"/>
          <w:sz w:val="23"/>
          <w:szCs w:val="23"/>
        </w:rPr>
        <w:t xml:space="preserve">Moisture loss is usually measured by weight change over time, which may be particularly applicable to infusion bags (storage condition 2 in Table 1). </w:t>
      </w:r>
    </w:p>
    <w:p w14:paraId="10E99340" w14:textId="71F97162" w:rsidR="00421FD9" w:rsidRDefault="00421FD9" w:rsidP="00280F75">
      <w:pPr>
        <w:autoSpaceDE w:val="0"/>
        <w:autoSpaceDN w:val="0"/>
        <w:adjustRightInd w:val="0"/>
        <w:jc w:val="both"/>
        <w:rPr>
          <w:rFonts w:ascii="Arial" w:eastAsiaTheme="minorHAnsi" w:hAnsi="Arial" w:cs="Arial"/>
          <w:color w:val="000000"/>
          <w:sz w:val="23"/>
          <w:szCs w:val="23"/>
        </w:rPr>
      </w:pPr>
    </w:p>
    <w:p w14:paraId="097FA355" w14:textId="77777777" w:rsidR="00280F75" w:rsidRPr="00421FD9" w:rsidRDefault="00280F75" w:rsidP="00280F75">
      <w:pPr>
        <w:autoSpaceDE w:val="0"/>
        <w:autoSpaceDN w:val="0"/>
        <w:adjustRightInd w:val="0"/>
        <w:jc w:val="both"/>
        <w:rPr>
          <w:rFonts w:ascii="Arial" w:eastAsiaTheme="minorHAnsi" w:hAnsi="Arial" w:cs="Arial"/>
          <w:color w:val="000000"/>
          <w:sz w:val="23"/>
          <w:szCs w:val="23"/>
        </w:rPr>
      </w:pPr>
    </w:p>
    <w:p w14:paraId="33788428" w14:textId="77777777" w:rsidR="00421FD9" w:rsidRPr="00421FD9" w:rsidRDefault="00421FD9" w:rsidP="00280F75">
      <w:pPr>
        <w:autoSpaceDE w:val="0"/>
        <w:autoSpaceDN w:val="0"/>
        <w:adjustRightInd w:val="0"/>
        <w:jc w:val="both"/>
        <w:rPr>
          <w:rFonts w:ascii="Arial" w:eastAsiaTheme="minorHAnsi" w:hAnsi="Arial" w:cs="Arial"/>
          <w:color w:val="000000"/>
          <w:sz w:val="23"/>
          <w:szCs w:val="23"/>
        </w:rPr>
      </w:pPr>
      <w:r w:rsidRPr="00421FD9">
        <w:rPr>
          <w:rFonts w:ascii="Arial" w:eastAsiaTheme="minorHAnsi" w:hAnsi="Arial" w:cs="Arial"/>
          <w:color w:val="000000"/>
          <w:sz w:val="23"/>
          <w:szCs w:val="23"/>
        </w:rPr>
        <w:lastRenderedPageBreak/>
        <w:t xml:space="preserve">10.7 </w:t>
      </w:r>
      <w:r w:rsidRPr="00421FD9">
        <w:rPr>
          <w:rFonts w:ascii="Arial" w:eastAsiaTheme="minorHAnsi" w:hAnsi="Arial" w:cs="Arial"/>
          <w:color w:val="000000"/>
          <w:sz w:val="23"/>
          <w:szCs w:val="23"/>
          <w:u w:val="single"/>
        </w:rPr>
        <w:t>Container extractables and leachables</w:t>
      </w:r>
      <w:r w:rsidRPr="00421FD9">
        <w:rPr>
          <w:rFonts w:ascii="Arial" w:eastAsiaTheme="minorHAnsi" w:hAnsi="Arial" w:cs="Arial"/>
          <w:color w:val="000000"/>
          <w:sz w:val="23"/>
          <w:szCs w:val="23"/>
        </w:rPr>
        <w:t xml:space="preserve">. </w:t>
      </w:r>
    </w:p>
    <w:p w14:paraId="2665870A" w14:textId="77777777" w:rsidR="00421FD9" w:rsidRDefault="00421FD9" w:rsidP="00280F75">
      <w:pPr>
        <w:autoSpaceDE w:val="0"/>
        <w:autoSpaceDN w:val="0"/>
        <w:adjustRightInd w:val="0"/>
        <w:jc w:val="both"/>
        <w:rPr>
          <w:rFonts w:ascii="Arial" w:eastAsiaTheme="minorHAnsi" w:hAnsi="Arial" w:cs="Arial"/>
          <w:color w:val="000000"/>
          <w:sz w:val="23"/>
          <w:szCs w:val="23"/>
        </w:rPr>
      </w:pPr>
    </w:p>
    <w:p w14:paraId="3172B645" w14:textId="1FFA4980" w:rsidR="00421FD9" w:rsidRDefault="00421FD9" w:rsidP="00280F75">
      <w:pPr>
        <w:autoSpaceDE w:val="0"/>
        <w:autoSpaceDN w:val="0"/>
        <w:adjustRightInd w:val="0"/>
        <w:jc w:val="both"/>
        <w:rPr>
          <w:rFonts w:ascii="Arial" w:eastAsiaTheme="minorHAnsi" w:hAnsi="Arial" w:cs="Arial"/>
          <w:color w:val="000000"/>
          <w:sz w:val="23"/>
          <w:szCs w:val="23"/>
        </w:rPr>
      </w:pPr>
      <w:r w:rsidRPr="00421FD9">
        <w:rPr>
          <w:rFonts w:ascii="Arial" w:eastAsiaTheme="minorHAnsi" w:hAnsi="Arial" w:cs="Arial"/>
          <w:color w:val="000000"/>
          <w:sz w:val="23"/>
          <w:szCs w:val="23"/>
        </w:rPr>
        <w:t xml:space="preserve">For many studies with water soluble drugs, understanding the container leachables is more of a generic issue connected to the container type. If, however, the drug formulation contains solubilising agents or other excipients the level of extractables may need to form part of the stability study. </w:t>
      </w:r>
    </w:p>
    <w:p w14:paraId="5FE2762F" w14:textId="77777777" w:rsidR="00421FD9" w:rsidRPr="00421FD9" w:rsidRDefault="00421FD9" w:rsidP="00280F75">
      <w:pPr>
        <w:autoSpaceDE w:val="0"/>
        <w:autoSpaceDN w:val="0"/>
        <w:adjustRightInd w:val="0"/>
        <w:jc w:val="both"/>
        <w:rPr>
          <w:rFonts w:ascii="Arial" w:eastAsiaTheme="minorHAnsi" w:hAnsi="Arial" w:cs="Arial"/>
          <w:color w:val="000000"/>
          <w:sz w:val="23"/>
          <w:szCs w:val="23"/>
        </w:rPr>
      </w:pPr>
    </w:p>
    <w:p w14:paraId="18C73056" w14:textId="77777777" w:rsidR="00421FD9" w:rsidRPr="00421FD9" w:rsidRDefault="00421FD9" w:rsidP="00280F75">
      <w:pPr>
        <w:autoSpaceDE w:val="0"/>
        <w:autoSpaceDN w:val="0"/>
        <w:adjustRightInd w:val="0"/>
        <w:jc w:val="both"/>
        <w:rPr>
          <w:rFonts w:ascii="Arial" w:eastAsiaTheme="minorHAnsi" w:hAnsi="Arial" w:cs="Arial"/>
          <w:color w:val="000000"/>
          <w:sz w:val="23"/>
          <w:szCs w:val="23"/>
          <w:u w:val="single"/>
        </w:rPr>
      </w:pPr>
      <w:r w:rsidRPr="00421FD9">
        <w:rPr>
          <w:rFonts w:ascii="Arial" w:eastAsiaTheme="minorHAnsi" w:hAnsi="Arial" w:cs="Arial"/>
          <w:color w:val="000000"/>
          <w:sz w:val="23"/>
          <w:szCs w:val="23"/>
        </w:rPr>
        <w:t xml:space="preserve">10.8 </w:t>
      </w:r>
      <w:r w:rsidRPr="00421FD9">
        <w:rPr>
          <w:rFonts w:ascii="Arial" w:eastAsiaTheme="minorHAnsi" w:hAnsi="Arial" w:cs="Arial"/>
          <w:color w:val="000000"/>
          <w:sz w:val="23"/>
          <w:szCs w:val="23"/>
          <w:u w:val="single"/>
        </w:rPr>
        <w:t xml:space="preserve">Excipient concentrations </w:t>
      </w:r>
    </w:p>
    <w:p w14:paraId="6CF9F0F7" w14:textId="77777777" w:rsidR="00421FD9" w:rsidRDefault="00421FD9" w:rsidP="00280F75">
      <w:pPr>
        <w:jc w:val="both"/>
        <w:rPr>
          <w:rFonts w:ascii="Arial" w:eastAsiaTheme="minorHAnsi" w:hAnsi="Arial" w:cs="Arial"/>
          <w:color w:val="000000"/>
          <w:sz w:val="23"/>
          <w:szCs w:val="23"/>
        </w:rPr>
      </w:pPr>
    </w:p>
    <w:p w14:paraId="19765FD7" w14:textId="77D2959F" w:rsidR="00421FD9" w:rsidRDefault="00421FD9" w:rsidP="00280F75">
      <w:pPr>
        <w:jc w:val="both"/>
        <w:rPr>
          <w:rFonts w:ascii="Arial" w:eastAsiaTheme="minorHAnsi" w:hAnsi="Arial" w:cs="Arial"/>
          <w:color w:val="000000"/>
          <w:sz w:val="23"/>
          <w:szCs w:val="23"/>
        </w:rPr>
      </w:pPr>
      <w:r w:rsidRPr="00421FD9">
        <w:rPr>
          <w:rFonts w:ascii="Arial" w:eastAsiaTheme="minorHAnsi" w:hAnsi="Arial" w:cs="Arial"/>
          <w:color w:val="000000"/>
          <w:sz w:val="23"/>
          <w:szCs w:val="23"/>
        </w:rPr>
        <w:t>Excipients can be critical to both physical and chemical drug stability and may also be important for the clinical usage of the product (for example the inclusion of tissue permeability enhancers in subcutaneous injections). In these cases the concentration of excipient should be an important consideration of the study.</w:t>
      </w:r>
    </w:p>
    <w:p w14:paraId="38737900" w14:textId="40F5C15A" w:rsidR="00421FD9" w:rsidRDefault="00421FD9" w:rsidP="00280F75">
      <w:pPr>
        <w:jc w:val="both"/>
        <w:rPr>
          <w:rFonts w:ascii="Arial" w:eastAsiaTheme="minorHAnsi" w:hAnsi="Arial" w:cs="Arial"/>
          <w:color w:val="000000"/>
          <w:sz w:val="23"/>
          <w:szCs w:val="23"/>
        </w:rPr>
      </w:pPr>
    </w:p>
    <w:p w14:paraId="3665A2D8" w14:textId="6CD261AF" w:rsidR="00421FD9" w:rsidRDefault="00421FD9" w:rsidP="00280F75">
      <w:pPr>
        <w:autoSpaceDE w:val="0"/>
        <w:autoSpaceDN w:val="0"/>
        <w:adjustRightInd w:val="0"/>
        <w:jc w:val="both"/>
        <w:rPr>
          <w:rFonts w:ascii="Arial" w:eastAsiaTheme="minorHAnsi" w:hAnsi="Arial" w:cs="Arial"/>
          <w:b/>
          <w:bCs/>
          <w:color w:val="000000"/>
          <w:sz w:val="23"/>
          <w:szCs w:val="23"/>
        </w:rPr>
      </w:pPr>
      <w:r w:rsidRPr="00421FD9">
        <w:rPr>
          <w:rFonts w:ascii="Arial" w:eastAsiaTheme="minorHAnsi" w:hAnsi="Arial" w:cs="Arial"/>
          <w:b/>
          <w:bCs/>
          <w:color w:val="000000"/>
          <w:sz w:val="23"/>
          <w:szCs w:val="23"/>
        </w:rPr>
        <w:t xml:space="preserve">11. </w:t>
      </w:r>
      <w:r w:rsidRPr="00421FD9">
        <w:rPr>
          <w:rFonts w:ascii="Arial" w:eastAsiaTheme="minorHAnsi" w:hAnsi="Arial" w:cs="Arial"/>
          <w:b/>
          <w:bCs/>
          <w:color w:val="000000"/>
          <w:sz w:val="23"/>
          <w:szCs w:val="23"/>
          <w:u w:val="single"/>
        </w:rPr>
        <w:t>Shelf Life allocation</w:t>
      </w:r>
      <w:r w:rsidRPr="00421FD9">
        <w:rPr>
          <w:rFonts w:ascii="Arial" w:eastAsiaTheme="minorHAnsi" w:hAnsi="Arial" w:cs="Arial"/>
          <w:b/>
          <w:bCs/>
          <w:color w:val="000000"/>
          <w:sz w:val="23"/>
          <w:szCs w:val="23"/>
        </w:rPr>
        <w:t xml:space="preserve"> </w:t>
      </w:r>
    </w:p>
    <w:p w14:paraId="5DFA6BFC" w14:textId="77777777" w:rsidR="00421FD9" w:rsidRPr="00421FD9" w:rsidRDefault="00421FD9" w:rsidP="00280F75">
      <w:pPr>
        <w:autoSpaceDE w:val="0"/>
        <w:autoSpaceDN w:val="0"/>
        <w:adjustRightInd w:val="0"/>
        <w:jc w:val="both"/>
        <w:rPr>
          <w:rFonts w:ascii="Arial" w:eastAsiaTheme="minorHAnsi" w:hAnsi="Arial" w:cs="Arial"/>
          <w:color w:val="000000"/>
          <w:sz w:val="23"/>
          <w:szCs w:val="23"/>
        </w:rPr>
      </w:pPr>
    </w:p>
    <w:p w14:paraId="742518C0" w14:textId="77777777" w:rsidR="00421FD9" w:rsidRPr="00421FD9" w:rsidRDefault="00421FD9" w:rsidP="00280F75">
      <w:pPr>
        <w:autoSpaceDE w:val="0"/>
        <w:autoSpaceDN w:val="0"/>
        <w:adjustRightInd w:val="0"/>
        <w:jc w:val="both"/>
        <w:rPr>
          <w:rFonts w:ascii="Arial" w:eastAsiaTheme="minorHAnsi" w:hAnsi="Arial" w:cs="Arial"/>
          <w:color w:val="000000"/>
          <w:sz w:val="23"/>
          <w:szCs w:val="23"/>
        </w:rPr>
      </w:pPr>
      <w:r w:rsidRPr="00421FD9">
        <w:rPr>
          <w:rFonts w:ascii="Arial" w:eastAsiaTheme="minorHAnsi" w:hAnsi="Arial" w:cs="Arial"/>
          <w:color w:val="000000"/>
          <w:sz w:val="23"/>
          <w:szCs w:val="23"/>
        </w:rPr>
        <w:t xml:space="preserve">11.1 </w:t>
      </w:r>
      <w:r w:rsidRPr="00421FD9">
        <w:rPr>
          <w:rFonts w:ascii="Arial" w:eastAsiaTheme="minorHAnsi" w:hAnsi="Arial" w:cs="Arial"/>
          <w:color w:val="000000"/>
          <w:sz w:val="23"/>
          <w:szCs w:val="23"/>
          <w:u w:val="single"/>
        </w:rPr>
        <w:t>Data Analysis</w:t>
      </w:r>
      <w:r w:rsidRPr="00421FD9">
        <w:rPr>
          <w:rFonts w:ascii="Arial" w:eastAsiaTheme="minorHAnsi" w:hAnsi="Arial" w:cs="Arial"/>
          <w:color w:val="000000"/>
          <w:sz w:val="23"/>
          <w:szCs w:val="23"/>
        </w:rPr>
        <w:t xml:space="preserve"> </w:t>
      </w:r>
    </w:p>
    <w:p w14:paraId="030D09BD" w14:textId="77777777" w:rsidR="00421FD9" w:rsidRDefault="00421FD9" w:rsidP="00280F75">
      <w:pPr>
        <w:autoSpaceDE w:val="0"/>
        <w:autoSpaceDN w:val="0"/>
        <w:adjustRightInd w:val="0"/>
        <w:jc w:val="both"/>
        <w:rPr>
          <w:rFonts w:ascii="Arial" w:eastAsiaTheme="minorHAnsi" w:hAnsi="Arial" w:cs="Arial"/>
          <w:color w:val="000000"/>
          <w:sz w:val="23"/>
          <w:szCs w:val="23"/>
        </w:rPr>
      </w:pPr>
    </w:p>
    <w:p w14:paraId="4E336740" w14:textId="6B0D94A9" w:rsidR="00421FD9" w:rsidRPr="00421FD9" w:rsidRDefault="00421FD9" w:rsidP="00280F75">
      <w:pPr>
        <w:autoSpaceDE w:val="0"/>
        <w:autoSpaceDN w:val="0"/>
        <w:adjustRightInd w:val="0"/>
        <w:jc w:val="both"/>
        <w:rPr>
          <w:rFonts w:ascii="Arial" w:eastAsiaTheme="minorHAnsi" w:hAnsi="Arial" w:cs="Arial"/>
          <w:color w:val="000000"/>
          <w:sz w:val="23"/>
          <w:szCs w:val="23"/>
        </w:rPr>
      </w:pPr>
      <w:r w:rsidRPr="00421FD9">
        <w:rPr>
          <w:rFonts w:ascii="Arial" w:eastAsiaTheme="minorHAnsi" w:hAnsi="Arial" w:cs="Arial"/>
          <w:color w:val="000000"/>
          <w:sz w:val="23"/>
          <w:szCs w:val="23"/>
        </w:rPr>
        <w:t xml:space="preserve">A simple plot of analytical results against time is usually insufficient for assignment of a shelf life. Various options are available for data handling and the most appropriate choice is dependent on the specific data set. </w:t>
      </w:r>
    </w:p>
    <w:p w14:paraId="250CD280" w14:textId="263B5255" w:rsidR="00421FD9" w:rsidRDefault="00421FD9" w:rsidP="00280F75">
      <w:pPr>
        <w:autoSpaceDE w:val="0"/>
        <w:autoSpaceDN w:val="0"/>
        <w:adjustRightInd w:val="0"/>
        <w:jc w:val="both"/>
        <w:rPr>
          <w:rFonts w:ascii="Arial" w:eastAsiaTheme="minorHAnsi" w:hAnsi="Arial" w:cs="Arial"/>
          <w:color w:val="000000"/>
          <w:sz w:val="23"/>
          <w:szCs w:val="23"/>
        </w:rPr>
      </w:pPr>
      <w:r w:rsidRPr="00421FD9">
        <w:rPr>
          <w:rFonts w:ascii="Arial" w:eastAsiaTheme="minorHAnsi" w:hAnsi="Arial" w:cs="Arial"/>
          <w:color w:val="000000"/>
          <w:sz w:val="23"/>
          <w:szCs w:val="23"/>
        </w:rPr>
        <w:t>The principles of ICH Q1E (Evaluation of Stability Data)</w:t>
      </w:r>
      <w:r w:rsidRPr="00421FD9">
        <w:rPr>
          <w:rFonts w:ascii="Arial" w:eastAsiaTheme="minorHAnsi" w:hAnsi="Arial" w:cs="Arial"/>
          <w:color w:val="000000"/>
          <w:sz w:val="16"/>
          <w:szCs w:val="16"/>
        </w:rPr>
        <w:t>18</w:t>
      </w:r>
      <w:r w:rsidRPr="00421FD9">
        <w:rPr>
          <w:rFonts w:ascii="Arial" w:eastAsiaTheme="minorHAnsi" w:hAnsi="Arial" w:cs="Arial"/>
          <w:color w:val="000000"/>
          <w:sz w:val="23"/>
          <w:szCs w:val="23"/>
        </w:rPr>
        <w:t xml:space="preserve">, implemented as CPMP/ICH/420/02, should be followed where possible. The method favoured by ICH Q1E is where analytical data is subjected to linear regression analysis after determination of the appropriate relationship between critical parameter and time. An appropriate method of shelf life calculation for an attribute which is known to decrease with time utilises the lower one-sided 95% confidence limit of the regression analysis, and calculation of the time required for the critical parameter to reach the specification limit. For example, if Active Pharmaceutical Ingredient (API) loss is the critical parameter the lower 95% confidence limit of the time to reach 95% of the stated amount is the physico-chemical shelf life. </w:t>
      </w:r>
    </w:p>
    <w:p w14:paraId="4CD242F9" w14:textId="77777777" w:rsidR="00421FD9" w:rsidRPr="00421FD9" w:rsidRDefault="00421FD9" w:rsidP="00280F75">
      <w:pPr>
        <w:autoSpaceDE w:val="0"/>
        <w:autoSpaceDN w:val="0"/>
        <w:adjustRightInd w:val="0"/>
        <w:jc w:val="both"/>
        <w:rPr>
          <w:rFonts w:ascii="Arial" w:eastAsiaTheme="minorHAnsi" w:hAnsi="Arial" w:cs="Arial"/>
          <w:color w:val="000000"/>
          <w:sz w:val="23"/>
          <w:szCs w:val="23"/>
        </w:rPr>
      </w:pPr>
    </w:p>
    <w:p w14:paraId="77F44094" w14:textId="39602EDD" w:rsidR="00421FD9" w:rsidRDefault="00421FD9" w:rsidP="00280F75">
      <w:pPr>
        <w:autoSpaceDE w:val="0"/>
        <w:autoSpaceDN w:val="0"/>
        <w:adjustRightInd w:val="0"/>
        <w:jc w:val="both"/>
        <w:rPr>
          <w:rFonts w:ascii="Arial" w:eastAsiaTheme="minorHAnsi" w:hAnsi="Arial" w:cs="Arial"/>
          <w:color w:val="000000"/>
          <w:sz w:val="23"/>
          <w:szCs w:val="23"/>
        </w:rPr>
      </w:pPr>
      <w:r w:rsidRPr="00421FD9">
        <w:rPr>
          <w:rFonts w:ascii="Arial" w:eastAsiaTheme="minorHAnsi" w:hAnsi="Arial" w:cs="Arial"/>
          <w:color w:val="000000"/>
          <w:sz w:val="23"/>
          <w:szCs w:val="23"/>
        </w:rPr>
        <w:t xml:space="preserve">This technique, however, requires specialised knowledge and statistical software and unless the data are carefully analysed, misinterpretation could occur. This method can therefore only be used if clear statistical conditions and expert knowledge of the analytical system are applied. The potential errors are particularly exacerbated in short-term studies as generally used with aseptic compounded products. </w:t>
      </w:r>
    </w:p>
    <w:p w14:paraId="39F2970C" w14:textId="77777777" w:rsidR="00421FD9" w:rsidRPr="00421FD9" w:rsidRDefault="00421FD9" w:rsidP="00280F75">
      <w:pPr>
        <w:autoSpaceDE w:val="0"/>
        <w:autoSpaceDN w:val="0"/>
        <w:adjustRightInd w:val="0"/>
        <w:jc w:val="both"/>
        <w:rPr>
          <w:rFonts w:ascii="Arial" w:eastAsiaTheme="minorHAnsi" w:hAnsi="Arial" w:cs="Arial"/>
          <w:color w:val="000000"/>
          <w:sz w:val="23"/>
          <w:szCs w:val="23"/>
        </w:rPr>
      </w:pPr>
    </w:p>
    <w:p w14:paraId="705E63ED" w14:textId="2A997B21" w:rsidR="00421FD9" w:rsidRDefault="00421FD9" w:rsidP="00280F75">
      <w:pPr>
        <w:autoSpaceDE w:val="0"/>
        <w:autoSpaceDN w:val="0"/>
        <w:adjustRightInd w:val="0"/>
        <w:jc w:val="both"/>
        <w:rPr>
          <w:rFonts w:ascii="Arial" w:eastAsiaTheme="minorHAnsi" w:hAnsi="Arial" w:cs="Arial"/>
          <w:color w:val="000000"/>
          <w:sz w:val="23"/>
          <w:szCs w:val="23"/>
        </w:rPr>
      </w:pPr>
      <w:r w:rsidRPr="00421FD9">
        <w:rPr>
          <w:rFonts w:ascii="Arial" w:eastAsiaTheme="minorHAnsi" w:hAnsi="Arial" w:cs="Arial"/>
          <w:color w:val="000000"/>
          <w:sz w:val="23"/>
          <w:szCs w:val="23"/>
        </w:rPr>
        <w:t xml:space="preserve">This document offers flexibility of approach and therefore a simplified statistical approach may be acceptable where the one-sided lower 95% confidence limit of the slope is used to calculate the time to 5% degradation (see 11.2 below). </w:t>
      </w:r>
    </w:p>
    <w:p w14:paraId="5D157DAC" w14:textId="77777777" w:rsidR="00421FD9" w:rsidRPr="00421FD9" w:rsidRDefault="00421FD9" w:rsidP="00280F75">
      <w:pPr>
        <w:autoSpaceDE w:val="0"/>
        <w:autoSpaceDN w:val="0"/>
        <w:adjustRightInd w:val="0"/>
        <w:jc w:val="both"/>
        <w:rPr>
          <w:rFonts w:ascii="Arial" w:eastAsiaTheme="minorHAnsi" w:hAnsi="Arial" w:cs="Arial"/>
          <w:color w:val="000000"/>
          <w:sz w:val="23"/>
          <w:szCs w:val="23"/>
        </w:rPr>
      </w:pPr>
    </w:p>
    <w:p w14:paraId="702C662B" w14:textId="1C8323C7" w:rsidR="00421FD9" w:rsidRDefault="00421FD9" w:rsidP="00280F75">
      <w:pPr>
        <w:autoSpaceDE w:val="0"/>
        <w:autoSpaceDN w:val="0"/>
        <w:adjustRightInd w:val="0"/>
        <w:jc w:val="both"/>
        <w:rPr>
          <w:rFonts w:ascii="Arial" w:eastAsiaTheme="minorHAnsi" w:hAnsi="Arial" w:cs="Arial"/>
          <w:color w:val="000000"/>
          <w:sz w:val="23"/>
          <w:szCs w:val="23"/>
        </w:rPr>
      </w:pPr>
      <w:r w:rsidRPr="00421FD9">
        <w:rPr>
          <w:rFonts w:ascii="Arial" w:eastAsiaTheme="minorHAnsi" w:hAnsi="Arial" w:cs="Arial"/>
          <w:color w:val="000000"/>
          <w:sz w:val="23"/>
          <w:szCs w:val="23"/>
        </w:rPr>
        <w:t xml:space="preserve">It is often not desirable to use a statistical approach where little or no degradation occurs over the course of the study. Section 8 indicates that a well-designed study should allow for a significant level of degradation to support a good understanding of the reaction kinetics but this is not always possible for stable materials. It is likely for very stable products that shelf life will be assigned for other reasons such as length of study, maximum storage time in syringes, and so on. </w:t>
      </w:r>
    </w:p>
    <w:p w14:paraId="6E00392B" w14:textId="00A9A88F" w:rsidR="00421FD9" w:rsidRDefault="00421FD9" w:rsidP="00280F75">
      <w:pPr>
        <w:autoSpaceDE w:val="0"/>
        <w:autoSpaceDN w:val="0"/>
        <w:adjustRightInd w:val="0"/>
        <w:jc w:val="both"/>
        <w:rPr>
          <w:rFonts w:ascii="Arial" w:eastAsiaTheme="minorHAnsi" w:hAnsi="Arial" w:cs="Arial"/>
          <w:color w:val="000000"/>
          <w:sz w:val="23"/>
          <w:szCs w:val="23"/>
        </w:rPr>
      </w:pPr>
    </w:p>
    <w:p w14:paraId="07B41DAA" w14:textId="23E2C094" w:rsidR="00280F75" w:rsidRDefault="00280F75" w:rsidP="00280F75">
      <w:pPr>
        <w:autoSpaceDE w:val="0"/>
        <w:autoSpaceDN w:val="0"/>
        <w:adjustRightInd w:val="0"/>
        <w:jc w:val="both"/>
        <w:rPr>
          <w:rFonts w:ascii="Arial" w:eastAsiaTheme="minorHAnsi" w:hAnsi="Arial" w:cs="Arial"/>
          <w:color w:val="000000"/>
          <w:sz w:val="23"/>
          <w:szCs w:val="23"/>
        </w:rPr>
      </w:pPr>
    </w:p>
    <w:p w14:paraId="4D02A71F" w14:textId="79D23F0A" w:rsidR="00280F75" w:rsidRDefault="00280F75" w:rsidP="00280F75">
      <w:pPr>
        <w:autoSpaceDE w:val="0"/>
        <w:autoSpaceDN w:val="0"/>
        <w:adjustRightInd w:val="0"/>
        <w:jc w:val="both"/>
        <w:rPr>
          <w:rFonts w:ascii="Arial" w:eastAsiaTheme="minorHAnsi" w:hAnsi="Arial" w:cs="Arial"/>
          <w:color w:val="000000"/>
          <w:sz w:val="23"/>
          <w:szCs w:val="23"/>
        </w:rPr>
      </w:pPr>
    </w:p>
    <w:p w14:paraId="11C96503" w14:textId="77777777" w:rsidR="00280F75" w:rsidRPr="00421FD9" w:rsidRDefault="00280F75" w:rsidP="00280F75">
      <w:pPr>
        <w:autoSpaceDE w:val="0"/>
        <w:autoSpaceDN w:val="0"/>
        <w:adjustRightInd w:val="0"/>
        <w:jc w:val="both"/>
        <w:rPr>
          <w:rFonts w:ascii="Arial" w:eastAsiaTheme="minorHAnsi" w:hAnsi="Arial" w:cs="Arial"/>
          <w:color w:val="000000"/>
          <w:sz w:val="23"/>
          <w:szCs w:val="23"/>
        </w:rPr>
      </w:pPr>
    </w:p>
    <w:p w14:paraId="72586F30" w14:textId="77777777" w:rsidR="00421FD9" w:rsidRPr="00421FD9" w:rsidRDefault="00421FD9" w:rsidP="00280F75">
      <w:pPr>
        <w:autoSpaceDE w:val="0"/>
        <w:autoSpaceDN w:val="0"/>
        <w:adjustRightInd w:val="0"/>
        <w:jc w:val="both"/>
        <w:rPr>
          <w:rFonts w:ascii="Arial" w:eastAsiaTheme="minorHAnsi" w:hAnsi="Arial" w:cs="Arial"/>
          <w:color w:val="000000"/>
          <w:sz w:val="23"/>
          <w:szCs w:val="23"/>
          <w:u w:val="single"/>
        </w:rPr>
      </w:pPr>
      <w:r w:rsidRPr="00421FD9">
        <w:rPr>
          <w:rFonts w:ascii="Arial" w:eastAsiaTheme="minorHAnsi" w:hAnsi="Arial" w:cs="Arial"/>
          <w:color w:val="000000"/>
          <w:sz w:val="23"/>
          <w:szCs w:val="23"/>
        </w:rPr>
        <w:lastRenderedPageBreak/>
        <w:t xml:space="preserve">11.2 </w:t>
      </w:r>
      <w:r w:rsidRPr="00421FD9">
        <w:rPr>
          <w:rFonts w:ascii="Arial" w:eastAsiaTheme="minorHAnsi" w:hAnsi="Arial" w:cs="Arial"/>
          <w:color w:val="000000"/>
          <w:sz w:val="23"/>
          <w:szCs w:val="23"/>
          <w:u w:val="single"/>
        </w:rPr>
        <w:t xml:space="preserve">Acceptance criteria </w:t>
      </w:r>
    </w:p>
    <w:p w14:paraId="63A8D9F2" w14:textId="77777777" w:rsidR="00421FD9" w:rsidRDefault="00421FD9" w:rsidP="00280F75">
      <w:pPr>
        <w:autoSpaceDE w:val="0"/>
        <w:autoSpaceDN w:val="0"/>
        <w:adjustRightInd w:val="0"/>
        <w:jc w:val="both"/>
        <w:rPr>
          <w:rFonts w:ascii="Arial" w:eastAsiaTheme="minorHAnsi" w:hAnsi="Arial" w:cs="Arial"/>
          <w:color w:val="000000"/>
          <w:sz w:val="23"/>
          <w:szCs w:val="23"/>
        </w:rPr>
      </w:pPr>
    </w:p>
    <w:p w14:paraId="45AE701C" w14:textId="199E2973" w:rsidR="00421FD9" w:rsidRPr="00421FD9" w:rsidRDefault="00421FD9" w:rsidP="00280F75">
      <w:pPr>
        <w:autoSpaceDE w:val="0"/>
        <w:autoSpaceDN w:val="0"/>
        <w:adjustRightInd w:val="0"/>
        <w:jc w:val="both"/>
        <w:rPr>
          <w:rFonts w:ascii="Arial" w:eastAsiaTheme="minorHAnsi" w:hAnsi="Arial" w:cs="Arial"/>
          <w:color w:val="000000"/>
          <w:sz w:val="23"/>
          <w:szCs w:val="23"/>
        </w:rPr>
      </w:pPr>
      <w:r w:rsidRPr="00421FD9">
        <w:rPr>
          <w:rFonts w:ascii="Arial" w:eastAsiaTheme="minorHAnsi" w:hAnsi="Arial" w:cs="Arial"/>
          <w:color w:val="000000"/>
          <w:sz w:val="23"/>
          <w:szCs w:val="23"/>
        </w:rPr>
        <w:t xml:space="preserve">The British Pharmacopoeia (BP) specification for a product is a shelf life specification to which the product must comply at the end of its shelf life. In general, for injections the BP specification is 95 – 105% of stated amount. For this reason it is suggested that, where loss of the active ingredient is the critical parameter, a loss of 5% should constitute the maximum shelf life. The starting concentration for the study must also be within the BP specification for the product. </w:t>
      </w:r>
    </w:p>
    <w:p w14:paraId="4CF80531" w14:textId="77777777" w:rsidR="00280F75" w:rsidRDefault="00280F75" w:rsidP="00280F75">
      <w:pPr>
        <w:jc w:val="both"/>
        <w:rPr>
          <w:rFonts w:ascii="Arial" w:eastAsiaTheme="minorHAnsi" w:hAnsi="Arial" w:cs="Arial"/>
          <w:color w:val="000000"/>
          <w:sz w:val="23"/>
          <w:szCs w:val="23"/>
        </w:rPr>
      </w:pPr>
    </w:p>
    <w:p w14:paraId="61278A37" w14:textId="42803EDA" w:rsidR="007371F6" w:rsidRPr="00280F75" w:rsidRDefault="00421FD9" w:rsidP="00280F75">
      <w:pPr>
        <w:jc w:val="both"/>
        <w:rPr>
          <w:rFonts w:ascii="Arial" w:hAnsi="Arial" w:cs="Arial"/>
          <w:sz w:val="23"/>
          <w:szCs w:val="23"/>
        </w:rPr>
      </w:pPr>
      <w:r w:rsidRPr="00421FD9">
        <w:rPr>
          <w:rFonts w:ascii="Arial" w:eastAsiaTheme="minorHAnsi" w:hAnsi="Arial" w:cs="Arial"/>
          <w:color w:val="000000"/>
          <w:sz w:val="23"/>
          <w:szCs w:val="23"/>
        </w:rPr>
        <w:t>It is acknowledged that many historical stability studies may not comply with the requirements of this document and that studies need to be optimally designed for certain container types, and particularly syringes, in order to maximise the confidence in the data generated. It is suggested that some pragmatism may be</w:t>
      </w:r>
      <w:r>
        <w:rPr>
          <w:rFonts w:ascii="Arial" w:eastAsiaTheme="minorHAnsi" w:hAnsi="Arial" w:cs="Arial"/>
          <w:color w:val="000000"/>
          <w:sz w:val="23"/>
          <w:szCs w:val="23"/>
        </w:rPr>
        <w:t xml:space="preserve"> </w:t>
      </w:r>
      <w:r w:rsidRPr="00421FD9">
        <w:rPr>
          <w:rFonts w:ascii="Arial" w:hAnsi="Arial" w:cs="Arial"/>
          <w:sz w:val="23"/>
          <w:szCs w:val="23"/>
        </w:rPr>
        <w:t>required in the interpretation of such historical studies, but the rationale for accepting more than 5% loss of an active ingredient within a shelf life needs expert consideration.</w:t>
      </w:r>
    </w:p>
    <w:p w14:paraId="02DC5713" w14:textId="5A053816" w:rsidR="007371F6" w:rsidRDefault="007371F6" w:rsidP="00280F75">
      <w:pPr>
        <w:jc w:val="both"/>
        <w:rPr>
          <w:rFonts w:ascii="Arial" w:hAnsi="Arial" w:cs="Arial"/>
          <w:sz w:val="23"/>
          <w:szCs w:val="23"/>
        </w:rPr>
      </w:pPr>
    </w:p>
    <w:p w14:paraId="715F6362"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This may also hold with new studies as there may be certain molecules and presentations where a 10% loss of active can be acceptable, particularly if the BP monograph accepts a larger range such as 90 – 110%. If working to a larger percentage loss then the clinical significance, including assessment of degradation products, must be fully assessed and understood. </w:t>
      </w:r>
    </w:p>
    <w:p w14:paraId="625A6FCF" w14:textId="77777777" w:rsidR="00280F75" w:rsidRDefault="00280F75" w:rsidP="00280F75">
      <w:pPr>
        <w:autoSpaceDE w:val="0"/>
        <w:autoSpaceDN w:val="0"/>
        <w:adjustRightInd w:val="0"/>
        <w:jc w:val="both"/>
        <w:rPr>
          <w:rFonts w:ascii="Arial" w:eastAsiaTheme="minorHAnsi" w:hAnsi="Arial" w:cs="Arial"/>
          <w:color w:val="000000"/>
          <w:sz w:val="23"/>
          <w:szCs w:val="23"/>
        </w:rPr>
      </w:pPr>
    </w:p>
    <w:p w14:paraId="73749677" w14:textId="648F23B9"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Other statistical approaches to data analysis may be used, particularly the Confidence Bound or Maximum Rate method</w:t>
      </w:r>
      <w:r w:rsidRPr="007371F6">
        <w:rPr>
          <w:rFonts w:ascii="Arial" w:eastAsiaTheme="minorHAnsi" w:hAnsi="Arial" w:cs="Arial"/>
          <w:color w:val="000000"/>
          <w:sz w:val="16"/>
          <w:szCs w:val="16"/>
        </w:rPr>
        <w:t>19</w:t>
      </w:r>
      <w:r w:rsidRPr="007371F6">
        <w:rPr>
          <w:rFonts w:ascii="Arial" w:eastAsiaTheme="minorHAnsi" w:hAnsi="Arial" w:cs="Arial"/>
          <w:color w:val="000000"/>
          <w:sz w:val="23"/>
          <w:szCs w:val="23"/>
        </w:rPr>
        <w:t xml:space="preserve">. </w:t>
      </w:r>
    </w:p>
    <w:p w14:paraId="0F67182C"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5ABD5AC6" w14:textId="01171765"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It is important that, when using semi-permeable containers, the impact of water loss is accounted for when calculating API concentrations. Water loss will concentrate solutions and therefore could mask degradation if not accounted for. In these cases the two-sided confidence limits of the slope may be appropriate and should be calculated and compared to both the upper and lower specification limits. </w:t>
      </w:r>
    </w:p>
    <w:p w14:paraId="6DE93523"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2D504E66" w14:textId="26A86971"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Knowledge of degradation products will be critical, the structure and identity and toxicology, metabolism and clinical effects need to be understood. The level of a degradation product may be a critical parameter in assigning shelf life. </w:t>
      </w:r>
    </w:p>
    <w:p w14:paraId="25E1DE75"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7CDC6B2E" w14:textId="651FF024"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It is important to understand the difference between related substances that arise as process impurities and genuine degradation products. Where a BP limit exists for a degradation product it will need to be the limit applied to the study, and any other approach will require robust justification. </w:t>
      </w:r>
    </w:p>
    <w:p w14:paraId="154C736A"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2F08B288"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11.3 </w:t>
      </w:r>
      <w:r w:rsidRPr="007371F6">
        <w:rPr>
          <w:rFonts w:ascii="Arial" w:eastAsiaTheme="minorHAnsi" w:hAnsi="Arial" w:cs="Arial"/>
          <w:color w:val="000000"/>
          <w:sz w:val="23"/>
          <w:szCs w:val="23"/>
          <w:u w:val="single"/>
        </w:rPr>
        <w:t>In-use storage</w:t>
      </w:r>
      <w:r w:rsidRPr="007371F6">
        <w:rPr>
          <w:rFonts w:ascii="Arial" w:eastAsiaTheme="minorHAnsi" w:hAnsi="Arial" w:cs="Arial"/>
          <w:color w:val="000000"/>
          <w:sz w:val="23"/>
          <w:szCs w:val="23"/>
        </w:rPr>
        <w:t xml:space="preserve"> </w:t>
      </w:r>
    </w:p>
    <w:p w14:paraId="2D90F3D4" w14:textId="77777777" w:rsidR="007371F6" w:rsidRDefault="007371F6" w:rsidP="00280F75">
      <w:pPr>
        <w:autoSpaceDE w:val="0"/>
        <w:autoSpaceDN w:val="0"/>
        <w:adjustRightInd w:val="0"/>
        <w:jc w:val="both"/>
        <w:rPr>
          <w:rFonts w:ascii="Arial" w:eastAsiaTheme="minorHAnsi" w:hAnsi="Arial" w:cs="Arial"/>
          <w:color w:val="000000"/>
          <w:sz w:val="23"/>
          <w:szCs w:val="23"/>
        </w:rPr>
      </w:pPr>
    </w:p>
    <w:p w14:paraId="7BB5D7C1" w14:textId="2CE6CA5C"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It is important to understand the use of the product and its storage in clinical areas. If light sensitivity has not been assessed during the stability study then the product should be provided in light protective packaging with the instruction to keep the product protected from light. </w:t>
      </w:r>
    </w:p>
    <w:p w14:paraId="2CEDE3B2"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0A230AD7" w14:textId="22CF0AF6"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Similarly</w:t>
      </w:r>
      <w:r w:rsidR="00280F75">
        <w:rPr>
          <w:rFonts w:ascii="Arial" w:eastAsiaTheme="minorHAnsi" w:hAnsi="Arial" w:cs="Arial"/>
          <w:color w:val="000000"/>
          <w:sz w:val="23"/>
          <w:szCs w:val="23"/>
        </w:rPr>
        <w:t>,</w:t>
      </w:r>
      <w:r w:rsidRPr="007371F6">
        <w:rPr>
          <w:rFonts w:ascii="Arial" w:eastAsiaTheme="minorHAnsi" w:hAnsi="Arial" w:cs="Arial"/>
          <w:color w:val="000000"/>
          <w:sz w:val="23"/>
          <w:szCs w:val="23"/>
        </w:rPr>
        <w:t xml:space="preserve"> in-use temperatures must not exceed those studied in the stability testing. It is important that robust change management is used if making changes to clinical protocols particularly if the result is an increase in infusion time. </w:t>
      </w:r>
    </w:p>
    <w:p w14:paraId="175CD677" w14:textId="61EBF407" w:rsidR="007371F6" w:rsidRDefault="007371F6" w:rsidP="00280F75">
      <w:pPr>
        <w:autoSpaceDE w:val="0"/>
        <w:autoSpaceDN w:val="0"/>
        <w:adjustRightInd w:val="0"/>
        <w:jc w:val="both"/>
        <w:rPr>
          <w:rFonts w:ascii="Arial" w:eastAsiaTheme="minorHAnsi" w:hAnsi="Arial" w:cs="Arial"/>
          <w:color w:val="000000"/>
          <w:sz w:val="23"/>
          <w:szCs w:val="23"/>
        </w:rPr>
      </w:pPr>
    </w:p>
    <w:p w14:paraId="33FD9878" w14:textId="77777777" w:rsidR="00280F75" w:rsidRPr="007371F6" w:rsidRDefault="00280F75" w:rsidP="00280F75">
      <w:pPr>
        <w:autoSpaceDE w:val="0"/>
        <w:autoSpaceDN w:val="0"/>
        <w:adjustRightInd w:val="0"/>
        <w:jc w:val="both"/>
        <w:rPr>
          <w:rFonts w:ascii="Arial" w:eastAsiaTheme="minorHAnsi" w:hAnsi="Arial" w:cs="Arial"/>
          <w:color w:val="000000"/>
          <w:sz w:val="23"/>
          <w:szCs w:val="23"/>
        </w:rPr>
      </w:pPr>
    </w:p>
    <w:p w14:paraId="7D639A2A"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b/>
          <w:bCs/>
          <w:color w:val="000000"/>
          <w:sz w:val="23"/>
          <w:szCs w:val="23"/>
        </w:rPr>
        <w:lastRenderedPageBreak/>
        <w:t xml:space="preserve">12. </w:t>
      </w:r>
      <w:r w:rsidRPr="007371F6">
        <w:rPr>
          <w:rFonts w:ascii="Arial" w:eastAsiaTheme="minorHAnsi" w:hAnsi="Arial" w:cs="Arial"/>
          <w:b/>
          <w:bCs/>
          <w:color w:val="000000"/>
          <w:sz w:val="23"/>
          <w:szCs w:val="23"/>
          <w:u w:val="single"/>
        </w:rPr>
        <w:t>Stability Study Reports</w:t>
      </w:r>
      <w:r w:rsidRPr="007371F6">
        <w:rPr>
          <w:rFonts w:ascii="Arial" w:eastAsiaTheme="minorHAnsi" w:hAnsi="Arial" w:cs="Arial"/>
          <w:b/>
          <w:bCs/>
          <w:color w:val="000000"/>
          <w:sz w:val="23"/>
          <w:szCs w:val="23"/>
        </w:rPr>
        <w:t xml:space="preserve"> </w:t>
      </w:r>
    </w:p>
    <w:p w14:paraId="0B2BAA17" w14:textId="77777777" w:rsidR="007371F6" w:rsidRDefault="007371F6" w:rsidP="00280F75">
      <w:pPr>
        <w:autoSpaceDE w:val="0"/>
        <w:autoSpaceDN w:val="0"/>
        <w:adjustRightInd w:val="0"/>
        <w:jc w:val="both"/>
        <w:rPr>
          <w:rFonts w:ascii="Arial" w:eastAsiaTheme="minorHAnsi" w:hAnsi="Arial" w:cs="Arial"/>
          <w:color w:val="000000"/>
          <w:sz w:val="23"/>
          <w:szCs w:val="23"/>
        </w:rPr>
      </w:pPr>
    </w:p>
    <w:p w14:paraId="711E4912" w14:textId="2528F1F3"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Stability study reports should be submitted following a format consistent with the below recommendations. </w:t>
      </w:r>
    </w:p>
    <w:p w14:paraId="2ED6B698"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31E635A5"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Introduction </w:t>
      </w:r>
    </w:p>
    <w:p w14:paraId="67A4C964" w14:textId="7E27AB59"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 Giving the reasons why the study was undertaken. </w:t>
      </w:r>
    </w:p>
    <w:p w14:paraId="52E57622"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37CEE1FD"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Literature Search </w:t>
      </w:r>
    </w:p>
    <w:p w14:paraId="6C0B7F00" w14:textId="7BE45143" w:rsidR="007371F6" w:rsidRPr="00280F75" w:rsidRDefault="007371F6" w:rsidP="00280F75">
      <w:pPr>
        <w:jc w:val="both"/>
        <w:rPr>
          <w:rFonts w:ascii="Arial" w:eastAsiaTheme="minorHAnsi" w:hAnsi="Arial" w:cs="Arial"/>
          <w:color w:val="000000"/>
          <w:sz w:val="23"/>
          <w:szCs w:val="23"/>
        </w:rPr>
      </w:pPr>
      <w:r w:rsidRPr="007371F6">
        <w:rPr>
          <w:rFonts w:ascii="Arial" w:eastAsiaTheme="minorHAnsi" w:hAnsi="Arial" w:cs="Arial"/>
          <w:color w:val="000000"/>
          <w:sz w:val="23"/>
          <w:szCs w:val="23"/>
        </w:rPr>
        <w:t>• Describing how this was undertaken and summarising relevant published prior work.</w:t>
      </w:r>
    </w:p>
    <w:p w14:paraId="6C589916" w14:textId="1DF5CA0B" w:rsidR="007371F6" w:rsidRPr="007371F6" w:rsidRDefault="007371F6" w:rsidP="00280F75">
      <w:pPr>
        <w:jc w:val="both"/>
        <w:rPr>
          <w:rFonts w:ascii="Arial" w:hAnsi="Arial" w:cs="Arial"/>
        </w:rPr>
      </w:pPr>
    </w:p>
    <w:p w14:paraId="4708FC62"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Analytical Methods </w:t>
      </w:r>
    </w:p>
    <w:p w14:paraId="0AA3B76C" w14:textId="77777777"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Describing the development, validation, and/or adoption of analytical methods used. The specificity of the method together with its ability to detect degradants must be described. Justification for the techniques selected and the acceptance criteria assigned.</w:t>
      </w:r>
    </w:p>
    <w:p w14:paraId="5D32BE93" w14:textId="7EC5F061"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 </w:t>
      </w:r>
    </w:p>
    <w:p w14:paraId="7918047E" w14:textId="3CCE9B90" w:rsidR="007371F6" w:rsidRP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Diluents </w:t>
      </w:r>
    </w:p>
    <w:p w14:paraId="29714AE3" w14:textId="45C05937"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 Describing the diluents used, and the rationale for their choice. </w:t>
      </w:r>
    </w:p>
    <w:p w14:paraId="7F2B688C"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7A52BCB4"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Container </w:t>
      </w:r>
    </w:p>
    <w:p w14:paraId="531E4837" w14:textId="3F56AD55"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 Describing the containers used, and the rationale for their choice. </w:t>
      </w:r>
    </w:p>
    <w:p w14:paraId="7B44740F"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4BC54583"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Concentrations </w:t>
      </w:r>
    </w:p>
    <w:p w14:paraId="6A08A321" w14:textId="4BFDAAEC"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 Describing the concentrations studied, and the rationale for their choice. </w:t>
      </w:r>
    </w:p>
    <w:p w14:paraId="5D92FA2C"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68672272"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Storage Conditions </w:t>
      </w:r>
    </w:p>
    <w:p w14:paraId="57A15A1C" w14:textId="6A944D0A"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 Describing the storage conditions used, and the rationale for their choice. </w:t>
      </w:r>
    </w:p>
    <w:p w14:paraId="565C576B"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640AD72F"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Storage Protocols </w:t>
      </w:r>
    </w:p>
    <w:p w14:paraId="0EEE1F50" w14:textId="2F927518"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 Describing the storage protocols used, and the rational for their choice. </w:t>
      </w:r>
    </w:p>
    <w:p w14:paraId="20A2EFAA"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6033EF7E"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Sample Numbers </w:t>
      </w:r>
    </w:p>
    <w:p w14:paraId="43778DCA" w14:textId="25D10D59"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 Describing the number of samples and batches tested, and the rationale for their choice. </w:t>
      </w:r>
    </w:p>
    <w:p w14:paraId="5FF9D8D6"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5C875021"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Testing Protocols </w:t>
      </w:r>
    </w:p>
    <w:p w14:paraId="4E19E258" w14:textId="0F006ADA"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 Describing the test protocols used, and the rationale for their choice. </w:t>
      </w:r>
    </w:p>
    <w:p w14:paraId="1E0FF042"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520D3A6F"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Results </w:t>
      </w:r>
    </w:p>
    <w:p w14:paraId="6087A6D0" w14:textId="6480DD41"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 Detailed description of all analytical results. It is suggested that results are presented as a percentage of initial concentration; initial concentrations should be given in the report. </w:t>
      </w:r>
    </w:p>
    <w:p w14:paraId="3EB4F92E"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4F176861"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Discussion </w:t>
      </w:r>
    </w:p>
    <w:p w14:paraId="500C43E1" w14:textId="3FC82923"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 Scientific critique and evaluation of the results including any statistical approach taken to analysis of the data. </w:t>
      </w:r>
    </w:p>
    <w:p w14:paraId="7CDEEBDE"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0194E522"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Allocation of Shelf Lives </w:t>
      </w:r>
    </w:p>
    <w:p w14:paraId="48270D63"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 Description of the methods used to calculate shelf lives and the rationale for their use. </w:t>
      </w:r>
    </w:p>
    <w:p w14:paraId="1D39661C" w14:textId="0F0BA0C8"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 Description of proposed shelf lives determined from the study. </w:t>
      </w:r>
    </w:p>
    <w:p w14:paraId="4C23D952" w14:textId="010E65A3" w:rsidR="007371F6" w:rsidRDefault="007371F6" w:rsidP="00280F75">
      <w:pPr>
        <w:autoSpaceDE w:val="0"/>
        <w:autoSpaceDN w:val="0"/>
        <w:adjustRightInd w:val="0"/>
        <w:jc w:val="both"/>
        <w:rPr>
          <w:rFonts w:ascii="Arial" w:eastAsiaTheme="minorHAnsi" w:hAnsi="Arial" w:cs="Arial"/>
          <w:color w:val="000000"/>
          <w:sz w:val="23"/>
          <w:szCs w:val="23"/>
        </w:rPr>
      </w:pPr>
    </w:p>
    <w:p w14:paraId="205DE014" w14:textId="4C6A2C25" w:rsidR="00280F75" w:rsidRDefault="00280F75" w:rsidP="00280F75">
      <w:pPr>
        <w:autoSpaceDE w:val="0"/>
        <w:autoSpaceDN w:val="0"/>
        <w:adjustRightInd w:val="0"/>
        <w:jc w:val="both"/>
        <w:rPr>
          <w:rFonts w:ascii="Arial" w:eastAsiaTheme="minorHAnsi" w:hAnsi="Arial" w:cs="Arial"/>
          <w:color w:val="000000"/>
          <w:sz w:val="23"/>
          <w:szCs w:val="23"/>
        </w:rPr>
      </w:pPr>
    </w:p>
    <w:p w14:paraId="202C545C" w14:textId="5FACFF2C" w:rsidR="00280F75" w:rsidRDefault="00280F75" w:rsidP="00280F75">
      <w:pPr>
        <w:autoSpaceDE w:val="0"/>
        <w:autoSpaceDN w:val="0"/>
        <w:adjustRightInd w:val="0"/>
        <w:jc w:val="both"/>
        <w:rPr>
          <w:rFonts w:ascii="Arial" w:eastAsiaTheme="minorHAnsi" w:hAnsi="Arial" w:cs="Arial"/>
          <w:color w:val="000000"/>
          <w:sz w:val="23"/>
          <w:szCs w:val="23"/>
        </w:rPr>
      </w:pPr>
    </w:p>
    <w:p w14:paraId="0AC62C34" w14:textId="77777777" w:rsidR="00280F75" w:rsidRPr="007371F6" w:rsidRDefault="00280F75" w:rsidP="00280F75">
      <w:pPr>
        <w:autoSpaceDE w:val="0"/>
        <w:autoSpaceDN w:val="0"/>
        <w:adjustRightInd w:val="0"/>
        <w:jc w:val="both"/>
        <w:rPr>
          <w:rFonts w:ascii="Arial" w:eastAsiaTheme="minorHAnsi" w:hAnsi="Arial" w:cs="Arial"/>
          <w:color w:val="000000"/>
          <w:sz w:val="23"/>
          <w:szCs w:val="23"/>
        </w:rPr>
      </w:pPr>
    </w:p>
    <w:p w14:paraId="3E0F08A1" w14:textId="6F9A8BF9"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lastRenderedPageBreak/>
        <w:t xml:space="preserve">Conclusions </w:t>
      </w:r>
    </w:p>
    <w:p w14:paraId="16F8BB6E" w14:textId="77777777" w:rsidR="00280F75" w:rsidRPr="007371F6" w:rsidRDefault="00280F75" w:rsidP="00280F75">
      <w:pPr>
        <w:autoSpaceDE w:val="0"/>
        <w:autoSpaceDN w:val="0"/>
        <w:adjustRightInd w:val="0"/>
        <w:jc w:val="both"/>
        <w:rPr>
          <w:rFonts w:ascii="Arial" w:eastAsiaTheme="minorHAnsi" w:hAnsi="Arial" w:cs="Arial"/>
          <w:color w:val="000000"/>
          <w:sz w:val="23"/>
          <w:szCs w:val="23"/>
        </w:rPr>
      </w:pPr>
    </w:p>
    <w:p w14:paraId="598FB6DA" w14:textId="1375421A" w:rsidR="007371F6" w:rsidRDefault="007371F6" w:rsidP="00280F75">
      <w:pPr>
        <w:jc w:val="both"/>
        <w:rPr>
          <w:rFonts w:ascii="Arial" w:eastAsiaTheme="minorHAnsi" w:hAnsi="Arial" w:cs="Arial"/>
          <w:color w:val="000000"/>
          <w:sz w:val="23"/>
          <w:szCs w:val="23"/>
        </w:rPr>
      </w:pPr>
      <w:r w:rsidRPr="007371F6">
        <w:rPr>
          <w:rFonts w:ascii="Arial" w:eastAsiaTheme="minorHAnsi" w:hAnsi="Arial" w:cs="Arial"/>
          <w:color w:val="000000"/>
          <w:sz w:val="23"/>
          <w:szCs w:val="23"/>
        </w:rPr>
        <w:t>• Overall conclusions from the study. The report should also justify any omissions in the protocol, the testing programme or data availability and explain any non-conformances such as out of specification or out of trend results.</w:t>
      </w:r>
    </w:p>
    <w:p w14:paraId="594F9BFD" w14:textId="5E202554" w:rsidR="007371F6" w:rsidRDefault="007371F6" w:rsidP="00280F75">
      <w:pPr>
        <w:jc w:val="both"/>
        <w:rPr>
          <w:rFonts w:ascii="Arial" w:eastAsiaTheme="minorHAnsi" w:hAnsi="Arial" w:cs="Arial"/>
          <w:color w:val="000000"/>
          <w:sz w:val="23"/>
          <w:szCs w:val="23"/>
        </w:rPr>
      </w:pPr>
    </w:p>
    <w:p w14:paraId="3A832DB1"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b/>
          <w:bCs/>
          <w:color w:val="000000"/>
          <w:sz w:val="23"/>
          <w:szCs w:val="23"/>
        </w:rPr>
        <w:t xml:space="preserve">13. </w:t>
      </w:r>
      <w:r w:rsidRPr="007371F6">
        <w:rPr>
          <w:rFonts w:ascii="Arial" w:eastAsiaTheme="minorHAnsi" w:hAnsi="Arial" w:cs="Arial"/>
          <w:b/>
          <w:bCs/>
          <w:color w:val="000000"/>
          <w:sz w:val="23"/>
          <w:szCs w:val="23"/>
          <w:u w:val="single"/>
        </w:rPr>
        <w:t>Extrapolation of data</w:t>
      </w:r>
      <w:r w:rsidRPr="007371F6">
        <w:rPr>
          <w:rFonts w:ascii="Arial" w:eastAsiaTheme="minorHAnsi" w:hAnsi="Arial" w:cs="Arial"/>
          <w:b/>
          <w:bCs/>
          <w:color w:val="000000"/>
          <w:sz w:val="23"/>
          <w:szCs w:val="23"/>
        </w:rPr>
        <w:t xml:space="preserve"> </w:t>
      </w:r>
    </w:p>
    <w:p w14:paraId="56E29983" w14:textId="77777777" w:rsidR="007371F6" w:rsidRDefault="007371F6" w:rsidP="00280F75">
      <w:pPr>
        <w:autoSpaceDE w:val="0"/>
        <w:autoSpaceDN w:val="0"/>
        <w:adjustRightInd w:val="0"/>
        <w:jc w:val="both"/>
        <w:rPr>
          <w:rFonts w:ascii="Arial" w:eastAsiaTheme="minorHAnsi" w:hAnsi="Arial" w:cs="Arial"/>
          <w:color w:val="000000"/>
          <w:sz w:val="23"/>
          <w:szCs w:val="23"/>
        </w:rPr>
      </w:pPr>
    </w:p>
    <w:p w14:paraId="557CB086" w14:textId="192C631A" w:rsidR="007371F6" w:rsidRP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It can be reasonable to interpolate data within the range of the study (concentrations, storage temperatures etc.) as long as consistent results are obtained from the concentrations studied. Extrapolation of data beyond that studied is a risk based process and a good understanding of the drug concerned, its reaction kinetics, its solubility and its ability to adsorb to surfaces are all important considerations that require an expert opinion before a decision is made. Extrapolation to different types of container will require an understanding of the differences in properties between the two containers. Robust change control is required for all changes and extrapolations. </w:t>
      </w:r>
    </w:p>
    <w:p w14:paraId="2B8CDAA0"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b/>
          <w:bCs/>
          <w:color w:val="000000"/>
          <w:sz w:val="23"/>
          <w:szCs w:val="23"/>
        </w:rPr>
        <w:t xml:space="preserve">Glossary </w:t>
      </w:r>
    </w:p>
    <w:p w14:paraId="7241BB2C" w14:textId="77777777" w:rsidR="007371F6" w:rsidRDefault="007371F6" w:rsidP="00280F75">
      <w:pPr>
        <w:autoSpaceDE w:val="0"/>
        <w:autoSpaceDN w:val="0"/>
        <w:adjustRightInd w:val="0"/>
        <w:jc w:val="both"/>
        <w:rPr>
          <w:rFonts w:ascii="Arial" w:eastAsiaTheme="minorHAnsi" w:hAnsi="Arial" w:cs="Arial"/>
          <w:color w:val="000000"/>
          <w:sz w:val="23"/>
          <w:szCs w:val="23"/>
        </w:rPr>
      </w:pPr>
    </w:p>
    <w:p w14:paraId="55ABECB6" w14:textId="5EB68529"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API - Active Pharmaceutical Ingredient </w:t>
      </w:r>
    </w:p>
    <w:p w14:paraId="1B1F719B"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3FA4F1FC" w14:textId="2055F684"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BP – British Pharmacopoeia </w:t>
      </w:r>
    </w:p>
    <w:p w14:paraId="1CDEEA11"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35E431A8" w14:textId="2EC645EC"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DAD – Diode Array Detector </w:t>
      </w:r>
    </w:p>
    <w:p w14:paraId="07754DF9"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0E51BD18" w14:textId="3A3CF7C3"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EP – European Pharmacopoeia </w:t>
      </w:r>
    </w:p>
    <w:p w14:paraId="4FF9D76B"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70D00AFF" w14:textId="3ECA0D12"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HPLC – High Performance Liquid Chromatography </w:t>
      </w:r>
    </w:p>
    <w:p w14:paraId="68644646"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277399B9" w14:textId="77777777"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ICH - International Conference on Harmonisation of Technical Requirements for </w:t>
      </w:r>
    </w:p>
    <w:p w14:paraId="7842CB33" w14:textId="18DD20EE"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Registration of Pharmaceuticals for Human Use </w:t>
      </w:r>
    </w:p>
    <w:p w14:paraId="76451250"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357A5964" w14:textId="52DC8EAF"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MA - Marketing Authorisation </w:t>
      </w:r>
    </w:p>
    <w:p w14:paraId="725AA0B8"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31C42087" w14:textId="19D4A82F"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MS – Mass Spectrometry </w:t>
      </w:r>
    </w:p>
    <w:p w14:paraId="0E44D7F0"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4C20B4A8" w14:textId="021CC2E5"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SmPC - Summary of Product Characteristics </w:t>
      </w:r>
    </w:p>
    <w:p w14:paraId="246D8137"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1245015A" w14:textId="16B3A5CE" w:rsidR="007371F6" w:rsidRDefault="007371F6" w:rsidP="00280F75">
      <w:pPr>
        <w:jc w:val="both"/>
        <w:rPr>
          <w:rFonts w:ascii="Arial" w:eastAsiaTheme="minorHAnsi" w:hAnsi="Arial" w:cs="Arial"/>
          <w:color w:val="000000"/>
          <w:sz w:val="23"/>
          <w:szCs w:val="23"/>
        </w:rPr>
      </w:pPr>
      <w:r w:rsidRPr="007371F6">
        <w:rPr>
          <w:rFonts w:ascii="Arial" w:eastAsiaTheme="minorHAnsi" w:hAnsi="Arial" w:cs="Arial"/>
          <w:color w:val="000000"/>
          <w:sz w:val="23"/>
          <w:szCs w:val="23"/>
        </w:rPr>
        <w:t>UHPLC – Ultra High Performance Liquid Chromatography</w:t>
      </w:r>
    </w:p>
    <w:p w14:paraId="04EC9F90" w14:textId="04B214FC" w:rsidR="007371F6" w:rsidRPr="007371F6" w:rsidRDefault="007371F6" w:rsidP="00280F75">
      <w:pPr>
        <w:jc w:val="both"/>
        <w:rPr>
          <w:rFonts w:ascii="Arial" w:hAnsi="Arial" w:cs="Arial"/>
        </w:rPr>
      </w:pPr>
    </w:p>
    <w:p w14:paraId="3EDBA777" w14:textId="0BB4689C" w:rsidR="007371F6" w:rsidRDefault="007371F6" w:rsidP="00280F75">
      <w:pPr>
        <w:jc w:val="both"/>
        <w:rPr>
          <w:rFonts w:ascii="Arial" w:eastAsiaTheme="minorHAnsi" w:hAnsi="Arial" w:cs="Arial"/>
          <w:color w:val="000000"/>
          <w:sz w:val="23"/>
          <w:szCs w:val="23"/>
        </w:rPr>
      </w:pPr>
    </w:p>
    <w:p w14:paraId="231DDD20" w14:textId="549948A0" w:rsidR="007371F6" w:rsidRDefault="007371F6" w:rsidP="00280F75">
      <w:pPr>
        <w:jc w:val="both"/>
        <w:rPr>
          <w:rFonts w:ascii="Arial" w:hAnsi="Arial" w:cs="Arial"/>
          <w:sz w:val="23"/>
          <w:szCs w:val="23"/>
        </w:rPr>
      </w:pPr>
      <w:r w:rsidRPr="007371F6">
        <w:rPr>
          <w:rFonts w:ascii="Arial" w:hAnsi="Arial" w:cs="Arial"/>
          <w:sz w:val="23"/>
          <w:szCs w:val="23"/>
        </w:rPr>
        <w:t>UV - Ultra-violet</w:t>
      </w:r>
    </w:p>
    <w:p w14:paraId="1783FCB7" w14:textId="3D82C31C" w:rsidR="0065532E" w:rsidRPr="0065532E" w:rsidRDefault="0065532E" w:rsidP="00280F75">
      <w:pPr>
        <w:jc w:val="both"/>
        <w:rPr>
          <w:rFonts w:ascii="Arial" w:hAnsi="Arial" w:cs="Arial"/>
        </w:rPr>
      </w:pPr>
    </w:p>
    <w:p w14:paraId="3E91D4E9" w14:textId="7BA1D2E5" w:rsidR="0065532E" w:rsidRDefault="0065532E" w:rsidP="00280F75">
      <w:pPr>
        <w:jc w:val="both"/>
        <w:rPr>
          <w:rFonts w:ascii="Arial" w:hAnsi="Arial" w:cs="Arial"/>
          <w:sz w:val="23"/>
          <w:szCs w:val="23"/>
        </w:rPr>
      </w:pPr>
    </w:p>
    <w:p w14:paraId="31647E76" w14:textId="77777777" w:rsidR="0065532E" w:rsidRPr="0065532E" w:rsidRDefault="0065532E" w:rsidP="00280F75">
      <w:pPr>
        <w:autoSpaceDE w:val="0"/>
        <w:autoSpaceDN w:val="0"/>
        <w:adjustRightInd w:val="0"/>
        <w:jc w:val="both"/>
        <w:rPr>
          <w:rFonts w:ascii="Arial" w:eastAsiaTheme="minorHAnsi" w:hAnsi="Arial" w:cs="Arial"/>
          <w:color w:val="000000"/>
          <w:sz w:val="23"/>
          <w:szCs w:val="23"/>
          <w:u w:val="single"/>
        </w:rPr>
      </w:pPr>
      <w:r w:rsidRPr="0065532E">
        <w:rPr>
          <w:rFonts w:ascii="Arial" w:eastAsiaTheme="minorHAnsi" w:hAnsi="Arial" w:cs="Arial"/>
          <w:b/>
          <w:bCs/>
          <w:color w:val="000000"/>
          <w:sz w:val="23"/>
          <w:szCs w:val="23"/>
          <w:u w:val="single"/>
        </w:rPr>
        <w:t xml:space="preserve">References </w:t>
      </w:r>
    </w:p>
    <w:p w14:paraId="0B359143" w14:textId="77777777" w:rsidR="0065532E" w:rsidRDefault="0065532E" w:rsidP="00280F75">
      <w:pPr>
        <w:jc w:val="both"/>
        <w:rPr>
          <w:rFonts w:ascii="Arial" w:eastAsiaTheme="minorHAnsi" w:hAnsi="Arial" w:cs="Arial"/>
          <w:color w:val="000000"/>
          <w:sz w:val="23"/>
          <w:szCs w:val="23"/>
        </w:rPr>
      </w:pPr>
    </w:p>
    <w:p w14:paraId="0A249CBF" w14:textId="6B8CDD83" w:rsidR="0065532E" w:rsidRDefault="0065532E" w:rsidP="00280F75">
      <w:pPr>
        <w:jc w:val="both"/>
        <w:rPr>
          <w:rStyle w:val="Hyperlink"/>
          <w:rFonts w:ascii="Arial" w:eastAsiaTheme="minorHAnsi" w:hAnsi="Arial" w:cs="Arial"/>
          <w:sz w:val="23"/>
          <w:szCs w:val="23"/>
        </w:rPr>
      </w:pPr>
      <w:r w:rsidRPr="0065532E">
        <w:rPr>
          <w:rFonts w:ascii="Arial" w:eastAsiaTheme="minorHAnsi" w:hAnsi="Arial" w:cs="Arial"/>
          <w:color w:val="000000"/>
          <w:sz w:val="23"/>
          <w:szCs w:val="23"/>
        </w:rPr>
        <w:t xml:space="preserve">1. A Standard Protocol for Deriving and Assessment of Stability: Part 2 - Aseptic Preparations (Biopharmaceuticals) – NHS Pharmaceutical Quality Assurance Committee. </w:t>
      </w:r>
      <w:hyperlink r:id="rId12" w:history="1">
        <w:r w:rsidRPr="0065532E">
          <w:rPr>
            <w:rStyle w:val="Hyperlink"/>
            <w:rFonts w:ascii="Arial" w:eastAsiaTheme="minorHAnsi" w:hAnsi="Arial" w:cs="Arial"/>
            <w:sz w:val="23"/>
            <w:szCs w:val="23"/>
          </w:rPr>
          <w:t>www.medicinesresources.nhs.uk/en/Communities/NHS/UKQAInfoZone</w:t>
        </w:r>
      </w:hyperlink>
    </w:p>
    <w:p w14:paraId="161ACD6D" w14:textId="1D478094" w:rsidR="00F2005F" w:rsidRPr="00F2005F" w:rsidRDefault="00F2005F" w:rsidP="00280F75">
      <w:pPr>
        <w:jc w:val="both"/>
        <w:rPr>
          <w:rFonts w:ascii="Arial" w:hAnsi="Arial" w:cs="Arial"/>
        </w:rPr>
      </w:pPr>
    </w:p>
    <w:p w14:paraId="5B1C6729" w14:textId="6BAE6EFA" w:rsidR="00F2005F" w:rsidRDefault="00F2005F" w:rsidP="00280F75">
      <w:pPr>
        <w:jc w:val="both"/>
        <w:rPr>
          <w:rStyle w:val="Hyperlink"/>
          <w:rFonts w:ascii="Arial" w:eastAsiaTheme="minorHAnsi" w:hAnsi="Arial" w:cs="Arial"/>
          <w:sz w:val="23"/>
          <w:szCs w:val="23"/>
        </w:rPr>
      </w:pPr>
    </w:p>
    <w:p w14:paraId="4AA3CF24" w14:textId="77777777" w:rsidR="00F2005F" w:rsidRPr="00F2005F" w:rsidRDefault="00F2005F" w:rsidP="00280F75">
      <w:pPr>
        <w:autoSpaceDE w:val="0"/>
        <w:autoSpaceDN w:val="0"/>
        <w:adjustRightInd w:val="0"/>
        <w:jc w:val="both"/>
        <w:rPr>
          <w:rFonts w:ascii="Arial" w:eastAsiaTheme="minorHAnsi" w:hAnsi="Arial" w:cs="Arial"/>
          <w:color w:val="000000"/>
          <w:sz w:val="23"/>
          <w:szCs w:val="23"/>
        </w:rPr>
      </w:pPr>
      <w:r w:rsidRPr="00F2005F">
        <w:rPr>
          <w:rFonts w:ascii="Arial" w:eastAsiaTheme="minorHAnsi" w:hAnsi="Arial" w:cs="Arial"/>
          <w:color w:val="000000"/>
          <w:sz w:val="23"/>
          <w:szCs w:val="23"/>
        </w:rPr>
        <w:t xml:space="preserve">2.NPSA Patient Safety alert 20 (28 March 2007) – Promoting Safer Use of Injectable </w:t>
      </w:r>
    </w:p>
    <w:p w14:paraId="094E7824" w14:textId="0F876155" w:rsidR="00F2005F" w:rsidRDefault="00F2005F" w:rsidP="00280F75">
      <w:pPr>
        <w:autoSpaceDE w:val="0"/>
        <w:autoSpaceDN w:val="0"/>
        <w:adjustRightInd w:val="0"/>
        <w:jc w:val="both"/>
        <w:rPr>
          <w:rFonts w:ascii="Arial" w:eastAsiaTheme="minorHAnsi" w:hAnsi="Arial" w:cs="Arial"/>
          <w:color w:val="000000"/>
          <w:sz w:val="23"/>
          <w:szCs w:val="23"/>
        </w:rPr>
      </w:pPr>
      <w:r w:rsidRPr="00F2005F">
        <w:rPr>
          <w:rFonts w:ascii="Arial" w:eastAsiaTheme="minorHAnsi" w:hAnsi="Arial" w:cs="Arial"/>
          <w:color w:val="000000"/>
          <w:sz w:val="23"/>
          <w:szCs w:val="23"/>
        </w:rPr>
        <w:t xml:space="preserve">Medicines. </w:t>
      </w:r>
      <w:hyperlink r:id="rId13" w:history="1">
        <w:r w:rsidRPr="00F2005F">
          <w:rPr>
            <w:rStyle w:val="Hyperlink"/>
            <w:rFonts w:ascii="Arial" w:eastAsiaTheme="minorHAnsi" w:hAnsi="Arial" w:cs="Arial"/>
            <w:sz w:val="23"/>
            <w:szCs w:val="23"/>
          </w:rPr>
          <w:t>www.nrls.npsa.nhs.uk/resources/?entryid45=59812</w:t>
        </w:r>
      </w:hyperlink>
      <w:r w:rsidRPr="00F2005F">
        <w:rPr>
          <w:rFonts w:ascii="Arial" w:eastAsiaTheme="minorHAnsi" w:hAnsi="Arial" w:cs="Arial"/>
          <w:color w:val="000000"/>
          <w:sz w:val="23"/>
          <w:szCs w:val="23"/>
        </w:rPr>
        <w:t xml:space="preserve"> </w:t>
      </w:r>
    </w:p>
    <w:p w14:paraId="5169BD91" w14:textId="6FFEFF3F" w:rsidR="00FE60EB" w:rsidRPr="00FE60EB" w:rsidRDefault="00F2005F" w:rsidP="00280F75">
      <w:pPr>
        <w:pStyle w:val="ListParagraph"/>
        <w:numPr>
          <w:ilvl w:val="0"/>
          <w:numId w:val="11"/>
        </w:numPr>
        <w:autoSpaceDE w:val="0"/>
        <w:autoSpaceDN w:val="0"/>
        <w:adjustRightInd w:val="0"/>
        <w:jc w:val="both"/>
        <w:rPr>
          <w:rFonts w:ascii="Arial" w:eastAsiaTheme="minorHAnsi" w:hAnsi="Arial" w:cs="Arial"/>
          <w:color w:val="000000"/>
          <w:sz w:val="23"/>
          <w:szCs w:val="23"/>
        </w:rPr>
      </w:pPr>
      <w:r w:rsidRPr="00FE60EB">
        <w:rPr>
          <w:rFonts w:ascii="Arial" w:eastAsiaTheme="minorHAnsi" w:hAnsi="Arial" w:cs="Arial"/>
          <w:color w:val="000000"/>
          <w:sz w:val="23"/>
          <w:szCs w:val="23"/>
        </w:rPr>
        <w:lastRenderedPageBreak/>
        <w:t xml:space="preserve">Guidance on the Validation of Pharmaceutical Quality Control Analytical Methods - NHS Pharmaceutical Quality Assurance Committee March 2005. </w:t>
      </w:r>
      <w:hyperlink r:id="rId14" w:history="1">
        <w:r w:rsidR="00FE60EB" w:rsidRPr="002317EE">
          <w:rPr>
            <w:rStyle w:val="Hyperlink"/>
            <w:rFonts w:ascii="Arial" w:eastAsiaTheme="minorHAnsi" w:hAnsi="Arial" w:cs="Arial"/>
            <w:sz w:val="23"/>
            <w:szCs w:val="23"/>
          </w:rPr>
          <w:t>www.medicinesresources.nhs.uk/en/Communities/NHS/UKQAInfoZone</w:t>
        </w:r>
      </w:hyperlink>
    </w:p>
    <w:p w14:paraId="2263AB50" w14:textId="1135A0E2" w:rsidR="00F2005F" w:rsidRPr="00FE60EB" w:rsidRDefault="00F2005F" w:rsidP="00280F75">
      <w:pPr>
        <w:pStyle w:val="ListParagraph"/>
        <w:autoSpaceDE w:val="0"/>
        <w:autoSpaceDN w:val="0"/>
        <w:adjustRightInd w:val="0"/>
        <w:ind w:left="360"/>
        <w:jc w:val="both"/>
        <w:rPr>
          <w:rFonts w:ascii="Arial" w:eastAsiaTheme="minorHAnsi" w:hAnsi="Arial" w:cs="Arial"/>
          <w:color w:val="000000"/>
          <w:sz w:val="23"/>
          <w:szCs w:val="23"/>
        </w:rPr>
      </w:pPr>
      <w:r w:rsidRPr="00FE60EB">
        <w:rPr>
          <w:rFonts w:ascii="Arial" w:eastAsiaTheme="minorHAnsi" w:hAnsi="Arial" w:cs="Arial"/>
          <w:color w:val="000000"/>
          <w:sz w:val="23"/>
          <w:szCs w:val="23"/>
        </w:rPr>
        <w:t xml:space="preserve"> </w:t>
      </w:r>
    </w:p>
    <w:p w14:paraId="369C68F4" w14:textId="6DE436AB" w:rsidR="00FE60EB" w:rsidRDefault="00F2005F" w:rsidP="00280F75">
      <w:pPr>
        <w:pStyle w:val="ListParagraph"/>
        <w:numPr>
          <w:ilvl w:val="0"/>
          <w:numId w:val="11"/>
        </w:numPr>
        <w:autoSpaceDE w:val="0"/>
        <w:autoSpaceDN w:val="0"/>
        <w:adjustRightInd w:val="0"/>
        <w:jc w:val="both"/>
        <w:rPr>
          <w:rFonts w:ascii="Arial" w:eastAsiaTheme="minorHAnsi" w:hAnsi="Arial" w:cs="Arial"/>
          <w:color w:val="000000"/>
          <w:sz w:val="23"/>
          <w:szCs w:val="23"/>
        </w:rPr>
      </w:pPr>
      <w:r w:rsidRPr="00FE60EB">
        <w:rPr>
          <w:rFonts w:ascii="Arial" w:eastAsiaTheme="minorHAnsi" w:hAnsi="Arial" w:cs="Arial"/>
          <w:color w:val="000000"/>
          <w:sz w:val="23"/>
          <w:szCs w:val="23"/>
        </w:rPr>
        <w:t xml:space="preserve">ICH Q2(R1) Validation of Analytical Procedures: Methodology </w:t>
      </w:r>
      <w:hyperlink r:id="rId15" w:history="1">
        <w:r w:rsidR="00FE60EB" w:rsidRPr="002317EE">
          <w:rPr>
            <w:rStyle w:val="Hyperlink"/>
            <w:rFonts w:ascii="Arial" w:eastAsiaTheme="minorHAnsi" w:hAnsi="Arial" w:cs="Arial"/>
            <w:sz w:val="23"/>
            <w:szCs w:val="23"/>
          </w:rPr>
          <w:t>www.ich.org/products/guidelines.html</w:t>
        </w:r>
      </w:hyperlink>
    </w:p>
    <w:p w14:paraId="64AFD24F" w14:textId="335A250C" w:rsidR="00F2005F" w:rsidRPr="00CE1D87" w:rsidRDefault="00F2005F" w:rsidP="00CE1D87">
      <w:pPr>
        <w:autoSpaceDE w:val="0"/>
        <w:autoSpaceDN w:val="0"/>
        <w:adjustRightInd w:val="0"/>
        <w:jc w:val="both"/>
        <w:rPr>
          <w:rFonts w:ascii="Arial" w:eastAsiaTheme="minorHAnsi" w:hAnsi="Arial" w:cs="Arial"/>
          <w:color w:val="000000"/>
          <w:sz w:val="23"/>
          <w:szCs w:val="23"/>
        </w:rPr>
      </w:pPr>
    </w:p>
    <w:p w14:paraId="48240E05" w14:textId="77777777" w:rsidR="00F2005F" w:rsidRPr="00F2005F" w:rsidRDefault="00F2005F" w:rsidP="00CE1D87">
      <w:pPr>
        <w:autoSpaceDE w:val="0"/>
        <w:autoSpaceDN w:val="0"/>
        <w:adjustRightInd w:val="0"/>
        <w:jc w:val="both"/>
        <w:rPr>
          <w:rFonts w:ascii="Arial" w:eastAsiaTheme="minorHAnsi" w:hAnsi="Arial" w:cs="Arial"/>
          <w:color w:val="000000"/>
          <w:sz w:val="23"/>
          <w:szCs w:val="23"/>
        </w:rPr>
      </w:pPr>
      <w:r w:rsidRPr="00F2005F">
        <w:rPr>
          <w:rFonts w:ascii="Arial" w:eastAsiaTheme="minorHAnsi" w:hAnsi="Arial" w:cs="Arial"/>
          <w:color w:val="000000"/>
          <w:sz w:val="23"/>
          <w:szCs w:val="23"/>
        </w:rPr>
        <w:t>5. Microbiological protocol for the integrity testing of syringes - NHS Pharmaceutical Quality Assurance Committee, 2</w:t>
      </w:r>
      <w:r w:rsidRPr="00F2005F">
        <w:rPr>
          <w:rFonts w:ascii="Arial" w:eastAsiaTheme="minorHAnsi" w:hAnsi="Arial" w:cs="Arial"/>
          <w:color w:val="000000"/>
          <w:sz w:val="16"/>
          <w:szCs w:val="16"/>
        </w:rPr>
        <w:t xml:space="preserve">nd </w:t>
      </w:r>
      <w:r w:rsidRPr="00F2005F">
        <w:rPr>
          <w:rFonts w:ascii="Arial" w:eastAsiaTheme="minorHAnsi" w:hAnsi="Arial" w:cs="Arial"/>
          <w:color w:val="000000"/>
          <w:sz w:val="23"/>
          <w:szCs w:val="23"/>
        </w:rPr>
        <w:t xml:space="preserve">edition April 2013. </w:t>
      </w:r>
    </w:p>
    <w:p w14:paraId="05E893C4" w14:textId="71BD47AA" w:rsidR="00033083" w:rsidRPr="00033083" w:rsidRDefault="007F2D16" w:rsidP="00280F75">
      <w:pPr>
        <w:autoSpaceDE w:val="0"/>
        <w:autoSpaceDN w:val="0"/>
        <w:adjustRightInd w:val="0"/>
        <w:jc w:val="both"/>
        <w:rPr>
          <w:rFonts w:ascii="Arial" w:hAnsi="Arial" w:cs="Arial"/>
          <w:sz w:val="23"/>
          <w:szCs w:val="23"/>
        </w:rPr>
      </w:pPr>
      <w:hyperlink r:id="rId16" w:history="1">
        <w:r w:rsidR="00033083" w:rsidRPr="002317EE">
          <w:rPr>
            <w:rStyle w:val="Hyperlink"/>
            <w:rFonts w:ascii="Arial" w:hAnsi="Arial" w:cs="Arial"/>
            <w:sz w:val="23"/>
            <w:szCs w:val="23"/>
          </w:rPr>
          <w:t>www.medicinesresources.nhs.uk/en/Communities/NHS/UKQAInfoZone</w:t>
        </w:r>
      </w:hyperlink>
    </w:p>
    <w:p w14:paraId="6D6B3E57" w14:textId="77777777" w:rsidR="00033083" w:rsidRDefault="00033083" w:rsidP="00280F75">
      <w:pPr>
        <w:autoSpaceDE w:val="0"/>
        <w:autoSpaceDN w:val="0"/>
        <w:adjustRightInd w:val="0"/>
        <w:jc w:val="both"/>
        <w:rPr>
          <w:rFonts w:ascii="Arial" w:eastAsiaTheme="minorHAnsi" w:hAnsi="Arial" w:cs="Arial"/>
          <w:color w:val="000000"/>
          <w:sz w:val="23"/>
          <w:szCs w:val="23"/>
        </w:rPr>
      </w:pPr>
    </w:p>
    <w:p w14:paraId="2885B0CD" w14:textId="60CD3790" w:rsidR="00F2005F" w:rsidRPr="00FE60EB" w:rsidRDefault="00FE60EB" w:rsidP="00280F75">
      <w:pPr>
        <w:autoSpaceDE w:val="0"/>
        <w:autoSpaceDN w:val="0"/>
        <w:adjustRightInd w:val="0"/>
        <w:jc w:val="both"/>
        <w:rPr>
          <w:rFonts w:ascii="Arial" w:eastAsiaTheme="minorHAnsi" w:hAnsi="Arial" w:cs="Arial"/>
          <w:color w:val="000000"/>
          <w:sz w:val="23"/>
          <w:szCs w:val="23"/>
        </w:rPr>
      </w:pPr>
      <w:r>
        <w:rPr>
          <w:rFonts w:ascii="Arial" w:eastAsiaTheme="minorHAnsi" w:hAnsi="Arial" w:cs="Arial"/>
          <w:color w:val="000000"/>
          <w:sz w:val="23"/>
          <w:szCs w:val="23"/>
        </w:rPr>
        <w:t xml:space="preserve">6. </w:t>
      </w:r>
      <w:r w:rsidR="00F2005F" w:rsidRPr="00FE60EB">
        <w:rPr>
          <w:rFonts w:ascii="Arial" w:eastAsiaTheme="minorHAnsi" w:hAnsi="Arial" w:cs="Arial"/>
          <w:color w:val="000000"/>
          <w:sz w:val="23"/>
          <w:szCs w:val="23"/>
        </w:rPr>
        <w:t xml:space="preserve">British Pharmacopoeia 2019 Appendix XIX G Sterile Single-use Plastic Syringes (Ph. Eur. method 3.2.8). </w:t>
      </w:r>
    </w:p>
    <w:p w14:paraId="12E5F6B4" w14:textId="77777777" w:rsidR="00FE60EB" w:rsidRPr="00FE60EB" w:rsidRDefault="00FE60EB" w:rsidP="00280F75">
      <w:pPr>
        <w:pStyle w:val="ListParagraph"/>
        <w:autoSpaceDE w:val="0"/>
        <w:autoSpaceDN w:val="0"/>
        <w:adjustRightInd w:val="0"/>
        <w:ind w:left="360"/>
        <w:jc w:val="both"/>
        <w:rPr>
          <w:rFonts w:ascii="Arial" w:eastAsiaTheme="minorHAnsi" w:hAnsi="Arial" w:cs="Arial"/>
          <w:color w:val="000000"/>
          <w:sz w:val="23"/>
          <w:szCs w:val="23"/>
        </w:rPr>
      </w:pPr>
    </w:p>
    <w:p w14:paraId="2BDC6504" w14:textId="3F956CF3" w:rsidR="00F2005F" w:rsidRPr="00FE60EB" w:rsidRDefault="00F2005F" w:rsidP="00280F75">
      <w:pPr>
        <w:autoSpaceDE w:val="0"/>
        <w:autoSpaceDN w:val="0"/>
        <w:adjustRightInd w:val="0"/>
        <w:jc w:val="both"/>
        <w:rPr>
          <w:rFonts w:ascii="Arial" w:eastAsiaTheme="minorHAnsi" w:hAnsi="Arial" w:cs="Arial"/>
          <w:color w:val="000000"/>
          <w:sz w:val="23"/>
          <w:szCs w:val="23"/>
        </w:rPr>
      </w:pPr>
      <w:r w:rsidRPr="00FE60EB">
        <w:rPr>
          <w:rFonts w:ascii="Arial" w:eastAsiaTheme="minorHAnsi" w:hAnsi="Arial" w:cs="Arial"/>
          <w:color w:val="000000"/>
          <w:sz w:val="23"/>
          <w:szCs w:val="23"/>
        </w:rPr>
        <w:t xml:space="preserve">National collated data from syringe integrity testing – NHS Pharmaceutical R&amp;D Group. </w:t>
      </w:r>
      <w:hyperlink r:id="rId17" w:history="1">
        <w:r w:rsidR="00FE60EB" w:rsidRPr="00FE60EB">
          <w:rPr>
            <w:rStyle w:val="Hyperlink"/>
            <w:rFonts w:ascii="Arial" w:eastAsiaTheme="minorHAnsi" w:hAnsi="Arial" w:cs="Arial"/>
            <w:sz w:val="23"/>
            <w:szCs w:val="23"/>
          </w:rPr>
          <w:t>www.qcnw.nhs.uk</w:t>
        </w:r>
      </w:hyperlink>
      <w:r w:rsidRPr="00FE60EB">
        <w:rPr>
          <w:rFonts w:ascii="Arial" w:eastAsiaTheme="minorHAnsi" w:hAnsi="Arial" w:cs="Arial"/>
          <w:color w:val="000000"/>
          <w:sz w:val="23"/>
          <w:szCs w:val="23"/>
        </w:rPr>
        <w:t xml:space="preserve"> </w:t>
      </w:r>
    </w:p>
    <w:p w14:paraId="71C9A5DE" w14:textId="77777777" w:rsidR="00FE60EB" w:rsidRPr="00FE60EB" w:rsidRDefault="00FE60EB" w:rsidP="00280F75">
      <w:pPr>
        <w:pStyle w:val="ListParagraph"/>
        <w:autoSpaceDE w:val="0"/>
        <w:autoSpaceDN w:val="0"/>
        <w:adjustRightInd w:val="0"/>
        <w:jc w:val="both"/>
        <w:rPr>
          <w:rFonts w:ascii="Arial" w:eastAsiaTheme="minorHAnsi" w:hAnsi="Arial" w:cs="Arial"/>
          <w:color w:val="000000"/>
          <w:sz w:val="23"/>
          <w:szCs w:val="23"/>
        </w:rPr>
      </w:pPr>
    </w:p>
    <w:p w14:paraId="5E927EAB" w14:textId="77777777" w:rsidR="00033083" w:rsidRDefault="00F2005F" w:rsidP="00280F75">
      <w:pPr>
        <w:autoSpaceDE w:val="0"/>
        <w:autoSpaceDN w:val="0"/>
        <w:adjustRightInd w:val="0"/>
        <w:jc w:val="both"/>
        <w:rPr>
          <w:rFonts w:ascii="Arial" w:eastAsiaTheme="minorHAnsi" w:hAnsi="Arial" w:cs="Arial"/>
          <w:color w:val="000000"/>
          <w:sz w:val="23"/>
          <w:szCs w:val="23"/>
        </w:rPr>
      </w:pPr>
      <w:r w:rsidRPr="00F2005F">
        <w:rPr>
          <w:rFonts w:ascii="Arial" w:eastAsiaTheme="minorHAnsi" w:hAnsi="Arial" w:cs="Arial"/>
          <w:color w:val="000000"/>
          <w:sz w:val="23"/>
          <w:szCs w:val="23"/>
        </w:rPr>
        <w:t>8. BD Plastipak Field Safety Notice MS-15-637-FA (issued 28</w:t>
      </w:r>
      <w:r w:rsidRPr="00F2005F">
        <w:rPr>
          <w:rFonts w:ascii="Arial" w:eastAsiaTheme="minorHAnsi" w:hAnsi="Arial" w:cs="Arial"/>
          <w:color w:val="000000"/>
          <w:sz w:val="16"/>
          <w:szCs w:val="16"/>
        </w:rPr>
        <w:t xml:space="preserve">th </w:t>
      </w:r>
      <w:r w:rsidRPr="00F2005F">
        <w:rPr>
          <w:rFonts w:ascii="Arial" w:eastAsiaTheme="minorHAnsi" w:hAnsi="Arial" w:cs="Arial"/>
          <w:color w:val="000000"/>
          <w:sz w:val="23"/>
          <w:szCs w:val="23"/>
        </w:rPr>
        <w:t xml:space="preserve">September 2015) </w:t>
      </w:r>
    </w:p>
    <w:p w14:paraId="411C1B4D" w14:textId="1276471A" w:rsidR="00F2005F" w:rsidRPr="00F2005F" w:rsidRDefault="00033083" w:rsidP="00280F75">
      <w:pPr>
        <w:autoSpaceDE w:val="0"/>
        <w:autoSpaceDN w:val="0"/>
        <w:adjustRightInd w:val="0"/>
        <w:jc w:val="both"/>
        <w:rPr>
          <w:rFonts w:ascii="Arial" w:eastAsiaTheme="minorHAnsi" w:hAnsi="Arial" w:cs="Arial"/>
          <w:color w:val="000000"/>
          <w:sz w:val="23"/>
          <w:szCs w:val="23"/>
        </w:rPr>
      </w:pPr>
      <w:r>
        <w:rPr>
          <w:rFonts w:ascii="Arial" w:eastAsiaTheme="minorHAnsi" w:hAnsi="Arial" w:cs="Arial"/>
          <w:color w:val="000000"/>
          <w:sz w:val="23"/>
          <w:szCs w:val="23"/>
        </w:rPr>
        <w:t xml:space="preserve"> </w:t>
      </w:r>
    </w:p>
    <w:p w14:paraId="6E50326F" w14:textId="3512583D" w:rsidR="00F2005F" w:rsidRDefault="00F2005F" w:rsidP="00280F75">
      <w:pPr>
        <w:autoSpaceDE w:val="0"/>
        <w:autoSpaceDN w:val="0"/>
        <w:adjustRightInd w:val="0"/>
        <w:jc w:val="both"/>
        <w:rPr>
          <w:rFonts w:ascii="Arial" w:eastAsiaTheme="minorHAnsi" w:hAnsi="Arial" w:cs="Arial"/>
          <w:color w:val="000000"/>
          <w:sz w:val="23"/>
          <w:szCs w:val="23"/>
        </w:rPr>
      </w:pPr>
      <w:r w:rsidRPr="00F2005F">
        <w:rPr>
          <w:rFonts w:ascii="Arial" w:eastAsiaTheme="minorHAnsi" w:hAnsi="Arial" w:cs="Arial"/>
          <w:color w:val="000000"/>
          <w:sz w:val="23"/>
          <w:szCs w:val="23"/>
        </w:rPr>
        <w:t xml:space="preserve">9.Farwell J. Aseptic Dispensing for NHS Patients (The Farwell Report) Department of Health 1995. </w:t>
      </w:r>
    </w:p>
    <w:p w14:paraId="1BCFE824" w14:textId="77777777" w:rsidR="00033083" w:rsidRPr="00F2005F" w:rsidRDefault="00033083" w:rsidP="00280F75">
      <w:pPr>
        <w:autoSpaceDE w:val="0"/>
        <w:autoSpaceDN w:val="0"/>
        <w:adjustRightInd w:val="0"/>
        <w:jc w:val="both"/>
        <w:rPr>
          <w:rFonts w:ascii="Arial" w:eastAsiaTheme="minorHAnsi" w:hAnsi="Arial" w:cs="Arial"/>
          <w:color w:val="000000"/>
          <w:sz w:val="23"/>
          <w:szCs w:val="23"/>
        </w:rPr>
      </w:pPr>
    </w:p>
    <w:p w14:paraId="0DD82D1B" w14:textId="77777777" w:rsidR="00033083" w:rsidRDefault="00F2005F" w:rsidP="00280F75">
      <w:pPr>
        <w:autoSpaceDE w:val="0"/>
        <w:autoSpaceDN w:val="0"/>
        <w:adjustRightInd w:val="0"/>
        <w:jc w:val="both"/>
        <w:rPr>
          <w:rFonts w:ascii="Arial" w:eastAsiaTheme="minorHAnsi" w:hAnsi="Arial" w:cs="Arial"/>
          <w:color w:val="000000"/>
          <w:sz w:val="23"/>
          <w:szCs w:val="23"/>
        </w:rPr>
      </w:pPr>
      <w:r w:rsidRPr="00F2005F">
        <w:rPr>
          <w:rFonts w:ascii="Arial" w:eastAsiaTheme="minorHAnsi" w:hAnsi="Arial" w:cs="Arial"/>
          <w:color w:val="000000"/>
          <w:sz w:val="23"/>
          <w:szCs w:val="23"/>
        </w:rPr>
        <w:t>10. What is the maximum temperature reached in elastomeric devices under simulated OPAT conditions? Archives of Disease in Childhood. 101(9), p.e2. van Der Merwe, S. and Green, H. (2016) . Poster presented at NPPG November 2015</w:t>
      </w:r>
    </w:p>
    <w:p w14:paraId="15ABC7E2" w14:textId="1209679A" w:rsidR="00F2005F" w:rsidRPr="00F2005F" w:rsidRDefault="00F2005F" w:rsidP="00280F75">
      <w:pPr>
        <w:autoSpaceDE w:val="0"/>
        <w:autoSpaceDN w:val="0"/>
        <w:adjustRightInd w:val="0"/>
        <w:jc w:val="both"/>
        <w:rPr>
          <w:rFonts w:ascii="Arial" w:eastAsiaTheme="minorHAnsi" w:hAnsi="Arial" w:cs="Arial"/>
          <w:color w:val="000000"/>
          <w:sz w:val="23"/>
          <w:szCs w:val="23"/>
        </w:rPr>
      </w:pPr>
      <w:r w:rsidRPr="00F2005F">
        <w:rPr>
          <w:rFonts w:ascii="Arial" w:eastAsiaTheme="minorHAnsi" w:hAnsi="Arial" w:cs="Arial"/>
          <w:color w:val="000000"/>
          <w:sz w:val="23"/>
          <w:szCs w:val="23"/>
        </w:rPr>
        <w:t xml:space="preserve"> </w:t>
      </w:r>
    </w:p>
    <w:p w14:paraId="7A1FF0CE" w14:textId="3B3FC7B0" w:rsidR="00F2005F" w:rsidRDefault="00F2005F" w:rsidP="00280F75">
      <w:pPr>
        <w:autoSpaceDE w:val="0"/>
        <w:autoSpaceDN w:val="0"/>
        <w:adjustRightInd w:val="0"/>
        <w:jc w:val="both"/>
        <w:rPr>
          <w:rFonts w:ascii="Arial" w:eastAsiaTheme="minorHAnsi" w:hAnsi="Arial" w:cs="Arial"/>
          <w:color w:val="000000"/>
          <w:sz w:val="23"/>
          <w:szCs w:val="23"/>
        </w:rPr>
      </w:pPr>
      <w:r w:rsidRPr="00F2005F">
        <w:rPr>
          <w:rFonts w:ascii="Arial" w:eastAsiaTheme="minorHAnsi" w:hAnsi="Arial" w:cs="Arial"/>
          <w:color w:val="000000"/>
          <w:sz w:val="23"/>
          <w:szCs w:val="23"/>
        </w:rPr>
        <w:t xml:space="preserve">11. In Use Temperature Investigation 100mL Dosi-Fuser, The Newcastle-upon-Tyne NHS Foundation Trust, Laura Davies, Carly Henderson, David Caulfield (2016) </w:t>
      </w:r>
      <w:hyperlink r:id="rId18" w:history="1">
        <w:r w:rsidR="00033083" w:rsidRPr="00F2005F">
          <w:rPr>
            <w:rStyle w:val="Hyperlink"/>
            <w:rFonts w:ascii="Arial" w:eastAsiaTheme="minorHAnsi" w:hAnsi="Arial" w:cs="Arial"/>
            <w:sz w:val="23"/>
            <w:szCs w:val="23"/>
          </w:rPr>
          <w:t>www.qaney.co.uk</w:t>
        </w:r>
      </w:hyperlink>
      <w:r w:rsidRPr="00F2005F">
        <w:rPr>
          <w:rFonts w:ascii="Arial" w:eastAsiaTheme="minorHAnsi" w:hAnsi="Arial" w:cs="Arial"/>
          <w:color w:val="000000"/>
          <w:sz w:val="23"/>
          <w:szCs w:val="23"/>
        </w:rPr>
        <w:t xml:space="preserve"> </w:t>
      </w:r>
    </w:p>
    <w:p w14:paraId="76DA816E" w14:textId="77777777" w:rsidR="00033083" w:rsidRPr="00F2005F" w:rsidRDefault="00033083" w:rsidP="00280F75">
      <w:pPr>
        <w:autoSpaceDE w:val="0"/>
        <w:autoSpaceDN w:val="0"/>
        <w:adjustRightInd w:val="0"/>
        <w:jc w:val="both"/>
        <w:rPr>
          <w:rFonts w:ascii="Arial" w:eastAsiaTheme="minorHAnsi" w:hAnsi="Arial" w:cs="Arial"/>
          <w:color w:val="000000"/>
          <w:sz w:val="23"/>
          <w:szCs w:val="23"/>
        </w:rPr>
      </w:pPr>
    </w:p>
    <w:p w14:paraId="36660885" w14:textId="18DC7232" w:rsidR="00F2005F" w:rsidRDefault="00F2005F" w:rsidP="00280F75">
      <w:pPr>
        <w:autoSpaceDE w:val="0"/>
        <w:autoSpaceDN w:val="0"/>
        <w:adjustRightInd w:val="0"/>
        <w:jc w:val="both"/>
        <w:rPr>
          <w:rFonts w:ascii="Arial" w:eastAsiaTheme="minorHAnsi" w:hAnsi="Arial" w:cs="Arial"/>
          <w:color w:val="000000"/>
          <w:sz w:val="23"/>
          <w:szCs w:val="23"/>
        </w:rPr>
      </w:pPr>
      <w:r w:rsidRPr="00F2005F">
        <w:rPr>
          <w:rFonts w:ascii="Arial" w:eastAsiaTheme="minorHAnsi" w:hAnsi="Arial" w:cs="Arial"/>
          <w:color w:val="000000"/>
          <w:sz w:val="23"/>
          <w:szCs w:val="23"/>
        </w:rPr>
        <w:t xml:space="preserve">12. Antibiotic stability related to temperature variations in elastomeric pumps used for outpatient parenteral antimicrobial therapy (OPAT). J Antimicrob Chemother dkw582 Rachel Voumard, Niklas van Neygham, Camille Cochet, Celine Gardiol, Laurent Decosterd, Thierry Buclin, Serge de Valliere </w:t>
      </w:r>
    </w:p>
    <w:p w14:paraId="5C15B809" w14:textId="77777777" w:rsidR="00033083" w:rsidRPr="00F2005F" w:rsidRDefault="00033083" w:rsidP="00280F75">
      <w:pPr>
        <w:autoSpaceDE w:val="0"/>
        <w:autoSpaceDN w:val="0"/>
        <w:adjustRightInd w:val="0"/>
        <w:jc w:val="both"/>
        <w:rPr>
          <w:rFonts w:ascii="Arial" w:eastAsiaTheme="minorHAnsi" w:hAnsi="Arial" w:cs="Arial"/>
          <w:color w:val="000000"/>
          <w:sz w:val="23"/>
          <w:szCs w:val="23"/>
        </w:rPr>
      </w:pPr>
    </w:p>
    <w:p w14:paraId="0361AF8F" w14:textId="4842233C" w:rsidR="00F2005F" w:rsidRDefault="00F2005F" w:rsidP="00280F75">
      <w:pPr>
        <w:autoSpaceDE w:val="0"/>
        <w:autoSpaceDN w:val="0"/>
        <w:adjustRightInd w:val="0"/>
        <w:jc w:val="both"/>
        <w:rPr>
          <w:rFonts w:ascii="Arial" w:eastAsiaTheme="minorHAnsi" w:hAnsi="Arial" w:cs="Arial"/>
          <w:color w:val="000000"/>
          <w:sz w:val="23"/>
          <w:szCs w:val="23"/>
        </w:rPr>
      </w:pPr>
      <w:r w:rsidRPr="00F2005F">
        <w:rPr>
          <w:rFonts w:ascii="Arial" w:eastAsiaTheme="minorHAnsi" w:hAnsi="Arial" w:cs="Arial"/>
          <w:color w:val="000000"/>
          <w:sz w:val="23"/>
          <w:szCs w:val="23"/>
        </w:rPr>
        <w:t xml:space="preserve">13. European Pharmacopoeia 8.0, 2.9.4. Dissolution test for Transdermal patches </w:t>
      </w:r>
    </w:p>
    <w:p w14:paraId="2C4E9934" w14:textId="77777777" w:rsidR="00033083" w:rsidRPr="00F2005F" w:rsidRDefault="00033083" w:rsidP="00280F75">
      <w:pPr>
        <w:autoSpaceDE w:val="0"/>
        <w:autoSpaceDN w:val="0"/>
        <w:adjustRightInd w:val="0"/>
        <w:jc w:val="both"/>
        <w:rPr>
          <w:rFonts w:ascii="Arial" w:eastAsiaTheme="minorHAnsi" w:hAnsi="Arial" w:cs="Arial"/>
          <w:color w:val="000000"/>
          <w:sz w:val="23"/>
          <w:szCs w:val="23"/>
        </w:rPr>
      </w:pPr>
    </w:p>
    <w:p w14:paraId="1DE459EB" w14:textId="0AC6A5D6" w:rsidR="00F2005F" w:rsidRDefault="00F2005F" w:rsidP="00280F75">
      <w:pPr>
        <w:jc w:val="both"/>
        <w:rPr>
          <w:rFonts w:ascii="Arial" w:eastAsiaTheme="minorHAnsi" w:hAnsi="Arial" w:cs="Arial"/>
          <w:color w:val="000000"/>
          <w:sz w:val="23"/>
          <w:szCs w:val="23"/>
        </w:rPr>
      </w:pPr>
      <w:r w:rsidRPr="00F2005F">
        <w:rPr>
          <w:rFonts w:ascii="Arial" w:eastAsiaTheme="minorHAnsi" w:hAnsi="Arial" w:cs="Arial"/>
          <w:color w:val="000000"/>
          <w:sz w:val="23"/>
          <w:szCs w:val="23"/>
        </w:rPr>
        <w:t>14. ICH Q1B Photostability Testing of New Active Substances and Medicinal</w:t>
      </w:r>
    </w:p>
    <w:p w14:paraId="01D4BC24" w14:textId="6B58E6FB" w:rsidR="00033083" w:rsidRDefault="00033083" w:rsidP="00280F75">
      <w:pPr>
        <w:jc w:val="both"/>
        <w:rPr>
          <w:rFonts w:ascii="Arial" w:hAnsi="Arial" w:cs="Arial"/>
          <w:sz w:val="23"/>
          <w:szCs w:val="23"/>
        </w:rPr>
      </w:pPr>
      <w:r w:rsidRPr="00033083">
        <w:rPr>
          <w:rFonts w:ascii="Arial" w:hAnsi="Arial" w:cs="Arial"/>
          <w:sz w:val="23"/>
          <w:szCs w:val="23"/>
        </w:rPr>
        <w:t xml:space="preserve">Products. </w:t>
      </w:r>
      <w:hyperlink r:id="rId19" w:history="1">
        <w:r w:rsidRPr="002317EE">
          <w:rPr>
            <w:rStyle w:val="Hyperlink"/>
            <w:rFonts w:ascii="Arial" w:hAnsi="Arial" w:cs="Arial"/>
            <w:sz w:val="23"/>
            <w:szCs w:val="23"/>
          </w:rPr>
          <w:t>www.ich.org/products/guidelines.html</w:t>
        </w:r>
      </w:hyperlink>
    </w:p>
    <w:p w14:paraId="6EF40814" w14:textId="4CA224B8" w:rsidR="00033083" w:rsidRDefault="00033083" w:rsidP="00280F75">
      <w:pPr>
        <w:jc w:val="both"/>
        <w:rPr>
          <w:rFonts w:ascii="Arial" w:hAnsi="Arial" w:cs="Arial"/>
          <w:sz w:val="23"/>
          <w:szCs w:val="23"/>
        </w:rPr>
      </w:pPr>
    </w:p>
    <w:p w14:paraId="1BA26E70" w14:textId="65BEDFB5" w:rsidR="00033083" w:rsidRDefault="00033083" w:rsidP="00280F75">
      <w:pPr>
        <w:autoSpaceDE w:val="0"/>
        <w:autoSpaceDN w:val="0"/>
        <w:adjustRightInd w:val="0"/>
        <w:jc w:val="both"/>
        <w:rPr>
          <w:rFonts w:ascii="Arial" w:eastAsiaTheme="minorHAnsi" w:hAnsi="Arial" w:cs="Arial"/>
          <w:color w:val="000000"/>
          <w:sz w:val="23"/>
          <w:szCs w:val="23"/>
        </w:rPr>
      </w:pPr>
      <w:r w:rsidRPr="00033083">
        <w:rPr>
          <w:rFonts w:ascii="Arial" w:eastAsiaTheme="minorHAnsi" w:hAnsi="Arial" w:cs="Arial"/>
          <w:color w:val="000000"/>
          <w:sz w:val="23"/>
          <w:szCs w:val="23"/>
        </w:rPr>
        <w:t xml:space="preserve">15. ICH Q1A(R2) Stability Testing of New Drug Substances and Products. </w:t>
      </w:r>
      <w:hyperlink r:id="rId20" w:history="1">
        <w:r w:rsidRPr="00033083">
          <w:rPr>
            <w:rStyle w:val="Hyperlink"/>
            <w:rFonts w:ascii="Arial" w:eastAsiaTheme="minorHAnsi" w:hAnsi="Arial" w:cs="Arial"/>
            <w:sz w:val="23"/>
            <w:szCs w:val="23"/>
          </w:rPr>
          <w:t>www.ich.org/products/guidelines.html</w:t>
        </w:r>
      </w:hyperlink>
      <w:r w:rsidRPr="00033083">
        <w:rPr>
          <w:rFonts w:ascii="Arial" w:eastAsiaTheme="minorHAnsi" w:hAnsi="Arial" w:cs="Arial"/>
          <w:color w:val="000000"/>
          <w:sz w:val="23"/>
          <w:szCs w:val="23"/>
        </w:rPr>
        <w:t xml:space="preserve"> </w:t>
      </w:r>
    </w:p>
    <w:p w14:paraId="53F5B23C" w14:textId="77777777" w:rsidR="00033083" w:rsidRPr="00033083" w:rsidRDefault="00033083" w:rsidP="00280F75">
      <w:pPr>
        <w:autoSpaceDE w:val="0"/>
        <w:autoSpaceDN w:val="0"/>
        <w:adjustRightInd w:val="0"/>
        <w:jc w:val="both"/>
        <w:rPr>
          <w:rFonts w:ascii="Arial" w:eastAsiaTheme="minorHAnsi" w:hAnsi="Arial" w:cs="Arial"/>
          <w:color w:val="000000"/>
          <w:sz w:val="23"/>
          <w:szCs w:val="23"/>
        </w:rPr>
      </w:pPr>
    </w:p>
    <w:p w14:paraId="41737CBA" w14:textId="66991E62" w:rsidR="00033083" w:rsidRDefault="00033083" w:rsidP="00280F75">
      <w:pPr>
        <w:autoSpaceDE w:val="0"/>
        <w:autoSpaceDN w:val="0"/>
        <w:adjustRightInd w:val="0"/>
        <w:jc w:val="both"/>
        <w:rPr>
          <w:rFonts w:ascii="Arial" w:eastAsiaTheme="minorHAnsi" w:hAnsi="Arial" w:cs="Arial"/>
          <w:color w:val="000000"/>
          <w:sz w:val="23"/>
          <w:szCs w:val="23"/>
        </w:rPr>
      </w:pPr>
      <w:r w:rsidRPr="00033083">
        <w:rPr>
          <w:rFonts w:ascii="Arial" w:eastAsiaTheme="minorHAnsi" w:hAnsi="Arial" w:cs="Arial"/>
          <w:color w:val="000000"/>
          <w:sz w:val="23"/>
          <w:szCs w:val="23"/>
        </w:rPr>
        <w:t xml:space="preserve">16. Pharmaceutical feasibility of sub-visible particle analysis in parenterals with reduced volume light obscuration methods, European Journal of Pharmaceutics and Biopharmaceutics 85 (2013) 1084–1087, Andrea Hawe , Frank Schaubhut , Raimund Geidobler, Michael Wiggenhorn, Wolfgang Friess, Markus Rast, Christian de Muynck , Gerhard Winter </w:t>
      </w:r>
    </w:p>
    <w:p w14:paraId="1B2F8A91" w14:textId="77777777" w:rsidR="00033083" w:rsidRPr="00033083" w:rsidRDefault="00033083" w:rsidP="00280F75">
      <w:pPr>
        <w:autoSpaceDE w:val="0"/>
        <w:autoSpaceDN w:val="0"/>
        <w:adjustRightInd w:val="0"/>
        <w:jc w:val="both"/>
        <w:rPr>
          <w:rFonts w:ascii="Arial" w:eastAsiaTheme="minorHAnsi" w:hAnsi="Arial" w:cs="Arial"/>
          <w:color w:val="000000"/>
          <w:sz w:val="23"/>
          <w:szCs w:val="23"/>
        </w:rPr>
      </w:pPr>
    </w:p>
    <w:p w14:paraId="0684D4B3" w14:textId="09E3A4E9" w:rsidR="00033083" w:rsidRDefault="00033083" w:rsidP="00280F75">
      <w:pPr>
        <w:autoSpaceDE w:val="0"/>
        <w:autoSpaceDN w:val="0"/>
        <w:adjustRightInd w:val="0"/>
        <w:jc w:val="both"/>
        <w:rPr>
          <w:rFonts w:ascii="Arial" w:eastAsiaTheme="minorHAnsi" w:hAnsi="Arial" w:cs="Arial"/>
          <w:color w:val="000000"/>
          <w:sz w:val="23"/>
          <w:szCs w:val="23"/>
        </w:rPr>
      </w:pPr>
      <w:r w:rsidRPr="00033083">
        <w:rPr>
          <w:rFonts w:ascii="Arial" w:eastAsiaTheme="minorHAnsi" w:hAnsi="Arial" w:cs="Arial"/>
          <w:color w:val="000000"/>
          <w:sz w:val="23"/>
          <w:szCs w:val="23"/>
        </w:rPr>
        <w:t xml:space="preserve">17. British Pharmacopoeia 2019, Appendix XIII A. Particulate Contamination: Sub-visible Particles (Ph. Eur. method 2.9.19). </w:t>
      </w:r>
    </w:p>
    <w:p w14:paraId="7D3A3603" w14:textId="77777777" w:rsidR="00033083" w:rsidRPr="00033083" w:rsidRDefault="00033083" w:rsidP="00280F75">
      <w:pPr>
        <w:autoSpaceDE w:val="0"/>
        <w:autoSpaceDN w:val="0"/>
        <w:adjustRightInd w:val="0"/>
        <w:jc w:val="both"/>
        <w:rPr>
          <w:rFonts w:ascii="Arial" w:eastAsiaTheme="minorHAnsi" w:hAnsi="Arial" w:cs="Arial"/>
          <w:color w:val="000000"/>
          <w:sz w:val="23"/>
          <w:szCs w:val="23"/>
        </w:rPr>
      </w:pPr>
    </w:p>
    <w:p w14:paraId="30E0846F" w14:textId="42B8E716" w:rsidR="00033083" w:rsidRDefault="00033083" w:rsidP="00280F75">
      <w:pPr>
        <w:autoSpaceDE w:val="0"/>
        <w:autoSpaceDN w:val="0"/>
        <w:adjustRightInd w:val="0"/>
        <w:jc w:val="both"/>
        <w:rPr>
          <w:rFonts w:ascii="Arial" w:eastAsiaTheme="minorHAnsi" w:hAnsi="Arial" w:cs="Arial"/>
          <w:color w:val="000000"/>
          <w:sz w:val="23"/>
          <w:szCs w:val="23"/>
        </w:rPr>
      </w:pPr>
      <w:r w:rsidRPr="00033083">
        <w:rPr>
          <w:rFonts w:ascii="Arial" w:eastAsiaTheme="minorHAnsi" w:hAnsi="Arial" w:cs="Arial"/>
          <w:color w:val="000000"/>
          <w:sz w:val="23"/>
          <w:szCs w:val="23"/>
        </w:rPr>
        <w:lastRenderedPageBreak/>
        <w:t xml:space="preserve">18. ICH Q1E Evaluation of Stability Data. </w:t>
      </w:r>
      <w:hyperlink r:id="rId21" w:history="1">
        <w:r w:rsidRPr="00033083">
          <w:rPr>
            <w:rStyle w:val="Hyperlink"/>
            <w:rFonts w:ascii="Arial" w:eastAsiaTheme="minorHAnsi" w:hAnsi="Arial" w:cs="Arial"/>
            <w:sz w:val="23"/>
            <w:szCs w:val="23"/>
          </w:rPr>
          <w:t>www.ich.org/products/guidelines.html</w:t>
        </w:r>
      </w:hyperlink>
      <w:r w:rsidRPr="00033083">
        <w:rPr>
          <w:rFonts w:ascii="Arial" w:eastAsiaTheme="minorHAnsi" w:hAnsi="Arial" w:cs="Arial"/>
          <w:color w:val="000000"/>
          <w:sz w:val="23"/>
          <w:szCs w:val="23"/>
        </w:rPr>
        <w:t xml:space="preserve"> </w:t>
      </w:r>
    </w:p>
    <w:p w14:paraId="05F54CAF" w14:textId="4A860D4F" w:rsidR="00033083" w:rsidRDefault="00033083" w:rsidP="00280F75">
      <w:pPr>
        <w:autoSpaceDE w:val="0"/>
        <w:autoSpaceDN w:val="0"/>
        <w:adjustRightInd w:val="0"/>
        <w:jc w:val="both"/>
        <w:rPr>
          <w:rFonts w:ascii="Arial" w:eastAsiaTheme="minorHAnsi" w:hAnsi="Arial" w:cs="Arial"/>
          <w:color w:val="000000"/>
          <w:sz w:val="23"/>
          <w:szCs w:val="23"/>
        </w:rPr>
      </w:pPr>
    </w:p>
    <w:p w14:paraId="30457303" w14:textId="4C829440" w:rsidR="00033083" w:rsidRDefault="00033083" w:rsidP="00280F75">
      <w:pPr>
        <w:autoSpaceDE w:val="0"/>
        <w:autoSpaceDN w:val="0"/>
        <w:adjustRightInd w:val="0"/>
        <w:jc w:val="both"/>
        <w:rPr>
          <w:rFonts w:ascii="Arial" w:eastAsiaTheme="minorHAnsi" w:hAnsi="Arial" w:cs="Arial"/>
          <w:color w:val="000000"/>
          <w:sz w:val="23"/>
          <w:szCs w:val="23"/>
        </w:rPr>
      </w:pPr>
      <w:r w:rsidRPr="00033083">
        <w:rPr>
          <w:rFonts w:ascii="Arial" w:eastAsiaTheme="minorHAnsi" w:hAnsi="Arial" w:cs="Arial"/>
          <w:color w:val="000000"/>
          <w:sz w:val="23"/>
          <w:szCs w:val="23"/>
        </w:rPr>
        <w:t xml:space="preserve">19. Norwood, Drug Development &amp; Industrial Pharmacy 12, 553-60, [1986] </w:t>
      </w:r>
    </w:p>
    <w:p w14:paraId="487E3E3B" w14:textId="77777777" w:rsidR="00033083" w:rsidRPr="00033083" w:rsidRDefault="00033083" w:rsidP="00280F75">
      <w:pPr>
        <w:autoSpaceDE w:val="0"/>
        <w:autoSpaceDN w:val="0"/>
        <w:adjustRightInd w:val="0"/>
        <w:jc w:val="both"/>
        <w:rPr>
          <w:rFonts w:ascii="Arial" w:eastAsiaTheme="minorHAnsi" w:hAnsi="Arial" w:cs="Arial"/>
          <w:color w:val="000000"/>
          <w:sz w:val="23"/>
          <w:szCs w:val="23"/>
        </w:rPr>
      </w:pPr>
    </w:p>
    <w:p w14:paraId="735A0803" w14:textId="3E140D20" w:rsidR="00033083" w:rsidRDefault="00033083" w:rsidP="00280F75">
      <w:pPr>
        <w:autoSpaceDE w:val="0"/>
        <w:autoSpaceDN w:val="0"/>
        <w:adjustRightInd w:val="0"/>
        <w:jc w:val="both"/>
        <w:rPr>
          <w:rFonts w:ascii="Arial" w:eastAsiaTheme="minorHAnsi" w:hAnsi="Arial" w:cs="Arial"/>
          <w:color w:val="000000"/>
          <w:sz w:val="23"/>
          <w:szCs w:val="23"/>
        </w:rPr>
      </w:pPr>
      <w:r w:rsidRPr="00033083">
        <w:rPr>
          <w:rFonts w:ascii="Arial" w:eastAsiaTheme="minorHAnsi" w:hAnsi="Arial" w:cs="Arial"/>
          <w:color w:val="000000"/>
          <w:sz w:val="23"/>
          <w:szCs w:val="23"/>
        </w:rPr>
        <w:t xml:space="preserve">20. Assessment Template (Small Molecules) – NHS Pharmaceutical R&amp;D Group. </w:t>
      </w:r>
      <w:hyperlink r:id="rId22" w:history="1">
        <w:r w:rsidRPr="00033083">
          <w:rPr>
            <w:rStyle w:val="Hyperlink"/>
            <w:rFonts w:ascii="Arial" w:eastAsiaTheme="minorHAnsi" w:hAnsi="Arial" w:cs="Arial"/>
            <w:sz w:val="23"/>
            <w:szCs w:val="23"/>
          </w:rPr>
          <w:t>www.qcnw.nhs.uk</w:t>
        </w:r>
      </w:hyperlink>
      <w:r w:rsidRPr="00033083">
        <w:rPr>
          <w:rFonts w:ascii="Arial" w:eastAsiaTheme="minorHAnsi" w:hAnsi="Arial" w:cs="Arial"/>
          <w:color w:val="000000"/>
          <w:sz w:val="23"/>
          <w:szCs w:val="23"/>
        </w:rPr>
        <w:t xml:space="preserve"> </w:t>
      </w:r>
    </w:p>
    <w:p w14:paraId="0AD5AD99" w14:textId="77777777" w:rsidR="00033083" w:rsidRPr="00033083" w:rsidRDefault="00033083" w:rsidP="00280F75">
      <w:pPr>
        <w:autoSpaceDE w:val="0"/>
        <w:autoSpaceDN w:val="0"/>
        <w:adjustRightInd w:val="0"/>
        <w:jc w:val="both"/>
        <w:rPr>
          <w:rFonts w:ascii="Arial" w:eastAsiaTheme="minorHAnsi" w:hAnsi="Arial" w:cs="Arial"/>
          <w:color w:val="000000"/>
          <w:sz w:val="23"/>
          <w:szCs w:val="23"/>
        </w:rPr>
      </w:pPr>
    </w:p>
    <w:p w14:paraId="24DB5E45" w14:textId="1E3BA889" w:rsidR="00033083" w:rsidRDefault="00033083" w:rsidP="00CE1D87">
      <w:pPr>
        <w:rPr>
          <w:rFonts w:ascii="Arial" w:eastAsiaTheme="minorHAnsi" w:hAnsi="Arial" w:cs="Arial"/>
          <w:color w:val="000000"/>
          <w:sz w:val="23"/>
          <w:szCs w:val="23"/>
        </w:rPr>
      </w:pPr>
      <w:r w:rsidRPr="00033083">
        <w:rPr>
          <w:rFonts w:ascii="Arial" w:eastAsiaTheme="minorHAnsi" w:hAnsi="Arial" w:cs="Arial"/>
          <w:color w:val="000000"/>
          <w:sz w:val="23"/>
          <w:szCs w:val="23"/>
        </w:rPr>
        <w:t xml:space="preserve">21.Chemotherapy Standard Product Specifications </w:t>
      </w:r>
      <w:hyperlink r:id="rId23" w:history="1">
        <w:r w:rsidRPr="002317EE">
          <w:rPr>
            <w:rStyle w:val="Hyperlink"/>
            <w:rFonts w:ascii="Arial" w:eastAsiaTheme="minorHAnsi" w:hAnsi="Arial" w:cs="Arial"/>
            <w:sz w:val="23"/>
            <w:szCs w:val="23"/>
          </w:rPr>
          <w:t>https://www.england.nhs.uk/commissioning/spec-services/npc-crg/group-b/b02/dose-banded-chemotherapy-standardised-product-specifications/</w:t>
        </w:r>
      </w:hyperlink>
    </w:p>
    <w:p w14:paraId="4F65157E" w14:textId="448DEFCB" w:rsidR="00033083" w:rsidRDefault="00033083" w:rsidP="00280F75">
      <w:pPr>
        <w:jc w:val="both"/>
        <w:rPr>
          <w:rFonts w:ascii="Arial" w:eastAsiaTheme="minorHAnsi" w:hAnsi="Arial" w:cs="Arial"/>
          <w:color w:val="000000"/>
          <w:sz w:val="23"/>
          <w:szCs w:val="23"/>
        </w:rPr>
      </w:pPr>
    </w:p>
    <w:p w14:paraId="14352613" w14:textId="56026CE2" w:rsidR="00033083" w:rsidRPr="00033083" w:rsidRDefault="00033083" w:rsidP="00280F75">
      <w:pPr>
        <w:jc w:val="both"/>
        <w:rPr>
          <w:rFonts w:ascii="Arial" w:hAnsi="Arial" w:cs="Arial"/>
        </w:rPr>
      </w:pPr>
    </w:p>
    <w:p w14:paraId="306D4097" w14:textId="5B5E6892" w:rsidR="00033083" w:rsidRDefault="00033083" w:rsidP="00280F75">
      <w:pPr>
        <w:autoSpaceDE w:val="0"/>
        <w:autoSpaceDN w:val="0"/>
        <w:adjustRightInd w:val="0"/>
        <w:jc w:val="both"/>
        <w:rPr>
          <w:rFonts w:ascii="Arial" w:eastAsiaTheme="minorHAnsi" w:hAnsi="Arial" w:cs="Arial"/>
          <w:b/>
          <w:bCs/>
          <w:color w:val="000000"/>
          <w:sz w:val="23"/>
          <w:szCs w:val="23"/>
        </w:rPr>
      </w:pPr>
      <w:r w:rsidRPr="00033083">
        <w:rPr>
          <w:rFonts w:ascii="Arial" w:eastAsiaTheme="minorHAnsi" w:hAnsi="Arial" w:cs="Arial"/>
          <w:b/>
          <w:bCs/>
          <w:color w:val="000000"/>
          <w:sz w:val="23"/>
          <w:szCs w:val="23"/>
        </w:rPr>
        <w:t xml:space="preserve">Appendix 1 Example of reporting of results from stability trials </w:t>
      </w:r>
    </w:p>
    <w:p w14:paraId="4FDE807B" w14:textId="77777777" w:rsidR="00033083" w:rsidRPr="00033083" w:rsidRDefault="00033083" w:rsidP="00280F75">
      <w:pPr>
        <w:autoSpaceDE w:val="0"/>
        <w:autoSpaceDN w:val="0"/>
        <w:adjustRightInd w:val="0"/>
        <w:jc w:val="both"/>
        <w:rPr>
          <w:rFonts w:ascii="Arial" w:eastAsiaTheme="minorHAnsi" w:hAnsi="Arial" w:cs="Arial"/>
          <w:color w:val="000000"/>
          <w:sz w:val="23"/>
          <w:szCs w:val="23"/>
        </w:rPr>
      </w:pPr>
    </w:p>
    <w:p w14:paraId="6A539B26" w14:textId="2B319B6D" w:rsidR="00033083" w:rsidRDefault="00033083" w:rsidP="00280F75">
      <w:pPr>
        <w:autoSpaceDE w:val="0"/>
        <w:autoSpaceDN w:val="0"/>
        <w:adjustRightInd w:val="0"/>
        <w:jc w:val="both"/>
        <w:rPr>
          <w:rFonts w:ascii="Arial" w:eastAsiaTheme="minorHAnsi" w:hAnsi="Arial" w:cs="Arial"/>
          <w:color w:val="000000"/>
          <w:sz w:val="23"/>
          <w:szCs w:val="23"/>
        </w:rPr>
      </w:pPr>
      <w:r w:rsidRPr="00033083">
        <w:rPr>
          <w:rFonts w:ascii="Arial" w:eastAsiaTheme="minorHAnsi" w:hAnsi="Arial" w:cs="Arial"/>
          <w:color w:val="000000"/>
          <w:sz w:val="23"/>
          <w:szCs w:val="23"/>
        </w:rPr>
        <w:t xml:space="preserve">For three replicates each tested in triplicate the report at each time point should be presented as: </w:t>
      </w:r>
    </w:p>
    <w:p w14:paraId="29247B11" w14:textId="77777777" w:rsidR="00033083" w:rsidRPr="00033083" w:rsidRDefault="00033083" w:rsidP="00280F75">
      <w:pPr>
        <w:autoSpaceDE w:val="0"/>
        <w:autoSpaceDN w:val="0"/>
        <w:adjustRightInd w:val="0"/>
        <w:jc w:val="both"/>
        <w:rPr>
          <w:rFonts w:ascii="Arial" w:eastAsiaTheme="minorHAnsi" w:hAnsi="Arial" w:cs="Arial"/>
          <w:color w:val="000000"/>
          <w:sz w:val="23"/>
          <w:szCs w:val="23"/>
        </w:rPr>
      </w:pPr>
    </w:p>
    <w:p w14:paraId="2473E6C9" w14:textId="77777777" w:rsidR="00033083" w:rsidRPr="00033083" w:rsidRDefault="00033083" w:rsidP="00280F75">
      <w:pPr>
        <w:autoSpaceDE w:val="0"/>
        <w:autoSpaceDN w:val="0"/>
        <w:adjustRightInd w:val="0"/>
        <w:jc w:val="both"/>
        <w:rPr>
          <w:rFonts w:ascii="Arial" w:eastAsiaTheme="minorHAnsi" w:hAnsi="Arial" w:cs="Arial"/>
          <w:color w:val="000000"/>
          <w:sz w:val="23"/>
          <w:szCs w:val="23"/>
        </w:rPr>
      </w:pPr>
      <w:r w:rsidRPr="00033083">
        <w:rPr>
          <w:rFonts w:ascii="Arial" w:eastAsiaTheme="minorHAnsi" w:hAnsi="Arial" w:cs="Arial"/>
          <w:color w:val="000000"/>
          <w:sz w:val="23"/>
          <w:szCs w:val="23"/>
        </w:rPr>
        <w:t xml:space="preserve">Replicate 1 100.3% +/- 1.3% </w:t>
      </w:r>
    </w:p>
    <w:p w14:paraId="0D6968AA" w14:textId="77777777" w:rsidR="00033083" w:rsidRPr="00033083" w:rsidRDefault="00033083" w:rsidP="00280F75">
      <w:pPr>
        <w:autoSpaceDE w:val="0"/>
        <w:autoSpaceDN w:val="0"/>
        <w:adjustRightInd w:val="0"/>
        <w:jc w:val="both"/>
        <w:rPr>
          <w:rFonts w:ascii="Arial" w:eastAsiaTheme="minorHAnsi" w:hAnsi="Arial" w:cs="Arial"/>
          <w:color w:val="000000"/>
          <w:sz w:val="23"/>
          <w:szCs w:val="23"/>
        </w:rPr>
      </w:pPr>
      <w:r w:rsidRPr="00033083">
        <w:rPr>
          <w:rFonts w:ascii="Arial" w:eastAsiaTheme="minorHAnsi" w:hAnsi="Arial" w:cs="Arial"/>
          <w:color w:val="000000"/>
          <w:sz w:val="23"/>
          <w:szCs w:val="23"/>
        </w:rPr>
        <w:t xml:space="preserve">Replicate 2 99.6% +/- 0.7% </w:t>
      </w:r>
    </w:p>
    <w:p w14:paraId="1FE10BB7" w14:textId="77777777" w:rsidR="00033083" w:rsidRPr="00033083" w:rsidRDefault="00033083" w:rsidP="00280F75">
      <w:pPr>
        <w:autoSpaceDE w:val="0"/>
        <w:autoSpaceDN w:val="0"/>
        <w:adjustRightInd w:val="0"/>
        <w:jc w:val="both"/>
        <w:rPr>
          <w:rFonts w:ascii="Arial" w:eastAsiaTheme="minorHAnsi" w:hAnsi="Arial" w:cs="Arial"/>
          <w:color w:val="000000"/>
          <w:sz w:val="23"/>
          <w:szCs w:val="23"/>
        </w:rPr>
      </w:pPr>
      <w:r w:rsidRPr="00033083">
        <w:rPr>
          <w:rFonts w:ascii="Arial" w:eastAsiaTheme="minorHAnsi" w:hAnsi="Arial" w:cs="Arial"/>
          <w:color w:val="000000"/>
          <w:sz w:val="23"/>
          <w:szCs w:val="23"/>
        </w:rPr>
        <w:t xml:space="preserve">Replicate 3 100.7% +/- 0.5% </w:t>
      </w:r>
    </w:p>
    <w:p w14:paraId="178B29AC" w14:textId="7792062D" w:rsidR="00033083" w:rsidRDefault="00033083" w:rsidP="00280F75">
      <w:pPr>
        <w:autoSpaceDE w:val="0"/>
        <w:autoSpaceDN w:val="0"/>
        <w:adjustRightInd w:val="0"/>
        <w:jc w:val="both"/>
        <w:rPr>
          <w:rFonts w:ascii="Arial" w:eastAsiaTheme="minorHAnsi" w:hAnsi="Arial" w:cs="Arial"/>
          <w:color w:val="000000"/>
          <w:sz w:val="23"/>
          <w:szCs w:val="23"/>
        </w:rPr>
      </w:pPr>
      <w:r w:rsidRPr="00033083">
        <w:rPr>
          <w:rFonts w:ascii="Arial" w:eastAsiaTheme="minorHAnsi" w:hAnsi="Arial" w:cs="Arial"/>
          <w:color w:val="000000"/>
          <w:sz w:val="23"/>
          <w:szCs w:val="23"/>
        </w:rPr>
        <w:t xml:space="preserve">Population mean 100.2% variance 0.21% </w:t>
      </w:r>
    </w:p>
    <w:p w14:paraId="3803E5BB" w14:textId="77777777" w:rsidR="00033083" w:rsidRPr="00033083" w:rsidRDefault="00033083" w:rsidP="00280F75">
      <w:pPr>
        <w:autoSpaceDE w:val="0"/>
        <w:autoSpaceDN w:val="0"/>
        <w:adjustRightInd w:val="0"/>
        <w:jc w:val="both"/>
        <w:rPr>
          <w:rFonts w:ascii="Arial" w:eastAsiaTheme="minorHAnsi" w:hAnsi="Arial" w:cs="Arial"/>
          <w:color w:val="000000"/>
          <w:sz w:val="23"/>
          <w:szCs w:val="23"/>
        </w:rPr>
      </w:pPr>
    </w:p>
    <w:p w14:paraId="50CA7C2E" w14:textId="08911AAB" w:rsidR="00033083" w:rsidRDefault="00033083" w:rsidP="00280F75">
      <w:pPr>
        <w:autoSpaceDE w:val="0"/>
        <w:autoSpaceDN w:val="0"/>
        <w:adjustRightInd w:val="0"/>
        <w:jc w:val="both"/>
        <w:rPr>
          <w:rFonts w:ascii="Arial" w:eastAsiaTheme="minorHAnsi" w:hAnsi="Arial" w:cs="Arial"/>
          <w:color w:val="000000"/>
          <w:sz w:val="23"/>
          <w:szCs w:val="23"/>
        </w:rPr>
      </w:pPr>
      <w:r w:rsidRPr="00033083">
        <w:rPr>
          <w:rFonts w:ascii="Arial" w:eastAsiaTheme="minorHAnsi" w:hAnsi="Arial" w:cs="Arial"/>
          <w:color w:val="000000"/>
          <w:sz w:val="23"/>
          <w:szCs w:val="23"/>
        </w:rPr>
        <w:t xml:space="preserve">For three replicates each tested in duplicate the report at each time point should be presented as:- </w:t>
      </w:r>
    </w:p>
    <w:p w14:paraId="41B8BC88" w14:textId="77777777" w:rsidR="00033083" w:rsidRPr="00033083" w:rsidRDefault="00033083" w:rsidP="00280F75">
      <w:pPr>
        <w:autoSpaceDE w:val="0"/>
        <w:autoSpaceDN w:val="0"/>
        <w:adjustRightInd w:val="0"/>
        <w:jc w:val="both"/>
        <w:rPr>
          <w:rFonts w:ascii="Arial" w:eastAsiaTheme="minorHAnsi" w:hAnsi="Arial" w:cs="Arial"/>
          <w:color w:val="000000"/>
          <w:sz w:val="23"/>
          <w:szCs w:val="23"/>
        </w:rPr>
      </w:pPr>
    </w:p>
    <w:p w14:paraId="030AE29B" w14:textId="77777777" w:rsidR="00033083" w:rsidRPr="00033083" w:rsidRDefault="00033083" w:rsidP="00280F75">
      <w:pPr>
        <w:autoSpaceDE w:val="0"/>
        <w:autoSpaceDN w:val="0"/>
        <w:adjustRightInd w:val="0"/>
        <w:jc w:val="both"/>
        <w:rPr>
          <w:rFonts w:ascii="Arial" w:eastAsiaTheme="minorHAnsi" w:hAnsi="Arial" w:cs="Arial"/>
          <w:color w:val="000000"/>
          <w:sz w:val="23"/>
          <w:szCs w:val="23"/>
        </w:rPr>
      </w:pPr>
      <w:r w:rsidRPr="00033083">
        <w:rPr>
          <w:rFonts w:ascii="Arial" w:eastAsiaTheme="minorHAnsi" w:hAnsi="Arial" w:cs="Arial"/>
          <w:color w:val="000000"/>
          <w:sz w:val="23"/>
          <w:szCs w:val="23"/>
        </w:rPr>
        <w:t xml:space="preserve">Replicate 1 99.7% – 100.3% </w:t>
      </w:r>
    </w:p>
    <w:p w14:paraId="53A40B61" w14:textId="77777777" w:rsidR="00033083" w:rsidRPr="00033083" w:rsidRDefault="00033083" w:rsidP="00280F75">
      <w:pPr>
        <w:autoSpaceDE w:val="0"/>
        <w:autoSpaceDN w:val="0"/>
        <w:adjustRightInd w:val="0"/>
        <w:jc w:val="both"/>
        <w:rPr>
          <w:rFonts w:ascii="Arial" w:eastAsiaTheme="minorHAnsi" w:hAnsi="Arial" w:cs="Arial"/>
          <w:color w:val="000000"/>
          <w:sz w:val="23"/>
          <w:szCs w:val="23"/>
        </w:rPr>
      </w:pPr>
      <w:r w:rsidRPr="00033083">
        <w:rPr>
          <w:rFonts w:ascii="Arial" w:eastAsiaTheme="minorHAnsi" w:hAnsi="Arial" w:cs="Arial"/>
          <w:color w:val="000000"/>
          <w:sz w:val="23"/>
          <w:szCs w:val="23"/>
        </w:rPr>
        <w:t xml:space="preserve">Replicate 2 100.1% - 101.1% </w:t>
      </w:r>
    </w:p>
    <w:p w14:paraId="5755757C" w14:textId="77777777" w:rsidR="00033083" w:rsidRPr="00033083" w:rsidRDefault="00033083" w:rsidP="00280F75">
      <w:pPr>
        <w:autoSpaceDE w:val="0"/>
        <w:autoSpaceDN w:val="0"/>
        <w:adjustRightInd w:val="0"/>
        <w:jc w:val="both"/>
        <w:rPr>
          <w:rFonts w:ascii="Arial" w:eastAsiaTheme="minorHAnsi" w:hAnsi="Arial" w:cs="Arial"/>
          <w:color w:val="000000"/>
          <w:sz w:val="23"/>
          <w:szCs w:val="23"/>
        </w:rPr>
      </w:pPr>
      <w:r w:rsidRPr="00033083">
        <w:rPr>
          <w:rFonts w:ascii="Arial" w:eastAsiaTheme="minorHAnsi" w:hAnsi="Arial" w:cs="Arial"/>
          <w:color w:val="000000"/>
          <w:sz w:val="23"/>
          <w:szCs w:val="23"/>
        </w:rPr>
        <w:t xml:space="preserve">Replicate 3 99.4% - 100.6% </w:t>
      </w:r>
    </w:p>
    <w:p w14:paraId="36180CF8" w14:textId="1B9796AE" w:rsidR="00033083" w:rsidRDefault="00033083" w:rsidP="00280F75">
      <w:pPr>
        <w:jc w:val="both"/>
        <w:rPr>
          <w:rFonts w:ascii="Arial" w:eastAsiaTheme="minorHAnsi" w:hAnsi="Arial" w:cs="Arial"/>
          <w:color w:val="000000"/>
          <w:sz w:val="23"/>
          <w:szCs w:val="23"/>
        </w:rPr>
      </w:pPr>
      <w:r w:rsidRPr="00033083">
        <w:rPr>
          <w:rFonts w:ascii="Arial" w:eastAsiaTheme="minorHAnsi" w:hAnsi="Arial" w:cs="Arial"/>
          <w:color w:val="000000"/>
          <w:sz w:val="23"/>
          <w:szCs w:val="23"/>
        </w:rPr>
        <w:t>Population mean 100.2% variance 0.31%</w:t>
      </w:r>
    </w:p>
    <w:p w14:paraId="217C63A2" w14:textId="3C071033" w:rsidR="00033083" w:rsidRPr="00033083" w:rsidRDefault="00033083" w:rsidP="00280F75">
      <w:pPr>
        <w:jc w:val="both"/>
        <w:rPr>
          <w:rFonts w:ascii="Arial" w:hAnsi="Arial" w:cs="Arial"/>
        </w:rPr>
      </w:pPr>
    </w:p>
    <w:p w14:paraId="76053FE7" w14:textId="427176C8" w:rsidR="00033083" w:rsidRPr="00033083" w:rsidRDefault="00033083" w:rsidP="00280F75">
      <w:pPr>
        <w:jc w:val="both"/>
        <w:rPr>
          <w:rFonts w:ascii="Arial" w:hAnsi="Arial" w:cs="Arial"/>
        </w:rPr>
      </w:pPr>
    </w:p>
    <w:p w14:paraId="15E6A5DC" w14:textId="4C759C2C" w:rsidR="00033083" w:rsidRPr="00033083" w:rsidRDefault="00033083" w:rsidP="00280F75">
      <w:pPr>
        <w:jc w:val="both"/>
        <w:rPr>
          <w:rFonts w:ascii="Arial" w:hAnsi="Arial" w:cs="Arial"/>
        </w:rPr>
      </w:pPr>
    </w:p>
    <w:p w14:paraId="56F5271D" w14:textId="15EA694A" w:rsidR="00033083" w:rsidRPr="00033083" w:rsidRDefault="00033083" w:rsidP="00280F75">
      <w:pPr>
        <w:jc w:val="both"/>
        <w:rPr>
          <w:rFonts w:ascii="Arial" w:hAnsi="Arial" w:cs="Arial"/>
        </w:rPr>
      </w:pPr>
    </w:p>
    <w:p w14:paraId="5CD608FC" w14:textId="1A2381DE" w:rsidR="00033083" w:rsidRPr="00033083" w:rsidRDefault="00033083" w:rsidP="00280F75">
      <w:pPr>
        <w:jc w:val="both"/>
        <w:rPr>
          <w:rFonts w:ascii="Arial" w:hAnsi="Arial" w:cs="Arial"/>
        </w:rPr>
      </w:pPr>
    </w:p>
    <w:p w14:paraId="5F39DEB7" w14:textId="4A21EDBE" w:rsidR="00033083" w:rsidRDefault="00033083" w:rsidP="00280F75">
      <w:pPr>
        <w:jc w:val="both"/>
        <w:rPr>
          <w:rFonts w:ascii="Arial" w:eastAsiaTheme="minorHAnsi" w:hAnsi="Arial" w:cs="Arial"/>
          <w:color w:val="000000"/>
          <w:sz w:val="23"/>
          <w:szCs w:val="23"/>
        </w:rPr>
      </w:pPr>
    </w:p>
    <w:p w14:paraId="53A54975" w14:textId="77777777" w:rsidR="00CE1D87" w:rsidRDefault="00CE1D87" w:rsidP="00280F75">
      <w:pPr>
        <w:autoSpaceDE w:val="0"/>
        <w:autoSpaceDN w:val="0"/>
        <w:adjustRightInd w:val="0"/>
        <w:jc w:val="both"/>
        <w:rPr>
          <w:rFonts w:ascii="Arial" w:eastAsiaTheme="minorHAnsi" w:hAnsi="Arial" w:cs="Arial"/>
          <w:b/>
          <w:bCs/>
          <w:color w:val="000000"/>
          <w:sz w:val="22"/>
          <w:szCs w:val="22"/>
        </w:rPr>
      </w:pPr>
    </w:p>
    <w:p w14:paraId="21F3714C" w14:textId="77777777" w:rsidR="00CE1D87" w:rsidRDefault="00CE1D87" w:rsidP="00280F75">
      <w:pPr>
        <w:autoSpaceDE w:val="0"/>
        <w:autoSpaceDN w:val="0"/>
        <w:adjustRightInd w:val="0"/>
        <w:jc w:val="both"/>
        <w:rPr>
          <w:rFonts w:ascii="Arial" w:eastAsiaTheme="minorHAnsi" w:hAnsi="Arial" w:cs="Arial"/>
          <w:b/>
          <w:bCs/>
          <w:color w:val="000000"/>
          <w:sz w:val="22"/>
          <w:szCs w:val="22"/>
        </w:rPr>
      </w:pPr>
    </w:p>
    <w:p w14:paraId="3CB63905" w14:textId="77777777" w:rsidR="00CE1D87" w:rsidRDefault="00CE1D87" w:rsidP="00280F75">
      <w:pPr>
        <w:autoSpaceDE w:val="0"/>
        <w:autoSpaceDN w:val="0"/>
        <w:adjustRightInd w:val="0"/>
        <w:jc w:val="both"/>
        <w:rPr>
          <w:rFonts w:ascii="Arial" w:eastAsiaTheme="minorHAnsi" w:hAnsi="Arial" w:cs="Arial"/>
          <w:b/>
          <w:bCs/>
          <w:color w:val="000000"/>
          <w:sz w:val="22"/>
          <w:szCs w:val="22"/>
        </w:rPr>
      </w:pPr>
    </w:p>
    <w:p w14:paraId="2D9858D8" w14:textId="77777777" w:rsidR="00CE1D87" w:rsidRDefault="00CE1D87" w:rsidP="00280F75">
      <w:pPr>
        <w:autoSpaceDE w:val="0"/>
        <w:autoSpaceDN w:val="0"/>
        <w:adjustRightInd w:val="0"/>
        <w:jc w:val="both"/>
        <w:rPr>
          <w:rFonts w:ascii="Arial" w:eastAsiaTheme="minorHAnsi" w:hAnsi="Arial" w:cs="Arial"/>
          <w:b/>
          <w:bCs/>
          <w:color w:val="000000"/>
          <w:sz w:val="22"/>
          <w:szCs w:val="22"/>
        </w:rPr>
      </w:pPr>
    </w:p>
    <w:p w14:paraId="1B1DFE65" w14:textId="77777777" w:rsidR="00CE1D87" w:rsidRDefault="00CE1D87" w:rsidP="00280F75">
      <w:pPr>
        <w:autoSpaceDE w:val="0"/>
        <w:autoSpaceDN w:val="0"/>
        <w:adjustRightInd w:val="0"/>
        <w:jc w:val="both"/>
        <w:rPr>
          <w:rFonts w:ascii="Arial" w:eastAsiaTheme="minorHAnsi" w:hAnsi="Arial" w:cs="Arial"/>
          <w:b/>
          <w:bCs/>
          <w:color w:val="000000"/>
          <w:sz w:val="22"/>
          <w:szCs w:val="22"/>
        </w:rPr>
      </w:pPr>
    </w:p>
    <w:p w14:paraId="0A4DC989" w14:textId="77777777" w:rsidR="00CE1D87" w:rsidRDefault="00CE1D87" w:rsidP="00280F75">
      <w:pPr>
        <w:autoSpaceDE w:val="0"/>
        <w:autoSpaceDN w:val="0"/>
        <w:adjustRightInd w:val="0"/>
        <w:jc w:val="both"/>
        <w:rPr>
          <w:rFonts w:ascii="Arial" w:eastAsiaTheme="minorHAnsi" w:hAnsi="Arial" w:cs="Arial"/>
          <w:b/>
          <w:bCs/>
          <w:color w:val="000000"/>
          <w:sz w:val="22"/>
          <w:szCs w:val="22"/>
        </w:rPr>
      </w:pPr>
    </w:p>
    <w:p w14:paraId="5E34DBA5" w14:textId="77777777" w:rsidR="00CE1D87" w:rsidRDefault="00CE1D87" w:rsidP="00280F75">
      <w:pPr>
        <w:autoSpaceDE w:val="0"/>
        <w:autoSpaceDN w:val="0"/>
        <w:adjustRightInd w:val="0"/>
        <w:jc w:val="both"/>
        <w:rPr>
          <w:rFonts w:ascii="Arial" w:eastAsiaTheme="minorHAnsi" w:hAnsi="Arial" w:cs="Arial"/>
          <w:b/>
          <w:bCs/>
          <w:color w:val="000000"/>
          <w:sz w:val="22"/>
          <w:szCs w:val="22"/>
        </w:rPr>
      </w:pPr>
    </w:p>
    <w:p w14:paraId="7294ED7E" w14:textId="77777777" w:rsidR="00CE1D87" w:rsidRDefault="00CE1D87" w:rsidP="00280F75">
      <w:pPr>
        <w:autoSpaceDE w:val="0"/>
        <w:autoSpaceDN w:val="0"/>
        <w:adjustRightInd w:val="0"/>
        <w:jc w:val="both"/>
        <w:rPr>
          <w:rFonts w:ascii="Arial" w:eastAsiaTheme="minorHAnsi" w:hAnsi="Arial" w:cs="Arial"/>
          <w:b/>
          <w:bCs/>
          <w:color w:val="000000"/>
          <w:sz w:val="22"/>
          <w:szCs w:val="22"/>
        </w:rPr>
      </w:pPr>
    </w:p>
    <w:p w14:paraId="6ADDFF8D" w14:textId="77777777" w:rsidR="00CE1D87" w:rsidRDefault="00CE1D87" w:rsidP="00280F75">
      <w:pPr>
        <w:autoSpaceDE w:val="0"/>
        <w:autoSpaceDN w:val="0"/>
        <w:adjustRightInd w:val="0"/>
        <w:jc w:val="both"/>
        <w:rPr>
          <w:rFonts w:ascii="Arial" w:eastAsiaTheme="minorHAnsi" w:hAnsi="Arial" w:cs="Arial"/>
          <w:b/>
          <w:bCs/>
          <w:color w:val="000000"/>
          <w:sz w:val="22"/>
          <w:szCs w:val="22"/>
        </w:rPr>
      </w:pPr>
    </w:p>
    <w:p w14:paraId="155B4263" w14:textId="2E852DF1" w:rsidR="00CE1D87" w:rsidRDefault="00CE1D87" w:rsidP="00280F75">
      <w:pPr>
        <w:autoSpaceDE w:val="0"/>
        <w:autoSpaceDN w:val="0"/>
        <w:adjustRightInd w:val="0"/>
        <w:jc w:val="both"/>
        <w:rPr>
          <w:rFonts w:ascii="Arial" w:eastAsiaTheme="minorHAnsi" w:hAnsi="Arial" w:cs="Arial"/>
          <w:b/>
          <w:bCs/>
          <w:color w:val="000000"/>
          <w:sz w:val="22"/>
          <w:szCs w:val="22"/>
        </w:rPr>
      </w:pPr>
    </w:p>
    <w:p w14:paraId="46405329" w14:textId="2CC33937" w:rsidR="00CE1D87" w:rsidRDefault="00CE1D87" w:rsidP="00280F75">
      <w:pPr>
        <w:autoSpaceDE w:val="0"/>
        <w:autoSpaceDN w:val="0"/>
        <w:adjustRightInd w:val="0"/>
        <w:jc w:val="both"/>
        <w:rPr>
          <w:rFonts w:ascii="Arial" w:eastAsiaTheme="minorHAnsi" w:hAnsi="Arial" w:cs="Arial"/>
          <w:b/>
          <w:bCs/>
          <w:color w:val="000000"/>
          <w:sz w:val="22"/>
          <w:szCs w:val="22"/>
        </w:rPr>
      </w:pPr>
    </w:p>
    <w:p w14:paraId="5876CD58" w14:textId="60B0850E" w:rsidR="00CE1D87" w:rsidRDefault="00CE1D87" w:rsidP="00280F75">
      <w:pPr>
        <w:autoSpaceDE w:val="0"/>
        <w:autoSpaceDN w:val="0"/>
        <w:adjustRightInd w:val="0"/>
        <w:jc w:val="both"/>
        <w:rPr>
          <w:rFonts w:ascii="Arial" w:eastAsiaTheme="minorHAnsi" w:hAnsi="Arial" w:cs="Arial"/>
          <w:b/>
          <w:bCs/>
          <w:color w:val="000000"/>
          <w:sz w:val="22"/>
          <w:szCs w:val="22"/>
        </w:rPr>
      </w:pPr>
    </w:p>
    <w:p w14:paraId="6EED4CFD" w14:textId="20AF7D20" w:rsidR="00CE1D87" w:rsidRDefault="00CE1D87" w:rsidP="00280F75">
      <w:pPr>
        <w:autoSpaceDE w:val="0"/>
        <w:autoSpaceDN w:val="0"/>
        <w:adjustRightInd w:val="0"/>
        <w:jc w:val="both"/>
        <w:rPr>
          <w:rFonts w:ascii="Arial" w:eastAsiaTheme="minorHAnsi" w:hAnsi="Arial" w:cs="Arial"/>
          <w:b/>
          <w:bCs/>
          <w:color w:val="000000"/>
          <w:sz w:val="22"/>
          <w:szCs w:val="22"/>
        </w:rPr>
      </w:pPr>
    </w:p>
    <w:p w14:paraId="075FE7CE" w14:textId="77777777" w:rsidR="00CE1D87" w:rsidRDefault="00CE1D87" w:rsidP="00280F75">
      <w:pPr>
        <w:autoSpaceDE w:val="0"/>
        <w:autoSpaceDN w:val="0"/>
        <w:adjustRightInd w:val="0"/>
        <w:jc w:val="both"/>
        <w:rPr>
          <w:rFonts w:ascii="Arial" w:eastAsiaTheme="minorHAnsi" w:hAnsi="Arial" w:cs="Arial"/>
          <w:b/>
          <w:bCs/>
          <w:color w:val="000000"/>
          <w:sz w:val="22"/>
          <w:szCs w:val="22"/>
        </w:rPr>
      </w:pPr>
    </w:p>
    <w:p w14:paraId="6C3CFE93" w14:textId="77777777" w:rsidR="00CE1D87" w:rsidRDefault="00CE1D87" w:rsidP="00280F75">
      <w:pPr>
        <w:autoSpaceDE w:val="0"/>
        <w:autoSpaceDN w:val="0"/>
        <w:adjustRightInd w:val="0"/>
        <w:jc w:val="both"/>
        <w:rPr>
          <w:rFonts w:ascii="Arial" w:eastAsiaTheme="minorHAnsi" w:hAnsi="Arial" w:cs="Arial"/>
          <w:b/>
          <w:bCs/>
          <w:color w:val="000000"/>
          <w:sz w:val="22"/>
          <w:szCs w:val="22"/>
        </w:rPr>
      </w:pPr>
    </w:p>
    <w:p w14:paraId="2D7C7A10" w14:textId="77777777" w:rsidR="00CE1D87" w:rsidRDefault="00CE1D87" w:rsidP="00280F75">
      <w:pPr>
        <w:autoSpaceDE w:val="0"/>
        <w:autoSpaceDN w:val="0"/>
        <w:adjustRightInd w:val="0"/>
        <w:jc w:val="both"/>
        <w:rPr>
          <w:rFonts w:ascii="Arial" w:eastAsiaTheme="minorHAnsi" w:hAnsi="Arial" w:cs="Arial"/>
          <w:b/>
          <w:bCs/>
          <w:color w:val="000000"/>
          <w:sz w:val="22"/>
          <w:szCs w:val="22"/>
        </w:rPr>
      </w:pPr>
    </w:p>
    <w:p w14:paraId="52F7A672" w14:textId="77777777" w:rsidR="00CE1D87" w:rsidRDefault="00CE1D87" w:rsidP="00280F75">
      <w:pPr>
        <w:autoSpaceDE w:val="0"/>
        <w:autoSpaceDN w:val="0"/>
        <w:adjustRightInd w:val="0"/>
        <w:jc w:val="both"/>
        <w:rPr>
          <w:rFonts w:ascii="Arial" w:eastAsiaTheme="minorHAnsi" w:hAnsi="Arial" w:cs="Arial"/>
          <w:b/>
          <w:bCs/>
          <w:color w:val="000000"/>
          <w:sz w:val="22"/>
          <w:szCs w:val="22"/>
        </w:rPr>
      </w:pPr>
    </w:p>
    <w:p w14:paraId="3A49FF30" w14:textId="01B94FFD" w:rsidR="00033083" w:rsidRDefault="00033083" w:rsidP="00280F75">
      <w:pPr>
        <w:autoSpaceDE w:val="0"/>
        <w:autoSpaceDN w:val="0"/>
        <w:adjustRightInd w:val="0"/>
        <w:jc w:val="both"/>
        <w:rPr>
          <w:rFonts w:ascii="Arial" w:eastAsiaTheme="minorHAnsi" w:hAnsi="Arial" w:cs="Arial"/>
          <w:b/>
          <w:bCs/>
          <w:color w:val="000000"/>
          <w:sz w:val="22"/>
          <w:szCs w:val="22"/>
        </w:rPr>
      </w:pPr>
      <w:r w:rsidRPr="00033083">
        <w:rPr>
          <w:rFonts w:ascii="Arial" w:eastAsiaTheme="minorHAnsi" w:hAnsi="Arial" w:cs="Arial"/>
          <w:b/>
          <w:bCs/>
          <w:color w:val="000000"/>
          <w:sz w:val="22"/>
          <w:szCs w:val="22"/>
        </w:rPr>
        <w:lastRenderedPageBreak/>
        <w:t xml:space="preserve">Appendix 2. Checklist for assessment of stability data for procured small molecule aseptically prepared products (Specials) </w:t>
      </w:r>
    </w:p>
    <w:p w14:paraId="456DC873" w14:textId="77777777" w:rsidR="00033083" w:rsidRPr="00033083" w:rsidRDefault="00033083" w:rsidP="00280F75">
      <w:pPr>
        <w:autoSpaceDE w:val="0"/>
        <w:autoSpaceDN w:val="0"/>
        <w:adjustRightInd w:val="0"/>
        <w:jc w:val="both"/>
        <w:rPr>
          <w:rFonts w:ascii="Arial" w:eastAsiaTheme="minorHAnsi" w:hAnsi="Arial" w:cs="Arial"/>
          <w:color w:val="000000"/>
          <w:sz w:val="22"/>
          <w:szCs w:val="22"/>
        </w:rPr>
      </w:pPr>
    </w:p>
    <w:p w14:paraId="43CFB3AC" w14:textId="1FAFC470" w:rsidR="00033083" w:rsidRDefault="00033083" w:rsidP="00280F75">
      <w:pPr>
        <w:autoSpaceDE w:val="0"/>
        <w:autoSpaceDN w:val="0"/>
        <w:adjustRightInd w:val="0"/>
        <w:jc w:val="both"/>
        <w:rPr>
          <w:rFonts w:ascii="Arial" w:eastAsiaTheme="minorHAnsi" w:hAnsi="Arial" w:cs="Arial"/>
          <w:color w:val="000000"/>
          <w:sz w:val="22"/>
          <w:szCs w:val="22"/>
        </w:rPr>
      </w:pPr>
      <w:r w:rsidRPr="00033083">
        <w:rPr>
          <w:rFonts w:ascii="Arial" w:eastAsiaTheme="minorHAnsi" w:hAnsi="Arial" w:cs="Arial"/>
          <w:color w:val="000000"/>
          <w:sz w:val="22"/>
          <w:szCs w:val="22"/>
        </w:rPr>
        <w:t xml:space="preserve">The following checklist is provided as a quick guide to assessing the suitability of procured aseptically prepared Specials from the stability assessment viewpoint. This should be used alongside other assessment tools for unlicensed products. </w:t>
      </w:r>
    </w:p>
    <w:p w14:paraId="350FC7C4" w14:textId="77777777" w:rsidR="00033083" w:rsidRPr="00033083" w:rsidRDefault="00033083" w:rsidP="00280F75">
      <w:pPr>
        <w:autoSpaceDE w:val="0"/>
        <w:autoSpaceDN w:val="0"/>
        <w:adjustRightInd w:val="0"/>
        <w:jc w:val="both"/>
        <w:rPr>
          <w:rFonts w:ascii="Arial" w:eastAsiaTheme="minorHAnsi" w:hAnsi="Arial" w:cs="Arial"/>
          <w:color w:val="000000"/>
          <w:sz w:val="22"/>
          <w:szCs w:val="22"/>
        </w:rPr>
      </w:pPr>
    </w:p>
    <w:p w14:paraId="122CA228" w14:textId="396F8431" w:rsidR="00033083" w:rsidRDefault="00033083" w:rsidP="00280F75">
      <w:pPr>
        <w:autoSpaceDE w:val="0"/>
        <w:autoSpaceDN w:val="0"/>
        <w:adjustRightInd w:val="0"/>
        <w:jc w:val="both"/>
        <w:rPr>
          <w:rFonts w:ascii="Arial" w:eastAsiaTheme="minorHAnsi" w:hAnsi="Arial" w:cs="Arial"/>
          <w:color w:val="000000"/>
          <w:sz w:val="22"/>
          <w:szCs w:val="22"/>
        </w:rPr>
      </w:pPr>
      <w:r w:rsidRPr="00033083">
        <w:rPr>
          <w:rFonts w:ascii="Arial" w:eastAsiaTheme="minorHAnsi" w:hAnsi="Arial" w:cs="Arial"/>
          <w:color w:val="000000"/>
          <w:sz w:val="22"/>
          <w:szCs w:val="22"/>
        </w:rPr>
        <w:t xml:space="preserve">Preparation:……………………………………………………………………………………… </w:t>
      </w:r>
    </w:p>
    <w:p w14:paraId="062F2B6A" w14:textId="77777777" w:rsidR="00033083" w:rsidRPr="00033083" w:rsidRDefault="00033083" w:rsidP="00280F75">
      <w:pPr>
        <w:autoSpaceDE w:val="0"/>
        <w:autoSpaceDN w:val="0"/>
        <w:adjustRightInd w:val="0"/>
        <w:jc w:val="both"/>
        <w:rPr>
          <w:rFonts w:ascii="Arial" w:eastAsiaTheme="minorHAnsi" w:hAnsi="Arial" w:cs="Arial"/>
          <w:color w:val="000000"/>
          <w:sz w:val="22"/>
          <w:szCs w:val="22"/>
        </w:rPr>
      </w:pPr>
    </w:p>
    <w:p w14:paraId="12AA7502" w14:textId="0BEC7953" w:rsidR="00033083" w:rsidRDefault="00033083" w:rsidP="00280F75">
      <w:pPr>
        <w:jc w:val="both"/>
        <w:rPr>
          <w:rFonts w:ascii="Arial" w:eastAsiaTheme="minorHAnsi" w:hAnsi="Arial" w:cs="Arial"/>
          <w:color w:val="000000"/>
          <w:sz w:val="22"/>
          <w:szCs w:val="22"/>
        </w:rPr>
      </w:pPr>
      <w:r w:rsidRPr="00033083">
        <w:rPr>
          <w:rFonts w:ascii="Arial" w:eastAsiaTheme="minorHAnsi" w:hAnsi="Arial" w:cs="Arial"/>
          <w:color w:val="000000"/>
          <w:sz w:val="22"/>
          <w:szCs w:val="22"/>
        </w:rPr>
        <w:t>Supplier / Manufacturer:……………………………………………………………………….</w:t>
      </w:r>
    </w:p>
    <w:p w14:paraId="09F7242C" w14:textId="6933563E" w:rsidR="00053EE1" w:rsidRPr="00053EE1" w:rsidRDefault="00053EE1" w:rsidP="00280F75">
      <w:pPr>
        <w:jc w:val="both"/>
        <w:rPr>
          <w:rFonts w:ascii="Arial" w:hAnsi="Arial" w:cs="Arial"/>
        </w:rPr>
      </w:pPr>
    </w:p>
    <w:p w14:paraId="35CA6777" w14:textId="30F00CBC" w:rsidR="00053EE1" w:rsidRDefault="00053EE1" w:rsidP="00280F75">
      <w:pPr>
        <w:jc w:val="both"/>
        <w:rPr>
          <w:rFonts w:ascii="Arial" w:eastAsiaTheme="minorHAnsi" w:hAnsi="Arial" w:cs="Arial"/>
          <w:color w:val="000000"/>
          <w:sz w:val="22"/>
          <w:szCs w:val="22"/>
        </w:rPr>
      </w:pPr>
    </w:p>
    <w:p w14:paraId="04254D3C" w14:textId="23929AD9" w:rsidR="00053EE1" w:rsidRDefault="00053EE1" w:rsidP="00280F75">
      <w:pPr>
        <w:jc w:val="both"/>
        <w:rPr>
          <w:rFonts w:ascii="Arial" w:eastAsiaTheme="minorHAnsi" w:hAnsi="Arial" w:cs="Arial"/>
          <w:color w:val="000000"/>
          <w:sz w:val="22"/>
          <w:szCs w:val="22"/>
        </w:rPr>
      </w:pPr>
      <w:r>
        <w:rPr>
          <w:noProof/>
        </w:rPr>
        <w:drawing>
          <wp:inline distT="0" distB="0" distL="0" distR="0" wp14:anchorId="4A4B4EDF" wp14:editId="461DAB43">
            <wp:extent cx="5724525" cy="66389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724525" cy="6638925"/>
                    </a:xfrm>
                    <a:prstGeom prst="rect">
                      <a:avLst/>
                    </a:prstGeom>
                  </pic:spPr>
                </pic:pic>
              </a:graphicData>
            </a:graphic>
          </wp:inline>
        </w:drawing>
      </w:r>
    </w:p>
    <w:p w14:paraId="690209DB" w14:textId="77777777" w:rsidR="00053EE1" w:rsidRDefault="00053EE1" w:rsidP="00280F75">
      <w:pPr>
        <w:jc w:val="both"/>
        <w:rPr>
          <w:rFonts w:ascii="Arial" w:eastAsiaTheme="minorHAnsi" w:hAnsi="Arial" w:cs="Arial"/>
          <w:color w:val="000000"/>
          <w:sz w:val="22"/>
          <w:szCs w:val="22"/>
        </w:rPr>
      </w:pPr>
    </w:p>
    <w:p w14:paraId="69E54F56" w14:textId="12EA99C9" w:rsidR="00053EE1" w:rsidRDefault="00053EE1" w:rsidP="00280F75">
      <w:pPr>
        <w:jc w:val="both"/>
        <w:rPr>
          <w:noProof/>
        </w:rPr>
      </w:pPr>
      <w:r>
        <w:rPr>
          <w:noProof/>
        </w:rPr>
        <w:lastRenderedPageBreak/>
        <w:drawing>
          <wp:inline distT="0" distB="0" distL="0" distR="0" wp14:anchorId="746F4353" wp14:editId="2E512C79">
            <wp:extent cx="5731510" cy="499554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731510" cy="4995545"/>
                    </a:xfrm>
                    <a:prstGeom prst="rect">
                      <a:avLst/>
                    </a:prstGeom>
                  </pic:spPr>
                </pic:pic>
              </a:graphicData>
            </a:graphic>
          </wp:inline>
        </w:drawing>
      </w:r>
    </w:p>
    <w:p w14:paraId="4D1A68FE" w14:textId="4E77B9C3" w:rsidR="00053EE1" w:rsidRPr="00053EE1" w:rsidRDefault="00053EE1" w:rsidP="00280F75">
      <w:pPr>
        <w:jc w:val="both"/>
        <w:rPr>
          <w:rFonts w:ascii="Arial" w:hAnsi="Arial" w:cs="Arial"/>
        </w:rPr>
      </w:pPr>
    </w:p>
    <w:p w14:paraId="621E43C8" w14:textId="3E1B369C" w:rsidR="00053EE1" w:rsidRPr="00053EE1" w:rsidRDefault="00053EE1" w:rsidP="00280F75">
      <w:pPr>
        <w:jc w:val="both"/>
        <w:rPr>
          <w:rFonts w:ascii="Arial" w:hAnsi="Arial" w:cs="Arial"/>
        </w:rPr>
      </w:pPr>
    </w:p>
    <w:p w14:paraId="350AC82D" w14:textId="79AE4774" w:rsidR="00053EE1" w:rsidRPr="00053EE1" w:rsidRDefault="00053EE1" w:rsidP="00280F75">
      <w:pPr>
        <w:jc w:val="both"/>
        <w:rPr>
          <w:rFonts w:ascii="Arial" w:hAnsi="Arial" w:cs="Arial"/>
        </w:rPr>
      </w:pPr>
    </w:p>
    <w:p w14:paraId="2DF81691" w14:textId="21868208" w:rsidR="00053EE1" w:rsidRPr="00053EE1" w:rsidRDefault="00053EE1" w:rsidP="00280F75">
      <w:pPr>
        <w:jc w:val="both"/>
        <w:rPr>
          <w:rFonts w:ascii="Arial" w:hAnsi="Arial" w:cs="Arial"/>
        </w:rPr>
      </w:pPr>
    </w:p>
    <w:p w14:paraId="40374014" w14:textId="22A20A92" w:rsidR="00053EE1" w:rsidRDefault="00053EE1" w:rsidP="00280F75">
      <w:pPr>
        <w:jc w:val="both"/>
        <w:rPr>
          <w:noProof/>
        </w:rPr>
      </w:pPr>
    </w:p>
    <w:p w14:paraId="62C953B9" w14:textId="77777777" w:rsidR="00CE1D87" w:rsidRDefault="00053EE1" w:rsidP="00CE1D87">
      <w:pPr>
        <w:autoSpaceDE w:val="0"/>
        <w:autoSpaceDN w:val="0"/>
        <w:adjustRightInd w:val="0"/>
        <w:rPr>
          <w:rFonts w:ascii="Arial" w:eastAsiaTheme="minorHAnsi" w:hAnsi="Arial" w:cs="Arial"/>
          <w:color w:val="000000"/>
          <w:sz w:val="22"/>
          <w:szCs w:val="22"/>
        </w:rPr>
      </w:pPr>
      <w:r w:rsidRPr="00053EE1">
        <w:rPr>
          <w:rFonts w:ascii="Arial" w:eastAsiaTheme="minorHAnsi" w:hAnsi="Arial" w:cs="Arial"/>
          <w:color w:val="000000"/>
          <w:sz w:val="22"/>
          <w:szCs w:val="22"/>
        </w:rPr>
        <w:t xml:space="preserve">Assessment of stability study for </w:t>
      </w:r>
    </w:p>
    <w:p w14:paraId="21BFE473" w14:textId="77777777" w:rsidR="00CE1D87" w:rsidRDefault="00CE1D87" w:rsidP="00CE1D87">
      <w:pPr>
        <w:autoSpaceDE w:val="0"/>
        <w:autoSpaceDN w:val="0"/>
        <w:adjustRightInd w:val="0"/>
        <w:rPr>
          <w:rFonts w:ascii="Arial" w:eastAsiaTheme="minorHAnsi" w:hAnsi="Arial" w:cs="Arial"/>
          <w:color w:val="000000"/>
          <w:sz w:val="22"/>
          <w:szCs w:val="22"/>
        </w:rPr>
      </w:pPr>
    </w:p>
    <w:p w14:paraId="359A868A" w14:textId="609DD34C" w:rsidR="00053EE1" w:rsidRDefault="00053EE1" w:rsidP="00CE1D87">
      <w:pPr>
        <w:autoSpaceDE w:val="0"/>
        <w:autoSpaceDN w:val="0"/>
        <w:adjustRightInd w:val="0"/>
        <w:rPr>
          <w:rFonts w:ascii="Arial" w:eastAsiaTheme="minorHAnsi" w:hAnsi="Arial" w:cs="Arial"/>
          <w:color w:val="000000"/>
          <w:sz w:val="22"/>
          <w:szCs w:val="22"/>
        </w:rPr>
      </w:pPr>
      <w:r w:rsidRPr="00053EE1">
        <w:rPr>
          <w:rFonts w:ascii="Arial" w:eastAsiaTheme="minorHAnsi" w:hAnsi="Arial" w:cs="Arial"/>
          <w:color w:val="000000"/>
          <w:sz w:val="22"/>
          <w:szCs w:val="22"/>
        </w:rPr>
        <w:t xml:space="preserve">……………………………………………………………………………………….. </w:t>
      </w:r>
    </w:p>
    <w:p w14:paraId="3F515FB1" w14:textId="77777777" w:rsidR="00053EE1" w:rsidRPr="00053EE1" w:rsidRDefault="00053EE1" w:rsidP="00280F75">
      <w:pPr>
        <w:autoSpaceDE w:val="0"/>
        <w:autoSpaceDN w:val="0"/>
        <w:adjustRightInd w:val="0"/>
        <w:jc w:val="both"/>
        <w:rPr>
          <w:rFonts w:ascii="Arial" w:eastAsiaTheme="minorHAnsi" w:hAnsi="Arial" w:cs="Arial"/>
          <w:color w:val="000000"/>
          <w:sz w:val="22"/>
          <w:szCs w:val="22"/>
        </w:rPr>
      </w:pPr>
    </w:p>
    <w:p w14:paraId="042831A1" w14:textId="2FD0E863" w:rsidR="00053EE1" w:rsidRDefault="00053EE1" w:rsidP="00280F75">
      <w:pPr>
        <w:autoSpaceDE w:val="0"/>
        <w:autoSpaceDN w:val="0"/>
        <w:adjustRightInd w:val="0"/>
        <w:jc w:val="both"/>
        <w:rPr>
          <w:rFonts w:ascii="Arial" w:eastAsiaTheme="minorHAnsi" w:hAnsi="Arial" w:cs="Arial"/>
          <w:color w:val="000000"/>
          <w:sz w:val="22"/>
          <w:szCs w:val="22"/>
        </w:rPr>
      </w:pPr>
      <w:r w:rsidRPr="00053EE1">
        <w:rPr>
          <w:rFonts w:ascii="Arial" w:eastAsiaTheme="minorHAnsi" w:hAnsi="Arial" w:cs="Arial"/>
          <w:color w:val="000000"/>
          <w:sz w:val="22"/>
          <w:szCs w:val="22"/>
        </w:rPr>
        <w:t xml:space="preserve">The data supplied: Provides assurance that the product will be suitable, safe and efficacious / does not provide suitable assurance </w:t>
      </w:r>
    </w:p>
    <w:p w14:paraId="7C6FE4B2" w14:textId="77777777" w:rsidR="00053EE1" w:rsidRPr="00053EE1" w:rsidRDefault="00053EE1" w:rsidP="00280F75">
      <w:pPr>
        <w:autoSpaceDE w:val="0"/>
        <w:autoSpaceDN w:val="0"/>
        <w:adjustRightInd w:val="0"/>
        <w:jc w:val="both"/>
        <w:rPr>
          <w:rFonts w:ascii="Arial" w:eastAsiaTheme="minorHAnsi" w:hAnsi="Arial" w:cs="Arial"/>
          <w:color w:val="000000"/>
          <w:sz w:val="22"/>
          <w:szCs w:val="22"/>
        </w:rPr>
      </w:pPr>
    </w:p>
    <w:p w14:paraId="3D7C4B92" w14:textId="1504AAA2" w:rsidR="00053EE1" w:rsidRDefault="00053EE1" w:rsidP="00280F75">
      <w:pPr>
        <w:jc w:val="both"/>
        <w:rPr>
          <w:noProof/>
        </w:rPr>
      </w:pPr>
      <w:r w:rsidRPr="00053EE1">
        <w:rPr>
          <w:rFonts w:ascii="Arial" w:eastAsiaTheme="minorHAnsi" w:hAnsi="Arial" w:cs="Arial"/>
          <w:color w:val="000000"/>
          <w:sz w:val="22"/>
          <w:szCs w:val="22"/>
        </w:rPr>
        <w:t>Approved:…………………………….…………………………….Date:……………………</w:t>
      </w:r>
    </w:p>
    <w:p w14:paraId="1C6109CB" w14:textId="587A641C" w:rsidR="00053EE1" w:rsidRDefault="00053EE1" w:rsidP="00280F75">
      <w:pPr>
        <w:jc w:val="both"/>
        <w:rPr>
          <w:rFonts w:ascii="Arial" w:hAnsi="Arial" w:cs="Arial"/>
        </w:rPr>
      </w:pPr>
    </w:p>
    <w:p w14:paraId="6A5F627B" w14:textId="6852007E" w:rsidR="00053EE1" w:rsidRDefault="00053EE1" w:rsidP="00280F75">
      <w:pPr>
        <w:jc w:val="both"/>
        <w:rPr>
          <w:rFonts w:ascii="Arial" w:hAnsi="Arial" w:cs="Arial"/>
        </w:rPr>
      </w:pPr>
    </w:p>
    <w:p w14:paraId="2CE9CC9F" w14:textId="205BCA5A" w:rsidR="00053EE1" w:rsidRDefault="00053EE1" w:rsidP="00280F75">
      <w:pPr>
        <w:jc w:val="both"/>
        <w:rPr>
          <w:rFonts w:ascii="Arial" w:hAnsi="Arial" w:cs="Arial"/>
        </w:rPr>
      </w:pPr>
    </w:p>
    <w:p w14:paraId="7C6EA952" w14:textId="3C62ABB2" w:rsidR="00053EE1" w:rsidRDefault="00053EE1" w:rsidP="00280F75">
      <w:pPr>
        <w:jc w:val="both"/>
        <w:rPr>
          <w:rFonts w:ascii="Arial" w:hAnsi="Arial" w:cs="Arial"/>
        </w:rPr>
      </w:pPr>
    </w:p>
    <w:p w14:paraId="30619DB6" w14:textId="2BEC24FD" w:rsidR="00053EE1" w:rsidRDefault="00053EE1" w:rsidP="00280F75">
      <w:pPr>
        <w:jc w:val="both"/>
        <w:rPr>
          <w:rFonts w:ascii="Arial" w:hAnsi="Arial" w:cs="Arial"/>
        </w:rPr>
      </w:pPr>
    </w:p>
    <w:p w14:paraId="1D53B788" w14:textId="2FB4AA09" w:rsidR="00053EE1" w:rsidRDefault="00053EE1" w:rsidP="00280F75">
      <w:pPr>
        <w:jc w:val="both"/>
        <w:rPr>
          <w:rFonts w:ascii="Arial" w:hAnsi="Arial" w:cs="Arial"/>
        </w:rPr>
      </w:pPr>
    </w:p>
    <w:p w14:paraId="40EBD5A4" w14:textId="326FBB29" w:rsidR="00053EE1" w:rsidRDefault="00053EE1" w:rsidP="00280F75">
      <w:pPr>
        <w:jc w:val="both"/>
        <w:rPr>
          <w:rFonts w:ascii="Arial" w:hAnsi="Arial" w:cs="Arial"/>
        </w:rPr>
      </w:pPr>
    </w:p>
    <w:p w14:paraId="036BF1C9" w14:textId="5F274FFC" w:rsidR="00053EE1" w:rsidRDefault="00053EE1" w:rsidP="00280F75">
      <w:pPr>
        <w:jc w:val="both"/>
        <w:rPr>
          <w:rFonts w:ascii="Arial" w:hAnsi="Arial" w:cs="Arial"/>
        </w:rPr>
      </w:pPr>
    </w:p>
    <w:p w14:paraId="02345795" w14:textId="31CCB728" w:rsidR="00053EE1" w:rsidRDefault="00053EE1" w:rsidP="00280F75">
      <w:pPr>
        <w:jc w:val="both"/>
        <w:rPr>
          <w:rFonts w:ascii="Arial" w:hAnsi="Arial" w:cs="Arial"/>
        </w:rPr>
      </w:pPr>
      <w:r>
        <w:rPr>
          <w:noProof/>
        </w:rPr>
        <w:lastRenderedPageBreak/>
        <w:drawing>
          <wp:inline distT="0" distB="0" distL="0" distR="0" wp14:anchorId="159B4B35" wp14:editId="377799F8">
            <wp:extent cx="5731510" cy="172212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731510" cy="1722120"/>
                    </a:xfrm>
                    <a:prstGeom prst="rect">
                      <a:avLst/>
                    </a:prstGeom>
                  </pic:spPr>
                </pic:pic>
              </a:graphicData>
            </a:graphic>
          </wp:inline>
        </w:drawing>
      </w:r>
    </w:p>
    <w:p w14:paraId="7385771C" w14:textId="046B775B" w:rsidR="00053EE1" w:rsidRDefault="00053EE1" w:rsidP="00280F75">
      <w:pPr>
        <w:jc w:val="both"/>
        <w:rPr>
          <w:rFonts w:ascii="Arial" w:hAnsi="Arial" w:cs="Arial"/>
        </w:rPr>
      </w:pPr>
    </w:p>
    <w:p w14:paraId="29CE9715" w14:textId="7586BCDE" w:rsidR="00FA5310" w:rsidRPr="00FA5310" w:rsidRDefault="00FA5310" w:rsidP="00280F75">
      <w:pPr>
        <w:jc w:val="both"/>
        <w:rPr>
          <w:rFonts w:ascii="Arial" w:hAnsi="Arial" w:cs="Arial"/>
        </w:rPr>
      </w:pPr>
    </w:p>
    <w:p w14:paraId="4D089259" w14:textId="5CE34A5B" w:rsidR="00FA5310" w:rsidRPr="00FA5310" w:rsidRDefault="00FA5310" w:rsidP="00280F75">
      <w:pPr>
        <w:jc w:val="both"/>
        <w:rPr>
          <w:rFonts w:ascii="Arial" w:hAnsi="Arial" w:cs="Arial"/>
        </w:rPr>
      </w:pPr>
    </w:p>
    <w:p w14:paraId="16A85FBA" w14:textId="546D0DCE" w:rsidR="00FA5310" w:rsidRPr="00FA5310" w:rsidRDefault="00FA5310" w:rsidP="00280F75">
      <w:pPr>
        <w:jc w:val="both"/>
        <w:rPr>
          <w:rFonts w:ascii="Arial" w:hAnsi="Arial" w:cs="Arial"/>
        </w:rPr>
      </w:pPr>
    </w:p>
    <w:p w14:paraId="76B76A41" w14:textId="75743852" w:rsidR="00FA5310" w:rsidRPr="00FA5310" w:rsidRDefault="00FA5310" w:rsidP="00280F75">
      <w:pPr>
        <w:jc w:val="both"/>
        <w:rPr>
          <w:rFonts w:ascii="Arial" w:hAnsi="Arial" w:cs="Arial"/>
        </w:rPr>
      </w:pPr>
    </w:p>
    <w:p w14:paraId="06A1939C" w14:textId="7FA877D9" w:rsidR="00FA5310" w:rsidRPr="00FA5310" w:rsidRDefault="00FA5310" w:rsidP="00280F75">
      <w:pPr>
        <w:jc w:val="both"/>
        <w:rPr>
          <w:rFonts w:ascii="Arial" w:hAnsi="Arial" w:cs="Arial"/>
        </w:rPr>
      </w:pPr>
    </w:p>
    <w:p w14:paraId="7D0AB82A" w14:textId="4FCE38AE" w:rsidR="00FA5310" w:rsidRDefault="00FA5310" w:rsidP="00280F75">
      <w:pPr>
        <w:jc w:val="both"/>
        <w:rPr>
          <w:rFonts w:ascii="Arial" w:hAnsi="Arial" w:cs="Arial"/>
        </w:rPr>
      </w:pPr>
    </w:p>
    <w:p w14:paraId="356149D9" w14:textId="705ACD1D" w:rsidR="00FA5310" w:rsidRDefault="00FA5310" w:rsidP="00280F75">
      <w:pPr>
        <w:jc w:val="both"/>
        <w:rPr>
          <w:rFonts w:ascii="Arial" w:hAnsi="Arial" w:cs="Arial"/>
        </w:rPr>
      </w:pPr>
    </w:p>
    <w:p w14:paraId="667BD615" w14:textId="37D0C9E8" w:rsidR="00FA5310" w:rsidRDefault="00FA5310" w:rsidP="00280F75">
      <w:pPr>
        <w:jc w:val="both"/>
        <w:rPr>
          <w:rFonts w:ascii="Arial" w:hAnsi="Arial" w:cs="Arial"/>
        </w:rPr>
      </w:pPr>
    </w:p>
    <w:p w14:paraId="5FDEA0CC" w14:textId="7ACB91F0" w:rsidR="00FA5310" w:rsidRDefault="00FA5310" w:rsidP="00280F75">
      <w:pPr>
        <w:jc w:val="both"/>
        <w:rPr>
          <w:rFonts w:ascii="Arial" w:hAnsi="Arial" w:cs="Arial"/>
        </w:rPr>
      </w:pPr>
    </w:p>
    <w:p w14:paraId="6EAAB09A" w14:textId="2545ED12" w:rsidR="00FA5310" w:rsidRDefault="00FA5310" w:rsidP="00280F75">
      <w:pPr>
        <w:jc w:val="both"/>
        <w:rPr>
          <w:rFonts w:ascii="Arial" w:hAnsi="Arial" w:cs="Arial"/>
        </w:rPr>
      </w:pPr>
    </w:p>
    <w:p w14:paraId="06A49F63" w14:textId="74835641" w:rsidR="00FA5310" w:rsidRDefault="00FA5310" w:rsidP="00280F75">
      <w:pPr>
        <w:jc w:val="both"/>
        <w:rPr>
          <w:rFonts w:ascii="Arial" w:hAnsi="Arial" w:cs="Arial"/>
        </w:rPr>
      </w:pPr>
    </w:p>
    <w:p w14:paraId="6D90EBC7" w14:textId="6BB22E59" w:rsidR="00FA5310" w:rsidRDefault="00FA5310" w:rsidP="00280F75">
      <w:pPr>
        <w:jc w:val="both"/>
        <w:rPr>
          <w:rFonts w:ascii="Arial" w:hAnsi="Arial" w:cs="Arial"/>
        </w:rPr>
      </w:pPr>
    </w:p>
    <w:p w14:paraId="2DA8EC51" w14:textId="447EAD20" w:rsidR="00FA5310" w:rsidRDefault="00FA5310" w:rsidP="00280F75">
      <w:pPr>
        <w:jc w:val="both"/>
        <w:rPr>
          <w:rFonts w:ascii="Arial" w:hAnsi="Arial" w:cs="Arial"/>
        </w:rPr>
      </w:pPr>
    </w:p>
    <w:p w14:paraId="4AC48C53" w14:textId="714834F9" w:rsidR="00FA5310" w:rsidRDefault="00FA5310" w:rsidP="00280F75">
      <w:pPr>
        <w:jc w:val="both"/>
        <w:rPr>
          <w:rFonts w:ascii="Arial" w:hAnsi="Arial" w:cs="Arial"/>
        </w:rPr>
      </w:pPr>
    </w:p>
    <w:p w14:paraId="7A253914" w14:textId="010BA197" w:rsidR="00FA5310" w:rsidRDefault="00FA5310" w:rsidP="00280F75">
      <w:pPr>
        <w:jc w:val="both"/>
        <w:rPr>
          <w:rFonts w:ascii="Arial" w:hAnsi="Arial" w:cs="Arial"/>
        </w:rPr>
      </w:pPr>
    </w:p>
    <w:p w14:paraId="3642D1EE" w14:textId="3C7C7A85" w:rsidR="00FA5310" w:rsidRDefault="00FA5310" w:rsidP="00280F75">
      <w:pPr>
        <w:jc w:val="both"/>
        <w:rPr>
          <w:rFonts w:ascii="Arial" w:hAnsi="Arial" w:cs="Arial"/>
        </w:rPr>
      </w:pPr>
    </w:p>
    <w:p w14:paraId="0E750434" w14:textId="3A2F0819" w:rsidR="00FA5310" w:rsidRDefault="00FA5310" w:rsidP="00280F75">
      <w:pPr>
        <w:jc w:val="both"/>
        <w:rPr>
          <w:rFonts w:ascii="Arial" w:hAnsi="Arial" w:cs="Arial"/>
        </w:rPr>
      </w:pPr>
    </w:p>
    <w:p w14:paraId="39566C51" w14:textId="438632F9" w:rsidR="00FA5310" w:rsidRDefault="00FA5310" w:rsidP="00280F75">
      <w:pPr>
        <w:jc w:val="both"/>
        <w:rPr>
          <w:rFonts w:ascii="Arial" w:hAnsi="Arial" w:cs="Arial"/>
        </w:rPr>
      </w:pPr>
    </w:p>
    <w:p w14:paraId="0E5E423E" w14:textId="511FF873" w:rsidR="00FA5310" w:rsidRDefault="00FA5310" w:rsidP="00280F75">
      <w:pPr>
        <w:jc w:val="both"/>
        <w:rPr>
          <w:rFonts w:ascii="Arial" w:hAnsi="Arial" w:cs="Arial"/>
        </w:rPr>
      </w:pPr>
    </w:p>
    <w:p w14:paraId="528B28E5" w14:textId="3FACC038" w:rsidR="00FA5310" w:rsidRDefault="00FA5310" w:rsidP="00280F75">
      <w:pPr>
        <w:jc w:val="both"/>
        <w:rPr>
          <w:rFonts w:ascii="Arial" w:hAnsi="Arial" w:cs="Arial"/>
        </w:rPr>
      </w:pPr>
    </w:p>
    <w:p w14:paraId="6156F4D1" w14:textId="5FFAD2E9" w:rsidR="00FA5310" w:rsidRDefault="00FA5310" w:rsidP="00280F75">
      <w:pPr>
        <w:jc w:val="both"/>
        <w:rPr>
          <w:rFonts w:ascii="Arial" w:hAnsi="Arial" w:cs="Arial"/>
        </w:rPr>
      </w:pPr>
    </w:p>
    <w:p w14:paraId="347A1E72" w14:textId="4BEEC12C" w:rsidR="00FA5310" w:rsidRDefault="00FA5310" w:rsidP="00280F75">
      <w:pPr>
        <w:jc w:val="both"/>
        <w:rPr>
          <w:rFonts w:ascii="Arial" w:hAnsi="Arial" w:cs="Arial"/>
        </w:rPr>
      </w:pPr>
    </w:p>
    <w:p w14:paraId="217592F2" w14:textId="36931F36" w:rsidR="00FA5310" w:rsidRDefault="00FA5310" w:rsidP="00280F75">
      <w:pPr>
        <w:jc w:val="both"/>
        <w:rPr>
          <w:rFonts w:ascii="Arial" w:hAnsi="Arial" w:cs="Arial"/>
        </w:rPr>
      </w:pPr>
    </w:p>
    <w:p w14:paraId="45213787" w14:textId="265C18E0" w:rsidR="00FA5310" w:rsidRDefault="00FA5310" w:rsidP="00280F75">
      <w:pPr>
        <w:jc w:val="both"/>
        <w:rPr>
          <w:rFonts w:ascii="Arial" w:hAnsi="Arial" w:cs="Arial"/>
        </w:rPr>
      </w:pPr>
    </w:p>
    <w:p w14:paraId="36331341" w14:textId="60768232" w:rsidR="00FA5310" w:rsidRDefault="00FA5310" w:rsidP="00280F75">
      <w:pPr>
        <w:jc w:val="both"/>
        <w:rPr>
          <w:rFonts w:ascii="Arial" w:hAnsi="Arial" w:cs="Arial"/>
        </w:rPr>
      </w:pPr>
    </w:p>
    <w:p w14:paraId="3D6DB359" w14:textId="3486287C" w:rsidR="00FA5310" w:rsidRDefault="00FA5310" w:rsidP="00280F75">
      <w:pPr>
        <w:jc w:val="both"/>
        <w:rPr>
          <w:rFonts w:ascii="Arial" w:hAnsi="Arial" w:cs="Arial"/>
        </w:rPr>
      </w:pPr>
    </w:p>
    <w:p w14:paraId="19CBFE02" w14:textId="41DC47DA" w:rsidR="00FA5310" w:rsidRDefault="00FA5310" w:rsidP="00280F75">
      <w:pPr>
        <w:jc w:val="both"/>
        <w:rPr>
          <w:rFonts w:ascii="Arial" w:hAnsi="Arial" w:cs="Arial"/>
        </w:rPr>
      </w:pPr>
    </w:p>
    <w:p w14:paraId="3ABD47B8" w14:textId="0A75294D" w:rsidR="00FA5310" w:rsidRDefault="00FA5310" w:rsidP="00280F75">
      <w:pPr>
        <w:jc w:val="both"/>
        <w:rPr>
          <w:rFonts w:ascii="Arial" w:hAnsi="Arial" w:cs="Arial"/>
        </w:rPr>
      </w:pPr>
    </w:p>
    <w:p w14:paraId="4BBE1F14" w14:textId="57BB0D45" w:rsidR="00FA5310" w:rsidRDefault="00FA5310" w:rsidP="00280F75">
      <w:pPr>
        <w:jc w:val="both"/>
        <w:rPr>
          <w:rFonts w:ascii="Arial" w:hAnsi="Arial" w:cs="Arial"/>
        </w:rPr>
      </w:pPr>
    </w:p>
    <w:p w14:paraId="3DF8E316" w14:textId="102CA6BA" w:rsidR="00FA5310" w:rsidRDefault="00FA5310" w:rsidP="00280F75">
      <w:pPr>
        <w:jc w:val="both"/>
        <w:rPr>
          <w:rFonts w:ascii="Arial" w:hAnsi="Arial" w:cs="Arial"/>
        </w:rPr>
      </w:pPr>
    </w:p>
    <w:p w14:paraId="1C04D7FB" w14:textId="00DE8AAF" w:rsidR="00FA5310" w:rsidRDefault="00FA5310" w:rsidP="00280F75">
      <w:pPr>
        <w:jc w:val="both"/>
        <w:rPr>
          <w:rFonts w:ascii="Arial" w:hAnsi="Arial" w:cs="Arial"/>
        </w:rPr>
      </w:pPr>
    </w:p>
    <w:p w14:paraId="747B0E86" w14:textId="2FE9184D" w:rsidR="00FA5310" w:rsidRDefault="00FA5310" w:rsidP="00280F75">
      <w:pPr>
        <w:jc w:val="both"/>
        <w:rPr>
          <w:rFonts w:ascii="Arial" w:hAnsi="Arial" w:cs="Arial"/>
        </w:rPr>
      </w:pPr>
    </w:p>
    <w:p w14:paraId="1C561D76" w14:textId="2EB50964" w:rsidR="00FA5310" w:rsidRDefault="00FA5310" w:rsidP="00280F75">
      <w:pPr>
        <w:jc w:val="both"/>
        <w:rPr>
          <w:rFonts w:ascii="Arial" w:hAnsi="Arial" w:cs="Arial"/>
        </w:rPr>
      </w:pPr>
    </w:p>
    <w:p w14:paraId="72360CC7" w14:textId="1E952B20" w:rsidR="00FA5310" w:rsidRDefault="00FA5310" w:rsidP="00280F75">
      <w:pPr>
        <w:jc w:val="both"/>
        <w:rPr>
          <w:rFonts w:ascii="Arial" w:hAnsi="Arial" w:cs="Arial"/>
        </w:rPr>
      </w:pPr>
    </w:p>
    <w:p w14:paraId="5BA435C7" w14:textId="45AFF440" w:rsidR="00FA5310" w:rsidRDefault="00FA5310" w:rsidP="00280F75">
      <w:pPr>
        <w:jc w:val="both"/>
        <w:rPr>
          <w:rFonts w:ascii="Arial" w:hAnsi="Arial" w:cs="Arial"/>
        </w:rPr>
      </w:pPr>
    </w:p>
    <w:p w14:paraId="0A3A16BE" w14:textId="7187222E" w:rsidR="00FA5310" w:rsidRDefault="00FA5310" w:rsidP="00280F75">
      <w:pPr>
        <w:jc w:val="both"/>
        <w:rPr>
          <w:rFonts w:ascii="Arial" w:hAnsi="Arial" w:cs="Arial"/>
        </w:rPr>
      </w:pPr>
    </w:p>
    <w:p w14:paraId="68373086" w14:textId="284D8196" w:rsidR="00FA5310" w:rsidRDefault="00FA5310" w:rsidP="00280F75">
      <w:pPr>
        <w:jc w:val="both"/>
        <w:rPr>
          <w:rFonts w:ascii="Arial" w:hAnsi="Arial" w:cs="Arial"/>
        </w:rPr>
      </w:pPr>
    </w:p>
    <w:p w14:paraId="40712977" w14:textId="50508921" w:rsidR="00FA5310" w:rsidRDefault="00FA5310" w:rsidP="00280F75">
      <w:pPr>
        <w:jc w:val="both"/>
        <w:rPr>
          <w:rFonts w:ascii="Arial" w:hAnsi="Arial" w:cs="Arial"/>
        </w:rPr>
      </w:pPr>
    </w:p>
    <w:p w14:paraId="3CA99B18" w14:textId="77777777" w:rsidR="00FA5310" w:rsidRPr="00FA5310" w:rsidRDefault="00FA5310" w:rsidP="00280F75">
      <w:pPr>
        <w:jc w:val="both"/>
        <w:rPr>
          <w:rFonts w:ascii="Arial" w:hAnsi="Arial" w:cs="Arial"/>
        </w:rPr>
      </w:pPr>
    </w:p>
    <w:p w14:paraId="2BE74A3D" w14:textId="6317D223" w:rsidR="00FA5310" w:rsidRPr="00FA5310" w:rsidRDefault="00FA5310" w:rsidP="00280F75">
      <w:pPr>
        <w:jc w:val="both"/>
        <w:rPr>
          <w:rFonts w:ascii="Arial" w:hAnsi="Arial" w:cs="Arial"/>
        </w:rPr>
      </w:pPr>
    </w:p>
    <w:p w14:paraId="23E56999" w14:textId="3310E71A" w:rsidR="00FA5310" w:rsidRPr="00FA5310" w:rsidRDefault="00FA5310" w:rsidP="00280F75">
      <w:pPr>
        <w:jc w:val="both"/>
        <w:rPr>
          <w:rFonts w:ascii="Arial" w:hAnsi="Arial" w:cs="Arial"/>
        </w:rPr>
      </w:pPr>
    </w:p>
    <w:p w14:paraId="2A7EA617" w14:textId="59ABE173" w:rsidR="00FA5310" w:rsidRDefault="00FA5310" w:rsidP="00280F75">
      <w:pPr>
        <w:jc w:val="both"/>
        <w:rPr>
          <w:rFonts w:ascii="Arial" w:hAnsi="Arial" w:cs="Arial"/>
        </w:rPr>
      </w:pPr>
    </w:p>
    <w:p w14:paraId="31F4D22B" w14:textId="182F89D9" w:rsidR="00CE1D87" w:rsidRDefault="00CE1D87" w:rsidP="00280F75">
      <w:pPr>
        <w:jc w:val="both"/>
        <w:rPr>
          <w:rFonts w:ascii="Arial" w:hAnsi="Arial" w:cs="Arial"/>
        </w:rPr>
      </w:pPr>
    </w:p>
    <w:p w14:paraId="72C81595" w14:textId="00F0E779" w:rsidR="00CE1D87" w:rsidRDefault="00CE1D87" w:rsidP="00280F75">
      <w:pPr>
        <w:jc w:val="both"/>
        <w:rPr>
          <w:rFonts w:ascii="Arial" w:hAnsi="Arial" w:cs="Arial"/>
        </w:rPr>
      </w:pPr>
    </w:p>
    <w:p w14:paraId="34ECC7A0" w14:textId="7AB32794" w:rsidR="00CE1D87" w:rsidRDefault="00CE1D87" w:rsidP="00280F75">
      <w:pPr>
        <w:jc w:val="both"/>
        <w:rPr>
          <w:rFonts w:ascii="Arial" w:hAnsi="Arial" w:cs="Arial"/>
        </w:rPr>
      </w:pPr>
    </w:p>
    <w:p w14:paraId="46025808" w14:textId="77777777" w:rsidR="00CE1D87" w:rsidRPr="00FA5310" w:rsidRDefault="00CE1D87" w:rsidP="00280F75">
      <w:pPr>
        <w:jc w:val="both"/>
        <w:rPr>
          <w:rFonts w:ascii="Arial" w:hAnsi="Arial" w:cs="Arial"/>
        </w:rPr>
      </w:pPr>
    </w:p>
    <w:p w14:paraId="110FFB51" w14:textId="2D290BAC" w:rsidR="00FA5310" w:rsidRPr="00FA5310" w:rsidRDefault="00FA5310" w:rsidP="00280F75">
      <w:pPr>
        <w:jc w:val="both"/>
        <w:rPr>
          <w:rFonts w:ascii="Arial" w:hAnsi="Arial" w:cs="Arial"/>
        </w:rPr>
      </w:pPr>
    </w:p>
    <w:p w14:paraId="13E117B3" w14:textId="65755CEF" w:rsidR="00FA5310" w:rsidRPr="006B1432" w:rsidRDefault="00FA5310" w:rsidP="00280F75">
      <w:pPr>
        <w:pStyle w:val="BodyText2"/>
        <w:jc w:val="both"/>
        <w:rPr>
          <w:rFonts w:cs="Arial"/>
          <w:b/>
          <w:color w:val="auto"/>
          <w:szCs w:val="22"/>
        </w:rPr>
      </w:pPr>
      <w:r w:rsidRPr="006B1432">
        <w:rPr>
          <w:rFonts w:cs="Arial"/>
          <w:b/>
          <w:color w:val="auto"/>
          <w:szCs w:val="22"/>
        </w:rPr>
        <w:lastRenderedPageBreak/>
        <w:t xml:space="preserve">APPENDIX </w:t>
      </w:r>
      <w:r w:rsidR="00B32BC4">
        <w:rPr>
          <w:rFonts w:cs="Arial"/>
          <w:b/>
          <w:color w:val="auto"/>
          <w:szCs w:val="22"/>
        </w:rPr>
        <w:t>A</w:t>
      </w:r>
    </w:p>
    <w:p w14:paraId="3D56F56F" w14:textId="77777777" w:rsidR="00FA5310" w:rsidRPr="006B1432" w:rsidRDefault="00FA5310" w:rsidP="00280F75">
      <w:pPr>
        <w:pStyle w:val="BodyText2"/>
        <w:jc w:val="both"/>
        <w:rPr>
          <w:rFonts w:cs="Arial"/>
          <w:b/>
          <w:color w:val="auto"/>
          <w:szCs w:val="22"/>
        </w:rPr>
      </w:pPr>
    </w:p>
    <w:p w14:paraId="4C128122" w14:textId="5CBC3207" w:rsidR="00FA5310" w:rsidRPr="006B1432" w:rsidRDefault="00FA5310" w:rsidP="00280F75">
      <w:pPr>
        <w:pStyle w:val="BodyText2"/>
        <w:jc w:val="both"/>
        <w:rPr>
          <w:rFonts w:cs="Arial"/>
          <w:b/>
          <w:color w:val="auto"/>
          <w:sz w:val="24"/>
        </w:rPr>
      </w:pPr>
      <w:r w:rsidRPr="006B1432">
        <w:rPr>
          <w:rFonts w:cs="Arial"/>
          <w:b/>
          <w:color w:val="auto"/>
          <w:sz w:val="24"/>
        </w:rPr>
        <w:t>Additional</w:t>
      </w:r>
      <w:r w:rsidR="006173AA">
        <w:rPr>
          <w:rFonts w:cs="Arial"/>
          <w:b/>
          <w:color w:val="auto"/>
          <w:sz w:val="24"/>
        </w:rPr>
        <w:t xml:space="preserve"> Specification</w:t>
      </w:r>
      <w:r w:rsidRPr="006B1432">
        <w:rPr>
          <w:rFonts w:cs="Arial"/>
          <w:b/>
          <w:color w:val="auto"/>
          <w:sz w:val="24"/>
        </w:rPr>
        <w:t xml:space="preserve"> Requirements (supplementary to general and regulatory)</w:t>
      </w:r>
    </w:p>
    <w:p w14:paraId="7CF0DF12" w14:textId="77777777" w:rsidR="00FA5310" w:rsidRPr="006B1432" w:rsidRDefault="00FA5310" w:rsidP="00280F75">
      <w:pPr>
        <w:pStyle w:val="BodyText2"/>
        <w:jc w:val="both"/>
        <w:rPr>
          <w:rFonts w:cs="Arial"/>
          <w:bCs/>
          <w:color w:val="auto"/>
          <w:sz w:val="24"/>
        </w:rPr>
      </w:pPr>
    </w:p>
    <w:p w14:paraId="3FAAC10E" w14:textId="7ED00746" w:rsidR="00FA5310" w:rsidRPr="006B1432" w:rsidRDefault="00FA5310" w:rsidP="00CE1D87">
      <w:pPr>
        <w:pStyle w:val="BodyText2"/>
        <w:jc w:val="both"/>
        <w:rPr>
          <w:rFonts w:cs="Arial"/>
          <w:bCs/>
          <w:color w:val="auto"/>
          <w:sz w:val="24"/>
        </w:rPr>
      </w:pPr>
      <w:r w:rsidRPr="006B1432">
        <w:rPr>
          <w:rFonts w:cs="Arial"/>
          <w:bCs/>
          <w:color w:val="auto"/>
          <w:sz w:val="24"/>
        </w:rPr>
        <w:t xml:space="preserve">The NHS has additional requirements to those identified within the general specification.  Those requirements are specified within this Appendix </w:t>
      </w:r>
      <w:r w:rsidR="00B32BC4">
        <w:rPr>
          <w:rFonts w:cs="Arial"/>
          <w:bCs/>
          <w:color w:val="auto"/>
          <w:sz w:val="24"/>
        </w:rPr>
        <w:t>A</w:t>
      </w:r>
      <w:r w:rsidRPr="006B1432">
        <w:rPr>
          <w:rFonts w:cs="Arial"/>
          <w:bCs/>
          <w:color w:val="auto"/>
          <w:sz w:val="24"/>
        </w:rPr>
        <w:t xml:space="preserve"> to Document No. 04b – </w:t>
      </w:r>
      <w:r w:rsidR="006849E3">
        <w:rPr>
          <w:rFonts w:cs="Arial"/>
          <w:bCs/>
          <w:color w:val="auto"/>
          <w:sz w:val="24"/>
        </w:rPr>
        <w:t>Assessment Criteria, Stability Protocol and Additional Specification Requirements</w:t>
      </w:r>
      <w:r w:rsidRPr="006B1432">
        <w:rPr>
          <w:rFonts w:cs="Arial"/>
          <w:bCs/>
          <w:color w:val="auto"/>
          <w:sz w:val="24"/>
        </w:rPr>
        <w:t xml:space="preserve">.  </w:t>
      </w:r>
    </w:p>
    <w:p w14:paraId="14BD1852" w14:textId="77777777" w:rsidR="00FA5310" w:rsidRPr="006B1432" w:rsidRDefault="00FA5310" w:rsidP="00280F75">
      <w:pPr>
        <w:pStyle w:val="BodyText2"/>
        <w:jc w:val="both"/>
        <w:rPr>
          <w:rFonts w:cs="Arial"/>
          <w:bCs/>
          <w:color w:val="auto"/>
          <w:sz w:val="24"/>
        </w:rPr>
      </w:pPr>
    </w:p>
    <w:p w14:paraId="355ABA49" w14:textId="77777777" w:rsidR="00FA5310" w:rsidRPr="006B1432" w:rsidRDefault="00FA5310" w:rsidP="00CE1D87">
      <w:pPr>
        <w:pStyle w:val="BodyText2"/>
        <w:jc w:val="both"/>
        <w:rPr>
          <w:rFonts w:cs="Arial"/>
          <w:bCs/>
          <w:color w:val="auto"/>
          <w:sz w:val="24"/>
        </w:rPr>
      </w:pPr>
      <w:r w:rsidRPr="006B1432">
        <w:rPr>
          <w:rFonts w:cs="Arial"/>
          <w:bCs/>
          <w:color w:val="auto"/>
          <w:sz w:val="24"/>
        </w:rPr>
        <w:t xml:space="preserve">Awards for these products will be made, where possible, to offers meeting the additional specification (subject to the offers meeting all other award criteria stated in paragraph 12.1.5 of Document No. 02 – Terms of Offer).  </w:t>
      </w:r>
    </w:p>
    <w:p w14:paraId="74A95AB5" w14:textId="77777777" w:rsidR="00FA5310" w:rsidRPr="006B1432" w:rsidRDefault="00FA5310" w:rsidP="00280F75">
      <w:pPr>
        <w:pStyle w:val="BodyText2"/>
        <w:ind w:left="-567"/>
        <w:jc w:val="both"/>
        <w:rPr>
          <w:rFonts w:cs="Arial"/>
          <w:bCs/>
          <w:color w:val="auto"/>
          <w:sz w:val="24"/>
        </w:rPr>
      </w:pPr>
    </w:p>
    <w:p w14:paraId="2009C9F1" w14:textId="77777777" w:rsidR="00FA5310" w:rsidRPr="006B1432" w:rsidRDefault="00FA5310" w:rsidP="00CE1D87">
      <w:pPr>
        <w:pStyle w:val="BodyText2"/>
        <w:jc w:val="both"/>
        <w:rPr>
          <w:rFonts w:cs="Arial"/>
          <w:bCs/>
          <w:color w:val="auto"/>
          <w:sz w:val="24"/>
        </w:rPr>
      </w:pPr>
      <w:r w:rsidRPr="006B1432">
        <w:rPr>
          <w:rFonts w:cs="Arial"/>
          <w:bCs/>
          <w:color w:val="auto"/>
          <w:sz w:val="24"/>
        </w:rPr>
        <w:t>Offers for products that do not meet the additional specification will only be awarded to the framework agreement in the absence of any offers meeting the additional specification (subject to the offers meeting all other award criteria stated in paragraph 12.1.5 of Document No. 02 – Terms of Offer).</w:t>
      </w:r>
    </w:p>
    <w:p w14:paraId="3294E384" w14:textId="77777777" w:rsidR="00FA5310" w:rsidRPr="006B1432" w:rsidRDefault="00FA5310" w:rsidP="00280F75">
      <w:pPr>
        <w:pStyle w:val="BodyText2"/>
        <w:ind w:left="-567"/>
        <w:jc w:val="both"/>
        <w:rPr>
          <w:rFonts w:cs="Arial"/>
          <w:bCs/>
          <w:color w:val="auto"/>
          <w:sz w:val="24"/>
        </w:rPr>
      </w:pPr>
    </w:p>
    <w:p w14:paraId="14E904F0" w14:textId="77777777" w:rsidR="00FA5310" w:rsidRPr="006B1432" w:rsidRDefault="00FA5310" w:rsidP="00CE1D87">
      <w:pPr>
        <w:pStyle w:val="BodyText2"/>
        <w:jc w:val="both"/>
        <w:rPr>
          <w:rFonts w:cs="Arial"/>
          <w:bCs/>
          <w:color w:val="auto"/>
          <w:sz w:val="24"/>
        </w:rPr>
      </w:pPr>
      <w:r w:rsidRPr="006B1432">
        <w:rPr>
          <w:rFonts w:cs="Arial"/>
          <w:bCs/>
          <w:color w:val="auto"/>
          <w:sz w:val="24"/>
        </w:rPr>
        <w:t>Offerors product information within PharmaQC will be used to determine whether offered products meet the addition requirements where possible.  The Product details and pack details recorded (not artwork or photographs) will be used and, in the absence of the relevant fields being completed, it will be deemed that the offered product does not meet the requirement.</w:t>
      </w:r>
    </w:p>
    <w:p w14:paraId="4A6F37B0" w14:textId="77777777" w:rsidR="00FA5310" w:rsidRPr="006B1432" w:rsidRDefault="00FA5310" w:rsidP="00280F75">
      <w:pPr>
        <w:pStyle w:val="BodyText2"/>
        <w:ind w:left="-567"/>
        <w:jc w:val="both"/>
        <w:rPr>
          <w:rFonts w:cs="Arial"/>
          <w:bCs/>
          <w:color w:val="auto"/>
          <w:sz w:val="24"/>
        </w:rPr>
      </w:pPr>
    </w:p>
    <w:p w14:paraId="27B8463D" w14:textId="77777777" w:rsidR="00FA5310" w:rsidRPr="004B6A03" w:rsidRDefault="00FA5310" w:rsidP="00280F75">
      <w:pPr>
        <w:pStyle w:val="BodyText2"/>
        <w:numPr>
          <w:ilvl w:val="0"/>
          <w:numId w:val="22"/>
        </w:numPr>
        <w:ind w:left="-567" w:firstLine="0"/>
        <w:jc w:val="both"/>
        <w:rPr>
          <w:rFonts w:cs="Arial"/>
          <w:b/>
          <w:color w:val="auto"/>
          <w:sz w:val="24"/>
        </w:rPr>
      </w:pPr>
      <w:r w:rsidRPr="004B6A03">
        <w:rPr>
          <w:rFonts w:cs="Arial"/>
          <w:b/>
          <w:color w:val="auto"/>
          <w:sz w:val="24"/>
        </w:rPr>
        <w:t>Primary packaging protection from light</w:t>
      </w:r>
    </w:p>
    <w:p w14:paraId="636B49D4" w14:textId="77777777" w:rsidR="00FA5310" w:rsidRPr="004B6A03" w:rsidRDefault="00FA5310" w:rsidP="00280F75">
      <w:pPr>
        <w:pStyle w:val="BodyText2"/>
        <w:ind w:left="-567"/>
        <w:jc w:val="both"/>
        <w:rPr>
          <w:rFonts w:cs="Arial"/>
          <w:b/>
          <w:color w:val="auto"/>
          <w:sz w:val="24"/>
        </w:rPr>
      </w:pPr>
    </w:p>
    <w:p w14:paraId="25FC48A5" w14:textId="5E309CC5" w:rsidR="00FA5310" w:rsidRPr="004B6A03" w:rsidRDefault="00FA5310" w:rsidP="00CE1D87">
      <w:pPr>
        <w:pStyle w:val="BodyText2"/>
        <w:jc w:val="both"/>
        <w:rPr>
          <w:rFonts w:cs="Arial"/>
          <w:bCs/>
          <w:color w:val="auto"/>
          <w:sz w:val="24"/>
        </w:rPr>
      </w:pPr>
      <w:r w:rsidRPr="004B6A03">
        <w:rPr>
          <w:rFonts w:cs="Arial"/>
          <w:bCs/>
          <w:color w:val="auto"/>
          <w:sz w:val="24"/>
        </w:rPr>
        <w:t xml:space="preserve">Notwithstanding the requirements in Document No. 09 – </w:t>
      </w:r>
      <w:r w:rsidR="006849E3">
        <w:rPr>
          <w:rFonts w:cs="Arial"/>
          <w:bCs/>
          <w:color w:val="auto"/>
          <w:sz w:val="24"/>
        </w:rPr>
        <w:t>S</w:t>
      </w:r>
      <w:r w:rsidRPr="004B6A03">
        <w:rPr>
          <w:rFonts w:cs="Arial"/>
          <w:bCs/>
          <w:color w:val="auto"/>
          <w:sz w:val="24"/>
        </w:rPr>
        <w:t xml:space="preserve">tability </w:t>
      </w:r>
      <w:r w:rsidR="006849E3">
        <w:rPr>
          <w:rFonts w:cs="Arial"/>
          <w:bCs/>
          <w:color w:val="auto"/>
          <w:sz w:val="24"/>
        </w:rPr>
        <w:t>D</w:t>
      </w:r>
      <w:r w:rsidRPr="004B6A03">
        <w:rPr>
          <w:rFonts w:cs="Arial"/>
          <w:bCs/>
          <w:color w:val="auto"/>
          <w:sz w:val="24"/>
        </w:rPr>
        <w:t xml:space="preserve">ata </w:t>
      </w:r>
      <w:r w:rsidR="006849E3">
        <w:rPr>
          <w:rFonts w:cs="Arial"/>
          <w:bCs/>
          <w:color w:val="auto"/>
          <w:sz w:val="24"/>
        </w:rPr>
        <w:t>R</w:t>
      </w:r>
      <w:r w:rsidRPr="004B6A03">
        <w:rPr>
          <w:rFonts w:cs="Arial"/>
          <w:bCs/>
          <w:color w:val="auto"/>
          <w:sz w:val="24"/>
        </w:rPr>
        <w:t>equirements, the NHS requires the following products to be contained in primary packaging designed to protect the product from light:</w:t>
      </w:r>
    </w:p>
    <w:p w14:paraId="5A7BBABB" w14:textId="77777777" w:rsidR="00FA5310" w:rsidRPr="004B6A03" w:rsidRDefault="00FA5310" w:rsidP="00280F75">
      <w:pPr>
        <w:pStyle w:val="BodyText2"/>
        <w:ind w:left="-567"/>
        <w:jc w:val="both"/>
        <w:rPr>
          <w:rFonts w:cs="Arial"/>
          <w:bCs/>
          <w:color w:val="auto"/>
          <w:sz w:val="24"/>
        </w:rPr>
      </w:pPr>
    </w:p>
    <w:p w14:paraId="57B77B23" w14:textId="77777777" w:rsidR="00FA5310" w:rsidRPr="004B6A03" w:rsidRDefault="00FA5310" w:rsidP="00CE1D87">
      <w:pPr>
        <w:pStyle w:val="BodyText2"/>
        <w:ind w:left="-567" w:firstLine="567"/>
        <w:jc w:val="both"/>
        <w:rPr>
          <w:rFonts w:cs="Arial"/>
          <w:bCs/>
          <w:color w:val="auto"/>
          <w:sz w:val="24"/>
        </w:rPr>
      </w:pPr>
      <w:r w:rsidRPr="004B6A03">
        <w:rPr>
          <w:rFonts w:cs="Arial"/>
          <w:bCs/>
          <w:color w:val="auto"/>
          <w:sz w:val="24"/>
        </w:rPr>
        <w:t>Ciprofloxacin solution for infusion 200mg/100ml</w:t>
      </w:r>
    </w:p>
    <w:p w14:paraId="34FBDA70" w14:textId="77777777" w:rsidR="00FA5310" w:rsidRPr="004B6A03" w:rsidRDefault="00FA5310" w:rsidP="00CE1D87">
      <w:pPr>
        <w:pStyle w:val="BodyText2"/>
        <w:ind w:left="-567" w:firstLine="567"/>
        <w:jc w:val="both"/>
        <w:rPr>
          <w:rFonts w:cs="Arial"/>
          <w:bCs/>
          <w:color w:val="auto"/>
          <w:sz w:val="24"/>
        </w:rPr>
      </w:pPr>
      <w:r w:rsidRPr="004B6A03">
        <w:rPr>
          <w:rFonts w:cs="Arial"/>
          <w:bCs/>
          <w:color w:val="auto"/>
          <w:sz w:val="24"/>
        </w:rPr>
        <w:t>Ciprofloxacin solution for infusion 400mg/200ml</w:t>
      </w:r>
    </w:p>
    <w:p w14:paraId="3CF7C3AB" w14:textId="77777777" w:rsidR="00FA5310" w:rsidRPr="004B6A03" w:rsidRDefault="00FA5310" w:rsidP="00280F75">
      <w:pPr>
        <w:pStyle w:val="BodyText2"/>
        <w:ind w:left="-567"/>
        <w:jc w:val="both"/>
        <w:rPr>
          <w:rFonts w:cs="Arial"/>
          <w:b/>
          <w:color w:val="auto"/>
          <w:sz w:val="24"/>
        </w:rPr>
      </w:pPr>
    </w:p>
    <w:p w14:paraId="081A4DD1" w14:textId="77777777" w:rsidR="00FA5310" w:rsidRPr="004B6A03" w:rsidRDefault="00FA5310" w:rsidP="00280F75">
      <w:pPr>
        <w:pStyle w:val="BodyText2"/>
        <w:numPr>
          <w:ilvl w:val="0"/>
          <w:numId w:val="22"/>
        </w:numPr>
        <w:ind w:left="0" w:hanging="567"/>
        <w:jc w:val="both"/>
        <w:rPr>
          <w:rFonts w:cs="Arial"/>
          <w:b/>
          <w:color w:val="auto"/>
          <w:sz w:val="24"/>
        </w:rPr>
      </w:pPr>
      <w:r w:rsidRPr="004B6A03">
        <w:rPr>
          <w:rFonts w:cs="Arial"/>
          <w:b/>
          <w:color w:val="auto"/>
          <w:sz w:val="24"/>
        </w:rPr>
        <w:t>Cytotoxic products in blister packs/sachets or with Child Resistant Closure (CRC)</w:t>
      </w:r>
    </w:p>
    <w:p w14:paraId="74280478" w14:textId="77777777" w:rsidR="00FA5310" w:rsidRPr="004B6A03" w:rsidRDefault="00FA5310" w:rsidP="00280F75">
      <w:pPr>
        <w:pStyle w:val="BodyText2"/>
        <w:jc w:val="both"/>
        <w:rPr>
          <w:rFonts w:cs="Arial"/>
          <w:b/>
          <w:color w:val="auto"/>
          <w:sz w:val="24"/>
        </w:rPr>
      </w:pPr>
    </w:p>
    <w:p w14:paraId="3E405C9D" w14:textId="77777777" w:rsidR="00FA5310" w:rsidRPr="004B6A03" w:rsidRDefault="00FA5310" w:rsidP="00CE1D87">
      <w:pPr>
        <w:pStyle w:val="BodyText2"/>
        <w:jc w:val="both"/>
        <w:rPr>
          <w:rFonts w:cs="Arial"/>
          <w:bCs/>
          <w:color w:val="auto"/>
          <w:sz w:val="24"/>
        </w:rPr>
      </w:pPr>
      <w:r w:rsidRPr="004B6A03">
        <w:rPr>
          <w:rFonts w:cs="Arial"/>
          <w:bCs/>
          <w:color w:val="auto"/>
          <w:sz w:val="24"/>
        </w:rPr>
        <w:t>The NHS requires the following cytotoxic products to be contained in a blister pack (or sachet) presentation or have a CRC if the presentation is in a bottle/tub:</w:t>
      </w:r>
    </w:p>
    <w:p w14:paraId="462DD7F7" w14:textId="77777777" w:rsidR="00FA5310" w:rsidRPr="004B6A03" w:rsidRDefault="00FA5310" w:rsidP="00280F75">
      <w:pPr>
        <w:pStyle w:val="BodyText2"/>
        <w:ind w:left="-567"/>
        <w:jc w:val="both"/>
        <w:rPr>
          <w:rFonts w:cs="Arial"/>
          <w:b/>
          <w:color w:val="auto"/>
          <w:sz w:val="24"/>
        </w:rPr>
      </w:pPr>
    </w:p>
    <w:p w14:paraId="67C2EBE8" w14:textId="77777777" w:rsidR="00FA5310" w:rsidRPr="00290025" w:rsidRDefault="00FA5310" w:rsidP="00CE1D87">
      <w:pPr>
        <w:pStyle w:val="BodyText2"/>
        <w:ind w:left="-567" w:firstLine="567"/>
        <w:jc w:val="both"/>
        <w:rPr>
          <w:rFonts w:cs="Arial"/>
          <w:bCs/>
          <w:color w:val="auto"/>
          <w:sz w:val="24"/>
        </w:rPr>
      </w:pPr>
      <w:r w:rsidRPr="00290025">
        <w:rPr>
          <w:rFonts w:cs="Arial"/>
          <w:bCs/>
          <w:color w:val="auto"/>
          <w:sz w:val="24"/>
        </w:rPr>
        <w:t>Cyclophosphamide Tablets 50mg</w:t>
      </w:r>
    </w:p>
    <w:p w14:paraId="3BE10091" w14:textId="77777777" w:rsidR="00FA5310" w:rsidRPr="00290025" w:rsidRDefault="00FA5310" w:rsidP="00CE1D87">
      <w:pPr>
        <w:pStyle w:val="BodyText2"/>
        <w:ind w:left="-567" w:firstLine="567"/>
        <w:jc w:val="both"/>
        <w:rPr>
          <w:rFonts w:cs="Arial"/>
          <w:bCs/>
          <w:color w:val="auto"/>
          <w:sz w:val="24"/>
        </w:rPr>
      </w:pPr>
      <w:r w:rsidRPr="00290025">
        <w:rPr>
          <w:rFonts w:cs="Arial"/>
          <w:bCs/>
          <w:color w:val="auto"/>
          <w:sz w:val="24"/>
        </w:rPr>
        <w:t>Imatinib Tablets/Capsules 100mg</w:t>
      </w:r>
    </w:p>
    <w:p w14:paraId="41DF99FC" w14:textId="77777777" w:rsidR="00FA5310" w:rsidRPr="00290025" w:rsidRDefault="00FA5310" w:rsidP="00CE1D87">
      <w:pPr>
        <w:pStyle w:val="BodyText2"/>
        <w:ind w:left="-567" w:firstLine="567"/>
        <w:jc w:val="both"/>
        <w:rPr>
          <w:rFonts w:cs="Arial"/>
          <w:bCs/>
          <w:color w:val="auto"/>
          <w:sz w:val="24"/>
        </w:rPr>
      </w:pPr>
      <w:r w:rsidRPr="00290025">
        <w:rPr>
          <w:rFonts w:cs="Arial"/>
          <w:bCs/>
          <w:color w:val="auto"/>
          <w:sz w:val="24"/>
        </w:rPr>
        <w:t>Imatinib Tablets/Capsules 400mg</w:t>
      </w:r>
    </w:p>
    <w:p w14:paraId="3A23342F" w14:textId="77777777" w:rsidR="00FA5310" w:rsidRPr="007F53D3" w:rsidRDefault="00FA5310" w:rsidP="00CE1D87">
      <w:pPr>
        <w:pStyle w:val="BodyText2"/>
        <w:ind w:left="-567" w:firstLine="567"/>
        <w:jc w:val="both"/>
        <w:rPr>
          <w:rFonts w:cs="Arial"/>
          <w:bCs/>
          <w:color w:val="auto"/>
          <w:sz w:val="24"/>
        </w:rPr>
      </w:pPr>
      <w:r w:rsidRPr="007F53D3">
        <w:rPr>
          <w:rFonts w:cs="Arial"/>
          <w:bCs/>
          <w:color w:val="auto"/>
          <w:sz w:val="24"/>
        </w:rPr>
        <w:t>Temozolomide Capsules 100mg</w:t>
      </w:r>
    </w:p>
    <w:p w14:paraId="7395CE88" w14:textId="77777777" w:rsidR="00FA5310" w:rsidRPr="007F53D3" w:rsidRDefault="00FA5310" w:rsidP="00CE1D87">
      <w:pPr>
        <w:pStyle w:val="BodyText2"/>
        <w:ind w:left="-567" w:firstLine="567"/>
        <w:jc w:val="both"/>
        <w:rPr>
          <w:rFonts w:cs="Arial"/>
          <w:bCs/>
          <w:color w:val="auto"/>
          <w:sz w:val="24"/>
        </w:rPr>
      </w:pPr>
      <w:r w:rsidRPr="007F53D3">
        <w:rPr>
          <w:rFonts w:cs="Arial"/>
          <w:bCs/>
          <w:color w:val="auto"/>
          <w:sz w:val="24"/>
        </w:rPr>
        <w:t>Temozolomide Capsules 140mg</w:t>
      </w:r>
    </w:p>
    <w:p w14:paraId="552120FB" w14:textId="77777777" w:rsidR="00FA5310" w:rsidRPr="007F53D3" w:rsidRDefault="00FA5310" w:rsidP="00CE1D87">
      <w:pPr>
        <w:pStyle w:val="BodyText2"/>
        <w:ind w:left="-567" w:firstLine="567"/>
        <w:jc w:val="both"/>
        <w:rPr>
          <w:rFonts w:cs="Arial"/>
          <w:bCs/>
          <w:color w:val="auto"/>
          <w:sz w:val="24"/>
        </w:rPr>
      </w:pPr>
      <w:r w:rsidRPr="007F53D3">
        <w:rPr>
          <w:rFonts w:cs="Arial"/>
          <w:bCs/>
          <w:color w:val="auto"/>
          <w:sz w:val="24"/>
        </w:rPr>
        <w:t>Temozolomide Capsules 180mg</w:t>
      </w:r>
    </w:p>
    <w:p w14:paraId="72FB1479" w14:textId="77777777" w:rsidR="00FA5310" w:rsidRPr="007F53D3" w:rsidRDefault="00FA5310" w:rsidP="00CE1D87">
      <w:pPr>
        <w:pStyle w:val="BodyText2"/>
        <w:ind w:left="-567" w:firstLine="567"/>
        <w:jc w:val="both"/>
        <w:rPr>
          <w:rFonts w:cs="Arial"/>
          <w:bCs/>
          <w:color w:val="auto"/>
          <w:sz w:val="24"/>
        </w:rPr>
      </w:pPr>
      <w:r w:rsidRPr="007F53D3">
        <w:rPr>
          <w:rFonts w:cs="Arial"/>
          <w:bCs/>
          <w:color w:val="auto"/>
          <w:sz w:val="24"/>
        </w:rPr>
        <w:t>Temozolomide Capsules 250mg</w:t>
      </w:r>
    </w:p>
    <w:p w14:paraId="254D5740" w14:textId="77777777" w:rsidR="00FA5310" w:rsidRPr="007F53D3" w:rsidRDefault="00FA5310" w:rsidP="00CE1D87">
      <w:pPr>
        <w:pStyle w:val="BodyText2"/>
        <w:ind w:left="-567" w:firstLine="567"/>
        <w:jc w:val="both"/>
        <w:rPr>
          <w:rFonts w:cs="Arial"/>
          <w:bCs/>
          <w:color w:val="auto"/>
          <w:sz w:val="24"/>
        </w:rPr>
      </w:pPr>
      <w:r w:rsidRPr="007F53D3">
        <w:rPr>
          <w:rFonts w:cs="Arial"/>
          <w:bCs/>
          <w:color w:val="auto"/>
          <w:sz w:val="24"/>
        </w:rPr>
        <w:t>Temozolomide Capsules 5mg</w:t>
      </w:r>
    </w:p>
    <w:p w14:paraId="2318FE4E" w14:textId="77777777" w:rsidR="00FA5310" w:rsidRPr="007F53D3" w:rsidRDefault="00FA5310" w:rsidP="00CE1D87">
      <w:pPr>
        <w:pStyle w:val="BodyText2"/>
        <w:ind w:left="-567" w:firstLine="567"/>
        <w:jc w:val="both"/>
        <w:rPr>
          <w:rFonts w:cs="Arial"/>
          <w:bCs/>
          <w:color w:val="auto"/>
          <w:sz w:val="24"/>
        </w:rPr>
      </w:pPr>
      <w:r w:rsidRPr="007F53D3">
        <w:rPr>
          <w:rFonts w:cs="Arial"/>
          <w:bCs/>
          <w:color w:val="auto"/>
          <w:sz w:val="24"/>
        </w:rPr>
        <w:t>Temozolomide Capsules 20mg</w:t>
      </w:r>
    </w:p>
    <w:p w14:paraId="10E0B7D4" w14:textId="77777777" w:rsidR="00FA5310" w:rsidRPr="007F53D3" w:rsidRDefault="00FA5310" w:rsidP="00CE1D87">
      <w:pPr>
        <w:pStyle w:val="BodyText2"/>
        <w:ind w:left="-567" w:firstLine="567"/>
        <w:jc w:val="both"/>
        <w:rPr>
          <w:rFonts w:cs="Arial"/>
          <w:bCs/>
          <w:color w:val="auto"/>
          <w:sz w:val="24"/>
        </w:rPr>
      </w:pPr>
      <w:r w:rsidRPr="007F53D3">
        <w:rPr>
          <w:rFonts w:cs="Arial"/>
          <w:bCs/>
          <w:color w:val="auto"/>
          <w:sz w:val="24"/>
        </w:rPr>
        <w:t>Capecitabine Tablets 150mg</w:t>
      </w:r>
    </w:p>
    <w:p w14:paraId="17F8EA0E" w14:textId="77777777" w:rsidR="00FA5310" w:rsidRPr="007F53D3" w:rsidRDefault="00FA5310" w:rsidP="00CE1D87">
      <w:pPr>
        <w:pStyle w:val="BodyText2"/>
        <w:ind w:left="-567" w:firstLine="567"/>
        <w:jc w:val="both"/>
        <w:rPr>
          <w:rFonts w:cs="Arial"/>
          <w:bCs/>
          <w:color w:val="auto"/>
          <w:sz w:val="24"/>
        </w:rPr>
      </w:pPr>
      <w:r w:rsidRPr="007F53D3">
        <w:rPr>
          <w:rFonts w:cs="Arial"/>
          <w:bCs/>
          <w:color w:val="auto"/>
          <w:sz w:val="24"/>
        </w:rPr>
        <w:lastRenderedPageBreak/>
        <w:t>Capecitabine Tablets 300mg</w:t>
      </w:r>
    </w:p>
    <w:p w14:paraId="4337CABE" w14:textId="77777777" w:rsidR="00FA5310" w:rsidRPr="009939FF" w:rsidRDefault="00FA5310" w:rsidP="00CE1D87">
      <w:pPr>
        <w:pStyle w:val="BodyText2"/>
        <w:ind w:left="-567" w:firstLine="567"/>
        <w:jc w:val="both"/>
        <w:rPr>
          <w:rFonts w:cs="Arial"/>
          <w:bCs/>
          <w:color w:val="auto"/>
          <w:sz w:val="24"/>
          <w:highlight w:val="yellow"/>
        </w:rPr>
      </w:pPr>
      <w:r w:rsidRPr="007F53D3">
        <w:rPr>
          <w:rFonts w:cs="Arial"/>
          <w:bCs/>
          <w:color w:val="auto"/>
          <w:sz w:val="24"/>
        </w:rPr>
        <w:t>Capecitabine Tablets 500mg</w:t>
      </w:r>
    </w:p>
    <w:p w14:paraId="4E69A294" w14:textId="77777777" w:rsidR="00FA5310" w:rsidRPr="009939FF" w:rsidRDefault="00FA5310" w:rsidP="00280F75">
      <w:pPr>
        <w:pStyle w:val="BodyText2"/>
        <w:ind w:left="-567"/>
        <w:jc w:val="both"/>
        <w:rPr>
          <w:rFonts w:cs="Arial"/>
          <w:bCs/>
          <w:color w:val="auto"/>
          <w:sz w:val="24"/>
          <w:highlight w:val="yellow"/>
        </w:rPr>
      </w:pPr>
    </w:p>
    <w:p w14:paraId="458EF383" w14:textId="50FE5DA5" w:rsidR="00FA5310" w:rsidRPr="004B6A03" w:rsidRDefault="00FA5310" w:rsidP="00280F75">
      <w:pPr>
        <w:pStyle w:val="BodyText2"/>
        <w:numPr>
          <w:ilvl w:val="0"/>
          <w:numId w:val="22"/>
        </w:numPr>
        <w:ind w:left="0" w:hanging="567"/>
        <w:jc w:val="both"/>
        <w:rPr>
          <w:rFonts w:cs="Arial"/>
          <w:bCs/>
          <w:color w:val="auto"/>
          <w:sz w:val="24"/>
        </w:rPr>
      </w:pPr>
      <w:r w:rsidRPr="004B6A03">
        <w:rPr>
          <w:rFonts w:cs="Arial"/>
          <w:b/>
          <w:color w:val="auto"/>
          <w:sz w:val="24"/>
        </w:rPr>
        <w:t xml:space="preserve">Licensed </w:t>
      </w:r>
      <w:r w:rsidR="0085481E">
        <w:rPr>
          <w:rFonts w:cs="Arial"/>
          <w:b/>
          <w:color w:val="auto"/>
          <w:sz w:val="24"/>
        </w:rPr>
        <w:t xml:space="preserve">routes of </w:t>
      </w:r>
      <w:r w:rsidRPr="004B6A03">
        <w:rPr>
          <w:rFonts w:cs="Arial"/>
          <w:b/>
          <w:color w:val="auto"/>
          <w:sz w:val="24"/>
        </w:rPr>
        <w:t>administration</w:t>
      </w:r>
      <w:r>
        <w:rPr>
          <w:rFonts w:cs="Arial"/>
          <w:b/>
          <w:color w:val="auto"/>
          <w:sz w:val="24"/>
        </w:rPr>
        <w:t>s</w:t>
      </w:r>
    </w:p>
    <w:p w14:paraId="1820CA13" w14:textId="77777777" w:rsidR="00FA5310" w:rsidRPr="004B6A03" w:rsidRDefault="00FA5310" w:rsidP="00280F75">
      <w:pPr>
        <w:pStyle w:val="BodyText2"/>
        <w:jc w:val="both"/>
        <w:rPr>
          <w:rFonts w:cs="Arial"/>
          <w:bCs/>
          <w:color w:val="auto"/>
          <w:sz w:val="24"/>
        </w:rPr>
      </w:pPr>
    </w:p>
    <w:p w14:paraId="3CF4FA71" w14:textId="1A58F8E3" w:rsidR="00FA5310" w:rsidRPr="004B6A03" w:rsidRDefault="00FA5310" w:rsidP="00CE1D87">
      <w:pPr>
        <w:pStyle w:val="BodyText2"/>
        <w:jc w:val="both"/>
        <w:rPr>
          <w:rFonts w:cs="Arial"/>
          <w:bCs/>
          <w:color w:val="auto"/>
          <w:sz w:val="24"/>
        </w:rPr>
      </w:pPr>
      <w:r w:rsidRPr="004B6A03">
        <w:rPr>
          <w:rFonts w:cs="Arial"/>
          <w:bCs/>
          <w:color w:val="auto"/>
          <w:sz w:val="24"/>
        </w:rPr>
        <w:t>The NHS requires the following product to</w:t>
      </w:r>
      <w:r w:rsidR="0085481E">
        <w:rPr>
          <w:rFonts w:cs="Arial"/>
          <w:bCs/>
          <w:color w:val="auto"/>
          <w:sz w:val="24"/>
        </w:rPr>
        <w:t xml:space="preserve"> be</w:t>
      </w:r>
      <w:r w:rsidRPr="004B6A03">
        <w:rPr>
          <w:rFonts w:cs="Arial"/>
          <w:bCs/>
          <w:color w:val="auto"/>
          <w:sz w:val="24"/>
        </w:rPr>
        <w:t xml:space="preserve"> licensed for administration both with and without dilution:</w:t>
      </w:r>
    </w:p>
    <w:p w14:paraId="1D389C17" w14:textId="77777777" w:rsidR="00FA5310" w:rsidRPr="004B6A03" w:rsidRDefault="00FA5310" w:rsidP="00280F75">
      <w:pPr>
        <w:pStyle w:val="BodyText2"/>
        <w:ind w:left="-567"/>
        <w:jc w:val="both"/>
        <w:rPr>
          <w:rFonts w:cs="Arial"/>
          <w:bCs/>
          <w:color w:val="auto"/>
          <w:sz w:val="24"/>
        </w:rPr>
      </w:pPr>
    </w:p>
    <w:p w14:paraId="1FC8EC6F" w14:textId="561078B3" w:rsidR="00FA5310" w:rsidRPr="00275407" w:rsidRDefault="00FA5310" w:rsidP="00CE1D87">
      <w:pPr>
        <w:pStyle w:val="BodyText2"/>
        <w:ind w:left="-567" w:firstLine="567"/>
        <w:jc w:val="both"/>
        <w:rPr>
          <w:rFonts w:cs="Arial"/>
          <w:bCs/>
          <w:color w:val="auto"/>
          <w:sz w:val="24"/>
        </w:rPr>
      </w:pPr>
      <w:r w:rsidRPr="00275407">
        <w:rPr>
          <w:rFonts w:cs="Arial"/>
          <w:bCs/>
          <w:color w:val="auto"/>
          <w:sz w:val="24"/>
        </w:rPr>
        <w:t>Phenytoin Sodium Solution for Injection Amp</w:t>
      </w:r>
      <w:r w:rsidR="00742D79">
        <w:rPr>
          <w:rFonts w:cs="Arial"/>
          <w:bCs/>
          <w:color w:val="auto"/>
          <w:sz w:val="24"/>
        </w:rPr>
        <w:t>oule</w:t>
      </w:r>
      <w:r w:rsidRPr="00275407">
        <w:rPr>
          <w:rFonts w:cs="Arial"/>
          <w:bCs/>
          <w:color w:val="auto"/>
          <w:sz w:val="24"/>
        </w:rPr>
        <w:t xml:space="preserve"> 250mg/5ml</w:t>
      </w:r>
    </w:p>
    <w:p w14:paraId="7A231C23" w14:textId="77777777" w:rsidR="00FA5310" w:rsidRDefault="00FA5310" w:rsidP="00280F75">
      <w:pPr>
        <w:pStyle w:val="BodyText2"/>
        <w:ind w:left="-567"/>
        <w:jc w:val="both"/>
        <w:rPr>
          <w:rFonts w:cs="Arial"/>
          <w:bCs/>
          <w:color w:val="auto"/>
          <w:sz w:val="24"/>
          <w:highlight w:val="yellow"/>
        </w:rPr>
      </w:pPr>
    </w:p>
    <w:p w14:paraId="2FFB654D" w14:textId="77777777" w:rsidR="00FA5310" w:rsidRPr="00A21EBD" w:rsidRDefault="00FA5310" w:rsidP="00CE1D87">
      <w:pPr>
        <w:pStyle w:val="BodyText2"/>
        <w:jc w:val="both"/>
        <w:rPr>
          <w:rFonts w:cs="Arial"/>
          <w:bCs/>
          <w:color w:val="auto"/>
          <w:sz w:val="24"/>
        </w:rPr>
      </w:pPr>
      <w:r w:rsidRPr="00A21EBD">
        <w:rPr>
          <w:rFonts w:cs="Arial"/>
          <w:bCs/>
          <w:color w:val="auto"/>
          <w:sz w:val="24"/>
        </w:rPr>
        <w:t>The NHS requires the following product to be licensed for the route(s) of administration to include intrathecal route:</w:t>
      </w:r>
    </w:p>
    <w:p w14:paraId="5A69F4BE" w14:textId="77777777" w:rsidR="00FA5310" w:rsidRPr="00A21EBD" w:rsidRDefault="00FA5310" w:rsidP="00280F75">
      <w:pPr>
        <w:pStyle w:val="BodyText2"/>
        <w:ind w:left="-567"/>
        <w:jc w:val="both"/>
        <w:rPr>
          <w:rFonts w:cs="Arial"/>
          <w:bCs/>
          <w:color w:val="auto"/>
          <w:sz w:val="24"/>
        </w:rPr>
      </w:pPr>
    </w:p>
    <w:p w14:paraId="2DDEF896" w14:textId="5EECC2D0" w:rsidR="00FA5310" w:rsidRPr="00A21EBD" w:rsidRDefault="00FA5310" w:rsidP="00CE1D87">
      <w:pPr>
        <w:pStyle w:val="BodyText2"/>
        <w:ind w:left="-567" w:firstLine="567"/>
        <w:jc w:val="both"/>
        <w:rPr>
          <w:rFonts w:cs="Arial"/>
          <w:bCs/>
          <w:color w:val="auto"/>
          <w:sz w:val="24"/>
        </w:rPr>
      </w:pPr>
      <w:r w:rsidRPr="00C4533D">
        <w:rPr>
          <w:rFonts w:cs="Arial"/>
          <w:bCs/>
          <w:color w:val="auto"/>
          <w:sz w:val="24"/>
        </w:rPr>
        <w:t>Methotrexate Solution for Injection Vial 50mg/2ml</w:t>
      </w:r>
      <w:r w:rsidR="00C4533D">
        <w:rPr>
          <w:rFonts w:cs="Arial"/>
          <w:bCs/>
          <w:color w:val="auto"/>
          <w:sz w:val="24"/>
        </w:rPr>
        <w:t xml:space="preserve"> (For IV, IM and Intrathecal Use)</w:t>
      </w:r>
    </w:p>
    <w:p w14:paraId="5DF36AFB" w14:textId="498E29EA" w:rsidR="00FA5310" w:rsidRPr="00A21EBD" w:rsidRDefault="00FA5310" w:rsidP="00280F75">
      <w:pPr>
        <w:pStyle w:val="BodyText2"/>
        <w:ind w:left="-567"/>
        <w:jc w:val="both"/>
        <w:rPr>
          <w:rFonts w:cs="Arial"/>
          <w:bCs/>
          <w:color w:val="auto"/>
          <w:sz w:val="24"/>
        </w:rPr>
      </w:pPr>
    </w:p>
    <w:p w14:paraId="5E5C0CE1" w14:textId="77777777" w:rsidR="00FA5310" w:rsidRPr="00A21EBD" w:rsidRDefault="00FA5310" w:rsidP="00CE1D87">
      <w:pPr>
        <w:pStyle w:val="BodyText2"/>
        <w:jc w:val="both"/>
        <w:rPr>
          <w:rFonts w:cs="Arial"/>
          <w:bCs/>
          <w:color w:val="auto"/>
          <w:sz w:val="24"/>
        </w:rPr>
      </w:pPr>
      <w:r w:rsidRPr="00A21EBD">
        <w:rPr>
          <w:rFonts w:cs="Arial"/>
          <w:bCs/>
          <w:color w:val="auto"/>
          <w:sz w:val="24"/>
        </w:rPr>
        <w:t>The NHS requires the following product to be licensed for the route(s) of administration to include Intramuscular and Intravenous:</w:t>
      </w:r>
    </w:p>
    <w:p w14:paraId="0C66EA95" w14:textId="77777777" w:rsidR="00FA5310" w:rsidRPr="00A21EBD" w:rsidRDefault="00FA5310" w:rsidP="00280F75">
      <w:pPr>
        <w:pStyle w:val="BodyText2"/>
        <w:ind w:left="-567"/>
        <w:jc w:val="both"/>
        <w:rPr>
          <w:rFonts w:cs="Arial"/>
          <w:bCs/>
          <w:color w:val="auto"/>
          <w:sz w:val="24"/>
        </w:rPr>
      </w:pPr>
    </w:p>
    <w:p w14:paraId="63421D9C" w14:textId="51D45F95" w:rsidR="00FA5310" w:rsidRPr="00A21EBD" w:rsidRDefault="00FA5310" w:rsidP="00CE1D87">
      <w:pPr>
        <w:pStyle w:val="BodyText2"/>
        <w:ind w:left="-567" w:firstLine="567"/>
        <w:jc w:val="both"/>
        <w:rPr>
          <w:rFonts w:cs="Arial"/>
          <w:bCs/>
          <w:color w:val="auto"/>
          <w:sz w:val="24"/>
        </w:rPr>
      </w:pPr>
      <w:r w:rsidRPr="00863F7B">
        <w:rPr>
          <w:rFonts w:cs="Arial"/>
          <w:bCs/>
          <w:color w:val="auto"/>
          <w:sz w:val="24"/>
        </w:rPr>
        <w:t>Ondansetron Solution for Injection Amp</w:t>
      </w:r>
      <w:r w:rsidR="00863F7B" w:rsidRPr="00863F7B">
        <w:rPr>
          <w:rFonts w:cs="Arial"/>
          <w:bCs/>
          <w:color w:val="auto"/>
          <w:sz w:val="24"/>
        </w:rPr>
        <w:t>oule (For IV and IM Use)</w:t>
      </w:r>
      <w:r w:rsidRPr="00863F7B">
        <w:rPr>
          <w:rFonts w:cs="Arial"/>
          <w:bCs/>
          <w:color w:val="auto"/>
          <w:sz w:val="24"/>
        </w:rPr>
        <w:t xml:space="preserve"> 4mg/2ml.</w:t>
      </w:r>
      <w:r w:rsidRPr="00A21EBD">
        <w:rPr>
          <w:rFonts w:cs="Arial"/>
          <w:bCs/>
          <w:color w:val="auto"/>
          <w:sz w:val="24"/>
        </w:rPr>
        <w:t xml:space="preserve"> </w:t>
      </w:r>
    </w:p>
    <w:p w14:paraId="7A76CE72" w14:textId="77777777" w:rsidR="00FA5310" w:rsidRPr="00A21EBD" w:rsidRDefault="00FA5310" w:rsidP="00280F75">
      <w:pPr>
        <w:pStyle w:val="BodyText2"/>
        <w:ind w:left="-567"/>
        <w:jc w:val="both"/>
        <w:rPr>
          <w:rFonts w:cs="Arial"/>
          <w:bCs/>
          <w:color w:val="auto"/>
          <w:sz w:val="24"/>
        </w:rPr>
      </w:pPr>
    </w:p>
    <w:p w14:paraId="3ADAF761" w14:textId="77777777" w:rsidR="00FA5310" w:rsidRPr="00BB5ABE" w:rsidRDefault="00FA5310" w:rsidP="00CE1D87">
      <w:pPr>
        <w:pStyle w:val="BodyText2"/>
        <w:numPr>
          <w:ilvl w:val="0"/>
          <w:numId w:val="22"/>
        </w:numPr>
        <w:ind w:left="0" w:hanging="567"/>
        <w:jc w:val="both"/>
        <w:rPr>
          <w:rFonts w:cs="Arial"/>
          <w:b/>
          <w:color w:val="auto"/>
          <w:sz w:val="24"/>
        </w:rPr>
      </w:pPr>
      <w:r w:rsidRPr="00BB5ABE">
        <w:rPr>
          <w:rFonts w:cs="Arial"/>
          <w:b/>
          <w:color w:val="auto"/>
          <w:sz w:val="24"/>
        </w:rPr>
        <w:t>Oral liquid products to have Child Resistant Closure (CRC)</w:t>
      </w:r>
    </w:p>
    <w:p w14:paraId="7D5129C3" w14:textId="77777777" w:rsidR="00FA5310" w:rsidRPr="00BB5ABE" w:rsidRDefault="00FA5310" w:rsidP="00280F75">
      <w:pPr>
        <w:pStyle w:val="BodyText2"/>
        <w:jc w:val="both"/>
        <w:rPr>
          <w:rFonts w:cs="Arial"/>
          <w:bCs/>
          <w:color w:val="auto"/>
          <w:sz w:val="24"/>
        </w:rPr>
      </w:pPr>
    </w:p>
    <w:p w14:paraId="2DBC22C4" w14:textId="77777777" w:rsidR="00FA5310" w:rsidRPr="00BB5ABE" w:rsidRDefault="00FA5310" w:rsidP="00CE1D87">
      <w:pPr>
        <w:pStyle w:val="BodyText2"/>
        <w:ind w:left="-567" w:firstLine="567"/>
        <w:jc w:val="both"/>
        <w:rPr>
          <w:rFonts w:cs="Arial"/>
          <w:bCs/>
          <w:color w:val="auto"/>
          <w:sz w:val="24"/>
        </w:rPr>
      </w:pPr>
      <w:r w:rsidRPr="00BB5ABE">
        <w:rPr>
          <w:rFonts w:cs="Arial"/>
          <w:bCs/>
          <w:color w:val="auto"/>
          <w:sz w:val="24"/>
        </w:rPr>
        <w:t>The NHS requires the following oral liquid products to have a CRC:</w:t>
      </w:r>
    </w:p>
    <w:p w14:paraId="258E75AC" w14:textId="77777777" w:rsidR="00FA5310" w:rsidRDefault="00FA5310" w:rsidP="00280F75">
      <w:pPr>
        <w:pStyle w:val="BodyText2"/>
        <w:ind w:left="-567"/>
        <w:jc w:val="both"/>
        <w:rPr>
          <w:rFonts w:cs="Arial"/>
          <w:bCs/>
          <w:color w:val="auto"/>
          <w:sz w:val="24"/>
          <w:highlight w:val="yellow"/>
        </w:rPr>
      </w:pPr>
    </w:p>
    <w:p w14:paraId="6545115D" w14:textId="1295D6D9" w:rsidR="00FA5310" w:rsidRDefault="00FA5310" w:rsidP="00CE1D87">
      <w:pPr>
        <w:pStyle w:val="BodyText2"/>
        <w:ind w:left="-567" w:firstLine="567"/>
        <w:jc w:val="both"/>
        <w:rPr>
          <w:rFonts w:cs="Arial"/>
          <w:bCs/>
          <w:color w:val="auto"/>
          <w:sz w:val="24"/>
        </w:rPr>
      </w:pPr>
      <w:r w:rsidRPr="00845E71">
        <w:rPr>
          <w:rFonts w:cs="Arial"/>
          <w:bCs/>
          <w:color w:val="auto"/>
          <w:sz w:val="24"/>
        </w:rPr>
        <w:t xml:space="preserve">ATOVAQUONE ORAL SUSPENSION </w:t>
      </w:r>
      <w:r w:rsidR="00972EC2">
        <w:rPr>
          <w:rFonts w:cs="Arial"/>
          <w:bCs/>
          <w:color w:val="auto"/>
          <w:sz w:val="24"/>
        </w:rPr>
        <w:t>(SUGAR FREE)</w:t>
      </w:r>
      <w:r w:rsidRPr="00845E71">
        <w:rPr>
          <w:rFonts w:cs="Arial"/>
          <w:bCs/>
          <w:color w:val="auto"/>
          <w:sz w:val="24"/>
        </w:rPr>
        <w:t xml:space="preserve"> 750MG/5ML </w:t>
      </w:r>
      <w:r w:rsidR="00972EC2">
        <w:rPr>
          <w:rFonts w:cs="Arial"/>
          <w:bCs/>
          <w:color w:val="auto"/>
          <w:sz w:val="24"/>
        </w:rPr>
        <w:t>(</w:t>
      </w:r>
      <w:r w:rsidRPr="00845E71">
        <w:rPr>
          <w:rFonts w:cs="Arial"/>
          <w:bCs/>
          <w:color w:val="auto"/>
          <w:sz w:val="24"/>
        </w:rPr>
        <w:t>250ML</w:t>
      </w:r>
      <w:r w:rsidR="00972EC2">
        <w:rPr>
          <w:rFonts w:cs="Arial"/>
          <w:bCs/>
          <w:color w:val="auto"/>
          <w:sz w:val="24"/>
        </w:rPr>
        <w:t>)</w:t>
      </w:r>
    </w:p>
    <w:p w14:paraId="25B7FA5F" w14:textId="3545059D" w:rsidR="00FA5310" w:rsidRDefault="00FA5310" w:rsidP="00CE1D87">
      <w:pPr>
        <w:pStyle w:val="BodyText2"/>
        <w:ind w:left="-567" w:firstLine="567"/>
        <w:jc w:val="both"/>
        <w:rPr>
          <w:rFonts w:cs="Arial"/>
          <w:bCs/>
          <w:color w:val="auto"/>
          <w:sz w:val="24"/>
        </w:rPr>
      </w:pPr>
      <w:r w:rsidRPr="00845E71">
        <w:rPr>
          <w:rFonts w:cs="Arial"/>
          <w:bCs/>
          <w:color w:val="auto"/>
          <w:sz w:val="24"/>
        </w:rPr>
        <w:t xml:space="preserve">DEFERIPRONE ORAL SOLUTION </w:t>
      </w:r>
      <w:r w:rsidR="00972EC2">
        <w:rPr>
          <w:rFonts w:cs="Arial"/>
          <w:bCs/>
          <w:color w:val="auto"/>
          <w:sz w:val="24"/>
        </w:rPr>
        <w:t>(</w:t>
      </w:r>
      <w:r w:rsidRPr="00845E71">
        <w:rPr>
          <w:rFonts w:cs="Arial"/>
          <w:bCs/>
          <w:color w:val="auto"/>
          <w:sz w:val="24"/>
        </w:rPr>
        <w:t>SUGAR FREE</w:t>
      </w:r>
      <w:r w:rsidR="00972EC2">
        <w:rPr>
          <w:rFonts w:cs="Arial"/>
          <w:bCs/>
          <w:color w:val="auto"/>
          <w:sz w:val="24"/>
        </w:rPr>
        <w:t>)</w:t>
      </w:r>
      <w:r w:rsidRPr="00845E71">
        <w:rPr>
          <w:rFonts w:cs="Arial"/>
          <w:bCs/>
          <w:color w:val="auto"/>
          <w:sz w:val="24"/>
        </w:rPr>
        <w:t xml:space="preserve"> 100MG/ML </w:t>
      </w:r>
      <w:r w:rsidR="00972EC2">
        <w:rPr>
          <w:rFonts w:cs="Arial"/>
          <w:bCs/>
          <w:color w:val="auto"/>
          <w:sz w:val="24"/>
        </w:rPr>
        <w:t>(</w:t>
      </w:r>
      <w:r w:rsidRPr="00845E71">
        <w:rPr>
          <w:rFonts w:cs="Arial"/>
          <w:bCs/>
          <w:color w:val="auto"/>
          <w:sz w:val="24"/>
        </w:rPr>
        <w:t>500ML</w:t>
      </w:r>
      <w:r w:rsidR="00972EC2">
        <w:rPr>
          <w:rFonts w:cs="Arial"/>
          <w:bCs/>
          <w:color w:val="auto"/>
          <w:sz w:val="24"/>
        </w:rPr>
        <w:t>)</w:t>
      </w:r>
    </w:p>
    <w:p w14:paraId="1E0CE355" w14:textId="43D34A12" w:rsidR="00FA5310" w:rsidRPr="009939FF" w:rsidRDefault="00FA5310" w:rsidP="00CE1D87">
      <w:pPr>
        <w:pStyle w:val="BodyText2"/>
        <w:ind w:left="-567" w:firstLine="567"/>
        <w:jc w:val="both"/>
        <w:rPr>
          <w:rFonts w:cs="Arial"/>
          <w:bCs/>
          <w:color w:val="auto"/>
          <w:sz w:val="24"/>
          <w:highlight w:val="yellow"/>
        </w:rPr>
      </w:pPr>
      <w:r w:rsidRPr="00845E71">
        <w:rPr>
          <w:rFonts w:cs="Arial"/>
          <w:bCs/>
          <w:color w:val="auto"/>
          <w:sz w:val="24"/>
        </w:rPr>
        <w:t xml:space="preserve">OSELTAMIVIR ORAL SUSPENSION </w:t>
      </w:r>
      <w:r w:rsidR="00972EC2">
        <w:rPr>
          <w:rFonts w:cs="Arial"/>
          <w:bCs/>
          <w:color w:val="auto"/>
          <w:sz w:val="24"/>
        </w:rPr>
        <w:t>(</w:t>
      </w:r>
      <w:r w:rsidRPr="00845E71">
        <w:rPr>
          <w:rFonts w:cs="Arial"/>
          <w:bCs/>
          <w:color w:val="auto"/>
          <w:sz w:val="24"/>
        </w:rPr>
        <w:t>SUGAR FREE</w:t>
      </w:r>
      <w:r w:rsidR="00972EC2">
        <w:rPr>
          <w:rFonts w:cs="Arial"/>
          <w:bCs/>
          <w:color w:val="auto"/>
          <w:sz w:val="24"/>
        </w:rPr>
        <w:t>)</w:t>
      </w:r>
      <w:r w:rsidRPr="00845E71">
        <w:rPr>
          <w:rFonts w:cs="Arial"/>
          <w:bCs/>
          <w:color w:val="auto"/>
          <w:sz w:val="24"/>
        </w:rPr>
        <w:t xml:space="preserve"> 30MG/5ML </w:t>
      </w:r>
      <w:r w:rsidR="00972EC2">
        <w:rPr>
          <w:rFonts w:cs="Arial"/>
          <w:bCs/>
          <w:color w:val="auto"/>
          <w:sz w:val="24"/>
        </w:rPr>
        <w:t>(</w:t>
      </w:r>
      <w:r w:rsidRPr="00845E71">
        <w:rPr>
          <w:rFonts w:cs="Arial"/>
          <w:bCs/>
          <w:color w:val="auto"/>
          <w:sz w:val="24"/>
        </w:rPr>
        <w:t>65 ML</w:t>
      </w:r>
      <w:r w:rsidR="00972EC2">
        <w:rPr>
          <w:rFonts w:cs="Arial"/>
          <w:bCs/>
          <w:color w:val="auto"/>
          <w:sz w:val="24"/>
        </w:rPr>
        <w:t>)</w:t>
      </w:r>
    </w:p>
    <w:p w14:paraId="6F79FF08" w14:textId="56BEA04F" w:rsidR="00FA5310" w:rsidRDefault="00FA5310" w:rsidP="00CE1D87">
      <w:pPr>
        <w:pStyle w:val="BodyText2"/>
        <w:ind w:left="-567" w:firstLine="567"/>
        <w:jc w:val="both"/>
        <w:rPr>
          <w:rFonts w:cs="Arial"/>
          <w:bCs/>
          <w:color w:val="auto"/>
          <w:sz w:val="24"/>
        </w:rPr>
      </w:pPr>
      <w:r w:rsidRPr="00275407">
        <w:rPr>
          <w:rFonts w:cs="Arial"/>
          <w:bCs/>
          <w:color w:val="auto"/>
          <w:sz w:val="24"/>
        </w:rPr>
        <w:t xml:space="preserve">VALGANCICLOVIR ORAL SOLUTION </w:t>
      </w:r>
      <w:r w:rsidR="00972EC2">
        <w:rPr>
          <w:rFonts w:cs="Arial"/>
          <w:bCs/>
          <w:color w:val="auto"/>
          <w:sz w:val="24"/>
        </w:rPr>
        <w:t>(</w:t>
      </w:r>
      <w:r w:rsidRPr="00275407">
        <w:rPr>
          <w:rFonts w:cs="Arial"/>
          <w:bCs/>
          <w:color w:val="auto"/>
          <w:sz w:val="24"/>
        </w:rPr>
        <w:t>SUGAR FREE</w:t>
      </w:r>
      <w:r w:rsidR="00972EC2">
        <w:rPr>
          <w:rFonts w:cs="Arial"/>
          <w:bCs/>
          <w:color w:val="auto"/>
          <w:sz w:val="24"/>
        </w:rPr>
        <w:t>)</w:t>
      </w:r>
      <w:r w:rsidRPr="00275407">
        <w:rPr>
          <w:rFonts w:cs="Arial"/>
          <w:bCs/>
          <w:color w:val="auto"/>
          <w:sz w:val="24"/>
        </w:rPr>
        <w:t xml:space="preserve"> 250MG/5ML </w:t>
      </w:r>
      <w:r w:rsidR="001958FC">
        <w:rPr>
          <w:rFonts w:cs="Arial"/>
          <w:bCs/>
          <w:color w:val="auto"/>
          <w:sz w:val="24"/>
        </w:rPr>
        <w:t>(</w:t>
      </w:r>
      <w:r w:rsidRPr="00275407">
        <w:rPr>
          <w:rFonts w:cs="Arial"/>
          <w:bCs/>
          <w:color w:val="auto"/>
          <w:sz w:val="24"/>
        </w:rPr>
        <w:t>48ML</w:t>
      </w:r>
      <w:r w:rsidR="001958FC">
        <w:rPr>
          <w:rFonts w:cs="Arial"/>
          <w:bCs/>
          <w:color w:val="auto"/>
          <w:sz w:val="24"/>
        </w:rPr>
        <w:t>)</w:t>
      </w:r>
    </w:p>
    <w:p w14:paraId="3639B6DD" w14:textId="77777777" w:rsidR="00FA5310" w:rsidRPr="009939FF" w:rsidRDefault="00FA5310" w:rsidP="00280F75">
      <w:pPr>
        <w:pStyle w:val="BodyText2"/>
        <w:ind w:left="-567"/>
        <w:jc w:val="both"/>
        <w:rPr>
          <w:rFonts w:cs="Arial"/>
          <w:bCs/>
          <w:color w:val="auto"/>
          <w:sz w:val="24"/>
          <w:highlight w:val="yellow"/>
        </w:rPr>
      </w:pPr>
    </w:p>
    <w:p w14:paraId="5F2917EC" w14:textId="77777777" w:rsidR="00FA5310" w:rsidRPr="004B6A03" w:rsidRDefault="00FA5310" w:rsidP="00CE1D87">
      <w:pPr>
        <w:pStyle w:val="BodyText2"/>
        <w:jc w:val="both"/>
        <w:rPr>
          <w:rFonts w:cs="Arial"/>
          <w:bCs/>
          <w:color w:val="auto"/>
          <w:sz w:val="24"/>
        </w:rPr>
      </w:pPr>
      <w:r w:rsidRPr="004B6A03">
        <w:rPr>
          <w:rFonts w:cs="Arial"/>
          <w:bCs/>
          <w:color w:val="auto"/>
          <w:sz w:val="24"/>
        </w:rPr>
        <w:t xml:space="preserve">Where no offered product includes a CRC </w:t>
      </w:r>
      <w:r w:rsidRPr="004B6A03">
        <w:rPr>
          <w:rFonts w:cs="Arial"/>
          <w:color w:val="auto"/>
          <w:sz w:val="24"/>
        </w:rPr>
        <w:t>the product should be such that the end-user should be able to apply one if required.</w:t>
      </w:r>
    </w:p>
    <w:p w14:paraId="46879831" w14:textId="77777777" w:rsidR="00FA5310" w:rsidRPr="004B6A03" w:rsidRDefault="00FA5310" w:rsidP="00280F75">
      <w:pPr>
        <w:pStyle w:val="BodyText2"/>
        <w:ind w:left="-567"/>
        <w:jc w:val="both"/>
        <w:rPr>
          <w:rFonts w:cs="Arial"/>
          <w:bCs/>
          <w:color w:val="auto"/>
          <w:sz w:val="24"/>
        </w:rPr>
      </w:pPr>
    </w:p>
    <w:p w14:paraId="56CB2F17" w14:textId="77777777" w:rsidR="00FA5310" w:rsidRPr="004B6A03" w:rsidRDefault="00FA5310" w:rsidP="00CE1D87">
      <w:pPr>
        <w:pStyle w:val="BodyText2"/>
        <w:numPr>
          <w:ilvl w:val="0"/>
          <w:numId w:val="22"/>
        </w:numPr>
        <w:ind w:left="0" w:hanging="567"/>
        <w:jc w:val="both"/>
        <w:rPr>
          <w:rFonts w:cs="Arial"/>
          <w:b/>
          <w:color w:val="auto"/>
          <w:sz w:val="24"/>
        </w:rPr>
      </w:pPr>
      <w:r w:rsidRPr="004B6A03">
        <w:rPr>
          <w:rFonts w:cs="Arial"/>
          <w:b/>
          <w:color w:val="auto"/>
          <w:sz w:val="24"/>
        </w:rPr>
        <w:t>Patient Packs</w:t>
      </w:r>
    </w:p>
    <w:p w14:paraId="4BDA6FAE" w14:textId="77777777" w:rsidR="00FA5310" w:rsidRPr="004B6A03" w:rsidRDefault="00FA5310" w:rsidP="00280F75">
      <w:pPr>
        <w:pStyle w:val="BodyText2"/>
        <w:ind w:left="-567"/>
        <w:jc w:val="both"/>
        <w:rPr>
          <w:rFonts w:cs="Arial"/>
          <w:b/>
          <w:color w:val="auto"/>
          <w:sz w:val="24"/>
        </w:rPr>
      </w:pPr>
    </w:p>
    <w:p w14:paraId="15FB3663" w14:textId="77777777" w:rsidR="00FA5310" w:rsidRPr="002E00F9" w:rsidRDefault="00FA5310" w:rsidP="00CE1D87">
      <w:pPr>
        <w:pStyle w:val="BodyText2"/>
        <w:jc w:val="both"/>
        <w:rPr>
          <w:rFonts w:cs="Arial"/>
          <w:bCs/>
          <w:color w:val="auto"/>
          <w:sz w:val="24"/>
        </w:rPr>
      </w:pPr>
      <w:r w:rsidRPr="004B6A03">
        <w:rPr>
          <w:rFonts w:cs="Arial"/>
          <w:bCs/>
          <w:color w:val="auto"/>
          <w:sz w:val="24"/>
        </w:rPr>
        <w:t>Where offers are received for tablets or capsules or oral solutions/suspensions which do not represent the tendered pack size but represent a suitable alternative patient pack for dispensing awards will be made to the lowest-priced offered patient pack (subject to the offers meeting all other award criteria stated in criteria stated in paragraph 12.1.5 of Document No. 02 – Terms of Offer).</w:t>
      </w:r>
      <w:r w:rsidRPr="002E00F9">
        <w:rPr>
          <w:rFonts w:cs="Arial"/>
          <w:bCs/>
          <w:color w:val="auto"/>
          <w:sz w:val="24"/>
        </w:rPr>
        <w:t xml:space="preserve">  </w:t>
      </w:r>
    </w:p>
    <w:p w14:paraId="61623513" w14:textId="77777777" w:rsidR="00FA5310" w:rsidRDefault="00FA5310" w:rsidP="00280F75">
      <w:pPr>
        <w:jc w:val="both"/>
      </w:pPr>
    </w:p>
    <w:p w14:paraId="0F9B1430" w14:textId="77777777" w:rsidR="00FA5310" w:rsidRDefault="00FA5310" w:rsidP="00280F75">
      <w:pPr>
        <w:jc w:val="both"/>
      </w:pPr>
    </w:p>
    <w:p w14:paraId="4B6239B2" w14:textId="77777777" w:rsidR="00FA5310" w:rsidRDefault="00FA5310" w:rsidP="00280F75">
      <w:pPr>
        <w:jc w:val="both"/>
      </w:pPr>
    </w:p>
    <w:p w14:paraId="124C4DB7" w14:textId="77777777" w:rsidR="00FA5310" w:rsidRDefault="00FA5310" w:rsidP="00280F75">
      <w:pPr>
        <w:jc w:val="both"/>
      </w:pPr>
    </w:p>
    <w:p w14:paraId="144E161D" w14:textId="77777777" w:rsidR="00FA5310" w:rsidRDefault="00FA5310" w:rsidP="00280F75">
      <w:pPr>
        <w:jc w:val="both"/>
      </w:pPr>
    </w:p>
    <w:p w14:paraId="73EFF0B9" w14:textId="77777777" w:rsidR="00FA5310" w:rsidRPr="00FA5310" w:rsidRDefault="00FA5310" w:rsidP="00280F75">
      <w:pPr>
        <w:jc w:val="both"/>
        <w:rPr>
          <w:rFonts w:ascii="Arial" w:hAnsi="Arial" w:cs="Arial"/>
        </w:rPr>
      </w:pPr>
    </w:p>
    <w:sectPr w:rsidR="00FA5310" w:rsidRPr="00FA5310">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1FAD1D" w14:textId="77777777" w:rsidR="007F2D16" w:rsidRDefault="007F2D16">
      <w:r>
        <w:separator/>
      </w:r>
    </w:p>
  </w:endnote>
  <w:endnote w:type="continuationSeparator" w:id="0">
    <w:p w14:paraId="4AA02510" w14:textId="77777777" w:rsidR="007F2D16" w:rsidRDefault="007F2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ED29D7" w14:textId="77777777" w:rsidR="00DF5748" w:rsidRDefault="00DF5748" w:rsidP="002900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6B1477" w14:textId="77777777" w:rsidR="00DF5748" w:rsidRDefault="00DF57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0F3BF" w14:textId="6C2E9A97" w:rsidR="00DF5748" w:rsidRPr="003E1A3E" w:rsidRDefault="00DF5748" w:rsidP="00290025">
    <w:pPr>
      <w:pStyle w:val="NoSpacing"/>
      <w:rPr>
        <w:rFonts w:ascii="Arial" w:hAnsi="Arial" w:cs="Arial"/>
        <w:b/>
        <w:sz w:val="20"/>
      </w:rPr>
    </w:pPr>
    <w:r w:rsidRPr="003E1A3E">
      <w:rPr>
        <w:rFonts w:ascii="Arial" w:hAnsi="Arial" w:cs="Arial"/>
        <w:sz w:val="20"/>
      </w:rPr>
      <w:t>Document No. 0</w:t>
    </w:r>
    <w:r>
      <w:rPr>
        <w:rFonts w:ascii="Arial" w:hAnsi="Arial" w:cs="Arial"/>
        <w:sz w:val="20"/>
      </w:rPr>
      <w:t>4</w:t>
    </w:r>
    <w:r w:rsidR="00D155FB">
      <w:rPr>
        <w:rFonts w:ascii="Arial" w:hAnsi="Arial" w:cs="Arial"/>
        <w:sz w:val="20"/>
      </w:rPr>
      <w:t>b</w:t>
    </w:r>
    <w:r w:rsidR="00280F75">
      <w:rPr>
        <w:rFonts w:ascii="Arial" w:hAnsi="Arial" w:cs="Arial"/>
        <w:sz w:val="20"/>
      </w:rPr>
      <w:tab/>
    </w:r>
    <w:r w:rsidR="00280F75">
      <w:rPr>
        <w:rFonts w:ascii="Arial" w:hAnsi="Arial" w:cs="Arial"/>
        <w:sz w:val="20"/>
      </w:rPr>
      <w:tab/>
    </w:r>
    <w:r w:rsidR="00280F75">
      <w:rPr>
        <w:rFonts w:ascii="Arial" w:hAnsi="Arial" w:cs="Arial"/>
        <w:sz w:val="20"/>
      </w:rPr>
      <w:tab/>
    </w:r>
    <w:r w:rsidR="00280F75">
      <w:rPr>
        <w:rFonts w:ascii="Arial" w:hAnsi="Arial" w:cs="Arial"/>
        <w:sz w:val="20"/>
      </w:rPr>
      <w:tab/>
    </w:r>
    <w:r w:rsidRPr="003E1A3E">
      <w:rPr>
        <w:rFonts w:ascii="Arial" w:hAnsi="Arial" w:cs="Arial"/>
        <w:sz w:val="20"/>
      </w:rPr>
      <w:tab/>
    </w:r>
    <w:r w:rsidRPr="003E1A3E">
      <w:rPr>
        <w:rFonts w:ascii="Arial" w:hAnsi="Arial" w:cs="Arial"/>
        <w:sz w:val="20"/>
      </w:rPr>
      <w:tab/>
    </w:r>
    <w:r w:rsidRPr="003E1A3E">
      <w:rPr>
        <w:rFonts w:ascii="Arial" w:hAnsi="Arial" w:cs="Arial"/>
        <w:sz w:val="20"/>
      </w:rPr>
      <w:tab/>
    </w:r>
    <w:r w:rsidRPr="003E1A3E">
      <w:rPr>
        <w:rFonts w:ascii="Arial" w:hAnsi="Arial" w:cs="Arial"/>
        <w:sz w:val="20"/>
      </w:rPr>
      <w:tab/>
      <w:t xml:space="preserve">Page </w:t>
    </w:r>
    <w:r w:rsidRPr="003E1A3E">
      <w:rPr>
        <w:rFonts w:ascii="Arial" w:hAnsi="Arial" w:cs="Arial"/>
        <w:b/>
        <w:sz w:val="20"/>
      </w:rPr>
      <w:fldChar w:fldCharType="begin"/>
    </w:r>
    <w:r w:rsidRPr="003E1A3E">
      <w:rPr>
        <w:rFonts w:ascii="Arial" w:hAnsi="Arial" w:cs="Arial"/>
        <w:b/>
        <w:sz w:val="20"/>
      </w:rPr>
      <w:instrText xml:space="preserve"> PAGE </w:instrText>
    </w:r>
    <w:r w:rsidRPr="003E1A3E">
      <w:rPr>
        <w:rFonts w:ascii="Arial" w:hAnsi="Arial" w:cs="Arial"/>
        <w:b/>
        <w:sz w:val="20"/>
      </w:rPr>
      <w:fldChar w:fldCharType="separate"/>
    </w:r>
    <w:r>
      <w:rPr>
        <w:rFonts w:ascii="Arial" w:hAnsi="Arial" w:cs="Arial"/>
        <w:b/>
        <w:noProof/>
        <w:sz w:val="20"/>
      </w:rPr>
      <w:t>22</w:t>
    </w:r>
    <w:r w:rsidRPr="003E1A3E">
      <w:rPr>
        <w:rFonts w:ascii="Arial" w:hAnsi="Arial" w:cs="Arial"/>
        <w:b/>
        <w:sz w:val="20"/>
      </w:rPr>
      <w:fldChar w:fldCharType="end"/>
    </w:r>
    <w:r w:rsidRPr="003E1A3E">
      <w:rPr>
        <w:rFonts w:ascii="Arial" w:hAnsi="Arial" w:cs="Arial"/>
        <w:sz w:val="20"/>
      </w:rPr>
      <w:t xml:space="preserve"> of </w:t>
    </w:r>
    <w:r w:rsidRPr="003E1A3E">
      <w:rPr>
        <w:rFonts w:ascii="Arial" w:hAnsi="Arial" w:cs="Arial"/>
        <w:b/>
        <w:sz w:val="20"/>
      </w:rPr>
      <w:fldChar w:fldCharType="begin"/>
    </w:r>
    <w:r w:rsidRPr="003E1A3E">
      <w:rPr>
        <w:rFonts w:ascii="Arial" w:hAnsi="Arial" w:cs="Arial"/>
        <w:b/>
        <w:sz w:val="20"/>
      </w:rPr>
      <w:instrText xml:space="preserve"> NUMPAGES  </w:instrText>
    </w:r>
    <w:r w:rsidRPr="003E1A3E">
      <w:rPr>
        <w:rFonts w:ascii="Arial" w:hAnsi="Arial" w:cs="Arial"/>
        <w:b/>
        <w:sz w:val="20"/>
      </w:rPr>
      <w:fldChar w:fldCharType="separate"/>
    </w:r>
    <w:r>
      <w:rPr>
        <w:rFonts w:ascii="Arial" w:hAnsi="Arial" w:cs="Arial"/>
        <w:b/>
        <w:noProof/>
        <w:sz w:val="20"/>
      </w:rPr>
      <w:t>23</w:t>
    </w:r>
    <w:r w:rsidRPr="003E1A3E">
      <w:rPr>
        <w:rFonts w:ascii="Arial" w:hAnsi="Arial" w:cs="Arial"/>
        <w:b/>
        <w:sz w:val="20"/>
      </w:rPr>
      <w:fldChar w:fldCharType="end"/>
    </w:r>
  </w:p>
  <w:p w14:paraId="6363D7FA" w14:textId="77777777" w:rsidR="00DF5748" w:rsidRPr="00DF0711" w:rsidRDefault="00DF5748" w:rsidP="00290025">
    <w:pPr>
      <w:pStyle w:val="Footer"/>
      <w:rPr>
        <w:rFonts w:ascii="Arial" w:hAnsi="Arial" w:cs="Arial"/>
      </w:rPr>
    </w:pPr>
    <w:r w:rsidRPr="00DF0711">
      <w:rPr>
        <w:rFonts w:ascii="Arial" w:hAnsi="Arial" w:cs="Arial"/>
      </w:rPr>
      <w:t>©</w:t>
    </w:r>
    <w:r>
      <w:rPr>
        <w:rFonts w:ascii="Arial" w:hAnsi="Arial" w:cs="Arial"/>
      </w:rPr>
      <w:t xml:space="preserve"> </w:t>
    </w:r>
    <w:r w:rsidRPr="00DF0711">
      <w:rPr>
        <w:rFonts w:ascii="Arial" w:hAnsi="Arial" w:cs="Arial"/>
      </w:rPr>
      <w:t>NHS England 20</w:t>
    </w:r>
    <w:r>
      <w:rPr>
        <w:rFonts w:ascii="Arial" w:hAnsi="Arial" w:cs="Arial"/>
      </w:rPr>
      <w:t>22</w:t>
    </w:r>
  </w:p>
  <w:p w14:paraId="086179C0" w14:textId="77777777" w:rsidR="00DF5748" w:rsidRPr="003E1A3E" w:rsidRDefault="00DF5748" w:rsidP="00290025">
    <w:pPr>
      <w:rPr>
        <w:rFonts w:ascii="Arial" w:hAnsi="Arial" w:cs="Arial"/>
        <w:color w:val="000000"/>
        <w:lang w:eastAsia="en-GB"/>
      </w:rPr>
    </w:pPr>
    <w:r w:rsidRPr="003E1A3E">
      <w:rPr>
        <w:rFonts w:ascii="Arial" w:hAnsi="Arial" w:cs="Arial"/>
        <w:color w:val="000000"/>
        <w:lang w:eastAsia="en-GB"/>
      </w:rPr>
      <w:t>© NHS Pharmaceutical Quality Assurance Committee</w:t>
    </w:r>
  </w:p>
  <w:p w14:paraId="30864406" w14:textId="76955346" w:rsidR="00DF5748" w:rsidRPr="001C2E66" w:rsidRDefault="00DF5748" w:rsidP="00450FDA">
    <w:pPr>
      <w:pStyle w:val="Footer"/>
      <w:jc w:val="cen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22B393" w14:textId="77777777" w:rsidR="00DF5748" w:rsidRDefault="00DF5748" w:rsidP="00290025">
    <w:pPr>
      <w:pStyle w:val="NoSpacing"/>
      <w:rPr>
        <w:rFonts w:ascii="Arial" w:hAnsi="Arial" w:cs="Arial"/>
        <w:b/>
        <w:sz w:val="20"/>
      </w:rPr>
    </w:pPr>
    <w:r w:rsidRPr="008C5477">
      <w:rPr>
        <w:rFonts w:ascii="Arial" w:hAnsi="Arial" w:cs="Arial"/>
        <w:sz w:val="20"/>
      </w:rPr>
      <w:t>Document No.0</w:t>
    </w:r>
    <w:r>
      <w:rPr>
        <w:rFonts w:ascii="Arial" w:hAnsi="Arial" w:cs="Arial"/>
        <w:sz w:val="20"/>
      </w:rPr>
      <w:t>4</w:t>
    </w:r>
    <w:r w:rsidRPr="008C5477">
      <w:rPr>
        <w:rFonts w:ascii="Arial" w:hAnsi="Arial" w:cs="Arial"/>
        <w:sz w:val="20"/>
      </w:rPr>
      <w:t xml:space="preserve"> Contract technical specification</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Page </w:t>
    </w:r>
    <w:r>
      <w:rPr>
        <w:rFonts w:ascii="Arial" w:hAnsi="Arial" w:cs="Arial"/>
        <w:b/>
        <w:sz w:val="20"/>
      </w:rPr>
      <w:t>22</w:t>
    </w:r>
    <w:r>
      <w:rPr>
        <w:rFonts w:ascii="Arial" w:hAnsi="Arial" w:cs="Arial"/>
        <w:sz w:val="20"/>
      </w:rPr>
      <w:t xml:space="preserve"> of </w:t>
    </w:r>
    <w:r>
      <w:rPr>
        <w:rFonts w:ascii="Arial" w:hAnsi="Arial" w:cs="Arial"/>
        <w:b/>
        <w:sz w:val="20"/>
      </w:rPr>
      <w:t>22</w:t>
    </w:r>
  </w:p>
  <w:p w14:paraId="614FD176" w14:textId="77777777" w:rsidR="00DF5748" w:rsidRPr="0014311B" w:rsidRDefault="00DF5748" w:rsidP="00290025">
    <w:pPr>
      <w:pStyle w:val="NoSpacing"/>
      <w:rPr>
        <w:rFonts w:ascii="Arial" w:hAnsi="Arial" w:cs="Arial"/>
        <w:b/>
        <w:sz w:val="20"/>
      </w:rPr>
    </w:pPr>
  </w:p>
  <w:p w14:paraId="4E238B83" w14:textId="77777777" w:rsidR="00DF5748" w:rsidRPr="00DF0711" w:rsidRDefault="00DF5748" w:rsidP="00290025">
    <w:pPr>
      <w:pStyle w:val="Footer"/>
      <w:rPr>
        <w:rFonts w:ascii="Arial" w:hAnsi="Arial" w:cs="Arial"/>
      </w:rPr>
    </w:pPr>
    <w:r w:rsidRPr="00DF0711">
      <w:rPr>
        <w:rFonts w:ascii="Arial" w:hAnsi="Arial" w:cs="Arial"/>
      </w:rPr>
      <w:t>©NHS England 202</w:t>
    </w:r>
    <w:r>
      <w:rPr>
        <w:rFonts w:ascii="Arial" w:hAnsi="Arial" w:cs="Arial"/>
      </w:rPr>
      <w:t>1</w:t>
    </w:r>
  </w:p>
  <w:p w14:paraId="44ABECCB" w14:textId="77777777" w:rsidR="00DF5748" w:rsidRPr="008C5477" w:rsidRDefault="00DF5748" w:rsidP="00290025">
    <w:pPr>
      <w:pStyle w:val="NoSpacing"/>
      <w:tabs>
        <w:tab w:val="left" w:pos="1728"/>
      </w:tabs>
      <w:rPr>
        <w:rFonts w:ascii="Arial" w:hAnsi="Arial" w:cs="Arial"/>
        <w:b/>
        <w:sz w:val="20"/>
      </w:rPr>
    </w:pPr>
    <w:r>
      <w:rPr>
        <w:rFonts w:ascii="Arial" w:hAnsi="Arial" w:cs="Arial"/>
        <w:b/>
        <w:sz w:val="20"/>
      </w:rPr>
      <w:tab/>
    </w:r>
  </w:p>
  <w:p w14:paraId="12A7F72C" w14:textId="77777777" w:rsidR="00DF5748" w:rsidRPr="00B40DCC" w:rsidRDefault="00DF5748" w:rsidP="00290025">
    <w:pPr>
      <w:jc w:val="center"/>
      <w:rPr>
        <w:rFonts w:ascii="Arial" w:hAnsi="Arial" w:cs="Arial"/>
        <w:color w:val="BFBFBF"/>
        <w:sz w:val="24"/>
        <w:szCs w:val="24"/>
        <w:lang w:eastAsia="en-GB"/>
      </w:rPr>
    </w:pPr>
    <w:r w:rsidRPr="00B40DCC">
      <w:rPr>
        <w:rFonts w:ascii="Arial" w:hAnsi="Arial" w:cs="Arial"/>
        <w:color w:val="BFBFBF"/>
        <w:sz w:val="24"/>
        <w:szCs w:val="24"/>
        <w:lang w:eastAsia="en-GB"/>
      </w:rPr>
      <w:t>OFFICIAL – SENSITIVE: COMMERCIAL</w:t>
    </w:r>
  </w:p>
  <w:p w14:paraId="50C21B24" w14:textId="77777777" w:rsidR="00DF5748" w:rsidRDefault="00DF5748" w:rsidP="00290025">
    <w:pPr>
      <w:rPr>
        <w:rFonts w:ascii="Arial" w:hAnsi="Arial" w:cs="Arial"/>
        <w:color w:val="000000"/>
        <w:lang w:eastAsia="en-GB"/>
      </w:rPr>
    </w:pPr>
  </w:p>
  <w:p w14:paraId="41980AD8" w14:textId="77777777" w:rsidR="00DF5748" w:rsidRDefault="00DF57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2108E2" w14:textId="77777777" w:rsidR="007F2D16" w:rsidRDefault="007F2D16">
      <w:r>
        <w:separator/>
      </w:r>
    </w:p>
  </w:footnote>
  <w:footnote w:type="continuationSeparator" w:id="0">
    <w:p w14:paraId="0D410327" w14:textId="77777777" w:rsidR="007F2D16" w:rsidRDefault="007F2D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A434E" w14:textId="772FF39A" w:rsidR="00DF5748" w:rsidRDefault="00DF5748" w:rsidP="00290025">
    <w:pPr>
      <w:pStyle w:val="Header"/>
      <w:jc w:val="center"/>
      <w:rPr>
        <w:rFonts w:ascii="Arial" w:hAnsi="Arial" w:cs="Arial"/>
        <w:color w:val="BFBFBF"/>
      </w:rPr>
    </w:pPr>
    <w:r w:rsidRPr="00B40DCC">
      <w:rPr>
        <w:rFonts w:ascii="Arial" w:hAnsi="Arial" w:cs="Arial"/>
        <w:color w:val="BFBFBF"/>
      </w:rPr>
      <w:t>OFFICIAL</w:t>
    </w:r>
  </w:p>
  <w:p w14:paraId="05A146C5" w14:textId="77777777" w:rsidR="00450FDA" w:rsidRPr="00B40DCC" w:rsidRDefault="00450FDA" w:rsidP="00290025">
    <w:pPr>
      <w:pStyle w:val="Header"/>
      <w:jc w:val="center"/>
      <w:rPr>
        <w:rFonts w:ascii="Arial" w:hAnsi="Arial" w:cs="Arial"/>
        <w:color w:val="BFBFB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3DEDF" w14:textId="77777777" w:rsidR="00DF5748" w:rsidRDefault="00DF5748" w:rsidP="00290025">
    <w:pPr>
      <w:pStyle w:val="Header"/>
      <w:jc w:val="center"/>
      <w:rPr>
        <w:rFonts w:ascii="Arial" w:hAnsi="Arial" w:cs="Arial"/>
        <w:sz w:val="20"/>
        <w:szCs w:val="20"/>
      </w:rPr>
    </w:pPr>
  </w:p>
  <w:p w14:paraId="22D9F8CA" w14:textId="77777777" w:rsidR="00DF5748" w:rsidRPr="00B40DCC" w:rsidRDefault="00DF5748" w:rsidP="00290025">
    <w:pPr>
      <w:pStyle w:val="Header"/>
      <w:jc w:val="center"/>
      <w:rPr>
        <w:rFonts w:ascii="Arial" w:hAnsi="Arial" w:cs="Arial"/>
        <w:color w:val="BFBFBF"/>
      </w:rPr>
    </w:pPr>
    <w:r w:rsidRPr="00B40DCC">
      <w:rPr>
        <w:rFonts w:ascii="Arial" w:hAnsi="Arial" w:cs="Arial"/>
        <w:color w:val="BFBFBF"/>
      </w:rPr>
      <w:t>OFFICIAL – SENSITIVE: COMMERCIAL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E6011"/>
    <w:multiLevelType w:val="hybridMultilevel"/>
    <w:tmpl w:val="70FABF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236087"/>
    <w:multiLevelType w:val="hybridMultilevel"/>
    <w:tmpl w:val="8E3AB2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8CF0F94"/>
    <w:multiLevelType w:val="hybridMultilevel"/>
    <w:tmpl w:val="C5FCE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03575E"/>
    <w:multiLevelType w:val="hybridMultilevel"/>
    <w:tmpl w:val="933628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92298A"/>
    <w:multiLevelType w:val="multilevel"/>
    <w:tmpl w:val="2E48FC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C5F1D78"/>
    <w:multiLevelType w:val="hybridMultilevel"/>
    <w:tmpl w:val="6D80559E"/>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CD1211"/>
    <w:multiLevelType w:val="multilevel"/>
    <w:tmpl w:val="2E48FC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DBC7B05"/>
    <w:multiLevelType w:val="hybridMultilevel"/>
    <w:tmpl w:val="6D1E9338"/>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1DC536CC"/>
    <w:multiLevelType w:val="hybridMultilevel"/>
    <w:tmpl w:val="03A8A0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AA6A34"/>
    <w:multiLevelType w:val="hybridMultilevel"/>
    <w:tmpl w:val="A0182DD8"/>
    <w:lvl w:ilvl="0" w:tplc="3708824C">
      <w:start w:val="1"/>
      <w:numFmt w:val="decimal"/>
      <w:lvlText w:val="%1."/>
      <w:lvlJc w:val="left"/>
      <w:pPr>
        <w:ind w:left="720" w:hanging="360"/>
      </w:pPr>
      <w:rPr>
        <w:rFonts w:hint="default"/>
        <w:b/>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4629E6"/>
    <w:multiLevelType w:val="hybridMultilevel"/>
    <w:tmpl w:val="521C5FF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29573A6C"/>
    <w:multiLevelType w:val="singleLevel"/>
    <w:tmpl w:val="1F22C6A2"/>
    <w:lvl w:ilvl="0">
      <w:start w:val="1"/>
      <w:numFmt w:val="bullet"/>
      <w:lvlText w:val=""/>
      <w:lvlJc w:val="left"/>
      <w:pPr>
        <w:tabs>
          <w:tab w:val="num" w:pos="720"/>
        </w:tabs>
        <w:ind w:left="720" w:hanging="360"/>
      </w:pPr>
      <w:rPr>
        <w:rFonts w:ascii="Symbol" w:hAnsi="Symbol" w:hint="default"/>
        <w:color w:val="auto"/>
      </w:rPr>
    </w:lvl>
  </w:abstractNum>
  <w:abstractNum w:abstractNumId="12" w15:restartNumberingAfterBreak="0">
    <w:nsid w:val="3C0E3285"/>
    <w:multiLevelType w:val="hybridMultilevel"/>
    <w:tmpl w:val="99E451F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A1968E1"/>
    <w:multiLevelType w:val="hybridMultilevel"/>
    <w:tmpl w:val="C0A897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606BF9"/>
    <w:multiLevelType w:val="hybridMultilevel"/>
    <w:tmpl w:val="3E7A3CE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0B34E4"/>
    <w:multiLevelType w:val="hybridMultilevel"/>
    <w:tmpl w:val="BE58DD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85635A"/>
    <w:multiLevelType w:val="hybridMultilevel"/>
    <w:tmpl w:val="AD18065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 w15:restartNumberingAfterBreak="0">
    <w:nsid w:val="58B30498"/>
    <w:multiLevelType w:val="hybridMultilevel"/>
    <w:tmpl w:val="3BCED61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DB478A"/>
    <w:multiLevelType w:val="hybridMultilevel"/>
    <w:tmpl w:val="9BE8908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CC343F"/>
    <w:multiLevelType w:val="hybridMultilevel"/>
    <w:tmpl w:val="3F4EE8A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2203021"/>
    <w:multiLevelType w:val="multilevel"/>
    <w:tmpl w:val="19AAE942"/>
    <w:lvl w:ilvl="0">
      <w:start w:val="1"/>
      <w:numFmt w:val="bullet"/>
      <w:lvlText w:val=""/>
      <w:lvlJc w:val="left"/>
      <w:pPr>
        <w:tabs>
          <w:tab w:val="num" w:pos="360"/>
        </w:tabs>
        <w:ind w:left="360" w:hanging="360"/>
      </w:pPr>
      <w:rPr>
        <w:rFonts w:ascii="Symbol" w:hAnsi="Symbol"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15:restartNumberingAfterBreak="0">
    <w:nsid w:val="62801B08"/>
    <w:multiLevelType w:val="hybridMultilevel"/>
    <w:tmpl w:val="7E3A13A6"/>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2A36031"/>
    <w:multiLevelType w:val="hybridMultilevel"/>
    <w:tmpl w:val="E40A06EA"/>
    <w:lvl w:ilvl="0" w:tplc="6302AFF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0F4A2D"/>
    <w:multiLevelType w:val="hybridMultilevel"/>
    <w:tmpl w:val="EF52D870"/>
    <w:lvl w:ilvl="0" w:tplc="08090009">
      <w:start w:val="1"/>
      <w:numFmt w:val="bullet"/>
      <w:lvlText w:val=""/>
      <w:lvlJc w:val="left"/>
      <w:pPr>
        <w:tabs>
          <w:tab w:val="num" w:pos="1080"/>
        </w:tabs>
        <w:ind w:left="1080" w:hanging="360"/>
      </w:pPr>
      <w:rPr>
        <w:rFonts w:ascii="Wingdings" w:hAnsi="Wingdings" w:hint="default"/>
      </w:rPr>
    </w:lvl>
    <w:lvl w:ilvl="1" w:tplc="08090001">
      <w:start w:val="1"/>
      <w:numFmt w:val="bullet"/>
      <w:lvlText w:val=""/>
      <w:lvlJc w:val="left"/>
      <w:pPr>
        <w:tabs>
          <w:tab w:val="num" w:pos="1800"/>
        </w:tabs>
        <w:ind w:left="1800" w:hanging="360"/>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9AD64F0"/>
    <w:multiLevelType w:val="multilevel"/>
    <w:tmpl w:val="7F627A82"/>
    <w:lvl w:ilvl="0">
      <w:start w:val="1"/>
      <w:numFmt w:val="decimal"/>
      <w:lvlText w:val="%1."/>
      <w:lvlJc w:val="left"/>
      <w:pPr>
        <w:ind w:left="1440" w:hanging="360"/>
      </w:pPr>
      <w:rPr>
        <w:rFonts w:hint="default"/>
      </w:rPr>
    </w:lvl>
    <w:lvl w:ilvl="1">
      <w:start w:val="1"/>
      <w:numFmt w:val="decimal"/>
      <w:isLgl/>
      <w:lvlText w:val="%1.%2"/>
      <w:lvlJc w:val="left"/>
      <w:pPr>
        <w:ind w:left="2124" w:hanging="564"/>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1800" w:hanging="720"/>
      </w:pPr>
      <w:rPr>
        <w:rFonts w:hint="default"/>
        <w:color w:val="auto"/>
      </w:rPr>
    </w:lvl>
    <w:lvl w:ilvl="4">
      <w:start w:val="1"/>
      <w:numFmt w:val="decimal"/>
      <w:isLgl/>
      <w:lvlText w:val="%1.%2.%3.%4.%5"/>
      <w:lvlJc w:val="left"/>
      <w:pPr>
        <w:ind w:left="2160" w:hanging="1080"/>
      </w:pPr>
      <w:rPr>
        <w:rFonts w:hint="default"/>
        <w:color w:val="auto"/>
      </w:rPr>
    </w:lvl>
    <w:lvl w:ilvl="5">
      <w:start w:val="1"/>
      <w:numFmt w:val="decimal"/>
      <w:isLgl/>
      <w:lvlText w:val="%1.%2.%3.%4.%5.%6"/>
      <w:lvlJc w:val="left"/>
      <w:pPr>
        <w:ind w:left="2160" w:hanging="1080"/>
      </w:pPr>
      <w:rPr>
        <w:rFonts w:hint="default"/>
        <w:color w:val="auto"/>
      </w:rPr>
    </w:lvl>
    <w:lvl w:ilvl="6">
      <w:start w:val="1"/>
      <w:numFmt w:val="decimal"/>
      <w:isLgl/>
      <w:lvlText w:val="%1.%2.%3.%4.%5.%6.%7"/>
      <w:lvlJc w:val="left"/>
      <w:pPr>
        <w:ind w:left="2520" w:hanging="1440"/>
      </w:pPr>
      <w:rPr>
        <w:rFonts w:hint="default"/>
        <w:color w:val="auto"/>
      </w:rPr>
    </w:lvl>
    <w:lvl w:ilvl="7">
      <w:start w:val="1"/>
      <w:numFmt w:val="decimal"/>
      <w:isLgl/>
      <w:lvlText w:val="%1.%2.%3.%4.%5.%6.%7.%8"/>
      <w:lvlJc w:val="left"/>
      <w:pPr>
        <w:ind w:left="2520" w:hanging="1440"/>
      </w:pPr>
      <w:rPr>
        <w:rFonts w:hint="default"/>
        <w:color w:val="auto"/>
      </w:rPr>
    </w:lvl>
    <w:lvl w:ilvl="8">
      <w:start w:val="1"/>
      <w:numFmt w:val="decimal"/>
      <w:isLgl/>
      <w:lvlText w:val="%1.%2.%3.%4.%5.%6.%7.%8.%9"/>
      <w:lvlJc w:val="left"/>
      <w:pPr>
        <w:ind w:left="2880" w:hanging="1800"/>
      </w:pPr>
      <w:rPr>
        <w:rFonts w:hint="default"/>
        <w:color w:val="auto"/>
      </w:rPr>
    </w:lvl>
  </w:abstractNum>
  <w:abstractNum w:abstractNumId="25" w15:restartNumberingAfterBreak="0">
    <w:nsid w:val="6D761266"/>
    <w:multiLevelType w:val="hybridMultilevel"/>
    <w:tmpl w:val="148471E2"/>
    <w:lvl w:ilvl="0" w:tplc="08090001">
      <w:start w:val="1"/>
      <w:numFmt w:val="bullet"/>
      <w:lvlText w:val=""/>
      <w:lvlJc w:val="left"/>
      <w:pPr>
        <w:ind w:left="2203" w:hanging="360"/>
      </w:pPr>
      <w:rPr>
        <w:rFonts w:ascii="Symbol" w:hAnsi="Symbol" w:hint="default"/>
      </w:rPr>
    </w:lvl>
    <w:lvl w:ilvl="1" w:tplc="08090003">
      <w:start w:val="1"/>
      <w:numFmt w:val="bullet"/>
      <w:lvlText w:val="o"/>
      <w:lvlJc w:val="left"/>
      <w:pPr>
        <w:ind w:left="2923" w:hanging="360"/>
      </w:pPr>
      <w:rPr>
        <w:rFonts w:ascii="Courier New" w:hAnsi="Courier New" w:cs="Courier New" w:hint="default"/>
      </w:rPr>
    </w:lvl>
    <w:lvl w:ilvl="2" w:tplc="08090005">
      <w:start w:val="1"/>
      <w:numFmt w:val="bullet"/>
      <w:lvlText w:val=""/>
      <w:lvlJc w:val="left"/>
      <w:pPr>
        <w:ind w:left="3643" w:hanging="360"/>
      </w:pPr>
      <w:rPr>
        <w:rFonts w:ascii="Wingdings" w:hAnsi="Wingdings" w:hint="default"/>
      </w:rPr>
    </w:lvl>
    <w:lvl w:ilvl="3" w:tplc="08090001">
      <w:start w:val="1"/>
      <w:numFmt w:val="bullet"/>
      <w:lvlText w:val=""/>
      <w:lvlJc w:val="left"/>
      <w:pPr>
        <w:ind w:left="4363" w:hanging="360"/>
      </w:pPr>
      <w:rPr>
        <w:rFonts w:ascii="Symbol" w:hAnsi="Symbol" w:hint="default"/>
      </w:rPr>
    </w:lvl>
    <w:lvl w:ilvl="4" w:tplc="08090003">
      <w:start w:val="1"/>
      <w:numFmt w:val="bullet"/>
      <w:lvlText w:val="o"/>
      <w:lvlJc w:val="left"/>
      <w:pPr>
        <w:ind w:left="5083" w:hanging="360"/>
      </w:pPr>
      <w:rPr>
        <w:rFonts w:ascii="Courier New" w:hAnsi="Courier New" w:cs="Courier New" w:hint="default"/>
      </w:rPr>
    </w:lvl>
    <w:lvl w:ilvl="5" w:tplc="08090005">
      <w:start w:val="1"/>
      <w:numFmt w:val="bullet"/>
      <w:lvlText w:val=""/>
      <w:lvlJc w:val="left"/>
      <w:pPr>
        <w:ind w:left="5803" w:hanging="360"/>
      </w:pPr>
      <w:rPr>
        <w:rFonts w:ascii="Wingdings" w:hAnsi="Wingdings" w:hint="default"/>
      </w:rPr>
    </w:lvl>
    <w:lvl w:ilvl="6" w:tplc="08090001">
      <w:start w:val="1"/>
      <w:numFmt w:val="bullet"/>
      <w:lvlText w:val=""/>
      <w:lvlJc w:val="left"/>
      <w:pPr>
        <w:ind w:left="6523" w:hanging="360"/>
      </w:pPr>
      <w:rPr>
        <w:rFonts w:ascii="Symbol" w:hAnsi="Symbol" w:hint="default"/>
      </w:rPr>
    </w:lvl>
    <w:lvl w:ilvl="7" w:tplc="08090003">
      <w:start w:val="1"/>
      <w:numFmt w:val="bullet"/>
      <w:lvlText w:val="o"/>
      <w:lvlJc w:val="left"/>
      <w:pPr>
        <w:ind w:left="7243" w:hanging="360"/>
      </w:pPr>
      <w:rPr>
        <w:rFonts w:ascii="Courier New" w:hAnsi="Courier New" w:cs="Courier New" w:hint="default"/>
      </w:rPr>
    </w:lvl>
    <w:lvl w:ilvl="8" w:tplc="08090005">
      <w:start w:val="1"/>
      <w:numFmt w:val="bullet"/>
      <w:lvlText w:val=""/>
      <w:lvlJc w:val="left"/>
      <w:pPr>
        <w:ind w:left="7963" w:hanging="360"/>
      </w:pPr>
      <w:rPr>
        <w:rFonts w:ascii="Wingdings" w:hAnsi="Wingdings" w:hint="default"/>
      </w:rPr>
    </w:lvl>
  </w:abstractNum>
  <w:abstractNum w:abstractNumId="26" w15:restartNumberingAfterBreak="0">
    <w:nsid w:val="6DBE61BE"/>
    <w:multiLevelType w:val="hybridMultilevel"/>
    <w:tmpl w:val="FF68D23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139563C"/>
    <w:multiLevelType w:val="hybridMultilevel"/>
    <w:tmpl w:val="07FA5236"/>
    <w:lvl w:ilvl="0" w:tplc="08090009">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2237B38"/>
    <w:multiLevelType w:val="hybridMultilevel"/>
    <w:tmpl w:val="7FEE73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49966DB"/>
    <w:multiLevelType w:val="multilevel"/>
    <w:tmpl w:val="62A25F3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6B854C6"/>
    <w:multiLevelType w:val="multilevel"/>
    <w:tmpl w:val="37182030"/>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1" w15:restartNumberingAfterBreak="0">
    <w:nsid w:val="777B0AD2"/>
    <w:multiLevelType w:val="hybridMultilevel"/>
    <w:tmpl w:val="75AE251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7C0555B"/>
    <w:multiLevelType w:val="hybridMultilevel"/>
    <w:tmpl w:val="46967C2C"/>
    <w:lvl w:ilvl="0" w:tplc="08090009">
      <w:start w:val="1"/>
      <w:numFmt w:val="bullet"/>
      <w:lvlText w:val=""/>
      <w:lvlJc w:val="left"/>
      <w:pPr>
        <w:tabs>
          <w:tab w:val="num" w:pos="1080"/>
        </w:tabs>
        <w:ind w:left="108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BD97F31"/>
    <w:multiLevelType w:val="hybridMultilevel"/>
    <w:tmpl w:val="8BA2424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3"/>
  </w:num>
  <w:num w:numId="3">
    <w:abstractNumId w:val="8"/>
  </w:num>
  <w:num w:numId="4">
    <w:abstractNumId w:val="17"/>
  </w:num>
  <w:num w:numId="5">
    <w:abstractNumId w:val="15"/>
  </w:num>
  <w:num w:numId="6">
    <w:abstractNumId w:val="14"/>
  </w:num>
  <w:num w:numId="7">
    <w:abstractNumId w:val="33"/>
  </w:num>
  <w:num w:numId="8">
    <w:abstractNumId w:val="7"/>
  </w:num>
  <w:num w:numId="9">
    <w:abstractNumId w:val="27"/>
  </w:num>
  <w:num w:numId="10">
    <w:abstractNumId w:val="23"/>
  </w:num>
  <w:num w:numId="11">
    <w:abstractNumId w:val="30"/>
  </w:num>
  <w:num w:numId="12">
    <w:abstractNumId w:val="10"/>
  </w:num>
  <w:num w:numId="13">
    <w:abstractNumId w:val="20"/>
  </w:num>
  <w:num w:numId="14">
    <w:abstractNumId w:val="32"/>
  </w:num>
  <w:num w:numId="15">
    <w:abstractNumId w:val="18"/>
  </w:num>
  <w:num w:numId="16">
    <w:abstractNumId w:val="5"/>
  </w:num>
  <w:num w:numId="17">
    <w:abstractNumId w:val="19"/>
  </w:num>
  <w:num w:numId="18">
    <w:abstractNumId w:val="26"/>
  </w:num>
  <w:num w:numId="19">
    <w:abstractNumId w:val="12"/>
  </w:num>
  <w:num w:numId="20">
    <w:abstractNumId w:val="31"/>
  </w:num>
  <w:num w:numId="21">
    <w:abstractNumId w:val="0"/>
  </w:num>
  <w:num w:numId="22">
    <w:abstractNumId w:val="9"/>
  </w:num>
  <w:num w:numId="23">
    <w:abstractNumId w:val="2"/>
  </w:num>
  <w:num w:numId="24">
    <w:abstractNumId w:val="1"/>
  </w:num>
  <w:num w:numId="25">
    <w:abstractNumId w:val="4"/>
  </w:num>
  <w:num w:numId="26">
    <w:abstractNumId w:val="6"/>
  </w:num>
  <w:num w:numId="27">
    <w:abstractNumId w:val="22"/>
  </w:num>
  <w:num w:numId="28">
    <w:abstractNumId w:val="24"/>
  </w:num>
  <w:num w:numId="29">
    <w:abstractNumId w:val="3"/>
  </w:num>
  <w:num w:numId="30">
    <w:abstractNumId w:val="21"/>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25"/>
  </w:num>
  <w:num w:numId="34">
    <w:abstractNumId w:val="29"/>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9FF"/>
    <w:rsid w:val="00033083"/>
    <w:rsid w:val="00053EE1"/>
    <w:rsid w:val="000E0676"/>
    <w:rsid w:val="00104B58"/>
    <w:rsid w:val="00153C52"/>
    <w:rsid w:val="001958FC"/>
    <w:rsid w:val="001D3310"/>
    <w:rsid w:val="00275407"/>
    <w:rsid w:val="00280F75"/>
    <w:rsid w:val="00290025"/>
    <w:rsid w:val="0036312E"/>
    <w:rsid w:val="00384769"/>
    <w:rsid w:val="003B5CF9"/>
    <w:rsid w:val="003D34C1"/>
    <w:rsid w:val="00421FD9"/>
    <w:rsid w:val="00436749"/>
    <w:rsid w:val="00450FDA"/>
    <w:rsid w:val="004B6A03"/>
    <w:rsid w:val="00510EA7"/>
    <w:rsid w:val="00525B7F"/>
    <w:rsid w:val="005A1502"/>
    <w:rsid w:val="005F15E2"/>
    <w:rsid w:val="005F72E3"/>
    <w:rsid w:val="006173AA"/>
    <w:rsid w:val="0063526E"/>
    <w:rsid w:val="0065532E"/>
    <w:rsid w:val="00667DD7"/>
    <w:rsid w:val="006849E3"/>
    <w:rsid w:val="006B1432"/>
    <w:rsid w:val="006B198F"/>
    <w:rsid w:val="006B3F7B"/>
    <w:rsid w:val="006C24F8"/>
    <w:rsid w:val="00717A09"/>
    <w:rsid w:val="007371F6"/>
    <w:rsid w:val="00742D79"/>
    <w:rsid w:val="00774A4B"/>
    <w:rsid w:val="007F2D16"/>
    <w:rsid w:val="007F2EAC"/>
    <w:rsid w:val="007F53D3"/>
    <w:rsid w:val="00845E71"/>
    <w:rsid w:val="008504E4"/>
    <w:rsid w:val="0085481E"/>
    <w:rsid w:val="00863F7B"/>
    <w:rsid w:val="008E5DE7"/>
    <w:rsid w:val="00940521"/>
    <w:rsid w:val="00972EC2"/>
    <w:rsid w:val="009939FF"/>
    <w:rsid w:val="009E3E1C"/>
    <w:rsid w:val="009E3FCF"/>
    <w:rsid w:val="00A1460D"/>
    <w:rsid w:val="00A21EBD"/>
    <w:rsid w:val="00AB7823"/>
    <w:rsid w:val="00AC75B2"/>
    <w:rsid w:val="00B32BC4"/>
    <w:rsid w:val="00B330A0"/>
    <w:rsid w:val="00BA6942"/>
    <w:rsid w:val="00BB2078"/>
    <w:rsid w:val="00BB5ABE"/>
    <w:rsid w:val="00C31FF4"/>
    <w:rsid w:val="00C4533D"/>
    <w:rsid w:val="00C80CEC"/>
    <w:rsid w:val="00CE1D87"/>
    <w:rsid w:val="00CF69BF"/>
    <w:rsid w:val="00D15315"/>
    <w:rsid w:val="00D155FB"/>
    <w:rsid w:val="00D55F07"/>
    <w:rsid w:val="00DF5748"/>
    <w:rsid w:val="00E2267A"/>
    <w:rsid w:val="00E357B5"/>
    <w:rsid w:val="00E67E63"/>
    <w:rsid w:val="00EC77C4"/>
    <w:rsid w:val="00F2005F"/>
    <w:rsid w:val="00F47AA4"/>
    <w:rsid w:val="00F54557"/>
    <w:rsid w:val="00F73FD1"/>
    <w:rsid w:val="00FA5310"/>
    <w:rsid w:val="00FB1486"/>
    <w:rsid w:val="00FE60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03F135"/>
  <w15:chartTrackingRefBased/>
  <w15:docId w15:val="{9F7B1D2C-8600-4D86-B3F4-50D7C7809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9F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939FF"/>
    <w:pPr>
      <w:keepNext/>
      <w:outlineLvl w:val="0"/>
    </w:pPr>
    <w:rPr>
      <w:rFonts w:ascii="Arial" w:hAnsi="Arial"/>
      <w:b/>
    </w:rPr>
  </w:style>
  <w:style w:type="paragraph" w:styleId="Heading2">
    <w:name w:val="heading 2"/>
    <w:basedOn w:val="Normal"/>
    <w:next w:val="Normal"/>
    <w:link w:val="Heading2Char"/>
    <w:qFormat/>
    <w:rsid w:val="009939FF"/>
    <w:pPr>
      <w:keepNext/>
      <w:outlineLvl w:val="1"/>
    </w:pPr>
    <w:rPr>
      <w:rFonts w:ascii="Arial" w:hAnsi="Arial"/>
      <w:b/>
      <w:bCs/>
      <w:sz w:val="22"/>
      <w:szCs w:val="24"/>
    </w:rPr>
  </w:style>
  <w:style w:type="paragraph" w:styleId="Heading3">
    <w:name w:val="heading 3"/>
    <w:basedOn w:val="Normal"/>
    <w:next w:val="Normal"/>
    <w:link w:val="Heading3Char"/>
    <w:qFormat/>
    <w:rsid w:val="009939FF"/>
    <w:pPr>
      <w:keepNext/>
      <w:outlineLvl w:val="2"/>
    </w:pPr>
    <w:rPr>
      <w:rFonts w:ascii="Arial" w:hAnsi="Arial"/>
      <w:b/>
      <w:bCs/>
      <w:i/>
      <w:iCs/>
      <w:sz w:val="22"/>
      <w:szCs w:val="24"/>
    </w:rPr>
  </w:style>
  <w:style w:type="paragraph" w:styleId="Heading4">
    <w:name w:val="heading 4"/>
    <w:basedOn w:val="Normal"/>
    <w:next w:val="Normal"/>
    <w:link w:val="Heading4Char"/>
    <w:qFormat/>
    <w:rsid w:val="009939FF"/>
    <w:pPr>
      <w:keepNext/>
      <w:outlineLvl w:val="3"/>
    </w:pPr>
    <w:rPr>
      <w:b/>
      <w:bCs/>
      <w:sz w:val="24"/>
      <w:szCs w:val="24"/>
    </w:rPr>
  </w:style>
  <w:style w:type="paragraph" w:styleId="Heading5">
    <w:name w:val="heading 5"/>
    <w:basedOn w:val="Normal"/>
    <w:next w:val="Normal"/>
    <w:link w:val="Heading5Char"/>
    <w:qFormat/>
    <w:rsid w:val="009939FF"/>
    <w:pPr>
      <w:keepNext/>
      <w:outlineLvl w:val="4"/>
    </w:pPr>
    <w:rPr>
      <w:b/>
      <w:bCs/>
      <w:u w:val="single"/>
    </w:rPr>
  </w:style>
  <w:style w:type="paragraph" w:styleId="Heading9">
    <w:name w:val="heading 9"/>
    <w:basedOn w:val="Normal"/>
    <w:next w:val="Normal"/>
    <w:link w:val="Heading9Char"/>
    <w:qFormat/>
    <w:rsid w:val="009939FF"/>
    <w:pPr>
      <w:keepNext/>
      <w:spacing w:before="278" w:line="283" w:lineRule="exact"/>
      <w:outlineLvl w:val="8"/>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939FF"/>
    <w:rPr>
      <w:rFonts w:ascii="Arial" w:eastAsia="Times New Roman" w:hAnsi="Arial" w:cs="Times New Roman"/>
      <w:b/>
      <w:sz w:val="20"/>
      <w:szCs w:val="20"/>
    </w:rPr>
  </w:style>
  <w:style w:type="character" w:customStyle="1" w:styleId="Heading2Char">
    <w:name w:val="Heading 2 Char"/>
    <w:basedOn w:val="DefaultParagraphFont"/>
    <w:link w:val="Heading2"/>
    <w:rsid w:val="009939FF"/>
    <w:rPr>
      <w:rFonts w:ascii="Arial" w:eastAsia="Times New Roman" w:hAnsi="Arial" w:cs="Times New Roman"/>
      <w:b/>
      <w:bCs/>
      <w:szCs w:val="24"/>
    </w:rPr>
  </w:style>
  <w:style w:type="character" w:customStyle="1" w:styleId="Heading3Char">
    <w:name w:val="Heading 3 Char"/>
    <w:basedOn w:val="DefaultParagraphFont"/>
    <w:link w:val="Heading3"/>
    <w:rsid w:val="009939FF"/>
    <w:rPr>
      <w:rFonts w:ascii="Arial" w:eastAsia="Times New Roman" w:hAnsi="Arial" w:cs="Times New Roman"/>
      <w:b/>
      <w:bCs/>
      <w:i/>
      <w:iCs/>
      <w:szCs w:val="24"/>
    </w:rPr>
  </w:style>
  <w:style w:type="character" w:customStyle="1" w:styleId="Heading4Char">
    <w:name w:val="Heading 4 Char"/>
    <w:basedOn w:val="DefaultParagraphFont"/>
    <w:link w:val="Heading4"/>
    <w:rsid w:val="009939FF"/>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9939FF"/>
    <w:rPr>
      <w:rFonts w:ascii="Times New Roman" w:eastAsia="Times New Roman" w:hAnsi="Times New Roman" w:cs="Times New Roman"/>
      <w:b/>
      <w:bCs/>
      <w:sz w:val="20"/>
      <w:szCs w:val="20"/>
      <w:u w:val="single"/>
    </w:rPr>
  </w:style>
  <w:style w:type="character" w:customStyle="1" w:styleId="Heading9Char">
    <w:name w:val="Heading 9 Char"/>
    <w:basedOn w:val="DefaultParagraphFont"/>
    <w:link w:val="Heading9"/>
    <w:rsid w:val="009939FF"/>
    <w:rPr>
      <w:rFonts w:ascii="Times New Roman" w:eastAsia="Times New Roman" w:hAnsi="Times New Roman" w:cs="Times New Roman"/>
      <w:b/>
      <w:sz w:val="28"/>
      <w:szCs w:val="20"/>
      <w:u w:val="single"/>
    </w:rPr>
  </w:style>
  <w:style w:type="paragraph" w:styleId="BodyText">
    <w:name w:val="Body Text"/>
    <w:basedOn w:val="Normal"/>
    <w:link w:val="BodyTextChar"/>
    <w:rsid w:val="009939FF"/>
    <w:rPr>
      <w:rFonts w:ascii="Arial" w:hAnsi="Arial"/>
      <w:sz w:val="22"/>
      <w:szCs w:val="24"/>
    </w:rPr>
  </w:style>
  <w:style w:type="character" w:customStyle="1" w:styleId="BodyTextChar">
    <w:name w:val="Body Text Char"/>
    <w:basedOn w:val="DefaultParagraphFont"/>
    <w:link w:val="BodyText"/>
    <w:rsid w:val="009939FF"/>
    <w:rPr>
      <w:rFonts w:ascii="Arial" w:eastAsia="Times New Roman" w:hAnsi="Arial" w:cs="Times New Roman"/>
      <w:szCs w:val="24"/>
    </w:rPr>
  </w:style>
  <w:style w:type="paragraph" w:styleId="BodyText2">
    <w:name w:val="Body Text 2"/>
    <w:basedOn w:val="Normal"/>
    <w:link w:val="BodyText2Char"/>
    <w:rsid w:val="009939FF"/>
    <w:rPr>
      <w:rFonts w:ascii="Arial" w:hAnsi="Arial"/>
      <w:color w:val="FF6600"/>
      <w:sz w:val="22"/>
      <w:szCs w:val="24"/>
    </w:rPr>
  </w:style>
  <w:style w:type="character" w:customStyle="1" w:styleId="BodyText2Char">
    <w:name w:val="Body Text 2 Char"/>
    <w:basedOn w:val="DefaultParagraphFont"/>
    <w:link w:val="BodyText2"/>
    <w:rsid w:val="009939FF"/>
    <w:rPr>
      <w:rFonts w:ascii="Arial" w:eastAsia="Times New Roman" w:hAnsi="Arial" w:cs="Times New Roman"/>
      <w:color w:val="FF6600"/>
      <w:szCs w:val="24"/>
    </w:rPr>
  </w:style>
  <w:style w:type="paragraph" w:styleId="BodyText3">
    <w:name w:val="Body Text 3"/>
    <w:basedOn w:val="Normal"/>
    <w:link w:val="BodyText3Char"/>
    <w:rsid w:val="009939FF"/>
    <w:rPr>
      <w:rFonts w:ascii="Arial" w:hAnsi="Arial"/>
      <w:szCs w:val="24"/>
    </w:rPr>
  </w:style>
  <w:style w:type="character" w:customStyle="1" w:styleId="BodyText3Char">
    <w:name w:val="Body Text 3 Char"/>
    <w:basedOn w:val="DefaultParagraphFont"/>
    <w:link w:val="BodyText3"/>
    <w:rsid w:val="009939FF"/>
    <w:rPr>
      <w:rFonts w:ascii="Arial" w:eastAsia="Times New Roman" w:hAnsi="Arial" w:cs="Times New Roman"/>
      <w:sz w:val="20"/>
      <w:szCs w:val="24"/>
    </w:rPr>
  </w:style>
  <w:style w:type="character" w:styleId="Hyperlink">
    <w:name w:val="Hyperlink"/>
    <w:rsid w:val="009939FF"/>
    <w:rPr>
      <w:color w:val="0000FF"/>
      <w:u w:val="single"/>
    </w:rPr>
  </w:style>
  <w:style w:type="paragraph" w:styleId="Header">
    <w:name w:val="header"/>
    <w:basedOn w:val="Normal"/>
    <w:link w:val="HeaderChar"/>
    <w:rsid w:val="009939FF"/>
    <w:pPr>
      <w:tabs>
        <w:tab w:val="center" w:pos="4153"/>
        <w:tab w:val="right" w:pos="8306"/>
      </w:tabs>
    </w:pPr>
    <w:rPr>
      <w:sz w:val="24"/>
      <w:szCs w:val="24"/>
    </w:rPr>
  </w:style>
  <w:style w:type="character" w:customStyle="1" w:styleId="HeaderChar">
    <w:name w:val="Header Char"/>
    <w:basedOn w:val="DefaultParagraphFont"/>
    <w:link w:val="Header"/>
    <w:rsid w:val="009939FF"/>
    <w:rPr>
      <w:rFonts w:ascii="Times New Roman" w:eastAsia="Times New Roman" w:hAnsi="Times New Roman" w:cs="Times New Roman"/>
      <w:sz w:val="24"/>
      <w:szCs w:val="24"/>
    </w:rPr>
  </w:style>
  <w:style w:type="paragraph" w:styleId="FootnoteText">
    <w:name w:val="footnote text"/>
    <w:basedOn w:val="Normal"/>
    <w:link w:val="FootnoteTextChar"/>
    <w:semiHidden/>
    <w:rsid w:val="009939FF"/>
  </w:style>
  <w:style w:type="character" w:customStyle="1" w:styleId="FootnoteTextChar">
    <w:name w:val="Footnote Text Char"/>
    <w:basedOn w:val="DefaultParagraphFont"/>
    <w:link w:val="FootnoteText"/>
    <w:semiHidden/>
    <w:rsid w:val="009939FF"/>
    <w:rPr>
      <w:rFonts w:ascii="Times New Roman" w:eastAsia="Times New Roman" w:hAnsi="Times New Roman" w:cs="Times New Roman"/>
      <w:sz w:val="20"/>
      <w:szCs w:val="20"/>
    </w:rPr>
  </w:style>
  <w:style w:type="character" w:styleId="FootnoteReference">
    <w:name w:val="footnote reference"/>
    <w:semiHidden/>
    <w:rsid w:val="009939FF"/>
    <w:rPr>
      <w:vertAlign w:val="superscript"/>
    </w:rPr>
  </w:style>
  <w:style w:type="paragraph" w:styleId="BalloonText">
    <w:name w:val="Balloon Text"/>
    <w:basedOn w:val="Normal"/>
    <w:link w:val="BalloonTextChar"/>
    <w:semiHidden/>
    <w:rsid w:val="009939FF"/>
    <w:rPr>
      <w:rFonts w:ascii="Tahoma" w:hAnsi="Tahoma" w:cs="Tahoma"/>
      <w:sz w:val="16"/>
      <w:szCs w:val="16"/>
    </w:rPr>
  </w:style>
  <w:style w:type="character" w:customStyle="1" w:styleId="BalloonTextChar">
    <w:name w:val="Balloon Text Char"/>
    <w:basedOn w:val="DefaultParagraphFont"/>
    <w:link w:val="BalloonText"/>
    <w:semiHidden/>
    <w:rsid w:val="009939FF"/>
    <w:rPr>
      <w:rFonts w:ascii="Tahoma" w:eastAsia="Times New Roman" w:hAnsi="Tahoma" w:cs="Tahoma"/>
      <w:sz w:val="16"/>
      <w:szCs w:val="16"/>
    </w:rPr>
  </w:style>
  <w:style w:type="paragraph" w:styleId="BlockText">
    <w:name w:val="Block Text"/>
    <w:basedOn w:val="Normal"/>
    <w:rsid w:val="009939FF"/>
    <w:pPr>
      <w:ind w:left="1872" w:right="432" w:hanging="630"/>
      <w:jc w:val="both"/>
    </w:pPr>
    <w:rPr>
      <w:sz w:val="22"/>
      <w:szCs w:val="22"/>
      <w:lang w:eastAsia="en-GB"/>
    </w:rPr>
  </w:style>
  <w:style w:type="paragraph" w:styleId="Footer">
    <w:name w:val="footer"/>
    <w:basedOn w:val="Normal"/>
    <w:link w:val="FooterChar"/>
    <w:uiPriority w:val="99"/>
    <w:rsid w:val="009939FF"/>
    <w:pPr>
      <w:tabs>
        <w:tab w:val="center" w:pos="4153"/>
        <w:tab w:val="right" w:pos="8306"/>
      </w:tabs>
    </w:pPr>
  </w:style>
  <w:style w:type="character" w:customStyle="1" w:styleId="FooterChar">
    <w:name w:val="Footer Char"/>
    <w:basedOn w:val="DefaultParagraphFont"/>
    <w:link w:val="Footer"/>
    <w:uiPriority w:val="99"/>
    <w:rsid w:val="009939FF"/>
    <w:rPr>
      <w:rFonts w:ascii="Times New Roman" w:eastAsia="Times New Roman" w:hAnsi="Times New Roman" w:cs="Times New Roman"/>
      <w:sz w:val="20"/>
      <w:szCs w:val="20"/>
    </w:rPr>
  </w:style>
  <w:style w:type="character" w:styleId="CommentReference">
    <w:name w:val="annotation reference"/>
    <w:uiPriority w:val="99"/>
    <w:rsid w:val="009939FF"/>
    <w:rPr>
      <w:sz w:val="16"/>
      <w:szCs w:val="16"/>
    </w:rPr>
  </w:style>
  <w:style w:type="paragraph" w:styleId="CommentText">
    <w:name w:val="annotation text"/>
    <w:basedOn w:val="Normal"/>
    <w:link w:val="CommentTextChar"/>
    <w:uiPriority w:val="99"/>
    <w:semiHidden/>
    <w:rsid w:val="009939FF"/>
    <w:rPr>
      <w:rFonts w:ascii="Arial" w:hAnsi="Arial"/>
      <w:b/>
    </w:rPr>
  </w:style>
  <w:style w:type="character" w:customStyle="1" w:styleId="CommentTextChar">
    <w:name w:val="Comment Text Char"/>
    <w:basedOn w:val="DefaultParagraphFont"/>
    <w:link w:val="CommentText"/>
    <w:uiPriority w:val="99"/>
    <w:semiHidden/>
    <w:rsid w:val="009939FF"/>
    <w:rPr>
      <w:rFonts w:ascii="Arial" w:eastAsia="Times New Roman" w:hAnsi="Arial" w:cs="Times New Roman"/>
      <w:b/>
      <w:sz w:val="20"/>
      <w:szCs w:val="20"/>
    </w:rPr>
  </w:style>
  <w:style w:type="paragraph" w:styleId="CommentSubject">
    <w:name w:val="annotation subject"/>
    <w:basedOn w:val="CommentText"/>
    <w:next w:val="CommentText"/>
    <w:link w:val="CommentSubjectChar"/>
    <w:semiHidden/>
    <w:rsid w:val="009939FF"/>
    <w:rPr>
      <w:rFonts w:ascii="Times New Roman" w:hAnsi="Times New Roman"/>
      <w:bCs/>
    </w:rPr>
  </w:style>
  <w:style w:type="character" w:customStyle="1" w:styleId="CommentSubjectChar">
    <w:name w:val="Comment Subject Char"/>
    <w:basedOn w:val="CommentTextChar"/>
    <w:link w:val="CommentSubject"/>
    <w:semiHidden/>
    <w:rsid w:val="009939FF"/>
    <w:rPr>
      <w:rFonts w:ascii="Times New Roman" w:eastAsia="Times New Roman" w:hAnsi="Times New Roman" w:cs="Times New Roman"/>
      <w:b/>
      <w:bCs/>
      <w:sz w:val="20"/>
      <w:szCs w:val="20"/>
    </w:rPr>
  </w:style>
  <w:style w:type="character" w:styleId="PageNumber">
    <w:name w:val="page number"/>
    <w:basedOn w:val="DefaultParagraphFont"/>
    <w:rsid w:val="009939FF"/>
  </w:style>
  <w:style w:type="paragraph" w:customStyle="1" w:styleId="Default">
    <w:name w:val="Default"/>
    <w:rsid w:val="009939FF"/>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customStyle="1" w:styleId="Style">
    <w:name w:val="Style"/>
    <w:rsid w:val="009939FF"/>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rsid w:val="009939F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9939FF"/>
    <w:rPr>
      <w:rFonts w:ascii="Courier New" w:hAnsi="Courier New" w:cs="Courier New"/>
      <w:lang w:eastAsia="en-GB"/>
    </w:rPr>
  </w:style>
  <w:style w:type="character" w:customStyle="1" w:styleId="PlainTextChar">
    <w:name w:val="Plain Text Char"/>
    <w:basedOn w:val="DefaultParagraphFont"/>
    <w:link w:val="PlainText"/>
    <w:rsid w:val="009939FF"/>
    <w:rPr>
      <w:rFonts w:ascii="Courier New" w:eastAsia="Times New Roman" w:hAnsi="Courier New" w:cs="Courier New"/>
      <w:sz w:val="20"/>
      <w:szCs w:val="20"/>
      <w:lang w:eastAsia="en-GB"/>
    </w:rPr>
  </w:style>
  <w:style w:type="paragraph" w:styleId="ListParagraph">
    <w:name w:val="List Paragraph"/>
    <w:basedOn w:val="Normal"/>
    <w:uiPriority w:val="34"/>
    <w:qFormat/>
    <w:rsid w:val="009939FF"/>
    <w:pPr>
      <w:ind w:left="720"/>
      <w:contextualSpacing/>
    </w:pPr>
    <w:rPr>
      <w:sz w:val="24"/>
      <w:szCs w:val="24"/>
      <w:lang w:eastAsia="en-GB"/>
    </w:rPr>
  </w:style>
  <w:style w:type="paragraph" w:styleId="Caption">
    <w:name w:val="caption"/>
    <w:basedOn w:val="Normal"/>
    <w:next w:val="Normal"/>
    <w:unhideWhenUsed/>
    <w:qFormat/>
    <w:rsid w:val="009939FF"/>
    <w:rPr>
      <w:b/>
      <w:bCs/>
    </w:rPr>
  </w:style>
  <w:style w:type="paragraph" w:styleId="NoSpacing">
    <w:name w:val="No Spacing"/>
    <w:link w:val="NoSpacingChar"/>
    <w:uiPriority w:val="1"/>
    <w:qFormat/>
    <w:rsid w:val="009939FF"/>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9939FF"/>
    <w:rPr>
      <w:rFonts w:ascii="Calibri" w:eastAsia="Times New Roman" w:hAnsi="Calibri" w:cs="Times New Roman"/>
      <w:lang w:val="en-US"/>
    </w:rPr>
  </w:style>
  <w:style w:type="character" w:styleId="UnresolvedMention">
    <w:name w:val="Unresolved Mention"/>
    <w:basedOn w:val="DefaultParagraphFont"/>
    <w:uiPriority w:val="99"/>
    <w:semiHidden/>
    <w:unhideWhenUsed/>
    <w:rsid w:val="006553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810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www.nrls.npsa.nhs.uk/resources/?entryid45=59812" TargetMode="External" Id="rId13" /><Relationship Type="http://schemas.openxmlformats.org/officeDocument/2006/relationships/hyperlink" Target="http://www.qaney.co.uk" TargetMode="External" Id="rId18" /><Relationship Type="http://schemas.openxmlformats.org/officeDocument/2006/relationships/image" Target="media/image6.png" Id="rId26" /><Relationship Type="http://schemas.openxmlformats.org/officeDocument/2006/relationships/numbering" Target="numbering.xml" Id="rId3" /><Relationship Type="http://schemas.openxmlformats.org/officeDocument/2006/relationships/hyperlink" Target="http://www.ich.org/products/guidelines.html" TargetMode="External" Id="rId21" /><Relationship Type="http://schemas.openxmlformats.org/officeDocument/2006/relationships/footnotes" Target="footnotes.xml" Id="rId7" /><Relationship Type="http://schemas.openxmlformats.org/officeDocument/2006/relationships/hyperlink" Target="www.medicinesresources.nhs.uk/en/Communities/NHS/UKQAInfoZone" TargetMode="External" Id="rId12" /><Relationship Type="http://schemas.openxmlformats.org/officeDocument/2006/relationships/hyperlink" Target="http://www.qcnw.nhs.uk" TargetMode="External" Id="rId17" /><Relationship Type="http://schemas.openxmlformats.org/officeDocument/2006/relationships/image" Target="media/image5.png" Id="rId25" /><Relationship Type="http://schemas.openxmlformats.org/officeDocument/2006/relationships/theme" Target="theme/theme1.xml" Id="rId33" /><Relationship Type="http://schemas.openxmlformats.org/officeDocument/2006/relationships/customXml" Target="../customXml/item2.xml" Id="rId2" /><Relationship Type="http://schemas.openxmlformats.org/officeDocument/2006/relationships/hyperlink" Target="http://www.medicinesresources.nhs.uk/en/Communities/NHS/UKQAInfoZone" TargetMode="External" Id="rId16" /><Relationship Type="http://schemas.openxmlformats.org/officeDocument/2006/relationships/hyperlink" Target="http://www.ich.org/products/guidelines.html" TargetMode="External" Id="rId20" /><Relationship Type="http://schemas.openxmlformats.org/officeDocument/2006/relationships/footer" Target="footer2.xml" Id="rId29" /><Relationship Type="http://schemas.openxmlformats.org/officeDocument/2006/relationships/webSettings" Target="webSettings.xml" Id="rId6" /><Relationship Type="http://schemas.openxmlformats.org/officeDocument/2006/relationships/image" Target="media/image3.png" Id="rId11" /><Relationship Type="http://schemas.openxmlformats.org/officeDocument/2006/relationships/image" Target="media/image4.png" Id="rId24" /><Relationship Type="http://schemas.openxmlformats.org/officeDocument/2006/relationships/fontTable" Target="fontTable.xml" Id="rId32" /><Relationship Type="http://schemas.openxmlformats.org/officeDocument/2006/relationships/settings" Target="settings.xml" Id="rId5" /><Relationship Type="http://schemas.openxmlformats.org/officeDocument/2006/relationships/hyperlink" Target="http://www.ich.org/products/guidelines.html" TargetMode="External" Id="rId15" /><Relationship Type="http://schemas.openxmlformats.org/officeDocument/2006/relationships/hyperlink" Target="https://www.england.nhs.uk/commissioning/spec-services/npc-crg/group-b/b02/dose-banded-chemotherapy-standardised-product-specifications/" TargetMode="External" Id="rId23" /><Relationship Type="http://schemas.openxmlformats.org/officeDocument/2006/relationships/footer" Target="footer1.xml" Id="rId28" /><Relationship Type="http://schemas.openxmlformats.org/officeDocument/2006/relationships/image" Target="media/image2.png" Id="rId10" /><Relationship Type="http://schemas.openxmlformats.org/officeDocument/2006/relationships/hyperlink" Target="http://www.ich.org/products/guidelines.html" TargetMode="External" Id="rId19" /><Relationship Type="http://schemas.openxmlformats.org/officeDocument/2006/relationships/footer" Target="footer3.xml" Id="rId31"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yperlink" Target="http://www.medicinesresources.nhs.uk/en/Communities/NHS/UKQAInfoZone" TargetMode="External" Id="rId14" /><Relationship Type="http://schemas.openxmlformats.org/officeDocument/2006/relationships/hyperlink" Target="http://www.qcnw.nhs.uk" TargetMode="External" Id="rId22" /><Relationship Type="http://schemas.openxmlformats.org/officeDocument/2006/relationships/header" Target="header1.xml" Id="rId27" /><Relationship Type="http://schemas.openxmlformats.org/officeDocument/2006/relationships/header" Target="header2.xml" Id="rId30" /><Relationship Type="http://schemas.openxmlformats.org/officeDocument/2006/relationships/customXml" Target="/customXML/item3.xml" Id="R2cc7cfa2d3ea4a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A2661379</value>
    </field>
    <field name="Objective-Title">
      <value order="0">Document No. 04b - Assessment Criteria, Stability Protocol and Additional Specification Requirements</value>
    </field>
    <field name="Objective-Description">
      <value order="0"/>
    </field>
    <field name="Objective-CreationStamp">
      <value order="0">2022-07-20T10:01:57Z</value>
    </field>
    <field name="Objective-IsApproved">
      <value order="0">false</value>
    </field>
    <field name="Objective-IsPublished">
      <value order="0">true</value>
    </field>
    <field name="Objective-DatePublished">
      <value order="0">2022-09-22T14:38:35Z</value>
    </field>
    <field name="Objective-ModificationStamp">
      <value order="0">2022-09-23T07:24:40Z</value>
    </field>
    <field name="Objective-Owner">
      <value order="0">Noonan, Katie</value>
    </field>
    <field name="Objective-Path">
      <value order="0">Global Folder:02 Branded Medicines Projects and Contracts:02 Frameworks:21 Branded Team Pharmaceuticals Projects 2023:CM/PHR/22/5659 - NHS National Framework Agreement for the supply of Eculizumab - 1 Feb 2023:03 Tender:02 ITO Documents</value>
    </field>
    <field name="Objective-Parent">
      <value order="0">02 ITO Documents</value>
    </field>
    <field name="Objective-State">
      <value order="0">Published</value>
    </field>
    <field name="Objective-VersionId">
      <value order="0">vA4082447</value>
    </field>
    <field name="Objective-Version">
      <value order="0">4.0</value>
    </field>
    <field name="Objective-VersionNumber">
      <value order="0">4</value>
    </field>
    <field name="Objective-VersionComment">
      <value order="0"/>
    </field>
    <field name="Objective-FileNumber">
      <value order="0"/>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952844E5-0DFF-44A1-94D9-D7ADC4F18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541</TotalTime>
  <Pages>23</Pages>
  <Words>6652</Words>
  <Characters>37917</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Williams</dc:creator>
  <cp:keywords/>
  <dc:description/>
  <cp:lastModifiedBy>Katie Noonan</cp:lastModifiedBy>
  <cp:revision>40</cp:revision>
  <dcterms:created xsi:type="dcterms:W3CDTF">2022-07-20T09:59:00Z</dcterms:created>
  <dcterms:modified xsi:type="dcterms:W3CDTF">2022-09-22T09:16:00Z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A2661379</vt:lpwstr>
  </property>
  <property fmtid="{D5CDD505-2E9C-101B-9397-08002B2CF9AE}" pid="4" name="Objective-Title">
    <vt:lpwstr>Document No. 04b - Assessment Criteria, Stability Protocol and Additional Specification Requirements</vt:lpwstr>
  </property>
  <property fmtid="{D5CDD505-2E9C-101B-9397-08002B2CF9AE}" pid="5" name="Objective-Description">
    <vt:lpwstr/>
  </property>
  <property fmtid="{D5CDD505-2E9C-101B-9397-08002B2CF9AE}" pid="6" name="Objective-CreationStamp">
    <vt:filetime>2022-07-20T10:01:57Z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2022-09-22T14:38:35Z</vt:filetime>
  </property>
  <property fmtid="{D5CDD505-2E9C-101B-9397-08002B2CF9AE}" pid="10" name="Objective-ModificationStamp">
    <vt:filetime>2022-09-23T07:24:40Z</vt:filetime>
  </property>
  <property fmtid="{D5CDD505-2E9C-101B-9397-08002B2CF9AE}" pid="11" name="Objective-Owner">
    <vt:lpwstr>Noonan, Katie</vt:lpwstr>
  </property>
  <property fmtid="{D5CDD505-2E9C-101B-9397-08002B2CF9AE}" pid="12" name="Objective-Path">
    <vt:lpwstr>Global Folder:02 Branded Medicines Projects and Contracts:02 Frameworks:21 Branded Team Pharmaceuticals Projects 2023:CM/PHR/22/5659 - NHS National Framework Agreement for the supply of Eculizumab - 1 Feb 2023:03 Tender:02 ITO Documents</vt:lpwstr>
  </property>
  <property fmtid="{D5CDD505-2E9C-101B-9397-08002B2CF9AE}" pid="13" name="Objective-Parent">
    <vt:lpwstr>02 ITO Documents</vt:lpwstr>
  </property>
  <property fmtid="{D5CDD505-2E9C-101B-9397-08002B2CF9AE}" pid="14" name="Objective-State">
    <vt:lpwstr>Published</vt:lpwstr>
  </property>
  <property fmtid="{D5CDD505-2E9C-101B-9397-08002B2CF9AE}" pid="15" name="Objective-VersionId">
    <vt:lpwstr>vA4082447</vt:lpwstr>
  </property>
  <property fmtid="{D5CDD505-2E9C-101B-9397-08002B2CF9AE}" pid="16" name="Objective-Version">
    <vt:lpwstr>4.0</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
  </property>
  <property fmtid="{D5CDD505-2E9C-101B-9397-08002B2CF9AE}" pid="21" name="Objective-Caveats">
    <vt:lpwstr/>
  </property>
  <property fmtid="{D5CDD505-2E9C-101B-9397-08002B2CF9AE}" pid="22" name="Objective-Comment">
    <vt:lpwstr/>
  </property>
</Properties>
</file>