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00C2E0" w14:textId="39CDA13E" w:rsidR="0013786D" w:rsidRDefault="008E56E5">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7A40C212" w14:textId="77777777" w:rsidR="0013786D" w:rsidRDefault="002E7F3C" w:rsidP="00D21A00">
      <w:pPr>
        <w:numPr>
          <w:ilvl w:val="1"/>
          <w:numId w:val="1"/>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p>
    <w:p w14:paraId="620D9E72" w14:textId="0892D748" w:rsidR="0013786D" w:rsidRDefault="0013786D">
      <w:pPr>
        <w:spacing w:after="100"/>
        <w:jc w:val="left"/>
        <w:rPr>
          <w:rFonts w:ascii="Arial" w:eastAsia="Arial" w:hAnsi="Arial" w:cs="Arial"/>
        </w:rPr>
      </w:pPr>
      <w:bookmarkStart w:id="3" w:name="1a346fx" w:colFirst="0" w:colLast="0"/>
      <w:bookmarkEnd w:id="3"/>
    </w:p>
    <w:p w14:paraId="3F846B6F" w14:textId="77777777" w:rsidR="0013786D" w:rsidRDefault="002E7F3C">
      <w:pPr>
        <w:spacing w:after="100"/>
        <w:jc w:val="left"/>
        <w:rPr>
          <w:rFonts w:ascii="Arial" w:eastAsia="Arial" w:hAnsi="Arial" w:cs="Arial"/>
        </w:rPr>
      </w:pPr>
      <w:bookmarkStart w:id="4" w:name="odc9jc" w:colFirst="0" w:colLast="0"/>
      <w:bookmarkEnd w:id="4"/>
      <w:r>
        <w:rPr>
          <w:rFonts w:ascii="Arial" w:eastAsia="Arial" w:hAnsi="Arial" w:cs="Arial"/>
          <w:sz w:val="20"/>
          <w:szCs w:val="20"/>
        </w:rPr>
        <w:t>Dear Sirs</w:t>
      </w:r>
    </w:p>
    <w:p w14:paraId="561A4A01" w14:textId="77777777" w:rsidR="0013786D" w:rsidRDefault="0013786D">
      <w:pPr>
        <w:spacing w:after="100"/>
        <w:jc w:val="left"/>
        <w:rPr>
          <w:rFonts w:ascii="Arial" w:eastAsia="Arial" w:hAnsi="Arial" w:cs="Arial"/>
        </w:rPr>
      </w:pPr>
      <w:bookmarkStart w:id="5" w:name="38czs75" w:colFirst="0" w:colLast="0"/>
      <w:bookmarkEnd w:id="5"/>
    </w:p>
    <w:p w14:paraId="4995E98C" w14:textId="77777777" w:rsidR="0013786D" w:rsidRDefault="002E7F3C">
      <w:pPr>
        <w:spacing w:after="100"/>
        <w:jc w:val="left"/>
        <w:rPr>
          <w:rFonts w:ascii="Arial" w:eastAsia="Arial" w:hAnsi="Arial" w:cs="Arial"/>
        </w:rPr>
      </w:pPr>
      <w:bookmarkStart w:id="6" w:name="1nia2ey" w:colFirst="0" w:colLast="0"/>
      <w:bookmarkEnd w:id="6"/>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7" w:name="47hxl2r" w:colFirst="0" w:colLast="0"/>
      <w:bookmarkEnd w:id="7"/>
    </w:p>
    <w:p w14:paraId="444414FD" w14:textId="17CF304C" w:rsidR="0013786D" w:rsidRDefault="002E7F3C">
      <w:pPr>
        <w:spacing w:after="100"/>
        <w:jc w:val="left"/>
        <w:rPr>
          <w:rFonts w:ascii="Arial" w:eastAsia="Arial" w:hAnsi="Arial" w:cs="Arial"/>
        </w:rPr>
      </w:pPr>
      <w:bookmarkStart w:id="8" w:name="2mn7vak" w:colFirst="0" w:colLast="0"/>
      <w:bookmarkEnd w:id="8"/>
      <w:r>
        <w:rPr>
          <w:rFonts w:ascii="Arial" w:eastAsia="Arial" w:hAnsi="Arial" w:cs="Arial"/>
          <w:sz w:val="20"/>
          <w:szCs w:val="20"/>
        </w:rPr>
        <w:t>This letter of Appointment</w:t>
      </w:r>
      <w:r w:rsidR="00E755C6">
        <w:rPr>
          <w:rFonts w:ascii="Arial" w:eastAsia="Arial" w:hAnsi="Arial" w:cs="Arial"/>
          <w:sz w:val="20"/>
          <w:szCs w:val="20"/>
        </w:rPr>
        <w:t xml:space="preserve"> dated</w:t>
      </w:r>
      <w:r w:rsidR="00EF426A">
        <w:rPr>
          <w:rFonts w:ascii="Arial" w:eastAsia="Arial" w:hAnsi="Arial" w:cs="Arial"/>
          <w:sz w:val="20"/>
          <w:szCs w:val="20"/>
        </w:rPr>
        <w:t xml:space="preserve"> </w:t>
      </w:r>
      <w:r w:rsidR="0072046D" w:rsidRPr="0072046D">
        <w:rPr>
          <w:rFonts w:ascii="Arial" w:eastAsia="Arial" w:hAnsi="Arial" w:cs="Arial"/>
          <w:sz w:val="20"/>
          <w:szCs w:val="20"/>
        </w:rPr>
        <w:t>20</w:t>
      </w:r>
      <w:r w:rsidR="0072046D" w:rsidRPr="0072046D">
        <w:rPr>
          <w:rFonts w:ascii="Arial" w:eastAsia="Arial" w:hAnsi="Arial" w:cs="Arial"/>
          <w:sz w:val="20"/>
          <w:szCs w:val="20"/>
          <w:vertAlign w:val="superscript"/>
        </w:rPr>
        <w:t>th</w:t>
      </w:r>
      <w:r w:rsidR="0072046D" w:rsidRPr="0072046D">
        <w:rPr>
          <w:rFonts w:ascii="Arial" w:eastAsia="Arial" w:hAnsi="Arial" w:cs="Arial"/>
          <w:sz w:val="20"/>
          <w:szCs w:val="20"/>
        </w:rPr>
        <w:t xml:space="preserve"> August 2020 </w:t>
      </w:r>
      <w:r w:rsidRPr="0072046D">
        <w:rPr>
          <w:rFonts w:ascii="Arial" w:eastAsia="Arial" w:hAnsi="Arial" w:cs="Arial"/>
          <w:sz w:val="20"/>
          <w:szCs w:val="20"/>
        </w:rPr>
        <w:t>is</w:t>
      </w:r>
      <w:r>
        <w:rPr>
          <w:rFonts w:ascii="Arial" w:eastAsia="Arial" w:hAnsi="Arial" w:cs="Arial"/>
          <w:sz w:val="20"/>
          <w:szCs w:val="20"/>
        </w:rPr>
        <w:t xml:space="preserve"> issued in accordance with the provisions of the </w:t>
      </w:r>
      <w:r w:rsidR="008E56E5">
        <w:rPr>
          <w:rFonts w:ascii="Arial" w:eastAsia="Arial" w:hAnsi="Arial" w:cs="Arial"/>
          <w:sz w:val="20"/>
          <w:szCs w:val="20"/>
        </w:rPr>
        <w:t>DPS</w:t>
      </w:r>
      <w:r>
        <w:rPr>
          <w:rFonts w:ascii="Arial" w:eastAsia="Arial" w:hAnsi="Arial" w:cs="Arial"/>
          <w:sz w:val="20"/>
          <w:szCs w:val="20"/>
        </w:rPr>
        <w:t xml:space="preserve"> Agreement (R</w:t>
      </w:r>
      <w:r w:rsidR="00D34498">
        <w:rPr>
          <w:rFonts w:ascii="Arial" w:eastAsia="Arial" w:hAnsi="Arial" w:cs="Arial"/>
          <w:sz w:val="20"/>
          <w:szCs w:val="20"/>
        </w:rPr>
        <w:t>M6018</w:t>
      </w:r>
      <w:r>
        <w:rPr>
          <w:rFonts w:ascii="Arial" w:eastAsia="Arial" w:hAnsi="Arial" w:cs="Arial"/>
          <w:sz w:val="20"/>
          <w:szCs w:val="20"/>
        </w:rPr>
        <w:t>) between CCS and the Supplier.</w:t>
      </w:r>
    </w:p>
    <w:p w14:paraId="02E5FA7E" w14:textId="41B2F8C9" w:rsidR="0013786D" w:rsidRDefault="002E7F3C">
      <w:pPr>
        <w:spacing w:after="100"/>
        <w:jc w:val="left"/>
        <w:rPr>
          <w:rFonts w:ascii="Arial" w:eastAsia="Arial" w:hAnsi="Arial" w:cs="Arial"/>
        </w:rPr>
      </w:pPr>
      <w:bookmarkStart w:id="9" w:name="11si5id" w:colFirst="0" w:colLast="0"/>
      <w:bookmarkEnd w:id="9"/>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0" w:name="3ls5o66" w:colFirst="0" w:colLast="0"/>
      <w:bookmarkEnd w:id="10"/>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Default="002E7F3C">
            <w:pPr>
              <w:spacing w:after="100"/>
              <w:jc w:val="left"/>
              <w:rPr>
                <w:rFonts w:ascii="Arial" w:eastAsia="Arial" w:hAnsi="Arial" w:cs="Arial"/>
              </w:rPr>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6BEB7E22" w:rsidR="0013786D" w:rsidRPr="00EF426A" w:rsidRDefault="00EF426A">
            <w:pPr>
              <w:spacing w:after="100"/>
              <w:jc w:val="left"/>
              <w:rPr>
                <w:rFonts w:ascii="Arial" w:eastAsia="Arial" w:hAnsi="Arial" w:cs="Arial"/>
                <w:i/>
              </w:rPr>
            </w:pPr>
            <w:r w:rsidRPr="00EF426A">
              <w:rPr>
                <w:rFonts w:ascii="Arial" w:eastAsia="Arial" w:hAnsi="Arial" w:cs="Arial"/>
                <w:i/>
                <w:sz w:val="20"/>
                <w:szCs w:val="20"/>
              </w:rPr>
              <w:t>TBC</w:t>
            </w:r>
          </w:p>
        </w:tc>
      </w:tr>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Default="002E7F3C">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3D476BE1" w:rsidR="0013786D" w:rsidRDefault="00391390">
            <w:pPr>
              <w:spacing w:after="100"/>
              <w:jc w:val="left"/>
              <w:rPr>
                <w:rFonts w:ascii="Arial" w:eastAsia="Arial" w:hAnsi="Arial" w:cs="Arial"/>
              </w:rPr>
            </w:pPr>
            <w:r>
              <w:rPr>
                <w:rFonts w:ascii="Arial" w:eastAsia="Arial" w:hAnsi="Arial" w:cs="Arial"/>
                <w:sz w:val="20"/>
                <w:szCs w:val="20"/>
              </w:rPr>
              <w:t>Cabinet Office</w:t>
            </w:r>
            <w:r w:rsidR="00EF426A">
              <w:rPr>
                <w:rFonts w:ascii="Arial" w:eastAsia="Arial" w:hAnsi="Arial" w:cs="Arial"/>
                <w:sz w:val="20"/>
                <w:szCs w:val="20"/>
              </w:rPr>
              <w:t xml:space="preserve"> </w:t>
            </w:r>
            <w:r w:rsidR="002E7F3C">
              <w:rPr>
                <w:rFonts w:ascii="Arial" w:eastAsia="Arial" w:hAnsi="Arial" w:cs="Arial"/>
                <w:sz w:val="20"/>
                <w:szCs w:val="20"/>
              </w:rPr>
              <w:t xml:space="preserve"> ("Customer")</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Default="002E7F3C">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2C1D248C" w:rsidR="0013786D" w:rsidRDefault="008B00AA">
            <w:pPr>
              <w:spacing w:after="100"/>
              <w:jc w:val="left"/>
              <w:rPr>
                <w:rFonts w:ascii="Arial" w:eastAsia="Arial" w:hAnsi="Arial" w:cs="Arial"/>
              </w:rPr>
            </w:pPr>
            <w:r w:rsidRPr="008B00AA">
              <w:rPr>
                <w:rFonts w:ascii="Arial" w:eastAsia="Arial" w:hAnsi="Arial" w:cs="Arial"/>
                <w:sz w:val="20"/>
                <w:szCs w:val="20"/>
              </w:rPr>
              <w:t>Atkins Limited</w:t>
            </w:r>
            <w:r>
              <w:rPr>
                <w:rFonts w:ascii="Arial" w:eastAsia="Arial" w:hAnsi="Arial" w:cs="Arial"/>
                <w:i/>
                <w:sz w:val="20"/>
                <w:szCs w:val="20"/>
              </w:rPr>
              <w:t xml:space="preserve"> </w:t>
            </w:r>
            <w:r w:rsidR="002E7F3C">
              <w:rPr>
                <w:rFonts w:ascii="Arial" w:eastAsia="Arial" w:hAnsi="Arial" w:cs="Arial"/>
                <w:sz w:val="20"/>
                <w:szCs w:val="20"/>
              </w:rPr>
              <w:t xml:space="preserve"> ("Supplier")</w:t>
            </w:r>
          </w:p>
        </w:tc>
      </w:tr>
    </w:tbl>
    <w:p w14:paraId="02874CE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Default="002E7F3C">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644FB00F" w:rsidR="0013786D" w:rsidRPr="004139F1" w:rsidRDefault="00322534" w:rsidP="00322534">
            <w:pPr>
              <w:spacing w:after="100"/>
              <w:jc w:val="left"/>
              <w:rPr>
                <w:rFonts w:ascii="Arial" w:eastAsia="Arial" w:hAnsi="Arial" w:cs="Arial"/>
              </w:rPr>
            </w:pPr>
            <w:r>
              <w:rPr>
                <w:rFonts w:ascii="Arial" w:eastAsia="Arial" w:hAnsi="Arial" w:cs="Arial"/>
                <w:sz w:val="20"/>
                <w:szCs w:val="20"/>
              </w:rPr>
              <w:t>1</w:t>
            </w:r>
            <w:r w:rsidRPr="00322534">
              <w:rPr>
                <w:rFonts w:ascii="Arial" w:eastAsia="Arial" w:hAnsi="Arial" w:cs="Arial"/>
                <w:sz w:val="20"/>
                <w:szCs w:val="20"/>
                <w:vertAlign w:val="superscript"/>
              </w:rPr>
              <w:t>st</w:t>
            </w:r>
            <w:r>
              <w:rPr>
                <w:rFonts w:ascii="Arial" w:eastAsia="Arial" w:hAnsi="Arial" w:cs="Arial"/>
                <w:sz w:val="20"/>
                <w:szCs w:val="20"/>
              </w:rPr>
              <w:t xml:space="preserve"> September </w:t>
            </w:r>
            <w:r w:rsidR="004139F1" w:rsidRPr="004139F1">
              <w:rPr>
                <w:rFonts w:ascii="Arial" w:eastAsia="Arial" w:hAnsi="Arial" w:cs="Arial"/>
                <w:sz w:val="20"/>
                <w:szCs w:val="20"/>
              </w:rPr>
              <w:t>2020</w:t>
            </w:r>
          </w:p>
        </w:tc>
      </w:tr>
      <w:tr w:rsidR="0013786D"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Default="002E7F3C">
            <w:pPr>
              <w:spacing w:after="100"/>
              <w:jc w:val="left"/>
              <w:rPr>
                <w:rFonts w:ascii="Arial" w:eastAsia="Arial" w:hAnsi="Arial" w:cs="Arial"/>
              </w:rPr>
            </w:pPr>
            <w:r>
              <w:rPr>
                <w:rFonts w:ascii="Arial" w:eastAsia="Arial" w:hAnsi="Arial" w:cs="Arial"/>
                <w:sz w:val="20"/>
                <w:szCs w:val="20"/>
              </w:rPr>
              <w:t>Expiry Date:</w:t>
            </w:r>
          </w:p>
          <w:p w14:paraId="02A16A8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057F6AD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5C3E4033" w:rsidR="0013786D" w:rsidRPr="004139F1" w:rsidRDefault="00D02FA5">
            <w:pPr>
              <w:spacing w:after="100"/>
              <w:jc w:val="left"/>
              <w:rPr>
                <w:rFonts w:ascii="Arial" w:eastAsia="Arial" w:hAnsi="Arial" w:cs="Arial"/>
              </w:rPr>
            </w:pPr>
            <w:r>
              <w:rPr>
                <w:rFonts w:ascii="Arial" w:eastAsia="Arial" w:hAnsi="Arial" w:cs="Arial"/>
                <w:sz w:val="20"/>
                <w:szCs w:val="20"/>
              </w:rPr>
              <w:t>28</w:t>
            </w:r>
            <w:r w:rsidRPr="00D02FA5">
              <w:rPr>
                <w:rFonts w:ascii="Arial" w:eastAsia="Arial" w:hAnsi="Arial" w:cs="Arial"/>
                <w:sz w:val="20"/>
                <w:szCs w:val="20"/>
                <w:vertAlign w:val="superscript"/>
              </w:rPr>
              <w:t>th</w:t>
            </w:r>
            <w:r>
              <w:rPr>
                <w:rFonts w:ascii="Arial" w:eastAsia="Arial" w:hAnsi="Arial" w:cs="Arial"/>
                <w:sz w:val="20"/>
                <w:szCs w:val="20"/>
              </w:rPr>
              <w:t xml:space="preserve"> </w:t>
            </w:r>
            <w:r w:rsidR="004139F1" w:rsidRPr="004139F1">
              <w:rPr>
                <w:rFonts w:ascii="Arial" w:eastAsia="Arial" w:hAnsi="Arial" w:cs="Arial"/>
                <w:sz w:val="20"/>
                <w:szCs w:val="20"/>
              </w:rPr>
              <w:t xml:space="preserve"> February 2021</w:t>
            </w:r>
          </w:p>
          <w:p w14:paraId="49B26E73" w14:textId="145BC6A9" w:rsidR="0013786D" w:rsidRDefault="0013786D">
            <w:pPr>
              <w:spacing w:after="100"/>
              <w:jc w:val="left"/>
              <w:rPr>
                <w:rFonts w:ascii="Arial" w:eastAsia="Arial" w:hAnsi="Arial" w:cs="Arial"/>
              </w:rPr>
            </w:pP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Default="00BA1F16">
            <w:pPr>
              <w:spacing w:after="100"/>
              <w:jc w:val="left"/>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and refined by:</w:t>
            </w:r>
          </w:p>
          <w:p w14:paraId="166C262C" w14:textId="0560FACE" w:rsidR="0013786D" w:rsidRDefault="002E7F3C">
            <w:pPr>
              <w:spacing w:after="100"/>
              <w:jc w:val="left"/>
              <w:rPr>
                <w:rFonts w:ascii="Arial" w:eastAsia="Arial" w:hAnsi="Arial" w:cs="Arial"/>
              </w:rPr>
            </w:pPr>
            <w:r>
              <w:rPr>
                <w:rFonts w:ascii="Arial" w:eastAsia="Arial" w:hAnsi="Arial" w:cs="Arial"/>
                <w:sz w:val="20"/>
                <w:szCs w:val="20"/>
              </w:rPr>
              <w:t xml:space="preserve">·  the Customer’s </w:t>
            </w:r>
            <w:r w:rsidR="00740626" w:rsidRPr="00EF426A">
              <w:rPr>
                <w:rFonts w:ascii="Arial" w:eastAsia="Arial" w:hAnsi="Arial" w:cs="Arial"/>
                <w:sz w:val="20"/>
                <w:szCs w:val="20"/>
              </w:rPr>
              <w:t xml:space="preserve">Project Specification </w:t>
            </w:r>
            <w:r w:rsidRPr="00EF426A">
              <w:rPr>
                <w:rFonts w:ascii="Arial" w:eastAsia="Arial" w:hAnsi="Arial" w:cs="Arial"/>
                <w:sz w:val="20"/>
                <w:szCs w:val="20"/>
              </w:rPr>
              <w:t>attached</w:t>
            </w:r>
            <w:r>
              <w:rPr>
                <w:rFonts w:ascii="Arial" w:eastAsia="Arial" w:hAnsi="Arial" w:cs="Arial"/>
                <w:sz w:val="20"/>
                <w:szCs w:val="20"/>
              </w:rPr>
              <w:t xml:space="preserve"> at Annex A and the Supplier</w:t>
            </w:r>
            <w:r w:rsidR="00EF426A">
              <w:rPr>
                <w:rFonts w:ascii="Arial" w:eastAsia="Arial" w:hAnsi="Arial" w:cs="Arial"/>
                <w:sz w:val="20"/>
                <w:szCs w:val="20"/>
              </w:rPr>
              <w:t>’s Proposal attached at Annex B</w:t>
            </w:r>
          </w:p>
          <w:p w14:paraId="4E011FAE" w14:textId="577415F2" w:rsidR="0013786D" w:rsidRDefault="0013786D">
            <w:pPr>
              <w:spacing w:after="100"/>
              <w:jc w:val="left"/>
              <w:rPr>
                <w:rFonts w:ascii="Arial" w:eastAsia="Arial" w:hAnsi="Arial" w:cs="Arial"/>
              </w:rPr>
            </w:pP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Default="002E7F3C">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BF3521A" w14:textId="77777777" w:rsidR="0013786D" w:rsidRDefault="008B00AA">
            <w:pPr>
              <w:spacing w:after="100"/>
              <w:jc w:val="left"/>
              <w:rPr>
                <w:rFonts w:ascii="Arial" w:eastAsia="Arial" w:hAnsi="Arial" w:cs="Arial"/>
                <w:sz w:val="20"/>
                <w:szCs w:val="20"/>
              </w:rPr>
            </w:pPr>
            <w:r>
              <w:rPr>
                <w:rFonts w:ascii="Arial" w:eastAsia="Arial" w:hAnsi="Arial" w:cs="Arial"/>
                <w:sz w:val="20"/>
                <w:szCs w:val="20"/>
              </w:rPr>
              <w:t>Customer:</w:t>
            </w:r>
          </w:p>
          <w:p w14:paraId="2B7FA2A8" w14:textId="1CD29E63" w:rsidR="008B00AA" w:rsidRDefault="00BB1589">
            <w:pPr>
              <w:spacing w:after="100"/>
              <w:jc w:val="left"/>
              <w:rPr>
                <w:rFonts w:ascii="Arial" w:eastAsia="Arial" w:hAnsi="Arial" w:cs="Arial"/>
                <w:sz w:val="20"/>
                <w:szCs w:val="20"/>
              </w:rPr>
            </w:pPr>
            <w:r>
              <w:rPr>
                <w:rFonts w:ascii="Arial" w:eastAsia="Arial" w:hAnsi="Arial" w:cs="Arial"/>
                <w:sz w:val="20"/>
                <w:szCs w:val="20"/>
              </w:rPr>
              <w:t>REDACTED</w:t>
            </w:r>
          </w:p>
          <w:p w14:paraId="3970B0E2" w14:textId="77777777" w:rsidR="008B00AA" w:rsidRDefault="008B00AA">
            <w:pPr>
              <w:spacing w:after="100"/>
              <w:jc w:val="left"/>
              <w:rPr>
                <w:rFonts w:ascii="Arial" w:eastAsia="Arial" w:hAnsi="Arial" w:cs="Arial"/>
                <w:sz w:val="20"/>
                <w:szCs w:val="20"/>
              </w:rPr>
            </w:pPr>
            <w:r>
              <w:rPr>
                <w:rFonts w:ascii="Arial" w:eastAsia="Arial" w:hAnsi="Arial" w:cs="Arial"/>
                <w:sz w:val="20"/>
                <w:szCs w:val="20"/>
              </w:rPr>
              <w:t>Supplier:</w:t>
            </w:r>
          </w:p>
          <w:p w14:paraId="46E456BE" w14:textId="668731F7" w:rsidR="00EF1BE1" w:rsidRDefault="00BB1589">
            <w:pPr>
              <w:spacing w:after="100"/>
              <w:jc w:val="left"/>
              <w:rPr>
                <w:rFonts w:ascii="Arial" w:eastAsia="Arial" w:hAnsi="Arial" w:cs="Arial"/>
                <w:sz w:val="20"/>
                <w:szCs w:val="20"/>
              </w:rPr>
            </w:pPr>
            <w:r>
              <w:rPr>
                <w:rFonts w:ascii="Arial" w:eastAsia="Arial" w:hAnsi="Arial" w:cs="Arial"/>
                <w:sz w:val="20"/>
                <w:szCs w:val="20"/>
              </w:rPr>
              <w:t>REDACTED</w:t>
            </w:r>
          </w:p>
          <w:p w14:paraId="1198CFA7" w14:textId="77777777" w:rsidR="004D07D4" w:rsidRDefault="004D07D4">
            <w:pPr>
              <w:spacing w:after="100"/>
              <w:jc w:val="left"/>
              <w:rPr>
                <w:rFonts w:ascii="Arial" w:eastAsia="Arial" w:hAnsi="Arial" w:cs="Arial"/>
                <w:sz w:val="20"/>
                <w:szCs w:val="20"/>
              </w:rPr>
            </w:pPr>
            <w:r>
              <w:rPr>
                <w:rFonts w:ascii="Arial" w:eastAsia="Arial" w:hAnsi="Arial" w:cs="Arial"/>
                <w:sz w:val="20"/>
                <w:szCs w:val="20"/>
              </w:rPr>
              <w:t>Subcontractor:</w:t>
            </w:r>
          </w:p>
          <w:p w14:paraId="605E65BC" w14:textId="2B379002" w:rsidR="004D07D4" w:rsidRPr="00EF1BE1" w:rsidRDefault="004D07D4" w:rsidP="00BB1589">
            <w:pPr>
              <w:spacing w:after="100"/>
              <w:jc w:val="left"/>
              <w:rPr>
                <w:rFonts w:ascii="Arial" w:eastAsia="Arial" w:hAnsi="Arial" w:cs="Arial"/>
                <w:sz w:val="20"/>
                <w:szCs w:val="20"/>
              </w:rPr>
            </w:pPr>
            <w:r w:rsidRPr="004D07D4">
              <w:rPr>
                <w:rFonts w:ascii="Arial" w:eastAsia="Arial" w:hAnsi="Arial" w:cs="Arial"/>
                <w:sz w:val="20"/>
                <w:szCs w:val="20"/>
              </w:rPr>
              <w:t>FLUXX Ltd</w:t>
            </w:r>
            <w:r>
              <w:rPr>
                <w:rFonts w:ascii="Arial" w:eastAsia="Arial" w:hAnsi="Arial" w:cs="Arial"/>
                <w:sz w:val="20"/>
                <w:szCs w:val="20"/>
              </w:rPr>
              <w:t xml:space="preserve"> - </w:t>
            </w:r>
            <w:r w:rsidR="00BB1589">
              <w:rPr>
                <w:rFonts w:ascii="Arial" w:eastAsia="Arial" w:hAnsi="Arial" w:cs="Arial"/>
                <w:sz w:val="20"/>
                <w:szCs w:val="20"/>
              </w:rPr>
              <w:t>REDACTED</w:t>
            </w:r>
            <w:r>
              <w:rPr>
                <w:rFonts w:ascii="Arial" w:eastAsia="Arial" w:hAnsi="Arial" w:cs="Arial"/>
                <w:sz w:val="20"/>
                <w:szCs w:val="20"/>
              </w:rPr>
              <w:t xml:space="preserve"> </w:t>
            </w:r>
          </w:p>
        </w:tc>
      </w:tr>
      <w:tr w:rsidR="0013786D"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77777777" w:rsidR="0013786D" w:rsidRDefault="002E7F3C">
            <w:pPr>
              <w:spacing w:after="100"/>
              <w:jc w:val="left"/>
              <w:rPr>
                <w:rFonts w:ascii="Arial" w:eastAsia="Arial" w:hAnsi="Arial" w:cs="Arial"/>
              </w:rPr>
            </w:pPr>
            <w:r>
              <w:rPr>
                <w:rFonts w:ascii="Arial" w:eastAsia="Arial" w:hAnsi="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61E817A4" w:rsidR="0013786D" w:rsidRDefault="00EF426A">
            <w:pPr>
              <w:spacing w:after="100"/>
              <w:jc w:val="left"/>
              <w:rPr>
                <w:rFonts w:ascii="Arial" w:eastAsia="Arial" w:hAnsi="Arial" w:cs="Arial"/>
              </w:rPr>
            </w:pPr>
            <w:r>
              <w:rPr>
                <w:rFonts w:ascii="Arial" w:eastAsia="Arial" w:hAnsi="Arial" w:cs="Arial"/>
                <w:sz w:val="20"/>
                <w:szCs w:val="20"/>
              </w:rPr>
              <w:t>N/A</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Default="002E7F3C" w:rsidP="0030655F">
            <w:pPr>
              <w:spacing w:after="100"/>
              <w:jc w:val="left"/>
              <w:rPr>
                <w:rFonts w:ascii="Arial" w:eastAsia="Arial" w:hAnsi="Arial" w:cs="Arial"/>
              </w:rPr>
            </w:pPr>
            <w:r>
              <w:rPr>
                <w:rFonts w:ascii="Arial" w:eastAsia="Arial" w:hAnsi="Arial" w:cs="Arial"/>
                <w:sz w:val="20"/>
                <w:szCs w:val="20"/>
              </w:rPr>
              <w:lastRenderedPageBreak/>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200279A" w14:textId="38CF9BB7" w:rsidR="0013786D" w:rsidRPr="008B00AA" w:rsidRDefault="008B00AA" w:rsidP="0030655F">
            <w:pPr>
              <w:rPr>
                <w:rFonts w:ascii="Arial" w:eastAsia="Arial" w:hAnsi="Arial" w:cs="Arial"/>
                <w:sz w:val="20"/>
                <w:szCs w:val="20"/>
              </w:rPr>
            </w:pPr>
            <w:r w:rsidRPr="008B00AA">
              <w:rPr>
                <w:rFonts w:ascii="Arial" w:eastAsia="Arial" w:hAnsi="Arial" w:cs="Arial"/>
                <w:sz w:val="20"/>
                <w:szCs w:val="20"/>
              </w:rPr>
              <w:t>£115,990.00</w:t>
            </w:r>
          </w:p>
          <w:p w14:paraId="67E76D67" w14:textId="6F5DB69D" w:rsidR="00314C5A" w:rsidRPr="00EF426A" w:rsidRDefault="00314C5A" w:rsidP="0030655F">
            <w:pPr>
              <w:rPr>
                <w:rFonts w:ascii="Arial" w:eastAsia="Arial" w:hAnsi="Arial" w:cs="Arial"/>
                <w:i/>
              </w:rPr>
            </w:pPr>
            <w:r>
              <w:rPr>
                <w:rFonts w:ascii="Arial" w:eastAsia="Arial" w:hAnsi="Arial" w:cs="Arial"/>
                <w:i/>
                <w:sz w:val="20"/>
                <w:szCs w:val="20"/>
              </w:rPr>
              <w:t xml:space="preserve">See Part 3 – Supplier Costings of this document for details </w:t>
            </w:r>
          </w:p>
        </w:tc>
      </w:tr>
      <w:tr w:rsidR="0013786D"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Default="002E7F3C" w:rsidP="0030655F">
            <w:pPr>
              <w:spacing w:after="100"/>
              <w:jc w:val="left"/>
              <w:rPr>
                <w:rFonts w:ascii="Arial" w:eastAsia="Arial" w:hAnsi="Arial" w:cs="Arial"/>
              </w:rPr>
            </w:pPr>
            <w:r>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FF75FA" w14:textId="494DC691" w:rsidR="0013786D" w:rsidRDefault="002E7F3C" w:rsidP="0030655F">
            <w:pPr>
              <w:spacing w:after="100"/>
              <w:jc w:val="left"/>
              <w:rPr>
                <w:rFonts w:ascii="Arial" w:eastAsia="Arial" w:hAnsi="Arial" w:cs="Arial"/>
              </w:rPr>
            </w:pPr>
            <w:r>
              <w:rPr>
                <w:rFonts w:ascii="Arial" w:eastAsia="Arial" w:hAnsi="Arial" w:cs="Arial"/>
                <w:sz w:val="20"/>
                <w:szCs w:val="20"/>
              </w:rPr>
              <w:t>Additional public liability insurance to cover all risks in the performance of the Cont</w:t>
            </w:r>
            <w:r w:rsidR="00965B81">
              <w:rPr>
                <w:rFonts w:ascii="Arial" w:eastAsia="Arial" w:hAnsi="Arial" w:cs="Arial"/>
                <w:sz w:val="20"/>
                <w:szCs w:val="20"/>
              </w:rPr>
              <w:t>ract, with a minimum limit of £1</w:t>
            </w:r>
            <w:r>
              <w:rPr>
                <w:rFonts w:ascii="Arial" w:eastAsia="Arial" w:hAnsi="Arial" w:cs="Arial"/>
                <w:sz w:val="20"/>
                <w:szCs w:val="20"/>
              </w:rPr>
              <w:t xml:space="preserve"> mil</w:t>
            </w:r>
            <w:r w:rsidR="00965B81">
              <w:rPr>
                <w:rFonts w:ascii="Arial" w:eastAsia="Arial" w:hAnsi="Arial" w:cs="Arial"/>
                <w:sz w:val="20"/>
                <w:szCs w:val="20"/>
              </w:rPr>
              <w:t>lion for each individual claim.</w:t>
            </w:r>
          </w:p>
          <w:p w14:paraId="3DC9EAD4" w14:textId="6380D11C" w:rsidR="0013786D" w:rsidRDefault="0013786D" w:rsidP="0030655F">
            <w:pPr>
              <w:spacing w:after="100"/>
              <w:jc w:val="left"/>
              <w:rPr>
                <w:rFonts w:ascii="Arial" w:eastAsia="Arial" w:hAnsi="Arial" w:cs="Arial"/>
              </w:rPr>
            </w:pPr>
          </w:p>
        </w:tc>
      </w:tr>
      <w:tr w:rsidR="0030655F" w14:paraId="00C6412D"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Default="0030655F" w:rsidP="0030655F">
            <w:pPr>
              <w:spacing w:after="100"/>
              <w:jc w:val="left"/>
              <w:rPr>
                <w:rFonts w:ascii="Arial" w:eastAsia="Arial" w:hAnsi="Arial" w:cs="Arial"/>
                <w:sz w:val="20"/>
                <w:szCs w:val="20"/>
              </w:rPr>
            </w:pPr>
            <w:r>
              <w:rPr>
                <w:rFonts w:ascii="Arial" w:eastAsia="Arial" w:hAnsi="Arial" w:cs="Arial"/>
                <w:sz w:val="20"/>
                <w:szCs w:val="20"/>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6D38EB1" w14:textId="330DD979" w:rsidR="0030655F" w:rsidRDefault="0030655F" w:rsidP="0030655F">
            <w:pPr>
              <w:spacing w:after="120"/>
              <w:rPr>
                <w:rFonts w:ascii="Arial" w:eastAsia="STZhongsong" w:hAnsi="Arial" w:cs="Arial"/>
                <w:sz w:val="20"/>
                <w:szCs w:val="20"/>
                <w:lang w:eastAsia="zh-CN"/>
              </w:rPr>
            </w:pPr>
            <w:r w:rsidRPr="0030655F">
              <w:rPr>
                <w:rFonts w:ascii="Arial" w:eastAsia="STZhongsong" w:hAnsi="Arial" w:cs="Arial"/>
                <w:b/>
                <w:sz w:val="20"/>
                <w:szCs w:val="20"/>
                <w:lang w:eastAsia="zh-CN"/>
              </w:rPr>
              <w:t>Suppliers limitation of Liability</w:t>
            </w:r>
            <w:r w:rsidRPr="0030655F">
              <w:rPr>
                <w:rFonts w:ascii="Arial" w:eastAsia="STZhongsong" w:hAnsi="Arial" w:cs="Arial"/>
                <w:sz w:val="20"/>
                <w:szCs w:val="20"/>
                <w:lang w:eastAsia="zh-CN"/>
              </w:rPr>
              <w:t xml:space="preserve"> (Clause </w:t>
            </w:r>
            <w:r w:rsidRPr="0030655F">
              <w:rPr>
                <w:rFonts w:ascii="Arial" w:eastAsia="STZhongsong" w:hAnsi="Arial" w:cs="Arial"/>
                <w:sz w:val="20"/>
                <w:szCs w:val="20"/>
                <w:lang w:eastAsia="zh-CN"/>
              </w:rPr>
              <w:fldChar w:fldCharType="begin"/>
            </w:r>
            <w:r w:rsidRPr="0030655F">
              <w:rPr>
                <w:rFonts w:ascii="Arial" w:eastAsia="STZhongsong" w:hAnsi="Arial" w:cs="Arial"/>
                <w:sz w:val="20"/>
                <w:szCs w:val="20"/>
                <w:lang w:eastAsia="zh-CN"/>
              </w:rPr>
              <w:instrText xml:space="preserve"> REF _Ref365630206 \r \h  \* MERGEFORMAT </w:instrText>
            </w:r>
            <w:r w:rsidRPr="0030655F">
              <w:rPr>
                <w:rFonts w:ascii="Arial" w:eastAsia="STZhongsong" w:hAnsi="Arial" w:cs="Arial"/>
                <w:sz w:val="20"/>
                <w:szCs w:val="20"/>
                <w:lang w:eastAsia="zh-CN"/>
              </w:rPr>
            </w:r>
            <w:r w:rsidRPr="0030655F">
              <w:rPr>
                <w:rFonts w:ascii="Arial" w:eastAsia="STZhongsong" w:hAnsi="Arial" w:cs="Arial"/>
                <w:sz w:val="20"/>
                <w:szCs w:val="20"/>
                <w:lang w:eastAsia="zh-CN"/>
              </w:rPr>
              <w:fldChar w:fldCharType="separate"/>
            </w:r>
            <w:r w:rsidRPr="0030655F">
              <w:rPr>
                <w:rFonts w:ascii="Arial" w:eastAsia="STZhongsong" w:hAnsi="Arial" w:cs="Arial"/>
                <w:sz w:val="20"/>
                <w:szCs w:val="20"/>
              </w:rPr>
              <w:t>18.2</w:t>
            </w:r>
            <w:r w:rsidRPr="0030655F">
              <w:rPr>
                <w:rFonts w:ascii="Arial" w:eastAsia="STZhongsong" w:hAnsi="Arial" w:cs="Arial"/>
                <w:sz w:val="20"/>
                <w:szCs w:val="20"/>
                <w:lang w:eastAsia="zh-CN"/>
              </w:rPr>
              <w:fldChar w:fldCharType="end"/>
            </w:r>
            <w:r w:rsidRPr="0030655F">
              <w:rPr>
                <w:rFonts w:ascii="Arial" w:eastAsia="STZhongsong" w:hAnsi="Arial" w:cs="Arial"/>
                <w:sz w:val="20"/>
                <w:szCs w:val="20"/>
              </w:rPr>
              <w:t xml:space="preserve"> </w:t>
            </w:r>
            <w:r w:rsidRPr="0030655F">
              <w:rPr>
                <w:rFonts w:ascii="Arial" w:eastAsia="STZhongsong" w:hAnsi="Arial" w:cs="Arial"/>
                <w:sz w:val="20"/>
                <w:szCs w:val="20"/>
                <w:lang w:eastAsia="zh-CN"/>
              </w:rPr>
              <w:t xml:space="preserve"> of the Contract Terms);</w:t>
            </w:r>
          </w:p>
          <w:p w14:paraId="2E68AD1F" w14:textId="5C26B185" w:rsidR="0030655F" w:rsidRPr="0030655F" w:rsidRDefault="0030655F" w:rsidP="0030655F">
            <w:pPr>
              <w:spacing w:after="120"/>
              <w:rPr>
                <w:rFonts w:ascii="Arial" w:hAnsi="Arial" w:cs="Arial"/>
                <w:sz w:val="20"/>
                <w:szCs w:val="20"/>
              </w:rPr>
            </w:pPr>
          </w:p>
        </w:tc>
      </w:tr>
      <w:tr w:rsidR="0013786D" w14:paraId="375F05A6" w14:textId="77777777"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rsidP="0030655F">
            <w:pPr>
              <w:spacing w:after="100"/>
              <w:jc w:val="left"/>
              <w:rPr>
                <w:rFonts w:ascii="Arial" w:eastAsia="Arial" w:hAnsi="Arial" w:cs="Arial"/>
              </w:rPr>
            </w:pPr>
            <w:r>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7E44FB06" w14:textId="4C2BD339" w:rsidR="00673E8E" w:rsidRPr="008B00AA" w:rsidRDefault="00BB1589" w:rsidP="00314C5A">
            <w:pPr>
              <w:spacing w:after="100"/>
              <w:jc w:val="left"/>
              <w:rPr>
                <w:rFonts w:ascii="Arial" w:eastAsia="Arial" w:hAnsi="Arial" w:cs="Arial"/>
                <w:sz w:val="20"/>
                <w:szCs w:val="20"/>
              </w:rPr>
            </w:pPr>
            <w:r>
              <w:rPr>
                <w:rFonts w:ascii="Arial" w:eastAsia="Arial" w:hAnsi="Arial" w:cs="Arial"/>
                <w:sz w:val="20"/>
                <w:szCs w:val="20"/>
              </w:rPr>
              <w:t>REDACTED</w:t>
            </w:r>
          </w:p>
        </w:tc>
      </w:tr>
    </w:tbl>
    <w:p w14:paraId="53687D82" w14:textId="1FB454D2" w:rsidR="0013786D" w:rsidRDefault="0030655F">
      <w:pPr>
        <w:spacing w:after="0"/>
        <w:jc w:val="left"/>
        <w:rPr>
          <w:rFonts w:ascii="Arial" w:eastAsia="Arial" w:hAnsi="Arial" w:cs="Arial"/>
        </w:rPr>
      </w:pPr>
      <w:r>
        <w:rPr>
          <w:rFonts w:ascii="Arial" w:eastAsia="Arial" w:hAnsi="Arial" w:cs="Arial"/>
          <w:sz w:val="20"/>
          <w:szCs w:val="20"/>
        </w:rPr>
        <w:br w:type="textWrapping" w:clear="all"/>
      </w:r>
      <w:r w:rsidR="002E7F3C">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Default="00E755C6" w:rsidP="00D34498">
            <w:pPr>
              <w:spacing w:after="100"/>
              <w:jc w:val="left"/>
              <w:rPr>
                <w:rFonts w:ascii="Arial" w:eastAsia="Arial" w:hAnsi="Arial" w:cs="Arial"/>
                <w:sz w:val="20"/>
                <w:szCs w:val="20"/>
              </w:rPr>
            </w:pPr>
            <w:r>
              <w:rPr>
                <w:rFonts w:ascii="Arial" w:eastAsia="Arial" w:hAnsi="Arial" w:cs="Arial"/>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6E3E2E" w14:textId="267E95E5" w:rsidR="00E755C6" w:rsidRDefault="00314C5A">
            <w:pPr>
              <w:spacing w:after="100"/>
              <w:jc w:val="left"/>
              <w:rPr>
                <w:rFonts w:ascii="Arial" w:eastAsia="Arial" w:hAnsi="Arial" w:cs="Arial"/>
                <w:sz w:val="20"/>
                <w:szCs w:val="20"/>
                <w:highlight w:val="yellow"/>
              </w:rPr>
            </w:pPr>
            <w:r>
              <w:rPr>
                <w:rFonts w:ascii="Arial" w:eastAsia="Arial" w:hAnsi="Arial" w:cs="Arial"/>
                <w:sz w:val="20"/>
                <w:szCs w:val="20"/>
              </w:rPr>
              <w:t>See</w:t>
            </w:r>
            <w:r w:rsidR="00E755C6" w:rsidRPr="00314C5A">
              <w:rPr>
                <w:rFonts w:ascii="Arial" w:eastAsia="Arial" w:hAnsi="Arial" w:cs="Arial"/>
                <w:sz w:val="20"/>
                <w:szCs w:val="20"/>
              </w:rPr>
              <w:t xml:space="preserve"> Schedule 7 (Processing, Personal Data and Data Subjects]</w:t>
            </w:r>
          </w:p>
        </w:tc>
      </w:tr>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Default="002E7F3C" w:rsidP="00D34498">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w:t>
            </w:r>
            <w:r w:rsidR="00D34498">
              <w:rPr>
                <w:rFonts w:ascii="Arial" w:eastAsia="Arial" w:hAnsi="Arial" w:cs="Arial"/>
                <w:sz w:val="20"/>
                <w:szCs w:val="20"/>
              </w:rPr>
              <w:t>8</w:t>
            </w:r>
            <w:r w:rsidR="00351054">
              <w:rPr>
                <w:rFonts w:ascii="Arial" w:eastAsia="Arial" w:hAnsi="Arial" w:cs="Arial"/>
                <w:sz w:val="20"/>
                <w:szCs w:val="20"/>
              </w:rPr>
              <w:t>(Additional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683074A8" w:rsidR="0013786D" w:rsidRPr="008B00AA" w:rsidRDefault="008B00AA">
            <w:pPr>
              <w:spacing w:after="100"/>
              <w:jc w:val="left"/>
              <w:rPr>
                <w:rFonts w:ascii="Arial" w:eastAsia="Arial" w:hAnsi="Arial" w:cs="Arial"/>
              </w:rPr>
            </w:pPr>
            <w:r w:rsidRPr="008B00AA">
              <w:rPr>
                <w:rFonts w:ascii="Arial" w:eastAsia="Arial" w:hAnsi="Arial" w:cs="Arial"/>
                <w:sz w:val="20"/>
                <w:szCs w:val="20"/>
              </w:rPr>
              <w:t>N/A</w:t>
            </w:r>
            <w:r w:rsidR="002E7F3C" w:rsidRPr="008B00AA">
              <w:rPr>
                <w:rFonts w:ascii="Arial" w:eastAsia="Arial" w:hAnsi="Arial" w:cs="Arial"/>
                <w:sz w:val="20"/>
                <w:szCs w:val="20"/>
              </w:rPr>
              <w:t xml:space="preserve"> </w:t>
            </w:r>
          </w:p>
        </w:tc>
      </w:tr>
    </w:tbl>
    <w:p w14:paraId="5C2632B3" w14:textId="4AA7BC8E" w:rsidR="00E755C6" w:rsidRDefault="002E7F3C">
      <w:pPr>
        <w:spacing w:after="100"/>
        <w:jc w:val="left"/>
        <w:rPr>
          <w:rFonts w:ascii="Arial" w:eastAsia="Arial" w:hAnsi="Arial" w:cs="Arial"/>
          <w:b/>
          <w:sz w:val="20"/>
          <w:szCs w:val="20"/>
        </w:rPr>
      </w:pPr>
      <w:r>
        <w:rPr>
          <w:rFonts w:ascii="Arial" w:eastAsia="Arial" w:hAnsi="Arial" w:cs="Arial"/>
          <w:sz w:val="20"/>
          <w:szCs w:val="20"/>
        </w:rPr>
        <w:t xml:space="preserve"> </w:t>
      </w:r>
      <w:bookmarkStart w:id="11" w:name="20xfydz" w:colFirst="0" w:colLast="0"/>
      <w:bookmarkEnd w:id="11"/>
    </w:p>
    <w:p w14:paraId="5AC66149" w14:textId="25B998C3" w:rsidR="0013786D" w:rsidRDefault="002E7F3C">
      <w:pPr>
        <w:spacing w:after="100"/>
        <w:jc w:val="left"/>
        <w:rPr>
          <w:rFonts w:ascii="Arial" w:eastAsia="Arial" w:hAnsi="Arial" w:cs="Arial"/>
        </w:rPr>
      </w:pPr>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2" w:name="4kx3h1s" w:colFirst="0" w:colLast="0"/>
      <w:bookmarkEnd w:id="12"/>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3" w:name="302dr9l" w:colFirst="0" w:colLast="0"/>
      <w:bookmarkEnd w:id="13"/>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4" w:name="1f7o1he" w:colFirst="0" w:colLast="0"/>
      <w:bookmarkEnd w:id="14"/>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5" w:name="3z7bk57" w:colFirst="0" w:colLast="0"/>
      <w:bookmarkEnd w:id="15"/>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D0FC919" w14:textId="77777777" w:rsidR="00D34498" w:rsidRDefault="00D34498">
      <w:pPr>
        <w:spacing w:after="40"/>
        <w:jc w:val="left"/>
        <w:rPr>
          <w:rFonts w:ascii="Arial" w:eastAsia="Arial" w:hAnsi="Arial" w:cs="Arial"/>
          <w:sz w:val="20"/>
          <w:szCs w:val="20"/>
        </w:rPr>
      </w:pPr>
    </w:p>
    <w:p w14:paraId="358DC66A" w14:textId="77777777" w:rsidR="0013786D" w:rsidRDefault="002E7F3C">
      <w:pPr>
        <w:spacing w:after="40"/>
        <w:jc w:val="left"/>
        <w:rPr>
          <w:rFonts w:ascii="Arial" w:eastAsia="Arial" w:hAnsi="Arial" w:cs="Arial"/>
        </w:rPr>
      </w:pPr>
      <w:r>
        <w:rPr>
          <w:rFonts w:ascii="Arial" w:eastAsia="Arial" w:hAnsi="Arial" w:cs="Arial"/>
          <w:sz w:val="20"/>
          <w:szCs w:val="20"/>
        </w:rPr>
        <w:t>Name and Title:                                                           Name and Title:</w:t>
      </w:r>
    </w:p>
    <w:p w14:paraId="63FCE01C" w14:textId="77777777" w:rsidR="00D34498" w:rsidRDefault="00D34498">
      <w:pPr>
        <w:spacing w:after="40"/>
        <w:jc w:val="left"/>
        <w:rPr>
          <w:rFonts w:ascii="Arial" w:eastAsia="Arial" w:hAnsi="Arial" w:cs="Arial"/>
          <w:sz w:val="20"/>
          <w:szCs w:val="20"/>
        </w:rPr>
      </w:pPr>
    </w:p>
    <w:p w14:paraId="70976C93" w14:textId="0DE15C42" w:rsidR="00BB1589" w:rsidRDefault="00BB1589" w:rsidP="00BB1589">
      <w:pPr>
        <w:spacing w:after="40"/>
        <w:jc w:val="left"/>
        <w:rPr>
          <w:rFonts w:ascii="Arial" w:eastAsia="Arial" w:hAnsi="Arial" w:cs="Arial"/>
          <w:sz w:val="20"/>
          <w:szCs w:val="20"/>
        </w:rPr>
      </w:pPr>
      <w:r>
        <w:rPr>
          <w:rFonts w:ascii="Arial" w:eastAsia="Arial" w:hAnsi="Arial" w:cs="Arial"/>
          <w:sz w:val="20"/>
          <w:szCs w:val="20"/>
        </w:rPr>
        <w:t>REDACTED</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roofErr w:type="spellStart"/>
      <w:r>
        <w:rPr>
          <w:rFonts w:ascii="Arial" w:eastAsia="Arial" w:hAnsi="Arial" w:cs="Arial"/>
          <w:sz w:val="20"/>
          <w:szCs w:val="20"/>
        </w:rPr>
        <w:t>REDACTED</w:t>
      </w:r>
      <w:proofErr w:type="spellEnd"/>
    </w:p>
    <w:p w14:paraId="36240534" w14:textId="50A554AA" w:rsidR="00977303" w:rsidRDefault="00977303">
      <w:pPr>
        <w:spacing w:after="40"/>
        <w:jc w:val="left"/>
        <w:rPr>
          <w:rFonts w:ascii="Arial" w:eastAsia="Arial" w:hAnsi="Arial" w:cs="Arial"/>
          <w:sz w:val="20"/>
          <w:szCs w:val="20"/>
        </w:rPr>
      </w:pPr>
    </w:p>
    <w:p w14:paraId="772E7B5E" w14:textId="77777777" w:rsidR="00D34498" w:rsidRDefault="00D34498">
      <w:pPr>
        <w:spacing w:after="40"/>
        <w:jc w:val="left"/>
        <w:rPr>
          <w:rFonts w:ascii="Arial" w:eastAsia="Arial" w:hAnsi="Arial" w:cs="Arial"/>
          <w:sz w:val="20"/>
          <w:szCs w:val="20"/>
        </w:rPr>
      </w:pPr>
    </w:p>
    <w:p w14:paraId="2926095B" w14:textId="77777777" w:rsidR="00BB1589" w:rsidRDefault="002E7F3C" w:rsidP="00BB1589">
      <w:pPr>
        <w:spacing w:after="40"/>
        <w:jc w:val="left"/>
        <w:rPr>
          <w:rFonts w:ascii="Arial" w:eastAsia="Arial" w:hAnsi="Arial" w:cs="Arial"/>
          <w:sz w:val="20"/>
          <w:szCs w:val="20"/>
        </w:rPr>
      </w:pPr>
      <w:r>
        <w:rPr>
          <w:rFonts w:ascii="Arial" w:eastAsia="Arial" w:hAnsi="Arial" w:cs="Arial"/>
          <w:sz w:val="20"/>
          <w:szCs w:val="20"/>
        </w:rPr>
        <w:t xml:space="preserve">Signature:           </w:t>
      </w:r>
      <w:r w:rsidR="00BB1589">
        <w:rPr>
          <w:rFonts w:ascii="Arial" w:eastAsia="Arial" w:hAnsi="Arial" w:cs="Arial"/>
          <w:sz w:val="20"/>
          <w:szCs w:val="20"/>
        </w:rPr>
        <w:t>REDACTED</w:t>
      </w:r>
    </w:p>
    <w:p w14:paraId="2D0BAAE8" w14:textId="77777777" w:rsidR="00BB1589" w:rsidRDefault="002E7F3C" w:rsidP="00BB1589">
      <w:pPr>
        <w:spacing w:after="40"/>
        <w:jc w:val="left"/>
        <w:rPr>
          <w:rFonts w:ascii="Arial" w:eastAsia="Arial" w:hAnsi="Arial" w:cs="Arial"/>
          <w:sz w:val="20"/>
          <w:szCs w:val="20"/>
        </w:rPr>
      </w:pPr>
      <w:r>
        <w:rPr>
          <w:rFonts w:ascii="Arial" w:eastAsia="Arial" w:hAnsi="Arial" w:cs="Arial"/>
          <w:sz w:val="20"/>
          <w:szCs w:val="20"/>
        </w:rPr>
        <w:t xml:space="preserve">                  </w:t>
      </w:r>
      <w:r w:rsidR="00BB1589">
        <w:rPr>
          <w:rFonts w:ascii="Arial" w:eastAsia="Arial" w:hAnsi="Arial" w:cs="Arial"/>
          <w:sz w:val="20"/>
          <w:szCs w:val="20"/>
        </w:rPr>
        <w:tab/>
      </w:r>
      <w:r w:rsidR="00BB1589">
        <w:rPr>
          <w:rFonts w:ascii="Arial" w:eastAsia="Arial" w:hAnsi="Arial" w:cs="Arial"/>
          <w:sz w:val="20"/>
          <w:szCs w:val="20"/>
        </w:rPr>
        <w:tab/>
      </w:r>
      <w:r w:rsidR="00BB1589">
        <w:rPr>
          <w:rFonts w:ascii="Arial" w:eastAsia="Arial" w:hAnsi="Arial" w:cs="Arial"/>
          <w:sz w:val="20"/>
          <w:szCs w:val="20"/>
        </w:rPr>
        <w:tab/>
      </w:r>
      <w:r w:rsidR="00BB1589">
        <w:rPr>
          <w:rFonts w:ascii="Arial" w:eastAsia="Arial" w:hAnsi="Arial" w:cs="Arial"/>
          <w:sz w:val="20"/>
          <w:szCs w:val="20"/>
        </w:rPr>
        <w:tab/>
      </w:r>
      <w:r w:rsidR="00BB1589">
        <w:rPr>
          <w:rFonts w:ascii="Arial" w:eastAsia="Arial" w:hAnsi="Arial" w:cs="Arial"/>
          <w:sz w:val="20"/>
          <w:szCs w:val="20"/>
        </w:rPr>
        <w:tab/>
        <w:t xml:space="preserve">       </w:t>
      </w:r>
      <w:r>
        <w:rPr>
          <w:rFonts w:ascii="Arial" w:eastAsia="Arial" w:hAnsi="Arial" w:cs="Arial"/>
          <w:sz w:val="20"/>
          <w:szCs w:val="20"/>
        </w:rPr>
        <w:t>Signature:</w:t>
      </w:r>
      <w:r w:rsidR="00BB1589">
        <w:rPr>
          <w:rFonts w:ascii="Arial" w:eastAsia="Arial" w:hAnsi="Arial" w:cs="Arial"/>
          <w:sz w:val="20"/>
          <w:szCs w:val="20"/>
        </w:rPr>
        <w:t xml:space="preserve"> </w:t>
      </w:r>
      <w:r w:rsidR="00BB1589">
        <w:rPr>
          <w:rFonts w:ascii="Arial" w:eastAsia="Arial" w:hAnsi="Arial" w:cs="Arial"/>
          <w:sz w:val="20"/>
          <w:szCs w:val="20"/>
        </w:rPr>
        <w:t>REDACTED</w:t>
      </w:r>
    </w:p>
    <w:p w14:paraId="1B019478" w14:textId="3D21F010" w:rsidR="0013786D" w:rsidRDefault="0013786D">
      <w:pPr>
        <w:spacing w:after="40"/>
        <w:jc w:val="left"/>
        <w:rPr>
          <w:rFonts w:ascii="Arial" w:eastAsia="Arial" w:hAnsi="Arial" w:cs="Arial"/>
        </w:rPr>
      </w:pPr>
    </w:p>
    <w:p w14:paraId="4D3FC640" w14:textId="77777777" w:rsidR="00D34498" w:rsidRDefault="00D34498" w:rsidP="007E47CF">
      <w:pPr>
        <w:spacing w:after="40"/>
        <w:jc w:val="left"/>
        <w:rPr>
          <w:rFonts w:ascii="Arial" w:eastAsia="Arial" w:hAnsi="Arial" w:cs="Arial"/>
          <w:sz w:val="20"/>
          <w:szCs w:val="20"/>
        </w:rPr>
      </w:pPr>
    </w:p>
    <w:p w14:paraId="51FD39AE" w14:textId="06ADE583" w:rsidR="0013786D" w:rsidRDefault="002E7F3C" w:rsidP="007E47CF">
      <w:pPr>
        <w:spacing w:after="40"/>
        <w:jc w:val="left"/>
        <w:rPr>
          <w:rFonts w:ascii="Arial" w:eastAsia="Arial" w:hAnsi="Arial" w:cs="Arial"/>
        </w:rPr>
      </w:pPr>
      <w:r>
        <w:rPr>
          <w:rFonts w:ascii="Arial" w:eastAsia="Arial" w:hAnsi="Arial" w:cs="Arial"/>
          <w:sz w:val="20"/>
          <w:szCs w:val="20"/>
        </w:rPr>
        <w:t xml:space="preserve">Date:         </w:t>
      </w:r>
      <w:r w:rsidR="00BB1589">
        <w:rPr>
          <w:rFonts w:ascii="Arial" w:eastAsia="Arial" w:hAnsi="Arial" w:cs="Arial"/>
          <w:sz w:val="20"/>
          <w:szCs w:val="20"/>
        </w:rPr>
        <w:t xml:space="preserve">                  </w:t>
      </w:r>
      <w:r>
        <w:rPr>
          <w:rFonts w:ascii="Arial" w:eastAsia="Arial" w:hAnsi="Arial" w:cs="Arial"/>
          <w:sz w:val="20"/>
          <w:szCs w:val="20"/>
        </w:rPr>
        <w:t xml:space="preserve">                                                 Date:</w:t>
      </w:r>
      <w:bookmarkStart w:id="16" w:name="2eclud0" w:colFirst="0" w:colLast="0"/>
      <w:bookmarkEnd w:id="16"/>
    </w:p>
    <w:p w14:paraId="1864889D" w14:textId="512EC68B"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17" w:name="thw4kt" w:colFirst="0" w:colLast="0"/>
      <w:bookmarkEnd w:id="17"/>
      <w:r w:rsidRPr="00C95C24">
        <w:rPr>
          <w:rFonts w:ascii="Arial" w:eastAsia="Arial" w:hAnsi="Arial" w:cs="Arial"/>
          <w:b/>
          <w:smallCaps/>
          <w:sz w:val="24"/>
          <w:szCs w:val="24"/>
        </w:rPr>
        <w:lastRenderedPageBreak/>
        <w:t>Annex A</w:t>
      </w:r>
    </w:p>
    <w:p w14:paraId="63D9B4CB" w14:textId="1A5C42A3" w:rsidR="0013786D" w:rsidRDefault="002E7F3C">
      <w:pPr>
        <w:spacing w:after="100"/>
        <w:jc w:val="center"/>
        <w:rPr>
          <w:rFonts w:ascii="Arial" w:eastAsia="Arial" w:hAnsi="Arial" w:cs="Arial"/>
          <w:b/>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p>
    <w:p w14:paraId="6075197D" w14:textId="79F42BF6" w:rsidR="008B00AA" w:rsidRPr="008B00AA" w:rsidRDefault="008B00AA">
      <w:pPr>
        <w:spacing w:after="100"/>
        <w:jc w:val="center"/>
        <w:rPr>
          <w:rFonts w:ascii="Arial" w:eastAsia="Arial" w:hAnsi="Arial" w:cs="Arial"/>
          <w:b/>
          <w:sz w:val="20"/>
          <w:szCs w:val="20"/>
        </w:rPr>
      </w:pPr>
    </w:p>
    <w:p w14:paraId="61D29A37" w14:textId="77777777" w:rsidR="008B00AA" w:rsidRPr="008B00AA" w:rsidRDefault="008B00AA" w:rsidP="00D21A00">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rFonts w:ascii="Arial" w:hAnsi="Arial" w:cs="Arial"/>
          <w:sz w:val="24"/>
          <w:szCs w:val="24"/>
        </w:rPr>
      </w:pPr>
      <w:bookmarkStart w:id="18" w:name="_Toc368573027"/>
      <w:bookmarkStart w:id="19" w:name="_Toc46231413"/>
      <w:r w:rsidRPr="008B00AA">
        <w:rPr>
          <w:rFonts w:ascii="Arial" w:hAnsi="Arial" w:cs="Arial"/>
          <w:sz w:val="24"/>
          <w:szCs w:val="24"/>
        </w:rPr>
        <w:t>PURPOSE</w:t>
      </w:r>
      <w:bookmarkEnd w:id="18"/>
      <w:bookmarkEnd w:id="19"/>
    </w:p>
    <w:p w14:paraId="6773155B"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ind w:left="709" w:hanging="709"/>
        <w:textAlignment w:val="baseline"/>
        <w:rPr>
          <w:rFonts w:ascii="Arial" w:hAnsi="Arial" w:cs="Arial"/>
          <w:sz w:val="20"/>
          <w:szCs w:val="20"/>
        </w:rPr>
      </w:pPr>
      <w:bookmarkStart w:id="20" w:name="_Toc296415791"/>
      <w:r w:rsidRPr="008B00AA">
        <w:rPr>
          <w:rFonts w:ascii="Arial" w:hAnsi="Arial" w:cs="Arial"/>
          <w:sz w:val="20"/>
          <w:szCs w:val="20"/>
        </w:rPr>
        <w:t xml:space="preserve">The purpose of this procurement is to commission a piece of external research to establish what Business as Usual (BAU) processes the National Underground Asset Register (NUAR) platform will be replacing and how these will be phased out. The research will identify which existing processes can be retired and which will need to remain and the process for using the NUAR platform in tandem with any remaining BAU processes in future. </w:t>
      </w:r>
    </w:p>
    <w:p w14:paraId="45073B0B"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ind w:left="709" w:hanging="709"/>
        <w:textAlignment w:val="baseline"/>
        <w:rPr>
          <w:rFonts w:ascii="Arial" w:hAnsi="Arial" w:cs="Arial"/>
          <w:sz w:val="20"/>
          <w:szCs w:val="20"/>
        </w:rPr>
      </w:pPr>
      <w:r w:rsidRPr="008B00AA">
        <w:rPr>
          <w:rFonts w:ascii="Arial" w:hAnsi="Arial" w:cs="Arial"/>
          <w:sz w:val="20"/>
          <w:szCs w:val="20"/>
        </w:rPr>
        <w:t xml:space="preserve">The outcomes of this research may be included in the competitive tender for the regional build and the national rollout of the NUAR platform.  </w:t>
      </w:r>
    </w:p>
    <w:p w14:paraId="4170FFEB" w14:textId="5F95808A" w:rsidR="008B00AA" w:rsidRPr="008B00AA" w:rsidRDefault="008B00AA" w:rsidP="00D21A00">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rFonts w:ascii="Arial" w:hAnsi="Arial" w:cs="Arial"/>
          <w:sz w:val="24"/>
          <w:szCs w:val="24"/>
        </w:rPr>
      </w:pPr>
      <w:bookmarkStart w:id="21" w:name="_Toc368573028"/>
      <w:bookmarkStart w:id="22" w:name="_Toc46231414"/>
      <w:bookmarkStart w:id="23" w:name="_Toc297554773"/>
      <w:bookmarkStart w:id="24" w:name="_Toc296415805"/>
      <w:bookmarkStart w:id="25" w:name="_Toc296415793"/>
      <w:bookmarkEnd w:id="20"/>
      <w:r>
        <w:rPr>
          <w:rFonts w:ascii="Arial" w:hAnsi="Arial" w:cs="Arial"/>
          <w:sz w:val="24"/>
          <w:szCs w:val="24"/>
        </w:rPr>
        <w:t>BACKGROUND TO THE CONTRACTING A</w:t>
      </w:r>
      <w:r w:rsidRPr="008B00AA">
        <w:rPr>
          <w:rFonts w:ascii="Arial" w:hAnsi="Arial" w:cs="Arial"/>
          <w:sz w:val="24"/>
          <w:szCs w:val="24"/>
        </w:rPr>
        <w:t>UTHORITY</w:t>
      </w:r>
      <w:bookmarkEnd w:id="21"/>
      <w:bookmarkEnd w:id="22"/>
    </w:p>
    <w:p w14:paraId="2716BBEE"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rPr>
          <w:rFonts w:ascii="Arial" w:hAnsi="Arial" w:cs="Arial"/>
          <w:sz w:val="20"/>
          <w:szCs w:val="20"/>
        </w:rPr>
      </w:pPr>
      <w:r w:rsidRPr="008B00AA">
        <w:rPr>
          <w:rFonts w:ascii="Arial" w:hAnsi="Arial" w:cs="Arial"/>
          <w:sz w:val="20"/>
          <w:szCs w:val="20"/>
        </w:rPr>
        <w:t>The Geospatial Commission was established in 2018 by the government as an independent, expert committee responsible for setting the UK’s geospatial strategy and coordinating public sector geospatial activity. Our aim is to unlock the significant economic, social and environmental opportunities offered by location data and to boost the UK’s global geospatial expertise.</w:t>
      </w:r>
    </w:p>
    <w:p w14:paraId="2E345FF8"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rPr>
          <w:rFonts w:ascii="Arial" w:hAnsi="Arial" w:cs="Arial"/>
          <w:sz w:val="20"/>
          <w:szCs w:val="20"/>
        </w:rPr>
      </w:pPr>
      <w:r w:rsidRPr="008B00AA">
        <w:rPr>
          <w:rFonts w:ascii="Arial" w:hAnsi="Arial" w:cs="Arial"/>
          <w:sz w:val="20"/>
          <w:szCs w:val="20"/>
        </w:rPr>
        <w:t>The Geospatial Commission has a mandate and budget to drive and deliver changes by working in partnership with others. This means they:</w:t>
      </w:r>
    </w:p>
    <w:p w14:paraId="2A528403"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8B00AA">
        <w:rPr>
          <w:rFonts w:ascii="Arial" w:hAnsi="Arial" w:cs="Arial"/>
          <w:sz w:val="20"/>
          <w:szCs w:val="20"/>
        </w:rPr>
        <w:t>Provide strategic oversight of the geospatial ecosystem in the UK, setting geospatial strategy, policy and standards;</w:t>
      </w:r>
    </w:p>
    <w:p w14:paraId="3A9F358A"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8B00AA">
        <w:rPr>
          <w:rFonts w:ascii="Arial" w:hAnsi="Arial" w:cs="Arial"/>
          <w:sz w:val="20"/>
          <w:szCs w:val="20"/>
        </w:rPr>
        <w:t>Hold the budget for the public sector’s largest investment in strategically important geospatial data via the Public Sector Geospatial Agreement;</w:t>
      </w:r>
    </w:p>
    <w:p w14:paraId="08D5CFCB"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8B00AA">
        <w:rPr>
          <w:rFonts w:ascii="Arial" w:hAnsi="Arial" w:cs="Arial"/>
          <w:sz w:val="20"/>
          <w:szCs w:val="20"/>
        </w:rPr>
        <w:t xml:space="preserve">Make targeted investments in data projects that accelerate innovation and the adoption of geospatial data applications. </w:t>
      </w:r>
    </w:p>
    <w:p w14:paraId="0D915E5D"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rPr>
          <w:rFonts w:ascii="Arial" w:hAnsi="Arial" w:cs="Arial"/>
          <w:sz w:val="20"/>
          <w:szCs w:val="20"/>
        </w:rPr>
      </w:pPr>
      <w:r w:rsidRPr="008B00AA">
        <w:rPr>
          <w:rFonts w:ascii="Arial" w:hAnsi="Arial" w:cs="Arial"/>
          <w:sz w:val="20"/>
          <w:szCs w:val="20"/>
        </w:rPr>
        <w:t>They have a formal relationship with six partner bodies: The British Geological Survey, Coal Authority, HM Land Registry, Ordnance Survey, UK Hydrographic Office and the Valuation Office Agency.</w:t>
      </w:r>
    </w:p>
    <w:p w14:paraId="1CDDD16E" w14:textId="77777777" w:rsidR="008B00AA" w:rsidRPr="008B00AA" w:rsidRDefault="008B00AA" w:rsidP="008B00AA">
      <w:pPr>
        <w:pStyle w:val="Heading2"/>
        <w:spacing w:after="120"/>
        <w:ind w:left="709" w:firstLine="0"/>
        <w:rPr>
          <w:rFonts w:ascii="Arial" w:hAnsi="Arial" w:cs="Arial"/>
          <w:sz w:val="20"/>
          <w:szCs w:val="20"/>
        </w:rPr>
      </w:pPr>
    </w:p>
    <w:p w14:paraId="04B832EB" w14:textId="7D9C886E" w:rsidR="008B00AA" w:rsidRPr="008B00AA" w:rsidRDefault="008B00AA" w:rsidP="00D21A00">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rFonts w:ascii="Arial" w:hAnsi="Arial" w:cs="Arial"/>
          <w:sz w:val="24"/>
          <w:szCs w:val="24"/>
        </w:rPr>
      </w:pPr>
      <w:bookmarkStart w:id="26" w:name="_Toc368573029"/>
      <w:bookmarkStart w:id="27" w:name="_Toc46231415"/>
      <w:r w:rsidRPr="008B00AA">
        <w:rPr>
          <w:rFonts w:ascii="Arial" w:hAnsi="Arial" w:cs="Arial"/>
          <w:sz w:val="24"/>
          <w:szCs w:val="24"/>
        </w:rPr>
        <w:t>BACKGROUND TO REQUIREMENT/OVERVIEW</w:t>
      </w:r>
      <w:bookmarkEnd w:id="23"/>
      <w:r w:rsidRPr="008B00AA">
        <w:rPr>
          <w:rFonts w:ascii="Arial" w:hAnsi="Arial" w:cs="Arial"/>
          <w:sz w:val="24"/>
          <w:szCs w:val="24"/>
        </w:rPr>
        <w:t xml:space="preserve"> OF REQUIREMENT</w:t>
      </w:r>
      <w:bookmarkEnd w:id="26"/>
      <w:bookmarkEnd w:id="27"/>
    </w:p>
    <w:p w14:paraId="29861F90"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bookmarkStart w:id="28" w:name="_Toc297554774"/>
      <w:bookmarkEnd w:id="24"/>
      <w:r w:rsidRPr="008B00AA">
        <w:rPr>
          <w:rFonts w:ascii="Arial" w:hAnsi="Arial" w:cs="Arial"/>
          <w:sz w:val="20"/>
          <w:szCs w:val="20"/>
        </w:rPr>
        <w:t>The estimated economic cost of accidental strikes on underground pipes and cables is £1.2 billion a year. Workers who strike gas pipes and electricity cables by mistake can also put themselves and others in danger of death or serious injury. </w:t>
      </w:r>
    </w:p>
    <w:p w14:paraId="1975A803"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r w:rsidRPr="008B00AA">
        <w:rPr>
          <w:rFonts w:ascii="Arial" w:hAnsi="Arial" w:cs="Arial"/>
          <w:sz w:val="20"/>
          <w:szCs w:val="20"/>
        </w:rPr>
        <w:t>The UK does not have a uniform process for asset owners to share their data, which means prior to excavating a site, operators are required to contact all organisations who own or may have owned assets in the area, wait for each to respond, then compile information so it can be read and understood by workers. This process is slow, inefficient and makes inaccuracies leading to accidental damage more likely. </w:t>
      </w:r>
    </w:p>
    <w:p w14:paraId="1890F8D6"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r w:rsidRPr="008B00AA">
        <w:rPr>
          <w:rFonts w:ascii="Arial" w:hAnsi="Arial" w:cs="Arial"/>
          <w:sz w:val="20"/>
          <w:szCs w:val="20"/>
        </w:rPr>
        <w:t>The Geospatial Commission is tasked with unlocking the economic opportunities offered by geospatial data and estimates £245m in value could be unlocked for the UK economy per annum by creating a national underground asset register (NUAR) where data is shared in a consistent and efficient manner by asset owners and their operators.</w:t>
      </w:r>
    </w:p>
    <w:p w14:paraId="7B69FD84"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r w:rsidRPr="008B00AA">
        <w:rPr>
          <w:rFonts w:ascii="Arial" w:hAnsi="Arial" w:cs="Arial"/>
          <w:sz w:val="20"/>
          <w:szCs w:val="20"/>
        </w:rPr>
        <w:t xml:space="preserve">Business as usual (BAU) is highly inefficient - data is hard and slow to access, potentially incomplete, and the inconsistent delivery makes it hard to integrate (Figure 1). This leads to inefficient project planning and makes on-site works more difficult, especially in emergencies. </w:t>
      </w:r>
      <w:r w:rsidRPr="008B00AA">
        <w:rPr>
          <w:rFonts w:ascii="Arial" w:hAnsi="Arial" w:cs="Arial"/>
          <w:sz w:val="20"/>
          <w:szCs w:val="20"/>
        </w:rPr>
        <w:lastRenderedPageBreak/>
        <w:t xml:space="preserve">Additionally, there is no procedure for data error reporting so no mechanism for incremental data improvement. </w:t>
      </w:r>
    </w:p>
    <w:p w14:paraId="2C2FB787" w14:textId="77777777" w:rsidR="008B00AA" w:rsidRPr="008B00AA" w:rsidRDefault="008B00AA" w:rsidP="008B00AA">
      <w:pPr>
        <w:pStyle w:val="Heading2"/>
        <w:spacing w:after="120"/>
        <w:ind w:left="709" w:firstLine="0"/>
        <w:rPr>
          <w:rFonts w:ascii="Arial" w:hAnsi="Arial" w:cs="Arial"/>
          <w:sz w:val="20"/>
          <w:szCs w:val="20"/>
        </w:rPr>
      </w:pPr>
      <w:r w:rsidRPr="008B00AA">
        <w:rPr>
          <w:rFonts w:ascii="Arial" w:hAnsi="Arial" w:cs="Arial"/>
          <w:noProof/>
          <w:sz w:val="20"/>
          <w:szCs w:val="20"/>
          <w:bdr w:val="single" w:sz="8" w:space="0" w:color="000000" w:frame="1"/>
        </w:rPr>
        <w:drawing>
          <wp:inline distT="0" distB="0" distL="0" distR="0" wp14:anchorId="46E0D7F3" wp14:editId="3AC94E68">
            <wp:extent cx="5422900" cy="2901315"/>
            <wp:effectExtent l="0" t="0" r="6350" b="0"/>
            <wp:docPr id="4" name="Picture 4" descr="https://lh3.googleusercontent.com/zSOX7sFgsGvH5eSpT6xR-CUt-poB2l_GYE4Z7jZw_ujtH0lVcSGNn4oMSktqfV3cVdp3lGli7XUgrmMJYJ-bMj_Fd5faO0u8OtcMgAkfmlH6UVZ_qtOnCGZ3Pw6HdclU7H4N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zSOX7sFgsGvH5eSpT6xR-CUt-poB2l_GYE4Z7jZw_ujtH0lVcSGNn4oMSktqfV3cVdp3lGli7XUgrmMJYJ-bMj_Fd5faO0u8OtcMgAkfmlH6UVZ_qtOnCGZ3Pw6HdclU7H4NKI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3487" cy="2901629"/>
                    </a:xfrm>
                    <a:prstGeom prst="rect">
                      <a:avLst/>
                    </a:prstGeom>
                    <a:noFill/>
                    <a:ln>
                      <a:noFill/>
                    </a:ln>
                  </pic:spPr>
                </pic:pic>
              </a:graphicData>
            </a:graphic>
          </wp:inline>
        </w:drawing>
      </w:r>
      <w:r w:rsidRPr="008B00AA">
        <w:rPr>
          <w:rFonts w:ascii="Arial" w:hAnsi="Arial" w:cs="Arial"/>
          <w:b/>
          <w:bCs/>
          <w:sz w:val="20"/>
          <w:szCs w:val="20"/>
        </w:rPr>
        <w:t>Figure 1.</w:t>
      </w:r>
      <w:r w:rsidRPr="008B00AA">
        <w:rPr>
          <w:rFonts w:ascii="Arial" w:hAnsi="Arial" w:cs="Arial"/>
          <w:sz w:val="20"/>
          <w:szCs w:val="20"/>
        </w:rPr>
        <w:t xml:space="preserve"> Example user story that summarises the significant pain-points in the user journey as a result of the lack of a single and coherent data source. This has been developed from 39 stakeholder interviews undertaken during discovery phase in late 2018</w:t>
      </w:r>
    </w:p>
    <w:p w14:paraId="3DA07236"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r w:rsidRPr="008B00AA">
        <w:rPr>
          <w:rFonts w:ascii="Arial" w:hAnsi="Arial" w:cs="Arial"/>
          <w:sz w:val="20"/>
          <w:szCs w:val="20"/>
        </w:rPr>
        <w:t>The NUAR Programme aims to increase the understanding of the underground environment and unlock value from utility strike avoidance, project efficiency and data exchange efficiency for utilities and their operators.  The programme also aims to establish more efficient management of the subsurface in general that aligns with government priorities on the digital economy.</w:t>
      </w:r>
    </w:p>
    <w:p w14:paraId="4F4A55FC"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r w:rsidRPr="008B00AA">
        <w:rPr>
          <w:rFonts w:ascii="Arial" w:hAnsi="Arial" w:cs="Arial"/>
          <w:sz w:val="20"/>
          <w:szCs w:val="20"/>
        </w:rPr>
        <w:t xml:space="preserve">The NUAR pilots were launched in April 2019 to test the feasibility of creating a national data sharing platform for underground asset owners and their operators. The pilots concluded in March 2020 and work is now underway to complete necessary preparation work ahead of launching a competitive tender for a regional build and national rollout. </w:t>
      </w:r>
    </w:p>
    <w:p w14:paraId="71D1929D"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r w:rsidRPr="008B00AA">
        <w:rPr>
          <w:rFonts w:ascii="Arial" w:hAnsi="Arial" w:cs="Arial"/>
          <w:sz w:val="20"/>
          <w:szCs w:val="20"/>
        </w:rPr>
        <w:t xml:space="preserve">As part of the preparation work for the invitation to tender, it is necessary to understand what BAU processes NUAR will be replacing in the national roll out, and how these will be phased out. This procurement therefore aims to commission independent research to determine what these processes are and which processes need to be retained. </w:t>
      </w:r>
    </w:p>
    <w:p w14:paraId="0FF28AB9" w14:textId="585AF702" w:rsidR="008B00AA" w:rsidRPr="008B00AA" w:rsidRDefault="008B00AA" w:rsidP="00D21A00">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rFonts w:ascii="Arial" w:hAnsi="Arial" w:cs="Arial"/>
          <w:sz w:val="24"/>
          <w:szCs w:val="24"/>
        </w:rPr>
      </w:pPr>
      <w:bookmarkStart w:id="29" w:name="_Toc46231416"/>
      <w:bookmarkStart w:id="30" w:name="_Toc368573030"/>
      <w:r w:rsidRPr="008B00AA">
        <w:rPr>
          <w:rFonts w:ascii="Arial" w:hAnsi="Arial" w:cs="Arial"/>
          <w:sz w:val="24"/>
          <w:szCs w:val="24"/>
        </w:rPr>
        <w:t>DEFINITIONS</w:t>
      </w:r>
      <w:bookmarkEnd w:id="29"/>
      <w:r w:rsidRPr="008B00AA">
        <w:rPr>
          <w:rFonts w:ascii="Arial" w:hAnsi="Arial" w:cs="Arial"/>
          <w:sz w:val="24"/>
          <w:szCs w:val="24"/>
        </w:rPr>
        <w:t xml:space="preserve"> </w:t>
      </w:r>
    </w:p>
    <w:tbl>
      <w:tblPr>
        <w:tblStyle w:val="TableGrid"/>
        <w:tblW w:w="0" w:type="auto"/>
        <w:tblInd w:w="720" w:type="dxa"/>
        <w:tblLook w:val="04A0" w:firstRow="1" w:lastRow="0" w:firstColumn="1" w:lastColumn="0" w:noHBand="0" w:noVBand="1"/>
      </w:tblPr>
      <w:tblGrid>
        <w:gridCol w:w="1857"/>
        <w:gridCol w:w="6442"/>
      </w:tblGrid>
      <w:tr w:rsidR="008B00AA" w:rsidRPr="008B00AA" w14:paraId="19B97827" w14:textId="77777777" w:rsidTr="007A6DDF">
        <w:tc>
          <w:tcPr>
            <w:tcW w:w="1857" w:type="dxa"/>
            <w:shd w:val="clear" w:color="auto" w:fill="BDD6EE" w:themeFill="accent1" w:themeFillTint="66"/>
          </w:tcPr>
          <w:p w14:paraId="66C08E15" w14:textId="77777777" w:rsidR="008B00AA" w:rsidRPr="008B00AA" w:rsidRDefault="008B00AA" w:rsidP="007A6DDF">
            <w:pPr>
              <w:pStyle w:val="Heading2"/>
              <w:spacing w:after="120"/>
              <w:ind w:left="18" w:hanging="18"/>
              <w:jc w:val="left"/>
              <w:outlineLvl w:val="1"/>
              <w:rPr>
                <w:rFonts w:ascii="Arial" w:hAnsi="Arial" w:cs="Arial"/>
                <w:b/>
                <w:highlight w:val="yellow"/>
              </w:rPr>
            </w:pPr>
            <w:r w:rsidRPr="008B00AA">
              <w:rPr>
                <w:rFonts w:ascii="Arial" w:hAnsi="Arial" w:cs="Arial"/>
                <w:b/>
              </w:rPr>
              <w:t>Expression or Acronym</w:t>
            </w:r>
          </w:p>
        </w:tc>
        <w:tc>
          <w:tcPr>
            <w:tcW w:w="6442" w:type="dxa"/>
            <w:shd w:val="clear" w:color="auto" w:fill="BDD6EE" w:themeFill="accent1" w:themeFillTint="66"/>
          </w:tcPr>
          <w:p w14:paraId="0417A249" w14:textId="77777777" w:rsidR="008B00AA" w:rsidRPr="008B00AA" w:rsidRDefault="008B00AA" w:rsidP="007A6DDF">
            <w:pPr>
              <w:pStyle w:val="Heading2"/>
              <w:spacing w:after="120"/>
              <w:ind w:left="720" w:hanging="720"/>
              <w:outlineLvl w:val="1"/>
              <w:rPr>
                <w:rFonts w:ascii="Arial" w:hAnsi="Arial" w:cs="Arial"/>
                <w:b/>
                <w:highlight w:val="yellow"/>
              </w:rPr>
            </w:pPr>
            <w:r w:rsidRPr="008B00AA">
              <w:rPr>
                <w:rFonts w:ascii="Arial" w:hAnsi="Arial" w:cs="Arial"/>
                <w:b/>
              </w:rPr>
              <w:t>Definition</w:t>
            </w:r>
          </w:p>
        </w:tc>
      </w:tr>
      <w:tr w:rsidR="008B00AA" w:rsidRPr="008B00AA" w14:paraId="0D2879D8" w14:textId="77777777" w:rsidTr="007A6DDF">
        <w:tc>
          <w:tcPr>
            <w:tcW w:w="1857" w:type="dxa"/>
          </w:tcPr>
          <w:p w14:paraId="7B433B65" w14:textId="77777777" w:rsidR="008B00AA" w:rsidRPr="008B00AA" w:rsidRDefault="008B00AA" w:rsidP="007A6DDF">
            <w:pPr>
              <w:pStyle w:val="Heading2"/>
              <w:spacing w:after="120"/>
              <w:ind w:left="720" w:hanging="720"/>
              <w:outlineLvl w:val="1"/>
              <w:rPr>
                <w:rFonts w:ascii="Arial" w:hAnsi="Arial" w:cs="Arial"/>
                <w:b/>
              </w:rPr>
            </w:pPr>
            <w:r w:rsidRPr="008B00AA">
              <w:rPr>
                <w:rFonts w:ascii="Arial" w:hAnsi="Arial" w:cs="Arial"/>
                <w:b/>
              </w:rPr>
              <w:t>NUAR</w:t>
            </w:r>
          </w:p>
        </w:tc>
        <w:tc>
          <w:tcPr>
            <w:tcW w:w="6442" w:type="dxa"/>
          </w:tcPr>
          <w:p w14:paraId="5D4A799E" w14:textId="77777777" w:rsidR="008B00AA" w:rsidRPr="008B00AA" w:rsidRDefault="008B00AA" w:rsidP="007A6DDF">
            <w:pPr>
              <w:pStyle w:val="Heading2"/>
              <w:spacing w:after="120"/>
              <w:ind w:left="0" w:firstLine="0"/>
              <w:outlineLvl w:val="1"/>
              <w:rPr>
                <w:rFonts w:ascii="Arial" w:hAnsi="Arial" w:cs="Arial"/>
              </w:rPr>
            </w:pPr>
            <w:r w:rsidRPr="008B00AA">
              <w:rPr>
                <w:rFonts w:ascii="Arial" w:hAnsi="Arial" w:cs="Arial"/>
              </w:rPr>
              <w:t>means National Underground Asset Register</w:t>
            </w:r>
          </w:p>
        </w:tc>
      </w:tr>
      <w:tr w:rsidR="008B00AA" w:rsidRPr="008B00AA" w14:paraId="11C44A4E" w14:textId="77777777" w:rsidTr="007A6DDF">
        <w:tc>
          <w:tcPr>
            <w:tcW w:w="1857" w:type="dxa"/>
          </w:tcPr>
          <w:p w14:paraId="64D705F8" w14:textId="77777777" w:rsidR="008B00AA" w:rsidRPr="008B00AA" w:rsidRDefault="008B00AA" w:rsidP="007A6DDF">
            <w:pPr>
              <w:pStyle w:val="Heading2"/>
              <w:spacing w:after="120"/>
              <w:ind w:left="720" w:hanging="720"/>
              <w:outlineLvl w:val="1"/>
              <w:rPr>
                <w:rFonts w:ascii="Arial" w:hAnsi="Arial" w:cs="Arial"/>
                <w:b/>
              </w:rPr>
            </w:pPr>
            <w:r w:rsidRPr="008B00AA">
              <w:rPr>
                <w:rFonts w:ascii="Arial" w:hAnsi="Arial" w:cs="Arial"/>
                <w:b/>
              </w:rPr>
              <w:t>GC</w:t>
            </w:r>
          </w:p>
        </w:tc>
        <w:tc>
          <w:tcPr>
            <w:tcW w:w="6442" w:type="dxa"/>
          </w:tcPr>
          <w:p w14:paraId="280CE545" w14:textId="77777777" w:rsidR="008B00AA" w:rsidRPr="008B00AA" w:rsidRDefault="008B00AA" w:rsidP="007A6DDF">
            <w:pPr>
              <w:pStyle w:val="Heading2"/>
              <w:spacing w:after="120"/>
              <w:ind w:left="720" w:hanging="720"/>
              <w:outlineLvl w:val="1"/>
              <w:rPr>
                <w:rFonts w:ascii="Arial" w:hAnsi="Arial" w:cs="Arial"/>
              </w:rPr>
            </w:pPr>
            <w:r w:rsidRPr="008B00AA">
              <w:rPr>
                <w:rFonts w:ascii="Arial" w:hAnsi="Arial" w:cs="Arial"/>
              </w:rPr>
              <w:t>means Geospatial Commission</w:t>
            </w:r>
          </w:p>
        </w:tc>
      </w:tr>
      <w:tr w:rsidR="008B00AA" w:rsidRPr="008B00AA" w14:paraId="1ED1B543" w14:textId="77777777" w:rsidTr="007A6DDF">
        <w:tc>
          <w:tcPr>
            <w:tcW w:w="1857" w:type="dxa"/>
          </w:tcPr>
          <w:p w14:paraId="32635BB1" w14:textId="77777777" w:rsidR="008B00AA" w:rsidRPr="008B00AA" w:rsidRDefault="008B00AA" w:rsidP="007A6DDF">
            <w:pPr>
              <w:pStyle w:val="Heading2"/>
              <w:spacing w:after="120"/>
              <w:ind w:left="720" w:hanging="720"/>
              <w:outlineLvl w:val="1"/>
              <w:rPr>
                <w:rFonts w:ascii="Arial" w:hAnsi="Arial" w:cs="Arial"/>
                <w:b/>
              </w:rPr>
            </w:pPr>
            <w:r w:rsidRPr="008B00AA">
              <w:rPr>
                <w:rFonts w:ascii="Arial" w:hAnsi="Arial" w:cs="Arial"/>
                <w:b/>
              </w:rPr>
              <w:t>BAU</w:t>
            </w:r>
          </w:p>
        </w:tc>
        <w:tc>
          <w:tcPr>
            <w:tcW w:w="6442" w:type="dxa"/>
          </w:tcPr>
          <w:p w14:paraId="28C16879" w14:textId="77777777" w:rsidR="008B00AA" w:rsidRPr="008B00AA" w:rsidRDefault="008B00AA" w:rsidP="007A6DDF">
            <w:pPr>
              <w:pStyle w:val="Heading2"/>
              <w:spacing w:after="120"/>
              <w:ind w:left="0" w:firstLine="0"/>
              <w:outlineLvl w:val="1"/>
              <w:rPr>
                <w:rFonts w:ascii="Arial" w:hAnsi="Arial" w:cs="Arial"/>
              </w:rPr>
            </w:pPr>
            <w:r w:rsidRPr="008B00AA">
              <w:rPr>
                <w:rFonts w:ascii="Arial" w:hAnsi="Arial" w:cs="Arial"/>
              </w:rPr>
              <w:t xml:space="preserve">means Business as usual </w:t>
            </w:r>
          </w:p>
        </w:tc>
      </w:tr>
    </w:tbl>
    <w:p w14:paraId="6E2393DE" w14:textId="390DD830" w:rsidR="008B00AA" w:rsidRPr="008B00AA" w:rsidRDefault="008B00AA" w:rsidP="00D21A00">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before="240" w:after="120"/>
        <w:textAlignment w:val="baseline"/>
        <w:rPr>
          <w:rFonts w:ascii="Arial" w:hAnsi="Arial" w:cs="Arial"/>
          <w:sz w:val="24"/>
          <w:szCs w:val="24"/>
        </w:rPr>
      </w:pPr>
      <w:bookmarkStart w:id="31" w:name="_Toc46231417"/>
      <w:r w:rsidRPr="008B00AA">
        <w:rPr>
          <w:rFonts w:ascii="Arial" w:hAnsi="Arial" w:cs="Arial"/>
          <w:sz w:val="24"/>
          <w:szCs w:val="24"/>
        </w:rPr>
        <w:t>SCOPE OF REQUIREMENT</w:t>
      </w:r>
      <w:bookmarkEnd w:id="28"/>
      <w:bookmarkEnd w:id="30"/>
      <w:bookmarkEnd w:id="31"/>
      <w:r w:rsidRPr="008B00AA">
        <w:rPr>
          <w:rFonts w:ascii="Arial" w:hAnsi="Arial" w:cs="Arial"/>
          <w:sz w:val="24"/>
          <w:szCs w:val="24"/>
        </w:rPr>
        <w:t xml:space="preserve"> </w:t>
      </w:r>
    </w:p>
    <w:bookmarkEnd w:id="25"/>
    <w:p w14:paraId="65ECA541"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rFonts w:ascii="Arial" w:hAnsi="Arial" w:cs="Arial"/>
          <w:sz w:val="20"/>
          <w:szCs w:val="20"/>
        </w:rPr>
      </w:pPr>
      <w:r w:rsidRPr="008B00AA">
        <w:rPr>
          <w:rFonts w:ascii="Arial" w:hAnsi="Arial" w:cs="Arial"/>
          <w:sz w:val="20"/>
          <w:szCs w:val="20"/>
        </w:rPr>
        <w:t>It is proposed that three work packages are undertaken to gather the BAU process information and map the transition to NUAR:</w:t>
      </w:r>
    </w:p>
    <w:p w14:paraId="428CA753"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sz w:val="20"/>
          <w:szCs w:val="20"/>
        </w:rPr>
      </w:pPr>
      <w:r w:rsidRPr="008B00AA">
        <w:rPr>
          <w:rFonts w:ascii="Arial" w:hAnsi="Arial" w:cs="Arial"/>
          <w:sz w:val="20"/>
          <w:szCs w:val="20"/>
        </w:rPr>
        <w:t>A research exercise on existing BAU processes that asset owners and their operators are using to plan and deliver an excavation project, and</w:t>
      </w:r>
    </w:p>
    <w:p w14:paraId="28FBE688"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sz w:val="20"/>
          <w:szCs w:val="20"/>
        </w:rPr>
      </w:pPr>
      <w:r w:rsidRPr="008B00AA">
        <w:rPr>
          <w:rFonts w:ascii="Arial" w:hAnsi="Arial" w:cs="Arial"/>
          <w:sz w:val="20"/>
          <w:szCs w:val="20"/>
        </w:rPr>
        <w:lastRenderedPageBreak/>
        <w:t xml:space="preserve">An in-depth analysis on which existing processes NUAR will be replacing and which existing processes will need to be retained. </w:t>
      </w:r>
    </w:p>
    <w:p w14:paraId="62C7BEE7"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rFonts w:ascii="Arial" w:hAnsi="Arial" w:cs="Arial"/>
          <w:sz w:val="20"/>
          <w:szCs w:val="20"/>
        </w:rPr>
      </w:pPr>
      <w:r w:rsidRPr="008B00AA">
        <w:rPr>
          <w:rFonts w:ascii="Arial" w:hAnsi="Arial" w:cs="Arial"/>
          <w:sz w:val="20"/>
          <w:szCs w:val="20"/>
        </w:rPr>
        <w:t xml:space="preserve">A unit-cost based economic analysis of the potential process savings NUAR will generate. </w:t>
      </w:r>
    </w:p>
    <w:p w14:paraId="23F39968"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0"/>
          <w:szCs w:val="20"/>
        </w:rPr>
      </w:pPr>
      <w:r w:rsidRPr="008B00AA">
        <w:rPr>
          <w:rFonts w:ascii="Arial" w:hAnsi="Arial" w:cs="Arial"/>
          <w:sz w:val="20"/>
          <w:szCs w:val="20"/>
        </w:rPr>
        <w:t>The geographical scope of this procurement includes England, Wales and Northern Ireland.</w:t>
      </w:r>
    </w:p>
    <w:p w14:paraId="5350FD6D"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0"/>
          <w:szCs w:val="20"/>
        </w:rPr>
      </w:pPr>
      <w:r w:rsidRPr="008B00AA">
        <w:rPr>
          <w:rFonts w:ascii="Arial" w:hAnsi="Arial" w:cs="Arial"/>
          <w:sz w:val="20"/>
          <w:szCs w:val="20"/>
        </w:rPr>
        <w:t xml:space="preserve">The asset owners that are in scope for this procurement are utility statutory providers (gas, electricity, clean water, sewage and telecommunications) and Local and Highways Authorities. As many of these bodies utilise Tier 1 contractors to plan and execute their works, Tier 1 contractors are also in scope. </w:t>
      </w:r>
    </w:p>
    <w:p w14:paraId="651725D9"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0"/>
          <w:szCs w:val="20"/>
        </w:rPr>
      </w:pPr>
      <w:r w:rsidRPr="008B00AA">
        <w:rPr>
          <w:rFonts w:ascii="Arial" w:hAnsi="Arial" w:cs="Arial"/>
          <w:sz w:val="20"/>
          <w:szCs w:val="20"/>
        </w:rPr>
        <w:t>The process mapping will cover both planned excavations and unplanned/emergency works on a site scale.</w:t>
      </w:r>
    </w:p>
    <w:p w14:paraId="4413DB36" w14:textId="32ACA6BB" w:rsidR="008B00AA" w:rsidRPr="008B00AA" w:rsidRDefault="008B00AA" w:rsidP="00D21A00">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24"/>
          <w:szCs w:val="24"/>
        </w:rPr>
      </w:pPr>
      <w:bookmarkStart w:id="32" w:name="_Toc368573031"/>
      <w:bookmarkStart w:id="33" w:name="_Toc46231418"/>
      <w:r w:rsidRPr="008B00AA">
        <w:rPr>
          <w:rFonts w:ascii="Arial" w:hAnsi="Arial" w:cs="Arial"/>
          <w:sz w:val="24"/>
          <w:szCs w:val="24"/>
        </w:rPr>
        <w:t>THE REQUIREMENT</w:t>
      </w:r>
      <w:bookmarkEnd w:id="32"/>
      <w:bookmarkEnd w:id="33"/>
    </w:p>
    <w:p w14:paraId="48CD773D"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r w:rsidRPr="008B00AA">
        <w:rPr>
          <w:rFonts w:ascii="Arial" w:hAnsi="Arial" w:cs="Arial"/>
          <w:sz w:val="20"/>
          <w:szCs w:val="20"/>
        </w:rPr>
        <w:t>Work package A – Research into existing BAU</w:t>
      </w:r>
    </w:p>
    <w:p w14:paraId="0D644A16"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8B00AA">
        <w:rPr>
          <w:rFonts w:ascii="Arial" w:hAnsi="Arial" w:cs="Arial"/>
          <w:sz w:val="20"/>
          <w:szCs w:val="20"/>
        </w:rPr>
        <w:t>The purpose of this work package is to map the existing processes used by utility companies and Local Authorities to plan excavations and collate, share and utilise the underground asset information required for safe digging and avoidance of utility strikes.</w:t>
      </w:r>
    </w:p>
    <w:p w14:paraId="5B7AE92F"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8B00AA">
        <w:rPr>
          <w:rFonts w:ascii="Arial" w:hAnsi="Arial" w:cs="Arial"/>
          <w:sz w:val="20"/>
          <w:szCs w:val="20"/>
        </w:rPr>
        <w:t xml:space="preserve">The successful Supplier will be an organisation with existing relationships and/or processes for gathering information from asset owners. </w:t>
      </w:r>
    </w:p>
    <w:p w14:paraId="15509CF3"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8B00AA">
        <w:rPr>
          <w:rFonts w:ascii="Arial" w:hAnsi="Arial" w:cs="Arial"/>
          <w:sz w:val="20"/>
          <w:szCs w:val="20"/>
        </w:rPr>
        <w:t xml:space="preserve">The Supplier will develop a recommended sampling methodology for the selection of representative asset owners across the sectors (clean water, sewage, gas, electricity, telecommunications, and Local/Highways Authorities), including a small number of Tier 1 contractors in England, Wales and Northern Ireland. The methodology will ensure that the sample would cover a range of asset owners’ size, geographical location and different approaches in their BAU.  </w:t>
      </w:r>
    </w:p>
    <w:p w14:paraId="50A1C6D5"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8B00AA">
        <w:rPr>
          <w:rFonts w:ascii="Arial" w:hAnsi="Arial" w:cs="Arial"/>
          <w:sz w:val="20"/>
          <w:szCs w:val="20"/>
        </w:rPr>
        <w:t>The Supplier will implement the sampling methodology approved by GC to collect information of existing BAU processes across the selected asset owners. The Supplier will then create process maps that identify the most common steps in the process and highlight any outliers and differences between organisations and sectors. The Supplier will also identify the array of options the asset owners use to conduct utility searches. The Supplier will include all the compliance requirements in the process maps (legislative, regulatory and guidance/best practice).</w:t>
      </w:r>
    </w:p>
    <w:p w14:paraId="6955A7D4"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r w:rsidRPr="008B00AA">
        <w:rPr>
          <w:rFonts w:ascii="Arial" w:hAnsi="Arial" w:cs="Arial"/>
          <w:sz w:val="20"/>
          <w:szCs w:val="20"/>
        </w:rPr>
        <w:t>Work package B – NUAR integration analysis</w:t>
      </w:r>
    </w:p>
    <w:p w14:paraId="161450AD"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8B00AA">
        <w:rPr>
          <w:rFonts w:ascii="Arial" w:hAnsi="Arial" w:cs="Arial"/>
          <w:sz w:val="20"/>
          <w:szCs w:val="20"/>
        </w:rPr>
        <w:t>The purpose of this work package is to conduct an in-depth analysis on which existing processes NUAR will be replacing and which existing processes will need to be retained. The NUAR platform will be a digital map of all underground assets with an integrated observation tool that provides direct feedback to asset owners.</w:t>
      </w:r>
    </w:p>
    <w:p w14:paraId="2467BC77"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8B00AA">
        <w:rPr>
          <w:rFonts w:ascii="Arial" w:hAnsi="Arial" w:cs="Arial"/>
          <w:sz w:val="20"/>
          <w:szCs w:val="20"/>
        </w:rPr>
        <w:t>The Supplier will identify and report on the processes on the process map created as part of Work package A that will no longer be required when NUAR will be rolled out. The Supplier will also highlight the processes that cannot be replaced.</w:t>
      </w:r>
    </w:p>
    <w:p w14:paraId="3AB5DCE0"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8B00AA">
        <w:rPr>
          <w:rFonts w:ascii="Arial" w:hAnsi="Arial" w:cs="Arial"/>
          <w:sz w:val="20"/>
          <w:szCs w:val="20"/>
        </w:rPr>
        <w:t>The Supplier will make recommendations on how the NUAR platform will be integrated in the remaining processes. The Supplier will also make recommendations on how the observation tool will be added to the process map.</w:t>
      </w:r>
    </w:p>
    <w:p w14:paraId="6DE74754"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8B00AA">
        <w:rPr>
          <w:rFonts w:ascii="Arial" w:hAnsi="Arial" w:cs="Arial"/>
          <w:sz w:val="20"/>
          <w:szCs w:val="20"/>
        </w:rPr>
        <w:t xml:space="preserve">The Supplier will make recommendations, as appropriate, on what compliance areas the NUAR platform needs to cover in order to fit in with the current legislation </w:t>
      </w:r>
      <w:r w:rsidRPr="008B00AA">
        <w:rPr>
          <w:rFonts w:ascii="Arial" w:hAnsi="Arial" w:cs="Arial"/>
          <w:sz w:val="20"/>
          <w:szCs w:val="20"/>
        </w:rPr>
        <w:lastRenderedPageBreak/>
        <w:t xml:space="preserve">and compliance requirements. The Supplier will highlight any identified areas in the integration of NUAR in the BAU processes that might create a risk of compromising compliance. </w:t>
      </w:r>
    </w:p>
    <w:p w14:paraId="5CA84611"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8B00AA">
        <w:rPr>
          <w:rFonts w:ascii="Arial" w:hAnsi="Arial" w:cs="Arial"/>
          <w:sz w:val="20"/>
          <w:szCs w:val="20"/>
        </w:rPr>
        <w:t>The Supplier will compare the processes flow that includes the NUAR platform with the Scottish Roadworks Commission’s Vault System.</w:t>
      </w:r>
    </w:p>
    <w:p w14:paraId="3E94F163"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r w:rsidRPr="008B00AA">
        <w:rPr>
          <w:rFonts w:ascii="Arial" w:hAnsi="Arial" w:cs="Arial"/>
          <w:sz w:val="20"/>
          <w:szCs w:val="20"/>
        </w:rPr>
        <w:t>Work package C – Evaluation of savings</w:t>
      </w:r>
    </w:p>
    <w:p w14:paraId="72FD3C6D"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8B00AA">
        <w:rPr>
          <w:rFonts w:ascii="Arial" w:hAnsi="Arial" w:cs="Arial"/>
          <w:sz w:val="20"/>
          <w:szCs w:val="20"/>
        </w:rPr>
        <w:t xml:space="preserve">The purpose of this work package is to conduct a unit-cost based economic analysis on the estimated potential process savings that could be generated when the NUAR platform will be rolled out. This will include both the time and cost savings for each process. </w:t>
      </w:r>
    </w:p>
    <w:p w14:paraId="78041D27"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8B00AA">
        <w:rPr>
          <w:rFonts w:ascii="Arial" w:hAnsi="Arial" w:cs="Arial"/>
          <w:sz w:val="20"/>
          <w:szCs w:val="20"/>
        </w:rPr>
        <w:t xml:space="preserve">The Supplier will develop a unit-cost estimation of process costs based on the BAU process maps generated as part of Work Package A. The estimation will include the time and unit cost estimates for each of the common process steps and for those processes with specific and key outliers. The unit cost analysis must include all the different approaches asset owners use to conduct utility searches. </w:t>
      </w:r>
    </w:p>
    <w:p w14:paraId="50DF4F3D"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8B00AA">
        <w:rPr>
          <w:rFonts w:ascii="Arial" w:hAnsi="Arial" w:cs="Arial"/>
          <w:sz w:val="20"/>
          <w:szCs w:val="20"/>
        </w:rPr>
        <w:t>The Supplier will then develop a unit-cost estimation of process costs based on the outcome of Work package B, where some processes will be removed after the NUAR roll out. The Supplier will compare the time and cost estimations of BAU processes to the processes after NUAR roll out -where the time and cost savings for each part of the process is clearly presented.</w:t>
      </w:r>
    </w:p>
    <w:p w14:paraId="21EFAA8F" w14:textId="1CC2150D" w:rsidR="008B00AA" w:rsidRPr="008B00AA" w:rsidRDefault="008B00AA" w:rsidP="00D21A00">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24"/>
          <w:szCs w:val="24"/>
        </w:rPr>
      </w:pPr>
      <w:bookmarkStart w:id="34" w:name="_Toc368573032"/>
      <w:bookmarkStart w:id="35" w:name="_Toc46231419"/>
      <w:r w:rsidRPr="008B00AA">
        <w:rPr>
          <w:rFonts w:ascii="Arial" w:hAnsi="Arial" w:cs="Arial"/>
          <w:sz w:val="24"/>
          <w:szCs w:val="24"/>
        </w:rPr>
        <w:t>KEY MILESTONES</w:t>
      </w:r>
      <w:bookmarkEnd w:id="34"/>
      <w:r w:rsidRPr="008B00AA">
        <w:rPr>
          <w:rFonts w:ascii="Arial" w:hAnsi="Arial" w:cs="Arial"/>
          <w:sz w:val="24"/>
          <w:szCs w:val="24"/>
        </w:rPr>
        <w:t xml:space="preserve"> AND DELIVERABLES</w:t>
      </w:r>
      <w:bookmarkEnd w:id="35"/>
    </w:p>
    <w:p w14:paraId="026EE9CC"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r w:rsidRPr="008B00AA">
        <w:rPr>
          <w:rFonts w:ascii="Arial" w:hAnsi="Arial" w:cs="Arial"/>
          <w:sz w:val="20"/>
          <w:szCs w:val="20"/>
        </w:rPr>
        <w:t xml:space="preserve">The main output of each wok package is expected to take the format of a research report. It is also expected that a spreadsheet detailing each of the processes captured as part of the research and their subsequent time and cost savings will be submitted. Prior to each final report being delivered, a series of presentation outputs and building blocks to the final output are expected to be shared with the Commission, as laid out in the milestones table. </w:t>
      </w:r>
    </w:p>
    <w:p w14:paraId="740BF346" w14:textId="21D780DF" w:rsid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0"/>
          <w:szCs w:val="20"/>
        </w:rPr>
      </w:pPr>
      <w:r w:rsidRPr="008B00AA">
        <w:rPr>
          <w:rFonts w:ascii="Arial" w:hAnsi="Arial" w:cs="Arial"/>
          <w:sz w:val="20"/>
          <w:szCs w:val="20"/>
        </w:rPr>
        <w:t>The following Contract milestones/deliverables shall apply:</w:t>
      </w:r>
    </w:p>
    <w:tbl>
      <w:tblPr>
        <w:tblStyle w:val="TableGrid"/>
        <w:tblW w:w="5000" w:type="pct"/>
        <w:tblLook w:val="04A0" w:firstRow="1" w:lastRow="0" w:firstColumn="1" w:lastColumn="0" w:noHBand="0" w:noVBand="1"/>
      </w:tblPr>
      <w:tblGrid>
        <w:gridCol w:w="3680"/>
        <w:gridCol w:w="3442"/>
        <w:gridCol w:w="1897"/>
      </w:tblGrid>
      <w:tr w:rsidR="008B00AA" w:rsidRPr="008B00AA" w14:paraId="04CA2A4A" w14:textId="77777777" w:rsidTr="007A6DDF">
        <w:tc>
          <w:tcPr>
            <w:tcW w:w="1481" w:type="pct"/>
            <w:shd w:val="clear" w:color="auto" w:fill="BDD6EE" w:themeFill="accent1" w:themeFillTint="66"/>
            <w:vAlign w:val="center"/>
          </w:tcPr>
          <w:p w14:paraId="0980BF2B" w14:textId="49695BA1" w:rsidR="008B00AA" w:rsidRPr="008B00AA" w:rsidRDefault="008B00AA" w:rsidP="007A6DDF">
            <w:pPr>
              <w:pStyle w:val="Heading3"/>
              <w:spacing w:after="120"/>
              <w:ind w:left="0" w:firstLine="0"/>
              <w:jc w:val="center"/>
              <w:outlineLvl w:val="2"/>
              <w:rPr>
                <w:rFonts w:ascii="Arial" w:hAnsi="Arial" w:cs="Arial"/>
                <w:b/>
              </w:rPr>
            </w:pPr>
            <w:r>
              <w:lastRenderedPageBreak/>
              <w:tab/>
            </w:r>
            <w:r w:rsidRPr="008B00AA">
              <w:rPr>
                <w:rFonts w:ascii="Arial" w:hAnsi="Arial" w:cs="Arial"/>
                <w:b/>
              </w:rPr>
              <w:t>Milestone/Deliverable</w:t>
            </w:r>
          </w:p>
        </w:tc>
        <w:tc>
          <w:tcPr>
            <w:tcW w:w="2188" w:type="pct"/>
            <w:shd w:val="clear" w:color="auto" w:fill="BDD6EE" w:themeFill="accent1" w:themeFillTint="66"/>
            <w:vAlign w:val="center"/>
          </w:tcPr>
          <w:p w14:paraId="2B328D0B" w14:textId="77777777" w:rsidR="008B00AA" w:rsidRPr="008B00AA" w:rsidRDefault="008B00AA" w:rsidP="007A6DDF">
            <w:pPr>
              <w:pStyle w:val="Heading3"/>
              <w:spacing w:after="120"/>
              <w:ind w:left="0" w:firstLine="0"/>
              <w:jc w:val="center"/>
              <w:outlineLvl w:val="2"/>
              <w:rPr>
                <w:rFonts w:ascii="Arial" w:hAnsi="Arial" w:cs="Arial"/>
                <w:b/>
              </w:rPr>
            </w:pPr>
            <w:r w:rsidRPr="008B00AA">
              <w:rPr>
                <w:rFonts w:ascii="Arial" w:hAnsi="Arial" w:cs="Arial"/>
                <w:b/>
              </w:rPr>
              <w:t>Description</w:t>
            </w:r>
          </w:p>
        </w:tc>
        <w:tc>
          <w:tcPr>
            <w:tcW w:w="1331" w:type="pct"/>
            <w:shd w:val="clear" w:color="auto" w:fill="BDD6EE" w:themeFill="accent1" w:themeFillTint="66"/>
            <w:vAlign w:val="center"/>
          </w:tcPr>
          <w:p w14:paraId="4D59B038" w14:textId="77777777" w:rsidR="008B00AA" w:rsidRPr="008B00AA" w:rsidRDefault="008B00AA" w:rsidP="007A6DDF">
            <w:pPr>
              <w:pStyle w:val="Heading3"/>
              <w:spacing w:after="120"/>
              <w:ind w:left="0" w:firstLine="0"/>
              <w:jc w:val="center"/>
              <w:outlineLvl w:val="2"/>
              <w:rPr>
                <w:rFonts w:ascii="Arial" w:hAnsi="Arial" w:cs="Arial"/>
                <w:b/>
              </w:rPr>
            </w:pPr>
            <w:r w:rsidRPr="008B00AA">
              <w:rPr>
                <w:rFonts w:ascii="Arial" w:hAnsi="Arial" w:cs="Arial"/>
                <w:b/>
              </w:rPr>
              <w:t xml:space="preserve">Timeframe </w:t>
            </w:r>
            <w:proofErr w:type="gramStart"/>
            <w:r w:rsidRPr="008B00AA">
              <w:rPr>
                <w:rFonts w:ascii="Arial" w:hAnsi="Arial" w:cs="Arial"/>
                <w:b/>
              </w:rPr>
              <w:t>or  Delivery</w:t>
            </w:r>
            <w:proofErr w:type="gramEnd"/>
            <w:r w:rsidRPr="008B00AA">
              <w:rPr>
                <w:rFonts w:ascii="Arial" w:hAnsi="Arial" w:cs="Arial"/>
                <w:b/>
              </w:rPr>
              <w:t xml:space="preserve"> Date</w:t>
            </w:r>
          </w:p>
        </w:tc>
      </w:tr>
      <w:tr w:rsidR="008B00AA" w:rsidRPr="008B00AA" w14:paraId="566F0076" w14:textId="77777777" w:rsidTr="007A6DDF">
        <w:tc>
          <w:tcPr>
            <w:tcW w:w="5000" w:type="pct"/>
            <w:gridSpan w:val="3"/>
            <w:vAlign w:val="center"/>
          </w:tcPr>
          <w:p w14:paraId="5AC51978"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Work package A – Research into existing BAU</w:t>
            </w:r>
          </w:p>
        </w:tc>
      </w:tr>
      <w:tr w:rsidR="008B00AA" w:rsidRPr="008B00AA" w14:paraId="5B4E92AC" w14:textId="77777777" w:rsidTr="007A6DDF">
        <w:tc>
          <w:tcPr>
            <w:tcW w:w="1481" w:type="pct"/>
            <w:vAlign w:val="center"/>
          </w:tcPr>
          <w:p w14:paraId="7B718FF9"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1</w:t>
            </w:r>
          </w:p>
        </w:tc>
        <w:tc>
          <w:tcPr>
            <w:tcW w:w="2188" w:type="pct"/>
            <w:shd w:val="clear" w:color="auto" w:fill="auto"/>
            <w:vAlign w:val="center"/>
          </w:tcPr>
          <w:p w14:paraId="4EAD2CE1" w14:textId="77777777" w:rsidR="008B00AA" w:rsidRPr="008B00AA" w:rsidRDefault="008B00AA" w:rsidP="007A6DDF">
            <w:pPr>
              <w:pStyle w:val="Heading3"/>
              <w:spacing w:after="120"/>
              <w:ind w:left="0" w:firstLine="0"/>
              <w:jc w:val="left"/>
              <w:outlineLvl w:val="2"/>
              <w:rPr>
                <w:rFonts w:ascii="Arial" w:hAnsi="Arial" w:cs="Arial"/>
              </w:rPr>
            </w:pPr>
            <w:r w:rsidRPr="008B00AA">
              <w:rPr>
                <w:rFonts w:ascii="Arial" w:hAnsi="Arial" w:cs="Arial"/>
              </w:rPr>
              <w:t>Kick off meeting</w:t>
            </w:r>
          </w:p>
        </w:tc>
        <w:tc>
          <w:tcPr>
            <w:tcW w:w="1331" w:type="pct"/>
            <w:vAlign w:val="center"/>
          </w:tcPr>
          <w:p w14:paraId="649FA374"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Within week 1 of Contract Award</w:t>
            </w:r>
          </w:p>
        </w:tc>
      </w:tr>
      <w:tr w:rsidR="008B00AA" w:rsidRPr="008B00AA" w14:paraId="03FF48CE" w14:textId="77777777" w:rsidTr="007A6DDF">
        <w:tc>
          <w:tcPr>
            <w:tcW w:w="1481" w:type="pct"/>
            <w:vAlign w:val="center"/>
          </w:tcPr>
          <w:p w14:paraId="705DC226"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Gateway point 1</w:t>
            </w:r>
          </w:p>
        </w:tc>
        <w:tc>
          <w:tcPr>
            <w:tcW w:w="2188" w:type="pct"/>
            <w:shd w:val="clear" w:color="auto" w:fill="auto"/>
            <w:vAlign w:val="center"/>
          </w:tcPr>
          <w:p w14:paraId="57EE1AB3" w14:textId="77777777" w:rsidR="008B00AA" w:rsidRPr="008B00AA" w:rsidRDefault="008B00AA" w:rsidP="007A6DDF">
            <w:pPr>
              <w:pStyle w:val="Heading3"/>
              <w:spacing w:after="120"/>
              <w:ind w:left="0" w:firstLine="0"/>
              <w:jc w:val="left"/>
              <w:outlineLvl w:val="2"/>
              <w:rPr>
                <w:rFonts w:ascii="Arial" w:hAnsi="Arial" w:cs="Arial"/>
              </w:rPr>
            </w:pPr>
            <w:r w:rsidRPr="008B00AA">
              <w:rPr>
                <w:rFonts w:ascii="Arial" w:hAnsi="Arial" w:cs="Arial"/>
              </w:rPr>
              <w:t>Presentation of proposed methodology for sampling of selected asset owner organisations and Tier 1 contractors</w:t>
            </w:r>
          </w:p>
          <w:p w14:paraId="64831845" w14:textId="77777777" w:rsidR="008B00AA" w:rsidRPr="008B00AA" w:rsidRDefault="008B00AA" w:rsidP="007A6DDF">
            <w:pPr>
              <w:pStyle w:val="Heading3"/>
              <w:spacing w:after="120"/>
              <w:ind w:left="0" w:firstLine="0"/>
              <w:jc w:val="left"/>
              <w:outlineLvl w:val="2"/>
              <w:rPr>
                <w:rFonts w:ascii="Arial" w:hAnsi="Arial" w:cs="Arial"/>
              </w:rPr>
            </w:pPr>
          </w:p>
        </w:tc>
        <w:tc>
          <w:tcPr>
            <w:tcW w:w="1331" w:type="pct"/>
            <w:vAlign w:val="center"/>
          </w:tcPr>
          <w:p w14:paraId="144707B4"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Within week 2 of Contract Award</w:t>
            </w:r>
          </w:p>
        </w:tc>
      </w:tr>
      <w:tr w:rsidR="008B00AA" w:rsidRPr="008B00AA" w14:paraId="27EC3E35" w14:textId="77777777" w:rsidTr="007A6DDF">
        <w:tc>
          <w:tcPr>
            <w:tcW w:w="1481" w:type="pct"/>
            <w:vAlign w:val="center"/>
          </w:tcPr>
          <w:p w14:paraId="7398B417"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2</w:t>
            </w:r>
          </w:p>
        </w:tc>
        <w:tc>
          <w:tcPr>
            <w:tcW w:w="2188" w:type="pct"/>
            <w:shd w:val="clear" w:color="auto" w:fill="auto"/>
            <w:vAlign w:val="center"/>
          </w:tcPr>
          <w:p w14:paraId="4441CB78" w14:textId="77777777" w:rsidR="008B00AA" w:rsidRPr="008B00AA" w:rsidRDefault="008B00AA" w:rsidP="007A6DDF">
            <w:pPr>
              <w:pStyle w:val="Heading3"/>
              <w:spacing w:after="120"/>
              <w:ind w:left="0" w:firstLine="0"/>
              <w:jc w:val="left"/>
              <w:outlineLvl w:val="2"/>
              <w:rPr>
                <w:rFonts w:ascii="Arial" w:hAnsi="Arial" w:cs="Arial"/>
              </w:rPr>
            </w:pPr>
            <w:r w:rsidRPr="008B00AA">
              <w:rPr>
                <w:rFonts w:ascii="Arial" w:hAnsi="Arial" w:cs="Arial"/>
              </w:rPr>
              <w:t>Presentation (reporting) of participants contacted and response rate (broken down by organisation type and sector), including copy of questionnaires and templates used</w:t>
            </w:r>
          </w:p>
        </w:tc>
        <w:tc>
          <w:tcPr>
            <w:tcW w:w="1331" w:type="pct"/>
            <w:vAlign w:val="center"/>
          </w:tcPr>
          <w:p w14:paraId="2B2790D6"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Within week 6 of Contract Award</w:t>
            </w:r>
          </w:p>
        </w:tc>
      </w:tr>
      <w:tr w:rsidR="008B00AA" w:rsidRPr="008B00AA" w14:paraId="61475841" w14:textId="77777777" w:rsidTr="007A6DDF">
        <w:tc>
          <w:tcPr>
            <w:tcW w:w="1481" w:type="pct"/>
            <w:vAlign w:val="center"/>
          </w:tcPr>
          <w:p w14:paraId="2D1B3047"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Gateway point 2</w:t>
            </w:r>
          </w:p>
        </w:tc>
        <w:tc>
          <w:tcPr>
            <w:tcW w:w="2188" w:type="pct"/>
            <w:shd w:val="clear" w:color="auto" w:fill="auto"/>
            <w:vAlign w:val="center"/>
          </w:tcPr>
          <w:p w14:paraId="0717D00A" w14:textId="77777777" w:rsidR="008B00AA" w:rsidRPr="008B00AA" w:rsidRDefault="008B00AA" w:rsidP="007A6DDF">
            <w:pPr>
              <w:pStyle w:val="Heading3"/>
              <w:spacing w:after="120"/>
              <w:ind w:left="0" w:firstLine="0"/>
              <w:jc w:val="left"/>
              <w:outlineLvl w:val="2"/>
              <w:rPr>
                <w:rFonts w:ascii="Arial" w:hAnsi="Arial" w:cs="Arial"/>
              </w:rPr>
            </w:pPr>
            <w:r w:rsidRPr="008B00AA">
              <w:rPr>
                <w:rFonts w:ascii="Arial" w:hAnsi="Arial" w:cs="Arial"/>
              </w:rPr>
              <w:t>Presentation of aggregated process flow maps and outliers, including utilities searches options and compliance requirements</w:t>
            </w:r>
          </w:p>
        </w:tc>
        <w:tc>
          <w:tcPr>
            <w:tcW w:w="1331" w:type="pct"/>
            <w:vAlign w:val="center"/>
          </w:tcPr>
          <w:p w14:paraId="3794C49C"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Within week 7 of Contract Award</w:t>
            </w:r>
          </w:p>
        </w:tc>
      </w:tr>
      <w:tr w:rsidR="008B00AA" w:rsidRPr="008B00AA" w14:paraId="7262600D" w14:textId="77777777" w:rsidTr="007A6DDF">
        <w:tc>
          <w:tcPr>
            <w:tcW w:w="1481" w:type="pct"/>
            <w:vAlign w:val="center"/>
          </w:tcPr>
          <w:p w14:paraId="0911AFAD"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3</w:t>
            </w:r>
          </w:p>
        </w:tc>
        <w:tc>
          <w:tcPr>
            <w:tcW w:w="2188" w:type="pct"/>
            <w:shd w:val="clear" w:color="auto" w:fill="auto"/>
            <w:vAlign w:val="center"/>
          </w:tcPr>
          <w:p w14:paraId="068D2F35" w14:textId="77777777" w:rsidR="008B00AA" w:rsidRPr="008B00AA" w:rsidRDefault="008B00AA" w:rsidP="007A6DDF">
            <w:pPr>
              <w:pStyle w:val="Heading3"/>
              <w:spacing w:after="120"/>
              <w:ind w:left="0" w:firstLine="0"/>
              <w:jc w:val="left"/>
              <w:outlineLvl w:val="2"/>
              <w:rPr>
                <w:rFonts w:ascii="Arial" w:hAnsi="Arial" w:cs="Arial"/>
              </w:rPr>
            </w:pPr>
            <w:r w:rsidRPr="008B00AA">
              <w:rPr>
                <w:rFonts w:ascii="Arial" w:hAnsi="Arial" w:cs="Arial"/>
              </w:rPr>
              <w:t>Draft Work package A report with findings</w:t>
            </w:r>
          </w:p>
        </w:tc>
        <w:tc>
          <w:tcPr>
            <w:tcW w:w="1331" w:type="pct"/>
            <w:vAlign w:val="center"/>
          </w:tcPr>
          <w:p w14:paraId="7158AFEF"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Within week 8 of Contract Award</w:t>
            </w:r>
          </w:p>
        </w:tc>
      </w:tr>
      <w:tr w:rsidR="008B00AA" w:rsidRPr="008B00AA" w14:paraId="5AD93D27" w14:textId="77777777" w:rsidTr="007A6DDF">
        <w:tc>
          <w:tcPr>
            <w:tcW w:w="1481" w:type="pct"/>
            <w:vAlign w:val="center"/>
          </w:tcPr>
          <w:p w14:paraId="430BD938"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Gateway point 3</w:t>
            </w:r>
          </w:p>
        </w:tc>
        <w:tc>
          <w:tcPr>
            <w:tcW w:w="2188" w:type="pct"/>
            <w:shd w:val="clear" w:color="auto" w:fill="auto"/>
            <w:vAlign w:val="center"/>
          </w:tcPr>
          <w:p w14:paraId="389914FB" w14:textId="77777777" w:rsidR="008B00AA" w:rsidRPr="008B00AA" w:rsidRDefault="008B00AA" w:rsidP="007A6DDF">
            <w:pPr>
              <w:pStyle w:val="Heading3"/>
              <w:spacing w:after="120"/>
              <w:ind w:left="0" w:firstLine="0"/>
              <w:jc w:val="left"/>
              <w:outlineLvl w:val="2"/>
              <w:rPr>
                <w:rFonts w:ascii="Arial" w:hAnsi="Arial" w:cs="Arial"/>
              </w:rPr>
            </w:pPr>
            <w:r w:rsidRPr="008B00AA">
              <w:rPr>
                <w:rFonts w:ascii="Arial" w:hAnsi="Arial" w:cs="Arial"/>
              </w:rPr>
              <w:t>Final Work package A report with findings</w:t>
            </w:r>
          </w:p>
        </w:tc>
        <w:tc>
          <w:tcPr>
            <w:tcW w:w="1331" w:type="pct"/>
            <w:vAlign w:val="center"/>
          </w:tcPr>
          <w:p w14:paraId="63C6C0A4"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Within week 9 of Contract Award</w:t>
            </w:r>
          </w:p>
        </w:tc>
      </w:tr>
      <w:tr w:rsidR="008B00AA" w:rsidRPr="008B00AA" w14:paraId="707911EC" w14:textId="77777777" w:rsidTr="007A6DDF">
        <w:tc>
          <w:tcPr>
            <w:tcW w:w="5000" w:type="pct"/>
            <w:gridSpan w:val="3"/>
            <w:vAlign w:val="center"/>
          </w:tcPr>
          <w:p w14:paraId="5B0BD862"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Work package B - NUAR integration analysis</w:t>
            </w:r>
          </w:p>
        </w:tc>
      </w:tr>
      <w:tr w:rsidR="008B00AA" w:rsidRPr="008B00AA" w14:paraId="301BBBC9" w14:textId="77777777" w:rsidTr="007A6DDF">
        <w:tc>
          <w:tcPr>
            <w:tcW w:w="1481" w:type="pct"/>
            <w:vAlign w:val="center"/>
          </w:tcPr>
          <w:p w14:paraId="6FB18145"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4</w:t>
            </w:r>
          </w:p>
        </w:tc>
        <w:tc>
          <w:tcPr>
            <w:tcW w:w="2188" w:type="pct"/>
            <w:shd w:val="clear" w:color="auto" w:fill="auto"/>
            <w:vAlign w:val="center"/>
          </w:tcPr>
          <w:p w14:paraId="07B91BB2" w14:textId="77777777" w:rsidR="008B00AA" w:rsidRPr="008B00AA" w:rsidRDefault="008B00AA" w:rsidP="007A6DDF">
            <w:pPr>
              <w:pStyle w:val="Heading3"/>
              <w:spacing w:after="120"/>
              <w:ind w:left="0" w:firstLine="0"/>
              <w:jc w:val="left"/>
              <w:outlineLvl w:val="2"/>
              <w:rPr>
                <w:rFonts w:ascii="Arial" w:hAnsi="Arial" w:cs="Arial"/>
              </w:rPr>
            </w:pPr>
            <w:r w:rsidRPr="008B00AA">
              <w:rPr>
                <w:rFonts w:ascii="Arial" w:hAnsi="Arial" w:cs="Arial"/>
              </w:rPr>
              <w:t>Kick-off meeting – presentation of proposed methodology for conducting the NUAR integration analysis, including integration of the observation tool and compliance risks.</w:t>
            </w:r>
          </w:p>
        </w:tc>
        <w:tc>
          <w:tcPr>
            <w:tcW w:w="1331" w:type="pct"/>
            <w:vAlign w:val="center"/>
          </w:tcPr>
          <w:p w14:paraId="6368373B"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Within week 9 of Contract Award</w:t>
            </w:r>
          </w:p>
        </w:tc>
      </w:tr>
      <w:tr w:rsidR="008B00AA" w:rsidRPr="008B00AA" w14:paraId="210A433B" w14:textId="77777777" w:rsidTr="007A6DDF">
        <w:tc>
          <w:tcPr>
            <w:tcW w:w="1481" w:type="pct"/>
            <w:vAlign w:val="center"/>
          </w:tcPr>
          <w:p w14:paraId="32FFD055"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Gateway point 4</w:t>
            </w:r>
          </w:p>
        </w:tc>
        <w:tc>
          <w:tcPr>
            <w:tcW w:w="2188" w:type="pct"/>
            <w:shd w:val="clear" w:color="auto" w:fill="auto"/>
            <w:vAlign w:val="center"/>
          </w:tcPr>
          <w:p w14:paraId="1AE81D34" w14:textId="77777777" w:rsidR="008B00AA" w:rsidRPr="008B00AA" w:rsidRDefault="008B00AA" w:rsidP="007A6DDF">
            <w:pPr>
              <w:pStyle w:val="Heading3"/>
              <w:spacing w:after="120"/>
              <w:ind w:left="0" w:firstLine="0"/>
              <w:jc w:val="left"/>
              <w:outlineLvl w:val="2"/>
              <w:rPr>
                <w:rFonts w:ascii="Arial" w:hAnsi="Arial" w:cs="Arial"/>
              </w:rPr>
            </w:pPr>
            <w:r w:rsidRPr="008B00AA">
              <w:rPr>
                <w:rFonts w:ascii="Arial" w:hAnsi="Arial" w:cs="Arial"/>
              </w:rPr>
              <w:t>Presentation of initial findings, including progress towards comparison with Vault system</w:t>
            </w:r>
          </w:p>
        </w:tc>
        <w:tc>
          <w:tcPr>
            <w:tcW w:w="1331" w:type="pct"/>
            <w:vAlign w:val="center"/>
          </w:tcPr>
          <w:p w14:paraId="55B522F0"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Within week 10 of Contract Award</w:t>
            </w:r>
          </w:p>
        </w:tc>
      </w:tr>
      <w:tr w:rsidR="008B00AA" w:rsidRPr="008B00AA" w14:paraId="1A40FC9A" w14:textId="77777777" w:rsidTr="007A6DDF">
        <w:tc>
          <w:tcPr>
            <w:tcW w:w="1481" w:type="pct"/>
            <w:vAlign w:val="center"/>
          </w:tcPr>
          <w:p w14:paraId="21C1F372"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5</w:t>
            </w:r>
          </w:p>
        </w:tc>
        <w:tc>
          <w:tcPr>
            <w:tcW w:w="2188" w:type="pct"/>
            <w:shd w:val="clear" w:color="auto" w:fill="auto"/>
            <w:vAlign w:val="center"/>
          </w:tcPr>
          <w:p w14:paraId="28A51B0E" w14:textId="77777777" w:rsidR="008B00AA" w:rsidRPr="008B00AA" w:rsidRDefault="008B00AA" w:rsidP="007A6DDF">
            <w:pPr>
              <w:pStyle w:val="Heading3"/>
              <w:spacing w:after="120"/>
              <w:ind w:left="0" w:firstLine="0"/>
              <w:jc w:val="left"/>
              <w:outlineLvl w:val="2"/>
              <w:rPr>
                <w:rFonts w:ascii="Arial" w:hAnsi="Arial" w:cs="Arial"/>
              </w:rPr>
            </w:pPr>
            <w:r w:rsidRPr="008B00AA">
              <w:rPr>
                <w:rFonts w:ascii="Arial" w:hAnsi="Arial" w:cs="Arial"/>
              </w:rPr>
              <w:t>Draft Work package B report with findings and recommendations</w:t>
            </w:r>
          </w:p>
        </w:tc>
        <w:tc>
          <w:tcPr>
            <w:tcW w:w="1331" w:type="pct"/>
            <w:vAlign w:val="center"/>
          </w:tcPr>
          <w:p w14:paraId="610BBC3B"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Within week 11 of Contract Award and no later than 2</w:t>
            </w:r>
            <w:r w:rsidRPr="008B00AA">
              <w:rPr>
                <w:rFonts w:ascii="Arial" w:hAnsi="Arial" w:cs="Arial"/>
                <w:vertAlign w:val="superscript"/>
              </w:rPr>
              <w:t>nd</w:t>
            </w:r>
            <w:r w:rsidRPr="008B00AA">
              <w:rPr>
                <w:rFonts w:ascii="Arial" w:hAnsi="Arial" w:cs="Arial"/>
              </w:rPr>
              <w:t xml:space="preserve"> November 2020</w:t>
            </w:r>
          </w:p>
        </w:tc>
      </w:tr>
      <w:tr w:rsidR="008B00AA" w:rsidRPr="008B00AA" w14:paraId="5562AC86" w14:textId="77777777" w:rsidTr="007A6DDF">
        <w:tc>
          <w:tcPr>
            <w:tcW w:w="1481" w:type="pct"/>
            <w:vAlign w:val="center"/>
          </w:tcPr>
          <w:p w14:paraId="4A275944"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Gateway point 5</w:t>
            </w:r>
          </w:p>
        </w:tc>
        <w:tc>
          <w:tcPr>
            <w:tcW w:w="2188" w:type="pct"/>
            <w:shd w:val="clear" w:color="auto" w:fill="auto"/>
            <w:vAlign w:val="center"/>
          </w:tcPr>
          <w:p w14:paraId="62985DD1" w14:textId="77777777" w:rsidR="008B00AA" w:rsidRPr="008B00AA" w:rsidRDefault="008B00AA" w:rsidP="007A6DDF">
            <w:pPr>
              <w:pStyle w:val="Heading3"/>
              <w:spacing w:after="120"/>
              <w:ind w:left="0" w:firstLine="0"/>
              <w:jc w:val="left"/>
              <w:outlineLvl w:val="2"/>
              <w:rPr>
                <w:rFonts w:ascii="Arial" w:hAnsi="Arial" w:cs="Arial"/>
              </w:rPr>
            </w:pPr>
            <w:r w:rsidRPr="008B00AA">
              <w:rPr>
                <w:rFonts w:ascii="Arial" w:hAnsi="Arial" w:cs="Arial"/>
              </w:rPr>
              <w:t>Final Work package B report with findings and recommendations</w:t>
            </w:r>
          </w:p>
        </w:tc>
        <w:tc>
          <w:tcPr>
            <w:tcW w:w="1331" w:type="pct"/>
            <w:vAlign w:val="center"/>
          </w:tcPr>
          <w:p w14:paraId="0A540C25"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Within week 13 of Contract Award</w:t>
            </w:r>
          </w:p>
        </w:tc>
      </w:tr>
      <w:tr w:rsidR="008B00AA" w:rsidRPr="008B00AA" w14:paraId="1397E2B2" w14:textId="77777777" w:rsidTr="007A6DDF">
        <w:tc>
          <w:tcPr>
            <w:tcW w:w="5000" w:type="pct"/>
            <w:gridSpan w:val="3"/>
            <w:vAlign w:val="center"/>
          </w:tcPr>
          <w:p w14:paraId="45817CA7"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Work package C – Evaluation of savings</w:t>
            </w:r>
          </w:p>
        </w:tc>
      </w:tr>
      <w:tr w:rsidR="008B00AA" w:rsidRPr="008B00AA" w14:paraId="5C767D91" w14:textId="77777777" w:rsidTr="007A6DDF">
        <w:tc>
          <w:tcPr>
            <w:tcW w:w="1481" w:type="pct"/>
            <w:vAlign w:val="center"/>
          </w:tcPr>
          <w:p w14:paraId="44E079D7"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6</w:t>
            </w:r>
          </w:p>
        </w:tc>
        <w:tc>
          <w:tcPr>
            <w:tcW w:w="2188" w:type="pct"/>
            <w:shd w:val="clear" w:color="auto" w:fill="auto"/>
            <w:vAlign w:val="center"/>
          </w:tcPr>
          <w:p w14:paraId="72AF0944" w14:textId="77777777" w:rsidR="008B00AA" w:rsidRPr="008B00AA" w:rsidRDefault="008B00AA" w:rsidP="007A6DDF">
            <w:pPr>
              <w:pStyle w:val="Heading3"/>
              <w:spacing w:after="120"/>
              <w:ind w:left="0" w:firstLine="0"/>
              <w:jc w:val="left"/>
              <w:outlineLvl w:val="2"/>
              <w:rPr>
                <w:rFonts w:ascii="Arial" w:hAnsi="Arial" w:cs="Arial"/>
              </w:rPr>
            </w:pPr>
            <w:r w:rsidRPr="008B00AA">
              <w:rPr>
                <w:rFonts w:ascii="Arial" w:hAnsi="Arial" w:cs="Arial"/>
              </w:rPr>
              <w:t>Kick-off meeting – presentation of proposed methodology for unit-cost analysis</w:t>
            </w:r>
          </w:p>
        </w:tc>
        <w:tc>
          <w:tcPr>
            <w:tcW w:w="1331" w:type="pct"/>
            <w:vAlign w:val="center"/>
          </w:tcPr>
          <w:p w14:paraId="40035F94"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Within week 14 of Contract Award</w:t>
            </w:r>
          </w:p>
        </w:tc>
      </w:tr>
      <w:tr w:rsidR="008B00AA" w:rsidRPr="008B00AA" w14:paraId="766D722F" w14:textId="77777777" w:rsidTr="007A6DDF">
        <w:tc>
          <w:tcPr>
            <w:tcW w:w="1481" w:type="pct"/>
            <w:vAlign w:val="center"/>
          </w:tcPr>
          <w:p w14:paraId="48BC047C"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Gateway point 5</w:t>
            </w:r>
          </w:p>
        </w:tc>
        <w:tc>
          <w:tcPr>
            <w:tcW w:w="2188" w:type="pct"/>
            <w:shd w:val="clear" w:color="auto" w:fill="auto"/>
            <w:vAlign w:val="center"/>
          </w:tcPr>
          <w:p w14:paraId="7004D698" w14:textId="77777777" w:rsidR="008B00AA" w:rsidRPr="008B00AA" w:rsidRDefault="008B00AA" w:rsidP="007A6DDF">
            <w:pPr>
              <w:pStyle w:val="Heading3"/>
              <w:spacing w:after="120"/>
              <w:ind w:left="0" w:firstLine="0"/>
              <w:jc w:val="left"/>
              <w:outlineLvl w:val="2"/>
              <w:rPr>
                <w:rFonts w:ascii="Arial" w:hAnsi="Arial" w:cs="Arial"/>
              </w:rPr>
            </w:pPr>
            <w:r w:rsidRPr="008B00AA">
              <w:rPr>
                <w:rFonts w:ascii="Arial" w:hAnsi="Arial" w:cs="Arial"/>
              </w:rPr>
              <w:t>Presentation of initial findings</w:t>
            </w:r>
          </w:p>
        </w:tc>
        <w:tc>
          <w:tcPr>
            <w:tcW w:w="1331" w:type="pct"/>
            <w:vAlign w:val="center"/>
          </w:tcPr>
          <w:p w14:paraId="04A9855A"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Within week 19 of Contract Award</w:t>
            </w:r>
          </w:p>
        </w:tc>
      </w:tr>
      <w:tr w:rsidR="008B00AA" w:rsidRPr="008B00AA" w14:paraId="6918099A" w14:textId="77777777" w:rsidTr="007A6DDF">
        <w:tc>
          <w:tcPr>
            <w:tcW w:w="1481" w:type="pct"/>
            <w:vAlign w:val="center"/>
          </w:tcPr>
          <w:p w14:paraId="5FC26085"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7</w:t>
            </w:r>
          </w:p>
        </w:tc>
        <w:tc>
          <w:tcPr>
            <w:tcW w:w="2188" w:type="pct"/>
            <w:shd w:val="clear" w:color="auto" w:fill="auto"/>
            <w:vAlign w:val="center"/>
          </w:tcPr>
          <w:p w14:paraId="3EFDBA70" w14:textId="77777777" w:rsidR="008B00AA" w:rsidRPr="008B00AA" w:rsidRDefault="008B00AA" w:rsidP="007A6DDF">
            <w:pPr>
              <w:pStyle w:val="Heading3"/>
              <w:spacing w:after="120"/>
              <w:ind w:left="0" w:firstLine="0"/>
              <w:jc w:val="left"/>
              <w:outlineLvl w:val="2"/>
              <w:rPr>
                <w:rFonts w:ascii="Arial" w:hAnsi="Arial" w:cs="Arial"/>
              </w:rPr>
            </w:pPr>
            <w:r w:rsidRPr="008B00AA">
              <w:rPr>
                <w:rFonts w:ascii="Arial" w:hAnsi="Arial" w:cs="Arial"/>
              </w:rPr>
              <w:t>Draft Work package C report with findings and recommendations</w:t>
            </w:r>
          </w:p>
        </w:tc>
        <w:tc>
          <w:tcPr>
            <w:tcW w:w="1331" w:type="pct"/>
            <w:vAlign w:val="center"/>
          </w:tcPr>
          <w:p w14:paraId="26E638A6"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Within week 21 of Contract Award</w:t>
            </w:r>
          </w:p>
        </w:tc>
      </w:tr>
      <w:tr w:rsidR="008B00AA" w:rsidRPr="008B00AA" w14:paraId="77C819D6" w14:textId="77777777" w:rsidTr="007A6DDF">
        <w:tc>
          <w:tcPr>
            <w:tcW w:w="1481" w:type="pct"/>
            <w:vAlign w:val="center"/>
          </w:tcPr>
          <w:p w14:paraId="5A3535DB"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lastRenderedPageBreak/>
              <w:t>Gateway point 6</w:t>
            </w:r>
          </w:p>
        </w:tc>
        <w:tc>
          <w:tcPr>
            <w:tcW w:w="2188" w:type="pct"/>
            <w:shd w:val="clear" w:color="auto" w:fill="auto"/>
            <w:vAlign w:val="center"/>
          </w:tcPr>
          <w:p w14:paraId="465FF564" w14:textId="77777777" w:rsidR="008B00AA" w:rsidRPr="008B00AA" w:rsidRDefault="008B00AA" w:rsidP="007A6DDF">
            <w:pPr>
              <w:pStyle w:val="Heading3"/>
              <w:spacing w:after="120"/>
              <w:ind w:left="0" w:firstLine="0"/>
              <w:jc w:val="left"/>
              <w:outlineLvl w:val="2"/>
              <w:rPr>
                <w:rFonts w:ascii="Arial" w:hAnsi="Arial" w:cs="Arial"/>
              </w:rPr>
            </w:pPr>
            <w:r w:rsidRPr="008B00AA">
              <w:rPr>
                <w:rFonts w:ascii="Arial" w:hAnsi="Arial" w:cs="Arial"/>
              </w:rPr>
              <w:t>Final Work package C report with findings and recommendations</w:t>
            </w:r>
          </w:p>
        </w:tc>
        <w:tc>
          <w:tcPr>
            <w:tcW w:w="1331" w:type="pct"/>
            <w:vAlign w:val="center"/>
          </w:tcPr>
          <w:p w14:paraId="6A55C735" w14:textId="77777777" w:rsidR="008B00AA" w:rsidRPr="008B00AA" w:rsidRDefault="008B00AA" w:rsidP="007A6DDF">
            <w:pPr>
              <w:pStyle w:val="Heading3"/>
              <w:spacing w:after="120"/>
              <w:ind w:left="0" w:firstLine="0"/>
              <w:jc w:val="center"/>
              <w:outlineLvl w:val="2"/>
              <w:rPr>
                <w:rFonts w:ascii="Arial" w:hAnsi="Arial" w:cs="Arial"/>
              </w:rPr>
            </w:pPr>
            <w:r w:rsidRPr="008B00AA">
              <w:rPr>
                <w:rFonts w:ascii="Arial" w:hAnsi="Arial" w:cs="Arial"/>
              </w:rPr>
              <w:t>Within week 23 of Contract Award</w:t>
            </w:r>
          </w:p>
        </w:tc>
      </w:tr>
    </w:tbl>
    <w:p w14:paraId="529421EC" w14:textId="77777777" w:rsidR="008B00AA" w:rsidRPr="008B00AA" w:rsidRDefault="008B00AA" w:rsidP="008B00AA">
      <w:pPr>
        <w:pStyle w:val="Heading1"/>
        <w:overflowPunct w:val="0"/>
        <w:autoSpaceDE w:val="0"/>
        <w:autoSpaceDN w:val="0"/>
        <w:spacing w:after="120"/>
        <w:ind w:left="0" w:firstLine="0"/>
        <w:textAlignment w:val="baseline"/>
        <w:rPr>
          <w:rFonts w:ascii="Arial" w:hAnsi="Arial" w:cs="Arial"/>
          <w:sz w:val="24"/>
          <w:szCs w:val="24"/>
        </w:rPr>
      </w:pPr>
      <w:bookmarkStart w:id="36" w:name="_Toc302637211"/>
    </w:p>
    <w:p w14:paraId="17E64C41" w14:textId="3725A0A9" w:rsidR="008B00AA" w:rsidRPr="008B00AA" w:rsidRDefault="008B00AA" w:rsidP="00D21A00">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37" w:name="_Toc368573033"/>
      <w:bookmarkStart w:id="38" w:name="_Toc46231420"/>
      <w:r w:rsidRPr="008B00AA">
        <w:rPr>
          <w:rFonts w:ascii="Arial" w:hAnsi="Arial" w:cs="Arial"/>
          <w:sz w:val="24"/>
          <w:szCs w:val="24"/>
        </w:rPr>
        <w:t>MANAGEMENT INFORMATION/REPORTING</w:t>
      </w:r>
      <w:bookmarkEnd w:id="37"/>
      <w:bookmarkEnd w:id="38"/>
    </w:p>
    <w:p w14:paraId="79081434"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r w:rsidRPr="008B00AA">
        <w:rPr>
          <w:rFonts w:ascii="Arial" w:hAnsi="Arial" w:cs="Arial"/>
          <w:sz w:val="20"/>
          <w:szCs w:val="20"/>
        </w:rPr>
        <w:t xml:space="preserve">The Supplier shall give regular updates on progress through weekly progress review meetings. The Supplier shall provide more detailed updates at key points in the Contract as outlined in the milestones in Section 7, either through Contract Review meetings or other discrete meetings as agreed with the Geospatial Commission. </w:t>
      </w:r>
    </w:p>
    <w:p w14:paraId="45FC10BE" w14:textId="7C8D269B" w:rsidR="008B00AA" w:rsidRPr="008B00AA" w:rsidRDefault="008B00AA" w:rsidP="00D21A00">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39" w:name="_Toc368573035"/>
      <w:bookmarkStart w:id="40" w:name="_Toc46231421"/>
      <w:r w:rsidRPr="008B00AA">
        <w:rPr>
          <w:rFonts w:ascii="Arial" w:hAnsi="Arial" w:cs="Arial"/>
          <w:sz w:val="24"/>
          <w:szCs w:val="24"/>
        </w:rPr>
        <w:t>CONTINUOUS IMPROVEMENT</w:t>
      </w:r>
      <w:bookmarkEnd w:id="39"/>
      <w:bookmarkEnd w:id="40"/>
    </w:p>
    <w:p w14:paraId="721B1A9E"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r w:rsidRPr="008B00AA">
        <w:rPr>
          <w:rFonts w:ascii="Arial" w:hAnsi="Arial" w:cs="Arial"/>
          <w:sz w:val="20"/>
          <w:szCs w:val="20"/>
        </w:rPr>
        <w:t>The Supplier will be expected to continually improve the way in which the required Services are to be delivered throughout the Contract duration.</w:t>
      </w:r>
    </w:p>
    <w:p w14:paraId="14D91830"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r w:rsidRPr="008B00AA">
        <w:rPr>
          <w:rFonts w:ascii="Arial" w:hAnsi="Arial" w:cs="Arial"/>
          <w:sz w:val="20"/>
          <w:szCs w:val="20"/>
        </w:rPr>
        <w:t xml:space="preserve">The Supplier should present new ways of working to the Commission during Contract review meetings. </w:t>
      </w:r>
    </w:p>
    <w:p w14:paraId="6781956B"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r w:rsidRPr="008B00AA">
        <w:rPr>
          <w:rFonts w:ascii="Arial" w:hAnsi="Arial" w:cs="Arial"/>
          <w:sz w:val="20"/>
          <w:szCs w:val="20"/>
        </w:rPr>
        <w:t>Changes to the way in which the Services are to be delivered must be brought to the Commission’s attention and agreed prior to any changes being implemented.</w:t>
      </w:r>
    </w:p>
    <w:p w14:paraId="714E1B9C" w14:textId="71A9B8B6" w:rsidR="008B00AA" w:rsidRPr="008B00AA" w:rsidRDefault="008B00AA" w:rsidP="00D21A00">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41" w:name="_Toc368573036"/>
      <w:bookmarkStart w:id="42" w:name="_Toc46231422"/>
      <w:r w:rsidRPr="008B00AA">
        <w:rPr>
          <w:rFonts w:ascii="Arial" w:hAnsi="Arial" w:cs="Arial"/>
          <w:sz w:val="24"/>
          <w:szCs w:val="24"/>
        </w:rPr>
        <w:t>QUALITY</w:t>
      </w:r>
      <w:bookmarkEnd w:id="41"/>
      <w:bookmarkEnd w:id="42"/>
    </w:p>
    <w:p w14:paraId="5C862588"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0"/>
          <w:szCs w:val="20"/>
        </w:rPr>
      </w:pPr>
      <w:r w:rsidRPr="008B00AA">
        <w:rPr>
          <w:rFonts w:ascii="Arial" w:hAnsi="Arial" w:cs="Arial"/>
          <w:sz w:val="20"/>
          <w:szCs w:val="20"/>
        </w:rPr>
        <w:t xml:space="preserve">The Supplier shall have sound processes for quality assurance of both quantitative and qualitative outputs in place. </w:t>
      </w:r>
    </w:p>
    <w:p w14:paraId="215AC7F9"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0"/>
          <w:szCs w:val="20"/>
        </w:rPr>
      </w:pPr>
      <w:r w:rsidRPr="008B00AA">
        <w:rPr>
          <w:rFonts w:ascii="Arial" w:hAnsi="Arial" w:cs="Arial"/>
          <w:sz w:val="20"/>
          <w:szCs w:val="20"/>
        </w:rPr>
        <w:t>The Supplier shall outline their internal procedures for assurance and quality control in reference to the research, including: </w:t>
      </w:r>
    </w:p>
    <w:p w14:paraId="32B64EB6"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8B00AA">
        <w:rPr>
          <w:rFonts w:ascii="Arial" w:hAnsi="Arial" w:cs="Arial"/>
          <w:sz w:val="20"/>
          <w:szCs w:val="20"/>
        </w:rPr>
        <w:t>Procedures for working closely with the Geospatial Commission; </w:t>
      </w:r>
    </w:p>
    <w:p w14:paraId="16F658E3"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8B00AA">
        <w:rPr>
          <w:rFonts w:ascii="Arial" w:hAnsi="Arial" w:cs="Arial"/>
          <w:sz w:val="20"/>
          <w:szCs w:val="20"/>
        </w:rPr>
        <w:t>Procedures for quality assuring proposals, methods and outputs;</w:t>
      </w:r>
    </w:p>
    <w:p w14:paraId="03BCBBDC"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8B00AA">
        <w:rPr>
          <w:rFonts w:ascii="Arial" w:hAnsi="Arial" w:cs="Arial"/>
          <w:sz w:val="20"/>
          <w:szCs w:val="20"/>
        </w:rPr>
        <w:t>Procedures for data gathering quality assurance, including securing accuracy and eliminating reporting bias;</w:t>
      </w:r>
    </w:p>
    <w:p w14:paraId="7A7F8DA8"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8B00AA">
        <w:rPr>
          <w:rFonts w:ascii="Arial" w:hAnsi="Arial" w:cs="Arial"/>
          <w:sz w:val="20"/>
          <w:szCs w:val="20"/>
        </w:rPr>
        <w:t xml:space="preserve">Procedures for representative sample selection for the deep dive purposes; </w:t>
      </w:r>
    </w:p>
    <w:p w14:paraId="0A6A62B7"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8B00AA">
        <w:rPr>
          <w:rFonts w:ascii="Arial" w:hAnsi="Arial" w:cs="Arial"/>
          <w:sz w:val="20"/>
          <w:szCs w:val="20"/>
        </w:rPr>
        <w:t>Interview quality control procedures, how response rates are maximised, and how interviewer and respondent error is managed (if applicable);</w:t>
      </w:r>
    </w:p>
    <w:p w14:paraId="2E59C38C"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8B00AA">
        <w:rPr>
          <w:rFonts w:ascii="Arial" w:hAnsi="Arial" w:cs="Arial"/>
          <w:sz w:val="20"/>
          <w:szCs w:val="20"/>
        </w:rPr>
        <w:t>Procedures for qualitative and quantitative analysis and reporting;</w:t>
      </w:r>
    </w:p>
    <w:p w14:paraId="44AFAD1F"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8B00AA">
        <w:rPr>
          <w:rFonts w:ascii="Arial" w:hAnsi="Arial" w:cs="Arial"/>
          <w:sz w:val="20"/>
          <w:szCs w:val="20"/>
        </w:rPr>
        <w:t>The approach to report writing, ensuring deliverables meet key objectives; </w:t>
      </w:r>
    </w:p>
    <w:p w14:paraId="2291613E" w14:textId="77777777" w:rsidR="008B00AA" w:rsidRPr="008B00AA" w:rsidRDefault="008B00AA" w:rsidP="00D21A00">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8B00AA">
        <w:rPr>
          <w:rFonts w:ascii="Arial" w:hAnsi="Arial" w:cs="Arial"/>
          <w:sz w:val="20"/>
          <w:szCs w:val="20"/>
        </w:rPr>
        <w:t xml:space="preserve">Procedures for handling complaints. </w:t>
      </w:r>
    </w:p>
    <w:p w14:paraId="7C5654F0" w14:textId="3DECECFF" w:rsidR="008B00AA" w:rsidRPr="008B00AA" w:rsidRDefault="008B00AA" w:rsidP="00D21A00">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43" w:name="_Toc368573038"/>
      <w:bookmarkStart w:id="44" w:name="_Toc46231424"/>
      <w:r w:rsidRPr="008B00AA">
        <w:rPr>
          <w:rFonts w:ascii="Arial" w:hAnsi="Arial" w:cs="Arial"/>
          <w:sz w:val="24"/>
          <w:szCs w:val="24"/>
        </w:rPr>
        <w:t>STAFF AND CUSTOMER SERVICE</w:t>
      </w:r>
      <w:bookmarkEnd w:id="43"/>
      <w:bookmarkEnd w:id="44"/>
    </w:p>
    <w:p w14:paraId="17057FBD"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0"/>
          <w:szCs w:val="20"/>
        </w:rPr>
      </w:pPr>
      <w:r w:rsidRPr="008B00AA">
        <w:rPr>
          <w:rFonts w:ascii="Arial" w:hAnsi="Arial" w:cs="Arial"/>
          <w:sz w:val="20"/>
          <w:szCs w:val="20"/>
        </w:rPr>
        <w:t>The Supplier shall have a proven track record of networking and engagement with the utilities sector across the country.</w:t>
      </w:r>
    </w:p>
    <w:p w14:paraId="49023593"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0"/>
          <w:szCs w:val="20"/>
        </w:rPr>
      </w:pPr>
      <w:r w:rsidRPr="008B00AA">
        <w:rPr>
          <w:rFonts w:ascii="Arial" w:hAnsi="Arial" w:cs="Arial"/>
          <w:sz w:val="20"/>
          <w:szCs w:val="20"/>
        </w:rPr>
        <w:t>The Supplier shall provide a sufficient level of resource throughout the duration of the Contract in order to consistently deliver a quality service.</w:t>
      </w:r>
    </w:p>
    <w:p w14:paraId="74CE1FEA"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0"/>
          <w:szCs w:val="20"/>
        </w:rPr>
      </w:pPr>
      <w:r w:rsidRPr="008B00AA">
        <w:rPr>
          <w:rFonts w:ascii="Arial" w:hAnsi="Arial" w:cs="Arial"/>
          <w:sz w:val="20"/>
          <w:szCs w:val="20"/>
        </w:rPr>
        <w:t xml:space="preserve">The Supplier’s staff assigned to the Contract shall have the relevant qualifications and experience to deliver the Contract to the required standard. </w:t>
      </w:r>
    </w:p>
    <w:p w14:paraId="22AB5A35"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0"/>
          <w:szCs w:val="20"/>
        </w:rPr>
      </w:pPr>
      <w:r w:rsidRPr="008B00AA">
        <w:rPr>
          <w:rFonts w:ascii="Arial" w:hAnsi="Arial" w:cs="Arial"/>
          <w:sz w:val="20"/>
          <w:szCs w:val="20"/>
        </w:rPr>
        <w:lastRenderedPageBreak/>
        <w:t xml:space="preserve">The Supplier shall ensure that staff understand the Commission’s vision and objectives and will provide excellent customer service to the Commission throughout the duration of the Contract.  </w:t>
      </w:r>
    </w:p>
    <w:p w14:paraId="22B06305" w14:textId="7BC1B93F" w:rsidR="008B00AA" w:rsidRPr="008B00AA" w:rsidRDefault="008B00AA" w:rsidP="00D21A00">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45" w:name="_Toc368573039"/>
      <w:bookmarkStart w:id="46" w:name="_Toc46231425"/>
      <w:r w:rsidRPr="008B00AA">
        <w:rPr>
          <w:rFonts w:ascii="Arial" w:hAnsi="Arial" w:cs="Arial"/>
          <w:sz w:val="24"/>
          <w:szCs w:val="24"/>
        </w:rPr>
        <w:t>SERVICE LEVELS AND PERFORMANCE</w:t>
      </w:r>
      <w:bookmarkEnd w:id="45"/>
      <w:bookmarkEnd w:id="46"/>
    </w:p>
    <w:p w14:paraId="63D38065"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0"/>
          <w:szCs w:val="20"/>
        </w:rPr>
      </w:pPr>
      <w:r w:rsidRPr="008B00AA">
        <w:rPr>
          <w:rFonts w:ascii="Arial" w:hAnsi="Arial" w:cs="Arial"/>
          <w:sz w:val="20"/>
          <w:szCs w:val="20"/>
        </w:rPr>
        <w:t>The Commission will measure the quality of the Supplier’s delivery by:</w:t>
      </w:r>
    </w:p>
    <w:tbl>
      <w:tblPr>
        <w:tblStyle w:val="TableGrid"/>
        <w:tblW w:w="0" w:type="auto"/>
        <w:tblInd w:w="720" w:type="dxa"/>
        <w:tblLook w:val="04A0" w:firstRow="1" w:lastRow="0" w:firstColumn="1" w:lastColumn="0" w:noHBand="0" w:noVBand="1"/>
      </w:tblPr>
      <w:tblGrid>
        <w:gridCol w:w="1163"/>
        <w:gridCol w:w="1756"/>
        <w:gridCol w:w="3746"/>
        <w:gridCol w:w="1634"/>
      </w:tblGrid>
      <w:tr w:rsidR="008B00AA" w:rsidRPr="008B00AA" w14:paraId="41F589D7" w14:textId="77777777" w:rsidTr="007A6DDF">
        <w:tc>
          <w:tcPr>
            <w:tcW w:w="1163" w:type="dxa"/>
            <w:shd w:val="clear" w:color="auto" w:fill="BDD6EE" w:themeFill="accent1" w:themeFillTint="66"/>
          </w:tcPr>
          <w:p w14:paraId="43F18AC4" w14:textId="77777777" w:rsidR="008B00AA" w:rsidRPr="008B00AA" w:rsidRDefault="008B00AA" w:rsidP="007A6DDF">
            <w:pPr>
              <w:pStyle w:val="Heading2"/>
              <w:ind w:left="0" w:firstLine="0"/>
              <w:jc w:val="center"/>
              <w:outlineLvl w:val="1"/>
              <w:rPr>
                <w:rFonts w:ascii="Arial" w:hAnsi="Arial" w:cs="Arial"/>
                <w:b/>
              </w:rPr>
            </w:pPr>
            <w:r w:rsidRPr="008B00AA">
              <w:rPr>
                <w:rFonts w:ascii="Arial" w:hAnsi="Arial" w:cs="Arial"/>
                <w:b/>
              </w:rPr>
              <w:t>KPI/SLA</w:t>
            </w:r>
          </w:p>
        </w:tc>
        <w:tc>
          <w:tcPr>
            <w:tcW w:w="1756" w:type="dxa"/>
            <w:shd w:val="clear" w:color="auto" w:fill="BDD6EE" w:themeFill="accent1" w:themeFillTint="66"/>
          </w:tcPr>
          <w:p w14:paraId="24656682" w14:textId="77777777" w:rsidR="008B00AA" w:rsidRPr="008B00AA" w:rsidRDefault="008B00AA" w:rsidP="007A6DDF">
            <w:pPr>
              <w:pStyle w:val="Heading2"/>
              <w:ind w:left="0" w:firstLine="0"/>
              <w:jc w:val="center"/>
              <w:outlineLvl w:val="1"/>
              <w:rPr>
                <w:rFonts w:ascii="Arial" w:hAnsi="Arial" w:cs="Arial"/>
                <w:b/>
              </w:rPr>
            </w:pPr>
            <w:r w:rsidRPr="008B00AA">
              <w:rPr>
                <w:rFonts w:ascii="Arial" w:hAnsi="Arial" w:cs="Arial"/>
                <w:b/>
              </w:rPr>
              <w:t>Service Area</w:t>
            </w:r>
          </w:p>
        </w:tc>
        <w:tc>
          <w:tcPr>
            <w:tcW w:w="3746" w:type="dxa"/>
            <w:shd w:val="clear" w:color="auto" w:fill="BDD6EE" w:themeFill="accent1" w:themeFillTint="66"/>
          </w:tcPr>
          <w:p w14:paraId="611A52E1" w14:textId="77777777" w:rsidR="008B00AA" w:rsidRPr="008B00AA" w:rsidRDefault="008B00AA" w:rsidP="007A6DDF">
            <w:pPr>
              <w:pStyle w:val="Heading2"/>
              <w:ind w:left="0" w:firstLine="0"/>
              <w:jc w:val="center"/>
              <w:outlineLvl w:val="1"/>
              <w:rPr>
                <w:rFonts w:ascii="Arial" w:hAnsi="Arial" w:cs="Arial"/>
                <w:b/>
              </w:rPr>
            </w:pPr>
            <w:r w:rsidRPr="008B00AA">
              <w:rPr>
                <w:rFonts w:ascii="Arial" w:hAnsi="Arial" w:cs="Arial"/>
                <w:b/>
              </w:rPr>
              <w:t>KPI/SLA description</w:t>
            </w:r>
          </w:p>
        </w:tc>
        <w:tc>
          <w:tcPr>
            <w:tcW w:w="1634" w:type="dxa"/>
            <w:shd w:val="clear" w:color="auto" w:fill="BDD6EE" w:themeFill="accent1" w:themeFillTint="66"/>
          </w:tcPr>
          <w:p w14:paraId="49EA70C8" w14:textId="77777777" w:rsidR="008B00AA" w:rsidRPr="008B00AA" w:rsidRDefault="008B00AA" w:rsidP="007A6DDF">
            <w:pPr>
              <w:pStyle w:val="Heading2"/>
              <w:ind w:left="0" w:firstLine="0"/>
              <w:jc w:val="center"/>
              <w:outlineLvl w:val="1"/>
              <w:rPr>
                <w:rFonts w:ascii="Arial" w:hAnsi="Arial" w:cs="Arial"/>
                <w:b/>
              </w:rPr>
            </w:pPr>
            <w:r w:rsidRPr="008B00AA">
              <w:rPr>
                <w:rFonts w:ascii="Arial" w:hAnsi="Arial" w:cs="Arial"/>
                <w:b/>
              </w:rPr>
              <w:t>Target</w:t>
            </w:r>
          </w:p>
        </w:tc>
      </w:tr>
      <w:tr w:rsidR="008B00AA" w:rsidRPr="008B00AA" w14:paraId="61F86526" w14:textId="77777777" w:rsidTr="007A6DDF">
        <w:tc>
          <w:tcPr>
            <w:tcW w:w="1163" w:type="dxa"/>
          </w:tcPr>
          <w:p w14:paraId="03B5C723" w14:textId="77777777" w:rsidR="008B00AA" w:rsidRPr="008B00AA" w:rsidRDefault="008B00AA" w:rsidP="007A6DDF">
            <w:pPr>
              <w:pStyle w:val="Heading2"/>
              <w:ind w:left="0" w:firstLine="0"/>
              <w:jc w:val="center"/>
              <w:outlineLvl w:val="1"/>
              <w:rPr>
                <w:rFonts w:ascii="Arial" w:hAnsi="Arial" w:cs="Arial"/>
              </w:rPr>
            </w:pPr>
            <w:r w:rsidRPr="008B00AA">
              <w:rPr>
                <w:rFonts w:ascii="Arial" w:hAnsi="Arial" w:cs="Arial"/>
              </w:rPr>
              <w:t>1</w:t>
            </w:r>
          </w:p>
        </w:tc>
        <w:tc>
          <w:tcPr>
            <w:tcW w:w="1756" w:type="dxa"/>
            <w:shd w:val="clear" w:color="auto" w:fill="auto"/>
          </w:tcPr>
          <w:p w14:paraId="6FA54EDF" w14:textId="77777777" w:rsidR="008B00AA" w:rsidRPr="008B00AA" w:rsidRDefault="008B00AA" w:rsidP="007A6DDF">
            <w:pPr>
              <w:pStyle w:val="Heading2"/>
              <w:ind w:left="0" w:firstLine="0"/>
              <w:jc w:val="left"/>
              <w:outlineLvl w:val="1"/>
              <w:rPr>
                <w:rFonts w:ascii="Arial" w:hAnsi="Arial" w:cs="Arial"/>
              </w:rPr>
            </w:pPr>
            <w:r w:rsidRPr="008B00AA">
              <w:rPr>
                <w:rFonts w:ascii="Arial" w:hAnsi="Arial" w:cs="Arial"/>
              </w:rPr>
              <w:t>Delivery of project outputs</w:t>
            </w:r>
          </w:p>
        </w:tc>
        <w:tc>
          <w:tcPr>
            <w:tcW w:w="3746" w:type="dxa"/>
            <w:shd w:val="clear" w:color="auto" w:fill="auto"/>
          </w:tcPr>
          <w:p w14:paraId="33CFB3F4" w14:textId="77777777" w:rsidR="008B00AA" w:rsidRPr="008B00AA" w:rsidRDefault="008B00AA" w:rsidP="007A6DDF">
            <w:pPr>
              <w:pStyle w:val="Heading2"/>
              <w:ind w:left="0" w:firstLine="0"/>
              <w:jc w:val="left"/>
              <w:outlineLvl w:val="1"/>
              <w:rPr>
                <w:rFonts w:ascii="Arial" w:hAnsi="Arial" w:cs="Arial"/>
              </w:rPr>
            </w:pPr>
            <w:r w:rsidRPr="008B00AA">
              <w:rPr>
                <w:rFonts w:ascii="Arial" w:hAnsi="Arial" w:cs="Arial"/>
              </w:rPr>
              <w:t>Project outputs delivered according to the timescales set out in the deliverables table in Section 7.</w:t>
            </w:r>
          </w:p>
        </w:tc>
        <w:tc>
          <w:tcPr>
            <w:tcW w:w="1634" w:type="dxa"/>
            <w:shd w:val="clear" w:color="auto" w:fill="auto"/>
          </w:tcPr>
          <w:p w14:paraId="423763B1" w14:textId="77777777" w:rsidR="008B00AA" w:rsidRPr="008B00AA" w:rsidRDefault="008B00AA" w:rsidP="007A6DDF">
            <w:pPr>
              <w:pStyle w:val="Heading2"/>
              <w:ind w:left="0" w:firstLine="0"/>
              <w:outlineLvl w:val="1"/>
              <w:rPr>
                <w:rFonts w:ascii="Arial" w:hAnsi="Arial" w:cs="Arial"/>
              </w:rPr>
            </w:pPr>
            <w:r w:rsidRPr="008B00AA">
              <w:rPr>
                <w:rFonts w:ascii="Arial" w:hAnsi="Arial" w:cs="Arial"/>
              </w:rPr>
              <w:t>98%</w:t>
            </w:r>
          </w:p>
        </w:tc>
      </w:tr>
      <w:tr w:rsidR="008B00AA" w:rsidRPr="008B00AA" w14:paraId="316DF0D7" w14:textId="77777777" w:rsidTr="007A6DDF">
        <w:tc>
          <w:tcPr>
            <w:tcW w:w="1163" w:type="dxa"/>
          </w:tcPr>
          <w:p w14:paraId="114D5992" w14:textId="77777777" w:rsidR="008B00AA" w:rsidRPr="008B00AA" w:rsidRDefault="008B00AA" w:rsidP="007A6DDF">
            <w:pPr>
              <w:pStyle w:val="Heading2"/>
              <w:ind w:left="0" w:firstLine="0"/>
              <w:jc w:val="center"/>
              <w:outlineLvl w:val="1"/>
              <w:rPr>
                <w:rFonts w:ascii="Arial" w:hAnsi="Arial" w:cs="Arial"/>
              </w:rPr>
            </w:pPr>
            <w:r w:rsidRPr="008B00AA">
              <w:rPr>
                <w:rFonts w:ascii="Arial" w:hAnsi="Arial" w:cs="Arial"/>
              </w:rPr>
              <w:t>2</w:t>
            </w:r>
          </w:p>
        </w:tc>
        <w:tc>
          <w:tcPr>
            <w:tcW w:w="1756" w:type="dxa"/>
            <w:shd w:val="clear" w:color="auto" w:fill="auto"/>
          </w:tcPr>
          <w:p w14:paraId="5F71E5B1" w14:textId="77777777" w:rsidR="008B00AA" w:rsidRPr="008B00AA" w:rsidRDefault="008B00AA" w:rsidP="007A6DDF">
            <w:pPr>
              <w:pStyle w:val="Heading2"/>
              <w:ind w:left="0" w:firstLine="0"/>
              <w:outlineLvl w:val="1"/>
              <w:rPr>
                <w:rFonts w:ascii="Arial" w:hAnsi="Arial" w:cs="Arial"/>
              </w:rPr>
            </w:pPr>
            <w:r w:rsidRPr="008B00AA">
              <w:rPr>
                <w:rFonts w:ascii="Arial" w:hAnsi="Arial" w:cs="Arial"/>
              </w:rPr>
              <w:t>Quality Assurance</w:t>
            </w:r>
          </w:p>
        </w:tc>
        <w:tc>
          <w:tcPr>
            <w:tcW w:w="3746" w:type="dxa"/>
            <w:shd w:val="clear" w:color="auto" w:fill="auto"/>
          </w:tcPr>
          <w:p w14:paraId="2F85A539" w14:textId="77777777" w:rsidR="008B00AA" w:rsidRPr="008B00AA" w:rsidRDefault="008B00AA" w:rsidP="007A6DDF">
            <w:pPr>
              <w:pStyle w:val="Heading2"/>
              <w:ind w:left="0" w:firstLine="0"/>
              <w:outlineLvl w:val="1"/>
              <w:rPr>
                <w:rFonts w:ascii="Arial" w:hAnsi="Arial" w:cs="Arial"/>
              </w:rPr>
            </w:pPr>
            <w:r w:rsidRPr="008B00AA">
              <w:rPr>
                <w:rFonts w:ascii="Arial" w:hAnsi="Arial" w:cs="Arial"/>
              </w:rPr>
              <w:t>Project outputs to be peer reviewed and follow an approval process (with clear quality assurance steps) before submission, to ensure accuracy of information, elimination of reporting bias and high levels of confidence in the outputs.</w:t>
            </w:r>
          </w:p>
        </w:tc>
        <w:tc>
          <w:tcPr>
            <w:tcW w:w="1634" w:type="dxa"/>
            <w:shd w:val="clear" w:color="auto" w:fill="auto"/>
          </w:tcPr>
          <w:p w14:paraId="35204117" w14:textId="77777777" w:rsidR="008B00AA" w:rsidRPr="008B00AA" w:rsidRDefault="008B00AA" w:rsidP="007A6DDF">
            <w:pPr>
              <w:pStyle w:val="Heading2"/>
              <w:ind w:left="0" w:firstLine="0"/>
              <w:outlineLvl w:val="1"/>
              <w:rPr>
                <w:rFonts w:ascii="Arial" w:hAnsi="Arial" w:cs="Arial"/>
              </w:rPr>
            </w:pPr>
            <w:r w:rsidRPr="008B00AA">
              <w:rPr>
                <w:rFonts w:ascii="Arial" w:hAnsi="Arial" w:cs="Arial"/>
              </w:rPr>
              <w:t>98%</w:t>
            </w:r>
          </w:p>
        </w:tc>
      </w:tr>
      <w:tr w:rsidR="008B00AA" w:rsidRPr="008B00AA" w14:paraId="621838C0" w14:textId="77777777" w:rsidTr="007A6DDF">
        <w:tc>
          <w:tcPr>
            <w:tcW w:w="1163" w:type="dxa"/>
          </w:tcPr>
          <w:p w14:paraId="61BD27A5" w14:textId="77777777" w:rsidR="008B00AA" w:rsidRPr="008B00AA" w:rsidRDefault="008B00AA" w:rsidP="007A6DDF">
            <w:pPr>
              <w:pStyle w:val="Heading2"/>
              <w:ind w:left="0" w:firstLine="0"/>
              <w:jc w:val="center"/>
              <w:outlineLvl w:val="1"/>
              <w:rPr>
                <w:rFonts w:ascii="Arial" w:hAnsi="Arial" w:cs="Arial"/>
              </w:rPr>
            </w:pPr>
            <w:r w:rsidRPr="008B00AA">
              <w:rPr>
                <w:rFonts w:ascii="Arial" w:hAnsi="Arial" w:cs="Arial"/>
              </w:rPr>
              <w:t>3</w:t>
            </w:r>
          </w:p>
        </w:tc>
        <w:tc>
          <w:tcPr>
            <w:tcW w:w="1756" w:type="dxa"/>
            <w:shd w:val="clear" w:color="auto" w:fill="auto"/>
          </w:tcPr>
          <w:p w14:paraId="30A6BFFB" w14:textId="77777777" w:rsidR="008B00AA" w:rsidRPr="008B00AA" w:rsidRDefault="008B00AA" w:rsidP="007A6DDF">
            <w:pPr>
              <w:pStyle w:val="Heading2"/>
              <w:ind w:left="0" w:firstLine="0"/>
              <w:outlineLvl w:val="1"/>
              <w:rPr>
                <w:rFonts w:ascii="Arial" w:hAnsi="Arial" w:cs="Arial"/>
              </w:rPr>
            </w:pPr>
            <w:r w:rsidRPr="008B00AA">
              <w:rPr>
                <w:rFonts w:ascii="Arial" w:hAnsi="Arial" w:cs="Arial"/>
              </w:rPr>
              <w:t>Response time</w:t>
            </w:r>
          </w:p>
        </w:tc>
        <w:tc>
          <w:tcPr>
            <w:tcW w:w="3746" w:type="dxa"/>
            <w:shd w:val="clear" w:color="auto" w:fill="auto"/>
          </w:tcPr>
          <w:p w14:paraId="081FCE43" w14:textId="77777777" w:rsidR="008B00AA" w:rsidRPr="008B00AA" w:rsidRDefault="008B00AA" w:rsidP="007A6DDF">
            <w:pPr>
              <w:pStyle w:val="Heading2"/>
              <w:ind w:left="0" w:firstLine="0"/>
              <w:outlineLvl w:val="1"/>
              <w:rPr>
                <w:rFonts w:ascii="Arial" w:hAnsi="Arial" w:cs="Arial"/>
              </w:rPr>
            </w:pPr>
            <w:r w:rsidRPr="008B00AA">
              <w:rPr>
                <w:rFonts w:ascii="Arial" w:hAnsi="Arial" w:cs="Arial"/>
              </w:rPr>
              <w:t>Responding to the questions and queries from the Geospatial Commission within 48 hours (Monday-Friday).</w:t>
            </w:r>
          </w:p>
        </w:tc>
        <w:tc>
          <w:tcPr>
            <w:tcW w:w="1634" w:type="dxa"/>
            <w:shd w:val="clear" w:color="auto" w:fill="auto"/>
          </w:tcPr>
          <w:p w14:paraId="47389E28" w14:textId="77777777" w:rsidR="008B00AA" w:rsidRPr="008B00AA" w:rsidRDefault="008B00AA" w:rsidP="007A6DDF">
            <w:pPr>
              <w:pStyle w:val="Heading2"/>
              <w:ind w:left="0" w:firstLine="0"/>
              <w:outlineLvl w:val="1"/>
              <w:rPr>
                <w:rFonts w:ascii="Arial" w:hAnsi="Arial" w:cs="Arial"/>
              </w:rPr>
            </w:pPr>
            <w:r w:rsidRPr="008B00AA">
              <w:rPr>
                <w:rFonts w:ascii="Arial" w:hAnsi="Arial" w:cs="Arial"/>
              </w:rPr>
              <w:t>95%</w:t>
            </w:r>
          </w:p>
        </w:tc>
      </w:tr>
      <w:tr w:rsidR="008B00AA" w:rsidRPr="008B00AA" w14:paraId="4937DCF8" w14:textId="77777777" w:rsidTr="007A6DDF">
        <w:tc>
          <w:tcPr>
            <w:tcW w:w="1163" w:type="dxa"/>
          </w:tcPr>
          <w:p w14:paraId="5645FDE2" w14:textId="77777777" w:rsidR="008B00AA" w:rsidRPr="008B00AA" w:rsidRDefault="008B00AA" w:rsidP="007A6DDF">
            <w:pPr>
              <w:pStyle w:val="Heading2"/>
              <w:ind w:left="0" w:firstLine="0"/>
              <w:jc w:val="center"/>
              <w:outlineLvl w:val="1"/>
              <w:rPr>
                <w:rFonts w:ascii="Arial" w:hAnsi="Arial" w:cs="Arial"/>
              </w:rPr>
            </w:pPr>
            <w:r w:rsidRPr="008B00AA">
              <w:rPr>
                <w:rFonts w:ascii="Arial" w:hAnsi="Arial" w:cs="Arial"/>
              </w:rPr>
              <w:t>4</w:t>
            </w:r>
          </w:p>
        </w:tc>
        <w:tc>
          <w:tcPr>
            <w:tcW w:w="1756" w:type="dxa"/>
            <w:shd w:val="clear" w:color="auto" w:fill="auto"/>
          </w:tcPr>
          <w:p w14:paraId="5629A2AA" w14:textId="77777777" w:rsidR="008B00AA" w:rsidRPr="008B00AA" w:rsidRDefault="008B00AA" w:rsidP="007A6DDF">
            <w:pPr>
              <w:pStyle w:val="Heading2"/>
              <w:ind w:left="0" w:firstLine="0"/>
              <w:outlineLvl w:val="1"/>
              <w:rPr>
                <w:rFonts w:ascii="Arial" w:hAnsi="Arial" w:cs="Arial"/>
              </w:rPr>
            </w:pPr>
            <w:r w:rsidRPr="008B00AA">
              <w:rPr>
                <w:rFonts w:ascii="Arial" w:hAnsi="Arial" w:cs="Arial"/>
              </w:rPr>
              <w:t>Project Management</w:t>
            </w:r>
          </w:p>
        </w:tc>
        <w:tc>
          <w:tcPr>
            <w:tcW w:w="3746" w:type="dxa"/>
            <w:shd w:val="clear" w:color="auto" w:fill="auto"/>
          </w:tcPr>
          <w:p w14:paraId="16522C40" w14:textId="77777777" w:rsidR="008B00AA" w:rsidRPr="008B00AA" w:rsidRDefault="008B00AA" w:rsidP="007A6DDF">
            <w:pPr>
              <w:pStyle w:val="Heading2"/>
              <w:ind w:left="0" w:firstLine="0"/>
              <w:outlineLvl w:val="1"/>
              <w:rPr>
                <w:rFonts w:ascii="Arial" w:hAnsi="Arial" w:cs="Arial"/>
              </w:rPr>
            </w:pPr>
            <w:r w:rsidRPr="008B00AA">
              <w:rPr>
                <w:rFonts w:ascii="Arial" w:hAnsi="Arial" w:cs="Arial"/>
              </w:rPr>
              <w:t>Weekly project updates (format to be agreed upon contract commencement).</w:t>
            </w:r>
          </w:p>
        </w:tc>
        <w:tc>
          <w:tcPr>
            <w:tcW w:w="1634" w:type="dxa"/>
            <w:shd w:val="clear" w:color="auto" w:fill="auto"/>
          </w:tcPr>
          <w:p w14:paraId="69785A94" w14:textId="77777777" w:rsidR="008B00AA" w:rsidRPr="008B00AA" w:rsidRDefault="008B00AA" w:rsidP="007A6DDF">
            <w:pPr>
              <w:pStyle w:val="Heading2"/>
              <w:ind w:left="0" w:firstLine="0"/>
              <w:outlineLvl w:val="1"/>
              <w:rPr>
                <w:rFonts w:ascii="Arial" w:hAnsi="Arial" w:cs="Arial"/>
              </w:rPr>
            </w:pPr>
            <w:r w:rsidRPr="008B00AA">
              <w:rPr>
                <w:rFonts w:ascii="Arial" w:hAnsi="Arial" w:cs="Arial"/>
              </w:rPr>
              <w:t>98%</w:t>
            </w:r>
          </w:p>
        </w:tc>
      </w:tr>
    </w:tbl>
    <w:p w14:paraId="7F2503EF" w14:textId="77777777" w:rsidR="008B00AA" w:rsidRPr="008B00AA" w:rsidRDefault="008B00AA" w:rsidP="008B00AA">
      <w:pPr>
        <w:pStyle w:val="Heading2"/>
        <w:ind w:left="720" w:firstLine="0"/>
        <w:rPr>
          <w:rFonts w:ascii="Arial" w:hAnsi="Arial" w:cs="Arial"/>
          <w:sz w:val="20"/>
          <w:szCs w:val="20"/>
        </w:rPr>
      </w:pPr>
    </w:p>
    <w:p w14:paraId="4A14F2F7"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0"/>
          <w:szCs w:val="20"/>
        </w:rPr>
      </w:pPr>
      <w:bookmarkStart w:id="47" w:name="_Toc368573040"/>
      <w:r w:rsidRPr="008B00AA">
        <w:rPr>
          <w:rFonts w:ascii="Arial" w:hAnsi="Arial" w:cs="Arial"/>
          <w:sz w:val="20"/>
          <w:szCs w:val="20"/>
        </w:rPr>
        <w:t xml:space="preserve">The contract will be terminated if the quality of the interim outputs is not of the expected quality and does not cover the deliverables agreed between the Geospatial Commission and the Supplier. The quality of the interim outputs will be assessed during the Gateway Points, as presented in the deliverables tables, under paragraph 7.2. </w:t>
      </w:r>
    </w:p>
    <w:p w14:paraId="20B9D369" w14:textId="456AC4C2" w:rsidR="008B00AA" w:rsidRPr="008B00AA" w:rsidRDefault="008B00AA" w:rsidP="00D21A00">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24"/>
          <w:szCs w:val="24"/>
        </w:rPr>
      </w:pPr>
      <w:bookmarkStart w:id="48" w:name="_Toc46231426"/>
      <w:r w:rsidRPr="008B00AA">
        <w:rPr>
          <w:rFonts w:ascii="Arial" w:hAnsi="Arial" w:cs="Arial"/>
          <w:sz w:val="24"/>
          <w:szCs w:val="24"/>
        </w:rPr>
        <w:t>SECURITY AND CONFIDENTIALITY REQUIREMENTS</w:t>
      </w:r>
      <w:bookmarkEnd w:id="47"/>
      <w:bookmarkEnd w:id="48"/>
    </w:p>
    <w:p w14:paraId="13F02948"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0"/>
          <w:szCs w:val="20"/>
        </w:rPr>
      </w:pPr>
      <w:r w:rsidRPr="008B00AA">
        <w:rPr>
          <w:rFonts w:ascii="Arial" w:hAnsi="Arial" w:cs="Arial"/>
          <w:sz w:val="20"/>
          <w:szCs w:val="20"/>
        </w:rPr>
        <w:t>When meetings are held at the Geospatial Commission location (100 Parliament Street, London, SW1A 2BQ) the Supplier will need to be escorted to/from meetings and around the building due to security restrictions.</w:t>
      </w:r>
    </w:p>
    <w:p w14:paraId="7F6C633A"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0"/>
          <w:szCs w:val="20"/>
        </w:rPr>
      </w:pPr>
      <w:r w:rsidRPr="008B00AA">
        <w:rPr>
          <w:rFonts w:ascii="Arial" w:hAnsi="Arial" w:cs="Arial"/>
          <w:sz w:val="20"/>
          <w:szCs w:val="20"/>
        </w:rPr>
        <w:t>The results/deliverables of the Contract should not be shared wider than the Supplier’s project team without explicit approval from the Geospatial Commission.</w:t>
      </w:r>
    </w:p>
    <w:p w14:paraId="7C27B17C"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0"/>
          <w:szCs w:val="20"/>
        </w:rPr>
      </w:pPr>
      <w:r w:rsidRPr="008B00AA">
        <w:rPr>
          <w:rFonts w:ascii="Arial" w:hAnsi="Arial" w:cs="Arial"/>
          <w:sz w:val="20"/>
          <w:szCs w:val="20"/>
        </w:rPr>
        <w:t xml:space="preserve">The resulting outputs shall be the intellectual property of the Geospatial Commission. The analysis, and the interim and final reports, shall be the property of the Geospatial Commission. The Supplier shall not disclose the report (either in part or in full) to any third parties prior to publication by the Geospatial Commission, unless the Geospatial Commission gives expressed written consent to do so.  </w:t>
      </w:r>
    </w:p>
    <w:p w14:paraId="19D0E759"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0"/>
          <w:szCs w:val="20"/>
        </w:rPr>
      </w:pPr>
      <w:r w:rsidRPr="008B00AA">
        <w:rPr>
          <w:rFonts w:ascii="Arial" w:hAnsi="Arial" w:cs="Arial"/>
          <w:sz w:val="20"/>
          <w:szCs w:val="20"/>
        </w:rPr>
        <w:t>All data security processes must be compliant with the General Data Protection Regulation (GDPR).</w:t>
      </w:r>
    </w:p>
    <w:p w14:paraId="7E47FA33"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0"/>
          <w:szCs w:val="20"/>
        </w:rPr>
      </w:pPr>
      <w:r w:rsidRPr="008B00AA">
        <w:rPr>
          <w:rFonts w:ascii="Arial" w:hAnsi="Arial" w:cs="Arial"/>
          <w:sz w:val="20"/>
          <w:szCs w:val="20"/>
        </w:rPr>
        <w:t>The Supplier will be required to sign a Non-Disclosure Agreement (NDA) to cover the information the Commission will be sharing with them for the purposes of this contract.</w:t>
      </w:r>
    </w:p>
    <w:p w14:paraId="2ACADA38" w14:textId="77777777" w:rsidR="008B00AA" w:rsidRPr="00496275" w:rsidRDefault="008B00AA" w:rsidP="00D21A00">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49" w:name="_Toc46231428"/>
      <w:r w:rsidRPr="00496275">
        <w:rPr>
          <w:rFonts w:ascii="Arial" w:hAnsi="Arial" w:cs="Arial"/>
          <w:sz w:val="24"/>
          <w:szCs w:val="24"/>
        </w:rPr>
        <w:t>CONTRACT MANAGEMENT</w:t>
      </w:r>
      <w:bookmarkEnd w:id="49"/>
      <w:r w:rsidRPr="00496275">
        <w:rPr>
          <w:rFonts w:ascii="Arial" w:hAnsi="Arial" w:cs="Arial"/>
          <w:sz w:val="24"/>
          <w:szCs w:val="24"/>
        </w:rPr>
        <w:t xml:space="preserve"> </w:t>
      </w:r>
    </w:p>
    <w:p w14:paraId="4322616C"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0"/>
          <w:szCs w:val="20"/>
        </w:rPr>
      </w:pPr>
      <w:r w:rsidRPr="008B00AA">
        <w:rPr>
          <w:rFonts w:ascii="Arial" w:hAnsi="Arial" w:cs="Arial"/>
          <w:sz w:val="20"/>
          <w:szCs w:val="20"/>
        </w:rPr>
        <w:t>Attendance at Contract Review meetings shall be at the Supplier’s own expense. These will be held in accordance with the deliverables table, under paragraph 7.2</w:t>
      </w:r>
    </w:p>
    <w:p w14:paraId="1900463A"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r w:rsidRPr="008B00AA">
        <w:rPr>
          <w:rFonts w:ascii="Arial" w:hAnsi="Arial" w:cs="Arial"/>
          <w:sz w:val="20"/>
          <w:szCs w:val="20"/>
        </w:rPr>
        <w:t>Progress reporting should be provided to the Geospatial Commission at least weekly. The format and detail covered within these updates is to be agreed at the project inception meeting.</w:t>
      </w:r>
    </w:p>
    <w:p w14:paraId="3A92D851" w14:textId="7D40395C"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r w:rsidRPr="008B00AA">
        <w:rPr>
          <w:rFonts w:ascii="Arial" w:hAnsi="Arial" w:cs="Arial"/>
          <w:sz w:val="20"/>
          <w:szCs w:val="20"/>
        </w:rPr>
        <w:lastRenderedPageBreak/>
        <w:t>The successful Supplier will be notified of details of the</w:t>
      </w:r>
      <w:bookmarkStart w:id="50" w:name="_GoBack"/>
      <w:bookmarkEnd w:id="50"/>
      <w:r w:rsidRPr="008B00AA">
        <w:rPr>
          <w:rFonts w:ascii="Arial" w:hAnsi="Arial" w:cs="Arial"/>
          <w:sz w:val="20"/>
          <w:szCs w:val="20"/>
        </w:rPr>
        <w:t xml:space="preserve"> Programme Delivery Manager upon award. </w:t>
      </w:r>
    </w:p>
    <w:p w14:paraId="2E816C93" w14:textId="03ABF773" w:rsidR="008B00AA" w:rsidRPr="00496275" w:rsidRDefault="00496275" w:rsidP="00D21A00">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24"/>
          <w:szCs w:val="24"/>
        </w:rPr>
      </w:pPr>
      <w:bookmarkStart w:id="51" w:name="_Toc368573043"/>
      <w:bookmarkStart w:id="52" w:name="_Toc46231429"/>
      <w:bookmarkEnd w:id="36"/>
      <w:r w:rsidRPr="00496275">
        <w:rPr>
          <w:rFonts w:ascii="Arial" w:hAnsi="Arial" w:cs="Arial"/>
          <w:sz w:val="24"/>
          <w:szCs w:val="24"/>
        </w:rPr>
        <w:t>LOCATION</w:t>
      </w:r>
      <w:bookmarkEnd w:id="51"/>
      <w:bookmarkEnd w:id="52"/>
      <w:r w:rsidRPr="00496275">
        <w:rPr>
          <w:rFonts w:ascii="Arial" w:hAnsi="Arial" w:cs="Arial"/>
          <w:sz w:val="24"/>
          <w:szCs w:val="24"/>
        </w:rPr>
        <w:t xml:space="preserve"> </w:t>
      </w:r>
    </w:p>
    <w:p w14:paraId="362F1261" w14:textId="77777777" w:rsidR="008B00AA" w:rsidRPr="008B00AA" w:rsidRDefault="008B00AA" w:rsidP="00D21A00">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r w:rsidRPr="008B00AA">
        <w:rPr>
          <w:rFonts w:ascii="Arial" w:hAnsi="Arial" w:cs="Arial"/>
          <w:sz w:val="20"/>
          <w:szCs w:val="20"/>
        </w:rPr>
        <w:t xml:space="preserve">The location of the Services will be carried out at the Supplier’s own offices for the majority of the time. The Geospatial Commission is based at 100 Parliament Street, London, SW1A 2BQ. The Supplier will be expected to attend regular progress checks at the location of the Commission as the research and analysis is being carried out, as well as contract reviews. All meetings might be organised as online video calls, in line with Government guidelines on the Covid-19 response. </w:t>
      </w:r>
    </w:p>
    <w:p w14:paraId="274769C4" w14:textId="77777777" w:rsidR="008B00AA" w:rsidRPr="00C95C24" w:rsidRDefault="008B00AA">
      <w:pPr>
        <w:spacing w:after="100"/>
        <w:jc w:val="center"/>
        <w:rPr>
          <w:rFonts w:ascii="Arial" w:eastAsia="Arial" w:hAnsi="Arial" w:cs="Arial"/>
          <w:sz w:val="24"/>
          <w:szCs w:val="24"/>
        </w:rPr>
      </w:pPr>
    </w:p>
    <w:p w14:paraId="0B1931A3" w14:textId="1B7D4903" w:rsidR="0013786D" w:rsidRPr="00AE43BF" w:rsidRDefault="002E7F3C" w:rsidP="00AE43BF">
      <w:pPr>
        <w:jc w:val="center"/>
        <w:rPr>
          <w:rFonts w:ascii="Arial" w:eastAsia="Arial" w:hAnsi="Arial" w:cs="Arial"/>
        </w:rPr>
      </w:pPr>
      <w:r>
        <w:br w:type="page"/>
      </w:r>
      <w:bookmarkStart w:id="53" w:name="3dhjn8m" w:colFirst="0" w:colLast="0"/>
      <w:bookmarkEnd w:id="53"/>
      <w:r w:rsidRPr="00C95C24">
        <w:rPr>
          <w:rFonts w:ascii="Arial" w:eastAsia="Arial" w:hAnsi="Arial" w:cs="Arial"/>
          <w:b/>
          <w:smallCaps/>
          <w:sz w:val="24"/>
          <w:szCs w:val="24"/>
        </w:rPr>
        <w:lastRenderedPageBreak/>
        <w:t>Annex B</w:t>
      </w:r>
    </w:p>
    <w:p w14:paraId="6091F6AE" w14:textId="3BFB4EE9" w:rsidR="0013786D" w:rsidRPr="00C95C24" w:rsidRDefault="002E7F3C">
      <w:pPr>
        <w:spacing w:after="100"/>
        <w:jc w:val="center"/>
        <w:rPr>
          <w:rFonts w:ascii="Arial" w:eastAsia="Arial" w:hAnsi="Arial" w:cs="Arial"/>
          <w:sz w:val="24"/>
          <w:szCs w:val="24"/>
        </w:rPr>
      </w:pPr>
      <w:bookmarkStart w:id="54" w:name="1smtxgf" w:colFirst="0" w:colLast="0"/>
      <w:bookmarkEnd w:id="54"/>
      <w:r w:rsidRPr="00C95C24">
        <w:rPr>
          <w:rFonts w:ascii="Arial" w:eastAsia="Arial" w:hAnsi="Arial" w:cs="Arial"/>
          <w:b/>
          <w:sz w:val="24"/>
          <w:szCs w:val="24"/>
        </w:rPr>
        <w:t>Supplier Proposal</w:t>
      </w:r>
    </w:p>
    <w:p w14:paraId="522BBFC4" w14:textId="77777777" w:rsidR="00BB1589" w:rsidRDefault="00BB1589" w:rsidP="00BB1589">
      <w:pPr>
        <w:spacing w:after="40"/>
        <w:jc w:val="center"/>
        <w:rPr>
          <w:rFonts w:ascii="Arial" w:eastAsia="Arial" w:hAnsi="Arial" w:cs="Arial"/>
          <w:sz w:val="20"/>
          <w:szCs w:val="20"/>
        </w:rPr>
      </w:pPr>
      <w:bookmarkStart w:id="55" w:name="4cmhg48" w:colFirst="0" w:colLast="0"/>
      <w:bookmarkEnd w:id="55"/>
      <w:r>
        <w:rPr>
          <w:rFonts w:ascii="Arial" w:eastAsia="Arial" w:hAnsi="Arial" w:cs="Arial"/>
          <w:sz w:val="20"/>
          <w:szCs w:val="20"/>
        </w:rPr>
        <w:t>REDACTED</w:t>
      </w:r>
    </w:p>
    <w:p w14:paraId="61F47CB9" w14:textId="51BE4862" w:rsidR="0013786D" w:rsidRDefault="0013786D">
      <w:pPr>
        <w:spacing w:after="100"/>
        <w:jc w:val="center"/>
        <w:rPr>
          <w:rFonts w:ascii="Arial" w:eastAsia="Arial" w:hAnsi="Arial" w:cs="Arial"/>
          <w:sz w:val="20"/>
          <w:szCs w:val="20"/>
        </w:rPr>
      </w:pPr>
    </w:p>
    <w:p w14:paraId="76FBEB90" w14:textId="3B15BA9C" w:rsidR="007A6DDF" w:rsidRDefault="007A6DDF" w:rsidP="007A6DDF">
      <w:pPr>
        <w:spacing w:after="100"/>
        <w:rPr>
          <w:rFonts w:ascii="Arial" w:eastAsia="Arial" w:hAnsi="Arial" w:cs="Arial"/>
          <w:sz w:val="20"/>
          <w:szCs w:val="20"/>
        </w:rPr>
      </w:pPr>
    </w:p>
    <w:p w14:paraId="4BA4D427" w14:textId="148C86D8" w:rsidR="007A6DDF" w:rsidRDefault="007A6DDF" w:rsidP="007A6DDF">
      <w:pPr>
        <w:spacing w:after="100"/>
        <w:rPr>
          <w:rFonts w:ascii="Arial" w:eastAsia="Arial" w:hAnsi="Arial" w:cs="Arial"/>
          <w:sz w:val="20"/>
          <w:szCs w:val="20"/>
        </w:rPr>
      </w:pPr>
    </w:p>
    <w:p w14:paraId="6E1DCA6F" w14:textId="14EEA775" w:rsidR="007A6DDF" w:rsidRDefault="007A6DDF" w:rsidP="007A6DDF">
      <w:pPr>
        <w:spacing w:after="100"/>
        <w:rPr>
          <w:rFonts w:ascii="Arial" w:eastAsia="Arial" w:hAnsi="Arial" w:cs="Arial"/>
          <w:sz w:val="20"/>
          <w:szCs w:val="20"/>
        </w:rPr>
      </w:pPr>
    </w:p>
    <w:p w14:paraId="229AFCDC" w14:textId="6F9451B5" w:rsidR="007A6DDF" w:rsidRDefault="007A6DDF" w:rsidP="007A6DDF">
      <w:pPr>
        <w:spacing w:after="100"/>
        <w:rPr>
          <w:rFonts w:ascii="Arial" w:eastAsia="Arial" w:hAnsi="Arial" w:cs="Arial"/>
          <w:sz w:val="20"/>
          <w:szCs w:val="20"/>
        </w:rPr>
      </w:pPr>
    </w:p>
    <w:p w14:paraId="280F865D" w14:textId="3A943C95" w:rsidR="007A6DDF" w:rsidRDefault="007A6DDF" w:rsidP="007A6DDF">
      <w:pPr>
        <w:spacing w:after="100"/>
        <w:rPr>
          <w:rFonts w:ascii="Arial" w:eastAsia="Arial" w:hAnsi="Arial" w:cs="Arial"/>
          <w:sz w:val="20"/>
          <w:szCs w:val="20"/>
        </w:rPr>
      </w:pPr>
    </w:p>
    <w:p w14:paraId="63E4FD30" w14:textId="2A6289BE" w:rsidR="007A6DDF" w:rsidRDefault="007A6DDF" w:rsidP="007A6DDF">
      <w:pPr>
        <w:spacing w:after="100"/>
        <w:rPr>
          <w:rFonts w:ascii="Arial" w:eastAsia="Arial" w:hAnsi="Arial" w:cs="Arial"/>
          <w:sz w:val="20"/>
          <w:szCs w:val="20"/>
        </w:rPr>
      </w:pPr>
    </w:p>
    <w:p w14:paraId="214B067B" w14:textId="0EC19F61" w:rsidR="00BB1589" w:rsidRDefault="00BB1589" w:rsidP="007A6DDF">
      <w:pPr>
        <w:spacing w:after="100"/>
        <w:rPr>
          <w:rFonts w:ascii="Arial" w:eastAsia="Arial" w:hAnsi="Arial" w:cs="Arial"/>
          <w:sz w:val="20"/>
          <w:szCs w:val="20"/>
        </w:rPr>
      </w:pPr>
    </w:p>
    <w:p w14:paraId="350BFD51" w14:textId="306002E2" w:rsidR="00BB1589" w:rsidRDefault="00BB1589" w:rsidP="007A6DDF">
      <w:pPr>
        <w:spacing w:after="100"/>
        <w:rPr>
          <w:rFonts w:ascii="Arial" w:eastAsia="Arial" w:hAnsi="Arial" w:cs="Arial"/>
          <w:sz w:val="20"/>
          <w:szCs w:val="20"/>
        </w:rPr>
      </w:pPr>
    </w:p>
    <w:p w14:paraId="6E5B5BFC" w14:textId="108F3DB1" w:rsidR="00BB1589" w:rsidRDefault="00BB1589" w:rsidP="007A6DDF">
      <w:pPr>
        <w:spacing w:after="100"/>
        <w:rPr>
          <w:rFonts w:ascii="Arial" w:eastAsia="Arial" w:hAnsi="Arial" w:cs="Arial"/>
          <w:sz w:val="20"/>
          <w:szCs w:val="20"/>
        </w:rPr>
      </w:pPr>
    </w:p>
    <w:p w14:paraId="623E6240" w14:textId="5E9BF644" w:rsidR="00BB1589" w:rsidRDefault="00BB1589" w:rsidP="007A6DDF">
      <w:pPr>
        <w:spacing w:after="100"/>
        <w:rPr>
          <w:rFonts w:ascii="Arial" w:eastAsia="Arial" w:hAnsi="Arial" w:cs="Arial"/>
          <w:sz w:val="20"/>
          <w:szCs w:val="20"/>
        </w:rPr>
      </w:pPr>
    </w:p>
    <w:p w14:paraId="20438312" w14:textId="20E7C497" w:rsidR="00BB1589" w:rsidRDefault="00BB1589" w:rsidP="007A6DDF">
      <w:pPr>
        <w:spacing w:after="100"/>
        <w:rPr>
          <w:rFonts w:ascii="Arial" w:eastAsia="Arial" w:hAnsi="Arial" w:cs="Arial"/>
          <w:sz w:val="20"/>
          <w:szCs w:val="20"/>
        </w:rPr>
      </w:pPr>
    </w:p>
    <w:p w14:paraId="766D9045" w14:textId="77777777" w:rsidR="00BB1589" w:rsidRDefault="00BB1589" w:rsidP="007A6DDF">
      <w:pPr>
        <w:spacing w:after="100"/>
        <w:rPr>
          <w:rFonts w:ascii="Arial" w:eastAsia="Arial" w:hAnsi="Arial" w:cs="Arial"/>
          <w:sz w:val="20"/>
          <w:szCs w:val="20"/>
        </w:rPr>
      </w:pPr>
    </w:p>
    <w:p w14:paraId="66DB5708" w14:textId="1C5E7A48" w:rsidR="007A6DDF" w:rsidRDefault="007A6DDF" w:rsidP="007A6DDF">
      <w:pPr>
        <w:spacing w:after="100"/>
        <w:rPr>
          <w:rFonts w:ascii="Arial" w:eastAsia="Arial" w:hAnsi="Arial" w:cs="Arial"/>
          <w:sz w:val="20"/>
          <w:szCs w:val="20"/>
        </w:rPr>
      </w:pPr>
    </w:p>
    <w:p w14:paraId="6F85CF41" w14:textId="380C28B2" w:rsidR="00BB1589" w:rsidRDefault="00BB1589" w:rsidP="007A6DDF">
      <w:pPr>
        <w:spacing w:after="100"/>
        <w:rPr>
          <w:rFonts w:ascii="Arial" w:eastAsia="Arial" w:hAnsi="Arial" w:cs="Arial"/>
          <w:sz w:val="20"/>
          <w:szCs w:val="20"/>
        </w:rPr>
      </w:pPr>
    </w:p>
    <w:p w14:paraId="458214DF" w14:textId="65B5ED5A" w:rsidR="00BB1589" w:rsidRDefault="00BB1589" w:rsidP="007A6DDF">
      <w:pPr>
        <w:spacing w:after="100"/>
        <w:rPr>
          <w:rFonts w:ascii="Arial" w:eastAsia="Arial" w:hAnsi="Arial" w:cs="Arial"/>
          <w:sz w:val="20"/>
          <w:szCs w:val="20"/>
        </w:rPr>
      </w:pPr>
    </w:p>
    <w:p w14:paraId="0F5F8F62" w14:textId="05C99775" w:rsidR="00BB1589" w:rsidRDefault="00BB1589" w:rsidP="007A6DDF">
      <w:pPr>
        <w:spacing w:after="100"/>
        <w:rPr>
          <w:rFonts w:ascii="Arial" w:eastAsia="Arial" w:hAnsi="Arial" w:cs="Arial"/>
          <w:sz w:val="20"/>
          <w:szCs w:val="20"/>
        </w:rPr>
      </w:pPr>
    </w:p>
    <w:p w14:paraId="21C4085F" w14:textId="62B5AF1C" w:rsidR="00BB1589" w:rsidRDefault="00BB1589" w:rsidP="007A6DDF">
      <w:pPr>
        <w:spacing w:after="100"/>
        <w:rPr>
          <w:rFonts w:ascii="Arial" w:eastAsia="Arial" w:hAnsi="Arial" w:cs="Arial"/>
          <w:sz w:val="20"/>
          <w:szCs w:val="20"/>
        </w:rPr>
      </w:pPr>
    </w:p>
    <w:p w14:paraId="6F0BC167" w14:textId="32F15B9A" w:rsidR="00BB1589" w:rsidRDefault="00BB1589" w:rsidP="007A6DDF">
      <w:pPr>
        <w:spacing w:after="100"/>
        <w:rPr>
          <w:rFonts w:ascii="Arial" w:eastAsia="Arial" w:hAnsi="Arial" w:cs="Arial"/>
          <w:sz w:val="20"/>
          <w:szCs w:val="20"/>
        </w:rPr>
      </w:pPr>
    </w:p>
    <w:p w14:paraId="7053E567" w14:textId="1F762871" w:rsidR="00BB1589" w:rsidRDefault="00BB1589" w:rsidP="007A6DDF">
      <w:pPr>
        <w:spacing w:after="100"/>
        <w:rPr>
          <w:rFonts w:ascii="Arial" w:eastAsia="Arial" w:hAnsi="Arial" w:cs="Arial"/>
          <w:sz w:val="20"/>
          <w:szCs w:val="20"/>
        </w:rPr>
      </w:pPr>
    </w:p>
    <w:p w14:paraId="12FA2DAD" w14:textId="4EA7B240" w:rsidR="00BB1589" w:rsidRDefault="00BB1589" w:rsidP="007A6DDF">
      <w:pPr>
        <w:spacing w:after="100"/>
        <w:rPr>
          <w:rFonts w:ascii="Arial" w:eastAsia="Arial" w:hAnsi="Arial" w:cs="Arial"/>
          <w:sz w:val="20"/>
          <w:szCs w:val="20"/>
        </w:rPr>
      </w:pPr>
    </w:p>
    <w:p w14:paraId="126E1ED7" w14:textId="445A6530" w:rsidR="00BB1589" w:rsidRDefault="00BB1589" w:rsidP="007A6DDF">
      <w:pPr>
        <w:spacing w:after="100"/>
        <w:rPr>
          <w:rFonts w:ascii="Arial" w:eastAsia="Arial" w:hAnsi="Arial" w:cs="Arial"/>
          <w:sz w:val="20"/>
          <w:szCs w:val="20"/>
        </w:rPr>
      </w:pPr>
    </w:p>
    <w:p w14:paraId="5AE8BDEC" w14:textId="16FA648B" w:rsidR="00BB1589" w:rsidRDefault="00BB1589" w:rsidP="007A6DDF">
      <w:pPr>
        <w:spacing w:after="100"/>
        <w:rPr>
          <w:rFonts w:ascii="Arial" w:eastAsia="Arial" w:hAnsi="Arial" w:cs="Arial"/>
          <w:sz w:val="20"/>
          <w:szCs w:val="20"/>
        </w:rPr>
      </w:pPr>
    </w:p>
    <w:p w14:paraId="1EEFD4A2" w14:textId="13EC04F1" w:rsidR="00BB1589" w:rsidRDefault="00BB1589" w:rsidP="007A6DDF">
      <w:pPr>
        <w:spacing w:after="100"/>
        <w:rPr>
          <w:rFonts w:ascii="Arial" w:eastAsia="Arial" w:hAnsi="Arial" w:cs="Arial"/>
          <w:sz w:val="20"/>
          <w:szCs w:val="20"/>
        </w:rPr>
      </w:pPr>
    </w:p>
    <w:p w14:paraId="6086561C" w14:textId="47767AF8" w:rsidR="00BB1589" w:rsidRDefault="00BB1589" w:rsidP="007A6DDF">
      <w:pPr>
        <w:spacing w:after="100"/>
        <w:rPr>
          <w:rFonts w:ascii="Arial" w:eastAsia="Arial" w:hAnsi="Arial" w:cs="Arial"/>
          <w:sz w:val="20"/>
          <w:szCs w:val="20"/>
        </w:rPr>
      </w:pPr>
    </w:p>
    <w:p w14:paraId="27584A8C" w14:textId="7C841D97" w:rsidR="00BB1589" w:rsidRDefault="00BB1589" w:rsidP="007A6DDF">
      <w:pPr>
        <w:spacing w:after="100"/>
        <w:rPr>
          <w:rFonts w:ascii="Arial" w:eastAsia="Arial" w:hAnsi="Arial" w:cs="Arial"/>
          <w:sz w:val="20"/>
          <w:szCs w:val="20"/>
        </w:rPr>
      </w:pPr>
    </w:p>
    <w:p w14:paraId="737027CF" w14:textId="5FDBE27A" w:rsidR="00BB1589" w:rsidRDefault="00BB1589" w:rsidP="007A6DDF">
      <w:pPr>
        <w:spacing w:after="100"/>
        <w:rPr>
          <w:rFonts w:ascii="Arial" w:eastAsia="Arial" w:hAnsi="Arial" w:cs="Arial"/>
          <w:sz w:val="20"/>
          <w:szCs w:val="20"/>
        </w:rPr>
      </w:pPr>
    </w:p>
    <w:p w14:paraId="118C3951" w14:textId="416188B2" w:rsidR="00BB1589" w:rsidRDefault="00BB1589" w:rsidP="007A6DDF">
      <w:pPr>
        <w:spacing w:after="100"/>
        <w:rPr>
          <w:rFonts w:ascii="Arial" w:eastAsia="Arial" w:hAnsi="Arial" w:cs="Arial"/>
          <w:sz w:val="20"/>
          <w:szCs w:val="20"/>
        </w:rPr>
      </w:pPr>
    </w:p>
    <w:p w14:paraId="55C5F34C" w14:textId="6C93D652" w:rsidR="00BB1589" w:rsidRDefault="00BB1589" w:rsidP="007A6DDF">
      <w:pPr>
        <w:spacing w:after="100"/>
        <w:rPr>
          <w:rFonts w:ascii="Arial" w:eastAsia="Arial" w:hAnsi="Arial" w:cs="Arial"/>
          <w:sz w:val="20"/>
          <w:szCs w:val="20"/>
        </w:rPr>
      </w:pPr>
    </w:p>
    <w:p w14:paraId="7E91F4CE" w14:textId="1A525FE3" w:rsidR="00BB1589" w:rsidRDefault="00BB1589" w:rsidP="007A6DDF">
      <w:pPr>
        <w:spacing w:after="100"/>
        <w:rPr>
          <w:rFonts w:ascii="Arial" w:eastAsia="Arial" w:hAnsi="Arial" w:cs="Arial"/>
          <w:sz w:val="20"/>
          <w:szCs w:val="20"/>
        </w:rPr>
      </w:pPr>
    </w:p>
    <w:p w14:paraId="6535479A" w14:textId="499C80E6" w:rsidR="00BB1589" w:rsidRDefault="00BB1589" w:rsidP="007A6DDF">
      <w:pPr>
        <w:spacing w:after="100"/>
        <w:rPr>
          <w:rFonts w:ascii="Arial" w:eastAsia="Arial" w:hAnsi="Arial" w:cs="Arial"/>
          <w:sz w:val="20"/>
          <w:szCs w:val="20"/>
        </w:rPr>
      </w:pPr>
    </w:p>
    <w:p w14:paraId="1409D418" w14:textId="77777777" w:rsidR="00BB1589" w:rsidRDefault="00BB1589" w:rsidP="007A6DDF">
      <w:pPr>
        <w:spacing w:after="100"/>
        <w:rPr>
          <w:rFonts w:ascii="Arial" w:eastAsia="Arial" w:hAnsi="Arial" w:cs="Arial"/>
          <w:sz w:val="20"/>
          <w:szCs w:val="20"/>
        </w:rPr>
      </w:pPr>
    </w:p>
    <w:p w14:paraId="7AC7D2B2" w14:textId="562B24B5" w:rsidR="007A6DDF" w:rsidRDefault="007A6DDF" w:rsidP="007A6DDF">
      <w:pPr>
        <w:spacing w:after="100"/>
        <w:rPr>
          <w:rFonts w:ascii="Arial" w:eastAsia="Arial" w:hAnsi="Arial" w:cs="Arial"/>
          <w:sz w:val="20"/>
          <w:szCs w:val="20"/>
        </w:rPr>
      </w:pPr>
    </w:p>
    <w:p w14:paraId="502C1396" w14:textId="2DC94FCB" w:rsidR="007A6DDF" w:rsidRDefault="007A6DDF" w:rsidP="007A6DDF">
      <w:pPr>
        <w:spacing w:after="100"/>
        <w:rPr>
          <w:rFonts w:ascii="Arial" w:eastAsia="Arial" w:hAnsi="Arial" w:cs="Arial"/>
          <w:sz w:val="20"/>
          <w:szCs w:val="20"/>
        </w:rPr>
      </w:pPr>
    </w:p>
    <w:p w14:paraId="1F06DD50" w14:textId="77777777" w:rsidR="007A6DDF" w:rsidRPr="007A6DDF" w:rsidRDefault="007A6DDF" w:rsidP="007A6DDF">
      <w:pPr>
        <w:spacing w:after="100"/>
        <w:rPr>
          <w:rFonts w:ascii="Arial" w:eastAsia="Arial" w:hAnsi="Arial" w:cs="Arial"/>
          <w:sz w:val="20"/>
          <w:szCs w:val="20"/>
        </w:rPr>
      </w:pPr>
    </w:p>
    <w:p w14:paraId="266F2815" w14:textId="577B68F1" w:rsidR="0013786D" w:rsidRDefault="002E7F3C" w:rsidP="00D21A00">
      <w:pPr>
        <w:keepNext/>
        <w:numPr>
          <w:ilvl w:val="1"/>
          <w:numId w:val="1"/>
        </w:numPr>
        <w:spacing w:before="100" w:after="120" w:line="276" w:lineRule="auto"/>
        <w:ind w:left="0" w:firstLine="0"/>
        <w:jc w:val="center"/>
        <w:rPr>
          <w:rFonts w:ascii="Arial" w:eastAsia="Arial" w:hAnsi="Arial" w:cs="Arial"/>
          <w:b/>
          <w:sz w:val="24"/>
          <w:szCs w:val="24"/>
        </w:rPr>
      </w:pPr>
      <w:bookmarkStart w:id="56" w:name="2rrrqc1" w:colFirst="0" w:colLast="0"/>
      <w:bookmarkEnd w:id="56"/>
      <w:r w:rsidRPr="00C95C24">
        <w:rPr>
          <w:rFonts w:ascii="Arial" w:eastAsia="Arial" w:hAnsi="Arial" w:cs="Arial"/>
          <w:b/>
          <w:sz w:val="24"/>
          <w:szCs w:val="24"/>
        </w:rPr>
        <w:lastRenderedPageBreak/>
        <w:t>C</w:t>
      </w:r>
      <w:r w:rsidR="00412467" w:rsidRPr="00C95C24">
        <w:rPr>
          <w:rFonts w:ascii="Arial" w:eastAsia="Arial" w:hAnsi="Arial" w:cs="Arial"/>
          <w:b/>
          <w:sz w:val="24"/>
          <w:szCs w:val="24"/>
        </w:rPr>
        <w:t>ontract</w:t>
      </w:r>
      <w:r w:rsidRPr="00C95C24">
        <w:rPr>
          <w:rFonts w:ascii="Arial" w:eastAsia="Arial" w:hAnsi="Arial" w:cs="Arial"/>
          <w:b/>
          <w:sz w:val="24"/>
          <w:szCs w:val="24"/>
        </w:rPr>
        <w:t xml:space="preserve"> Terms</w:t>
      </w:r>
    </w:p>
    <w:p w14:paraId="799FED5C" w14:textId="77777777" w:rsidR="00BF4780" w:rsidRPr="00C95C24" w:rsidRDefault="00BF4780" w:rsidP="00BF4780">
      <w:pPr>
        <w:keepNext/>
        <w:spacing w:before="100" w:after="120" w:line="276" w:lineRule="auto"/>
        <w:rPr>
          <w:rFonts w:ascii="Arial" w:eastAsia="Arial" w:hAnsi="Arial" w:cs="Arial"/>
          <w:b/>
          <w:sz w:val="24"/>
          <w:szCs w:val="24"/>
        </w:rPr>
      </w:pPr>
    </w:p>
    <w:p w14:paraId="60DCAEB6" w14:textId="00FC4C18" w:rsidR="00EF1BE1" w:rsidRDefault="00314C5A" w:rsidP="00BF4780">
      <w:pPr>
        <w:tabs>
          <w:tab w:val="left" w:pos="175"/>
        </w:tabs>
        <w:spacing w:after="120"/>
        <w:ind w:left="170" w:hanging="170"/>
        <w:jc w:val="center"/>
        <w:rPr>
          <w:rFonts w:ascii="Arial" w:eastAsia="Arial" w:hAnsi="Arial" w:cs="Arial"/>
        </w:rPr>
      </w:pPr>
      <w:r>
        <w:rPr>
          <w:rFonts w:ascii="Arial" w:eastAsia="Arial" w:hAnsi="Arial" w:cs="Arial"/>
        </w:rPr>
        <w:t xml:space="preserve">Attached as Separate Document </w:t>
      </w:r>
    </w:p>
    <w:p w14:paraId="1653E1EF" w14:textId="77777777" w:rsidR="00EF1BE1" w:rsidRPr="00EF1BE1" w:rsidRDefault="00EF1BE1" w:rsidP="00EF1BE1">
      <w:pPr>
        <w:rPr>
          <w:rFonts w:ascii="Arial" w:eastAsia="Arial" w:hAnsi="Arial" w:cs="Arial"/>
        </w:rPr>
      </w:pPr>
    </w:p>
    <w:p w14:paraId="0725CC29" w14:textId="77777777" w:rsidR="00EF1BE1" w:rsidRPr="00EF1BE1" w:rsidRDefault="00EF1BE1" w:rsidP="00EF1BE1">
      <w:pPr>
        <w:rPr>
          <w:rFonts w:ascii="Arial" w:eastAsia="Arial" w:hAnsi="Arial" w:cs="Arial"/>
        </w:rPr>
      </w:pPr>
    </w:p>
    <w:p w14:paraId="75806FDA" w14:textId="68507294" w:rsidR="00EF1BE1" w:rsidRDefault="00EF1BE1" w:rsidP="00EF1BE1">
      <w:pPr>
        <w:rPr>
          <w:rFonts w:ascii="Arial" w:eastAsia="Arial" w:hAnsi="Arial" w:cs="Arial"/>
        </w:rPr>
      </w:pPr>
    </w:p>
    <w:p w14:paraId="71488E4D" w14:textId="7B486928" w:rsidR="00EF1BE1" w:rsidRDefault="00EF1BE1" w:rsidP="00EF1BE1">
      <w:pPr>
        <w:rPr>
          <w:rFonts w:ascii="Arial" w:eastAsia="Arial" w:hAnsi="Arial" w:cs="Arial"/>
        </w:rPr>
      </w:pPr>
    </w:p>
    <w:p w14:paraId="23F70B75" w14:textId="2390B678" w:rsidR="00EF1BE1" w:rsidRDefault="00EF1BE1" w:rsidP="00EF1BE1">
      <w:pPr>
        <w:rPr>
          <w:rFonts w:ascii="Arial" w:eastAsia="Arial" w:hAnsi="Arial" w:cs="Arial"/>
        </w:rPr>
      </w:pPr>
    </w:p>
    <w:p w14:paraId="01B4DBD6" w14:textId="067B1BE7" w:rsidR="00EF1BE1" w:rsidRDefault="00EF1BE1" w:rsidP="00EF1BE1">
      <w:pPr>
        <w:rPr>
          <w:rFonts w:ascii="Arial" w:eastAsia="Arial" w:hAnsi="Arial" w:cs="Arial"/>
        </w:rPr>
      </w:pPr>
    </w:p>
    <w:p w14:paraId="3BEA2C62" w14:textId="69FFE603" w:rsidR="00EF1BE1" w:rsidRDefault="00EF1BE1" w:rsidP="00EF1BE1">
      <w:pPr>
        <w:rPr>
          <w:rFonts w:ascii="Arial" w:eastAsia="Arial" w:hAnsi="Arial" w:cs="Arial"/>
        </w:rPr>
      </w:pPr>
    </w:p>
    <w:p w14:paraId="1927FF32" w14:textId="4D701463" w:rsidR="00EF1BE1" w:rsidRDefault="00EF1BE1" w:rsidP="00EF1BE1">
      <w:pPr>
        <w:rPr>
          <w:rFonts w:ascii="Arial" w:eastAsia="Arial" w:hAnsi="Arial" w:cs="Arial"/>
        </w:rPr>
      </w:pPr>
    </w:p>
    <w:p w14:paraId="03DF8E0F" w14:textId="77777777" w:rsidR="00EF1BE1" w:rsidRDefault="00EF1BE1" w:rsidP="00EF1BE1">
      <w:pPr>
        <w:rPr>
          <w:rFonts w:ascii="Arial" w:eastAsia="Arial" w:hAnsi="Arial" w:cs="Arial"/>
        </w:rPr>
        <w:sectPr w:rsidR="00EF1BE1">
          <w:footerReference w:type="default" r:id="rId9"/>
          <w:pgSz w:w="11909" w:h="16834"/>
          <w:pgMar w:top="1526" w:right="1440" w:bottom="1800" w:left="1440" w:header="0" w:footer="720" w:gutter="0"/>
          <w:pgNumType w:start="1"/>
          <w:cols w:space="720"/>
        </w:sectPr>
      </w:pPr>
    </w:p>
    <w:p w14:paraId="5E2E1329" w14:textId="562460C2" w:rsidR="0013786D" w:rsidRDefault="00EF1BE1" w:rsidP="00EF1BE1">
      <w:pPr>
        <w:keepNext/>
        <w:numPr>
          <w:ilvl w:val="1"/>
          <w:numId w:val="1"/>
        </w:numPr>
        <w:spacing w:before="100" w:after="120" w:line="276" w:lineRule="auto"/>
        <w:ind w:left="0" w:firstLine="0"/>
        <w:jc w:val="center"/>
        <w:rPr>
          <w:rFonts w:ascii="Arial" w:eastAsia="Arial" w:hAnsi="Arial" w:cs="Arial"/>
          <w:b/>
          <w:sz w:val="24"/>
          <w:szCs w:val="24"/>
        </w:rPr>
      </w:pPr>
      <w:r w:rsidRPr="00EF1BE1">
        <w:rPr>
          <w:rFonts w:ascii="Arial" w:eastAsia="Arial" w:hAnsi="Arial" w:cs="Arial"/>
          <w:b/>
          <w:sz w:val="24"/>
          <w:szCs w:val="24"/>
        </w:rPr>
        <w:lastRenderedPageBreak/>
        <w:t>Supplier Costings</w:t>
      </w:r>
    </w:p>
    <w:p w14:paraId="4CA0DBC0" w14:textId="34ED815E" w:rsidR="00EF1BE1" w:rsidRDefault="00EF1BE1" w:rsidP="00EF1BE1">
      <w:pPr>
        <w:keepNext/>
        <w:spacing w:before="100" w:after="120" w:line="276" w:lineRule="auto"/>
        <w:jc w:val="center"/>
        <w:rPr>
          <w:rFonts w:ascii="Arial" w:eastAsia="Arial" w:hAnsi="Arial" w:cs="Arial"/>
          <w:b/>
          <w:sz w:val="24"/>
          <w:szCs w:val="24"/>
        </w:rPr>
      </w:pPr>
    </w:p>
    <w:p w14:paraId="1509D991" w14:textId="77777777" w:rsidR="00BB1589" w:rsidRDefault="00BB1589" w:rsidP="00BB1589">
      <w:pPr>
        <w:spacing w:after="40"/>
        <w:jc w:val="center"/>
        <w:rPr>
          <w:rFonts w:ascii="Arial" w:eastAsia="Arial" w:hAnsi="Arial" w:cs="Arial"/>
          <w:sz w:val="20"/>
          <w:szCs w:val="20"/>
        </w:rPr>
      </w:pPr>
      <w:r>
        <w:rPr>
          <w:rFonts w:ascii="Arial" w:eastAsia="Arial" w:hAnsi="Arial" w:cs="Arial"/>
          <w:sz w:val="20"/>
          <w:szCs w:val="20"/>
        </w:rPr>
        <w:t>REDACTED</w:t>
      </w:r>
    </w:p>
    <w:p w14:paraId="61EBBFEA" w14:textId="39AEE5BA" w:rsidR="00EF1BE1" w:rsidRDefault="00EF1BE1" w:rsidP="00EF1BE1">
      <w:pPr>
        <w:keepNext/>
        <w:spacing w:before="100" w:after="120" w:line="276" w:lineRule="auto"/>
        <w:jc w:val="center"/>
        <w:rPr>
          <w:rFonts w:ascii="Arial" w:eastAsia="Arial" w:hAnsi="Arial" w:cs="Arial"/>
          <w:b/>
          <w:sz w:val="24"/>
          <w:szCs w:val="24"/>
        </w:rPr>
      </w:pPr>
    </w:p>
    <w:p w14:paraId="20A4160A" w14:textId="77777777" w:rsidR="00EF1BE1" w:rsidRPr="00EF1BE1" w:rsidRDefault="00EF1BE1" w:rsidP="00EF1BE1">
      <w:pPr>
        <w:rPr>
          <w:rFonts w:ascii="Arial" w:eastAsia="Arial" w:hAnsi="Arial" w:cs="Arial"/>
          <w:sz w:val="24"/>
          <w:szCs w:val="24"/>
        </w:rPr>
      </w:pPr>
    </w:p>
    <w:p w14:paraId="3D290AF4" w14:textId="77777777" w:rsidR="00EF1BE1" w:rsidRPr="00EF1BE1" w:rsidRDefault="00EF1BE1" w:rsidP="00EF1BE1">
      <w:pPr>
        <w:rPr>
          <w:rFonts w:ascii="Arial" w:eastAsia="Arial" w:hAnsi="Arial" w:cs="Arial"/>
          <w:sz w:val="24"/>
          <w:szCs w:val="24"/>
        </w:rPr>
      </w:pPr>
    </w:p>
    <w:p w14:paraId="7BDD26AC" w14:textId="18C2C29E" w:rsidR="00EF1BE1" w:rsidRDefault="00EF1BE1" w:rsidP="00EF1BE1">
      <w:pPr>
        <w:jc w:val="center"/>
        <w:rPr>
          <w:rFonts w:ascii="Arial" w:eastAsia="Arial" w:hAnsi="Arial" w:cs="Arial"/>
          <w:sz w:val="24"/>
          <w:szCs w:val="24"/>
        </w:rPr>
      </w:pPr>
    </w:p>
    <w:p w14:paraId="5A397CCE" w14:textId="77777777" w:rsidR="00EF1BE1" w:rsidRDefault="00EF1BE1" w:rsidP="00EF1BE1">
      <w:pPr>
        <w:jc w:val="center"/>
        <w:rPr>
          <w:rFonts w:ascii="Arial" w:eastAsia="Arial" w:hAnsi="Arial" w:cs="Arial"/>
          <w:sz w:val="24"/>
          <w:szCs w:val="24"/>
        </w:rPr>
        <w:sectPr w:rsidR="00EF1BE1" w:rsidSect="00EF1BE1">
          <w:pgSz w:w="16834" w:h="11909" w:orient="landscape"/>
          <w:pgMar w:top="1440" w:right="1526" w:bottom="1440" w:left="1800" w:header="0" w:footer="720" w:gutter="0"/>
          <w:pgNumType w:start="1"/>
          <w:cols w:space="720"/>
          <w:docGrid w:linePitch="299"/>
        </w:sectPr>
      </w:pPr>
    </w:p>
    <w:p w14:paraId="02B0F7E0" w14:textId="2DC42E85" w:rsidR="00EF1BE1" w:rsidRDefault="00EF1BE1" w:rsidP="00EF1BE1">
      <w:pPr>
        <w:jc w:val="left"/>
        <w:rPr>
          <w:rFonts w:ascii="Arial" w:eastAsia="Arial" w:hAnsi="Arial" w:cs="Arial"/>
          <w:sz w:val="24"/>
          <w:szCs w:val="24"/>
        </w:rPr>
      </w:pPr>
    </w:p>
    <w:p w14:paraId="4F5F2BAC" w14:textId="1B146E62" w:rsidR="00EF1BE1" w:rsidRDefault="00EF1BE1" w:rsidP="00EF1BE1">
      <w:pPr>
        <w:jc w:val="left"/>
        <w:rPr>
          <w:rFonts w:ascii="Arial" w:eastAsia="Arial" w:hAnsi="Arial" w:cs="Arial"/>
          <w:sz w:val="24"/>
          <w:szCs w:val="24"/>
        </w:rPr>
      </w:pPr>
      <w:r>
        <w:rPr>
          <w:rFonts w:ascii="Arial" w:eastAsia="Arial" w:hAnsi="Arial" w:cs="Arial"/>
          <w:sz w:val="24"/>
          <w:szCs w:val="24"/>
        </w:rPr>
        <w:t xml:space="preserve">Rate Card </w:t>
      </w:r>
    </w:p>
    <w:p w14:paraId="79DB6177" w14:textId="1C67B347" w:rsidR="00EF1BE1" w:rsidRDefault="00EF1BE1" w:rsidP="00EF1BE1">
      <w:pPr>
        <w:jc w:val="left"/>
        <w:rPr>
          <w:rFonts w:ascii="Arial" w:eastAsia="Arial" w:hAnsi="Arial" w:cs="Arial"/>
          <w:sz w:val="24"/>
          <w:szCs w:val="24"/>
        </w:rPr>
      </w:pPr>
    </w:p>
    <w:p w14:paraId="5CC27C06" w14:textId="77777777" w:rsidR="00BB1589" w:rsidRDefault="00BB1589" w:rsidP="00BB1589">
      <w:pPr>
        <w:spacing w:after="40"/>
        <w:jc w:val="left"/>
        <w:rPr>
          <w:rFonts w:ascii="Arial" w:eastAsia="Arial" w:hAnsi="Arial" w:cs="Arial"/>
          <w:sz w:val="20"/>
          <w:szCs w:val="20"/>
        </w:rPr>
      </w:pPr>
      <w:r>
        <w:rPr>
          <w:rFonts w:ascii="Arial" w:eastAsia="Arial" w:hAnsi="Arial" w:cs="Arial"/>
          <w:sz w:val="20"/>
          <w:szCs w:val="20"/>
        </w:rPr>
        <w:t>REDACTED</w:t>
      </w:r>
    </w:p>
    <w:p w14:paraId="6E3D4E71" w14:textId="77777777" w:rsidR="00EF1BE1" w:rsidRPr="00D55A55" w:rsidRDefault="00EF1BE1" w:rsidP="00EF1BE1">
      <w:pPr>
        <w:jc w:val="center"/>
        <w:rPr>
          <w:rFonts w:ascii="Arial" w:eastAsia="Arial" w:hAnsi="Arial" w:cs="Arial"/>
        </w:rPr>
      </w:pPr>
    </w:p>
    <w:sectPr w:rsidR="00EF1BE1" w:rsidRPr="00D55A55" w:rsidSect="00EF1BE1">
      <w:pgSz w:w="11909" w:h="16834"/>
      <w:pgMar w:top="1526" w:right="1440" w:bottom="180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44E66" w14:textId="77777777" w:rsidR="00EA4DE3" w:rsidRDefault="00EA4DE3">
      <w:pPr>
        <w:spacing w:after="0"/>
      </w:pPr>
      <w:r>
        <w:separator/>
      </w:r>
    </w:p>
  </w:endnote>
  <w:endnote w:type="continuationSeparator" w:id="0">
    <w:p w14:paraId="488446EE" w14:textId="77777777" w:rsidR="00EA4DE3" w:rsidRDefault="00EA4DE3">
      <w:pPr>
        <w:spacing w:after="0"/>
      </w:pPr>
      <w:r>
        <w:continuationSeparator/>
      </w:r>
    </w:p>
  </w:endnote>
  <w:endnote w:type="continuationNotice" w:id="1">
    <w:p w14:paraId="0268EAAD" w14:textId="77777777" w:rsidR="00EA4DE3" w:rsidRDefault="00EA4D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E09F" w14:textId="3E238C1B" w:rsidR="00EF1BE1" w:rsidRDefault="00EF1BE1">
    <w:pPr>
      <w:spacing w:after="0"/>
      <w:jc w:val="left"/>
      <w:rPr>
        <w:rFonts w:ascii="Arial" w:eastAsia="Arial" w:hAnsi="Arial" w:cs="Arial"/>
        <w:sz w:val="16"/>
        <w:szCs w:val="16"/>
      </w:rPr>
    </w:pPr>
  </w:p>
  <w:p w14:paraId="30871D95" w14:textId="7BE5E8D4" w:rsidR="00EF1BE1" w:rsidRDefault="00EF1BE1"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sidR="00BB1589">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2F559" w14:textId="77777777" w:rsidR="00EA4DE3" w:rsidRDefault="00EA4DE3">
      <w:pPr>
        <w:spacing w:after="0"/>
      </w:pPr>
      <w:r>
        <w:separator/>
      </w:r>
    </w:p>
  </w:footnote>
  <w:footnote w:type="continuationSeparator" w:id="0">
    <w:p w14:paraId="2AA6FB84" w14:textId="77777777" w:rsidR="00EA4DE3" w:rsidRDefault="00EA4DE3">
      <w:pPr>
        <w:spacing w:after="0"/>
      </w:pPr>
      <w:r>
        <w:continuationSeparator/>
      </w:r>
    </w:p>
  </w:footnote>
  <w:footnote w:type="continuationNotice" w:id="1">
    <w:p w14:paraId="550E47AC" w14:textId="77777777" w:rsidR="00EA4DE3" w:rsidRDefault="00EA4DE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757D"/>
    <w:multiLevelType w:val="hybridMultilevel"/>
    <w:tmpl w:val="00A4FF86"/>
    <w:lvl w:ilvl="0" w:tplc="8C5C477E">
      <w:numFmt w:val="bullet"/>
      <w:lvlText w:val=""/>
      <w:lvlJc w:val="left"/>
      <w:pPr>
        <w:ind w:left="527" w:hanging="360"/>
      </w:pPr>
      <w:rPr>
        <w:rFonts w:ascii="Symbol" w:eastAsia="Arial" w:hAnsi="Symbol" w:cs="Arial" w:hint="default"/>
        <w:b/>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007C4964"/>
    <w:multiLevelType w:val="hybridMultilevel"/>
    <w:tmpl w:val="9DAAE83A"/>
    <w:lvl w:ilvl="0" w:tplc="8C5C477E">
      <w:numFmt w:val="bullet"/>
      <w:lvlText w:val=""/>
      <w:lvlJc w:val="left"/>
      <w:pPr>
        <w:ind w:left="470" w:hanging="360"/>
      </w:pPr>
      <w:rPr>
        <w:rFonts w:ascii="Symbol" w:eastAsia="Arial" w:hAnsi="Symbol" w:cs="Arial" w:hint="default"/>
        <w:b/>
      </w:rPr>
    </w:lvl>
    <w:lvl w:ilvl="1" w:tplc="BD26140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8410A"/>
    <w:multiLevelType w:val="hybridMultilevel"/>
    <w:tmpl w:val="BF9685F2"/>
    <w:lvl w:ilvl="0" w:tplc="8C5C477E">
      <w:numFmt w:val="bullet"/>
      <w:lvlText w:val=""/>
      <w:lvlJc w:val="left"/>
      <w:pPr>
        <w:ind w:left="527" w:hanging="360"/>
      </w:pPr>
      <w:rPr>
        <w:rFonts w:ascii="Symbol" w:eastAsia="Arial" w:hAnsi="Symbol" w:cs="Arial" w:hint="default"/>
        <w:b/>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0C1371C5"/>
    <w:multiLevelType w:val="hybridMultilevel"/>
    <w:tmpl w:val="A7C0DC8E"/>
    <w:lvl w:ilvl="0" w:tplc="8C5C477E">
      <w:numFmt w:val="bullet"/>
      <w:lvlText w:val=""/>
      <w:lvlJc w:val="left"/>
      <w:pPr>
        <w:ind w:left="527" w:hanging="360"/>
      </w:pPr>
      <w:rPr>
        <w:rFonts w:ascii="Symbol" w:eastAsia="Arial" w:hAnsi="Symbol" w:cs="Arial" w:hint="default"/>
        <w:b/>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0D5B193A"/>
    <w:multiLevelType w:val="hybridMultilevel"/>
    <w:tmpl w:val="EE9C8E8A"/>
    <w:lvl w:ilvl="0" w:tplc="8C5C477E">
      <w:numFmt w:val="bullet"/>
      <w:lvlText w:val=""/>
      <w:lvlJc w:val="left"/>
      <w:pPr>
        <w:ind w:left="527" w:hanging="360"/>
      </w:pPr>
      <w:rPr>
        <w:rFonts w:ascii="Symbol" w:eastAsia="Arial" w:hAnsi="Symbol" w:cs="Arial" w:hint="default"/>
        <w:b/>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0EE93778"/>
    <w:multiLevelType w:val="hybridMultilevel"/>
    <w:tmpl w:val="589A6F10"/>
    <w:lvl w:ilvl="0" w:tplc="8C5C477E">
      <w:numFmt w:val="bullet"/>
      <w:lvlText w:val=""/>
      <w:lvlJc w:val="left"/>
      <w:pPr>
        <w:ind w:left="527" w:hanging="360"/>
      </w:pPr>
      <w:rPr>
        <w:rFonts w:ascii="Symbol" w:eastAsia="Arial" w:hAnsi="Symbol" w:cs="Arial" w:hint="default"/>
        <w:b/>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EB965F4"/>
    <w:multiLevelType w:val="hybridMultilevel"/>
    <w:tmpl w:val="2B327552"/>
    <w:lvl w:ilvl="0" w:tplc="8C5C477E">
      <w:numFmt w:val="bullet"/>
      <w:lvlText w:val=""/>
      <w:lvlJc w:val="left"/>
      <w:pPr>
        <w:ind w:left="580" w:hanging="360"/>
      </w:pPr>
      <w:rPr>
        <w:rFonts w:ascii="Symbol" w:eastAsia="Arial" w:hAnsi="Symbol" w:cs="Arial" w:hint="default"/>
        <w:b/>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7" w15:restartNumberingAfterBreak="0">
    <w:nsid w:val="324D6881"/>
    <w:multiLevelType w:val="hybridMultilevel"/>
    <w:tmpl w:val="A9F82EE8"/>
    <w:lvl w:ilvl="0" w:tplc="8C5C477E">
      <w:numFmt w:val="bullet"/>
      <w:lvlText w:val=""/>
      <w:lvlJc w:val="left"/>
      <w:pPr>
        <w:ind w:left="470" w:hanging="360"/>
      </w:pPr>
      <w:rPr>
        <w:rFonts w:ascii="Symbol" w:eastAsia="Arial" w:hAnsi="Symbol" w:cs="Arial" w:hint="default"/>
        <w:b/>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8" w15:restartNumberingAfterBreak="0">
    <w:nsid w:val="35442DDD"/>
    <w:multiLevelType w:val="hybridMultilevel"/>
    <w:tmpl w:val="57607BC6"/>
    <w:lvl w:ilvl="0" w:tplc="8C5C477E">
      <w:numFmt w:val="bullet"/>
      <w:lvlText w:val=""/>
      <w:lvlJc w:val="left"/>
      <w:pPr>
        <w:ind w:left="470" w:hanging="360"/>
      </w:pPr>
      <w:rPr>
        <w:rFonts w:ascii="Symbol" w:eastAsia="Arial"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7032A"/>
    <w:multiLevelType w:val="hybridMultilevel"/>
    <w:tmpl w:val="51A2073A"/>
    <w:lvl w:ilvl="0" w:tplc="8C5C477E">
      <w:numFmt w:val="bullet"/>
      <w:lvlText w:val=""/>
      <w:lvlJc w:val="left"/>
      <w:pPr>
        <w:ind w:left="470" w:hanging="360"/>
      </w:pPr>
      <w:rPr>
        <w:rFonts w:ascii="Symbol" w:eastAsia="Arial"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231024"/>
    <w:multiLevelType w:val="hybridMultilevel"/>
    <w:tmpl w:val="AF9EB3C8"/>
    <w:lvl w:ilvl="0" w:tplc="8C5C477E">
      <w:numFmt w:val="bullet"/>
      <w:lvlText w:val=""/>
      <w:lvlJc w:val="left"/>
      <w:pPr>
        <w:ind w:left="527" w:hanging="360"/>
      </w:pPr>
      <w:rPr>
        <w:rFonts w:ascii="Symbol" w:eastAsia="Arial" w:hAnsi="Symbol" w:cs="Arial" w:hint="default"/>
        <w:b/>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12" w15:restartNumberingAfterBreak="0">
    <w:nsid w:val="51200365"/>
    <w:multiLevelType w:val="multilevel"/>
    <w:tmpl w:val="5FF49A5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sz w:val="20"/>
        <w:szCs w:val="20"/>
        <w:effect w:val="none"/>
      </w:rPr>
    </w:lvl>
    <w:lvl w:ilvl="2">
      <w:start w:val="1"/>
      <w:numFmt w:val="decimal"/>
      <w:lvlText w:val="%1.%2.%3"/>
      <w:lvlJc w:val="left"/>
      <w:pPr>
        <w:tabs>
          <w:tab w:val="num" w:pos="1800"/>
        </w:tabs>
        <w:ind w:left="1800" w:hanging="1080"/>
      </w:pPr>
      <w:rPr>
        <w:rFonts w:hint="default"/>
        <w:b w:val="0"/>
        <w:caps w:val="0"/>
        <w:sz w:val="20"/>
        <w:szCs w:val="2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7362581F"/>
    <w:multiLevelType w:val="hybridMultilevel"/>
    <w:tmpl w:val="A6929A62"/>
    <w:lvl w:ilvl="0" w:tplc="8C5C477E">
      <w:numFmt w:val="bullet"/>
      <w:lvlText w:val=""/>
      <w:lvlJc w:val="left"/>
      <w:pPr>
        <w:ind w:left="527" w:hanging="360"/>
      </w:pPr>
      <w:rPr>
        <w:rFonts w:ascii="Symbol" w:eastAsia="Arial" w:hAnsi="Symbol" w:cs="Arial" w:hint="default"/>
        <w:b/>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1"/>
  </w:num>
  <w:num w:numId="2">
    <w:abstractNumId w:val="15"/>
  </w:num>
  <w:num w:numId="3">
    <w:abstractNumId w:val="13"/>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4"/>
  </w:num>
  <w:num w:numId="9">
    <w:abstractNumId w:val="10"/>
  </w:num>
  <w:num w:numId="10">
    <w:abstractNumId w:val="14"/>
  </w:num>
  <w:num w:numId="11">
    <w:abstractNumId w:val="1"/>
  </w:num>
  <w:num w:numId="12">
    <w:abstractNumId w:val="9"/>
  </w:num>
  <w:num w:numId="13">
    <w:abstractNumId w:val="0"/>
  </w:num>
  <w:num w:numId="14">
    <w:abstractNumId w:val="2"/>
  </w:num>
  <w:num w:numId="15">
    <w:abstractNumId w:val="8"/>
  </w:num>
  <w:num w:numId="16">
    <w:abstractNumId w:val="5"/>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293B"/>
    <w:rsid w:val="00030160"/>
    <w:rsid w:val="000355F6"/>
    <w:rsid w:val="000607EB"/>
    <w:rsid w:val="000633FB"/>
    <w:rsid w:val="00070C32"/>
    <w:rsid w:val="00073AA7"/>
    <w:rsid w:val="00075B0A"/>
    <w:rsid w:val="00082CCC"/>
    <w:rsid w:val="0009239F"/>
    <w:rsid w:val="000B2DE6"/>
    <w:rsid w:val="000C0875"/>
    <w:rsid w:val="000C3441"/>
    <w:rsid w:val="000C4AB2"/>
    <w:rsid w:val="00101164"/>
    <w:rsid w:val="0011690F"/>
    <w:rsid w:val="001169B9"/>
    <w:rsid w:val="001175A9"/>
    <w:rsid w:val="00120963"/>
    <w:rsid w:val="0013127B"/>
    <w:rsid w:val="0013786D"/>
    <w:rsid w:val="00140887"/>
    <w:rsid w:val="00147C15"/>
    <w:rsid w:val="001516A9"/>
    <w:rsid w:val="001537C0"/>
    <w:rsid w:val="0015645B"/>
    <w:rsid w:val="00182337"/>
    <w:rsid w:val="001833D2"/>
    <w:rsid w:val="00184BC1"/>
    <w:rsid w:val="00184C9D"/>
    <w:rsid w:val="00186BF3"/>
    <w:rsid w:val="00186E7E"/>
    <w:rsid w:val="00197C67"/>
    <w:rsid w:val="001A1451"/>
    <w:rsid w:val="001A33A1"/>
    <w:rsid w:val="001B07F4"/>
    <w:rsid w:val="001C00B3"/>
    <w:rsid w:val="001D47B1"/>
    <w:rsid w:val="001D62C1"/>
    <w:rsid w:val="001D6F48"/>
    <w:rsid w:val="001E6F69"/>
    <w:rsid w:val="001F6849"/>
    <w:rsid w:val="00204FBC"/>
    <w:rsid w:val="002120F3"/>
    <w:rsid w:val="00227CC9"/>
    <w:rsid w:val="00231F7F"/>
    <w:rsid w:val="00232B3A"/>
    <w:rsid w:val="00243F40"/>
    <w:rsid w:val="0026163F"/>
    <w:rsid w:val="00271385"/>
    <w:rsid w:val="00272D93"/>
    <w:rsid w:val="002776D7"/>
    <w:rsid w:val="00286944"/>
    <w:rsid w:val="00295498"/>
    <w:rsid w:val="00297513"/>
    <w:rsid w:val="002A496D"/>
    <w:rsid w:val="002C2E86"/>
    <w:rsid w:val="002C5A96"/>
    <w:rsid w:val="002D322F"/>
    <w:rsid w:val="002E1720"/>
    <w:rsid w:val="002E6A6D"/>
    <w:rsid w:val="002E7F3C"/>
    <w:rsid w:val="002F058A"/>
    <w:rsid w:val="00304911"/>
    <w:rsid w:val="0030655F"/>
    <w:rsid w:val="00307DA6"/>
    <w:rsid w:val="00314286"/>
    <w:rsid w:val="00314C5A"/>
    <w:rsid w:val="00322534"/>
    <w:rsid w:val="0032379B"/>
    <w:rsid w:val="00337E15"/>
    <w:rsid w:val="00351054"/>
    <w:rsid w:val="00384934"/>
    <w:rsid w:val="00387E5C"/>
    <w:rsid w:val="00390AA7"/>
    <w:rsid w:val="00391390"/>
    <w:rsid w:val="003A17D0"/>
    <w:rsid w:val="003B47F4"/>
    <w:rsid w:val="003C0D59"/>
    <w:rsid w:val="003C6645"/>
    <w:rsid w:val="003D3658"/>
    <w:rsid w:val="003E28F1"/>
    <w:rsid w:val="003E644D"/>
    <w:rsid w:val="003F59DB"/>
    <w:rsid w:val="003F6CD9"/>
    <w:rsid w:val="00404BAB"/>
    <w:rsid w:val="00412467"/>
    <w:rsid w:val="004139F1"/>
    <w:rsid w:val="0041540A"/>
    <w:rsid w:val="00416ACE"/>
    <w:rsid w:val="00425F2C"/>
    <w:rsid w:val="00431593"/>
    <w:rsid w:val="00447A1F"/>
    <w:rsid w:val="00456062"/>
    <w:rsid w:val="00461901"/>
    <w:rsid w:val="004728EA"/>
    <w:rsid w:val="0049010B"/>
    <w:rsid w:val="00496275"/>
    <w:rsid w:val="004A0B83"/>
    <w:rsid w:val="004A26B2"/>
    <w:rsid w:val="004A5861"/>
    <w:rsid w:val="004C427E"/>
    <w:rsid w:val="004C6A79"/>
    <w:rsid w:val="004D07D4"/>
    <w:rsid w:val="004E0C0C"/>
    <w:rsid w:val="004E2894"/>
    <w:rsid w:val="00504DA6"/>
    <w:rsid w:val="005504C7"/>
    <w:rsid w:val="005555E8"/>
    <w:rsid w:val="005614E0"/>
    <w:rsid w:val="00580AB7"/>
    <w:rsid w:val="00586C7D"/>
    <w:rsid w:val="005918CB"/>
    <w:rsid w:val="00592BE0"/>
    <w:rsid w:val="005B3369"/>
    <w:rsid w:val="005B4CBC"/>
    <w:rsid w:val="005C58A3"/>
    <w:rsid w:val="005D1A3C"/>
    <w:rsid w:val="005D60AB"/>
    <w:rsid w:val="005D7E5C"/>
    <w:rsid w:val="005F3910"/>
    <w:rsid w:val="005F567F"/>
    <w:rsid w:val="00622341"/>
    <w:rsid w:val="00624E60"/>
    <w:rsid w:val="0063621F"/>
    <w:rsid w:val="006410B9"/>
    <w:rsid w:val="006414A2"/>
    <w:rsid w:val="006477B7"/>
    <w:rsid w:val="00652D51"/>
    <w:rsid w:val="00663D9C"/>
    <w:rsid w:val="00664BB3"/>
    <w:rsid w:val="00673E8E"/>
    <w:rsid w:val="00683C12"/>
    <w:rsid w:val="00686108"/>
    <w:rsid w:val="006904FB"/>
    <w:rsid w:val="006A5A7E"/>
    <w:rsid w:val="006B22B3"/>
    <w:rsid w:val="006B46C7"/>
    <w:rsid w:val="006B6591"/>
    <w:rsid w:val="006C308C"/>
    <w:rsid w:val="006C48A1"/>
    <w:rsid w:val="006E5EEF"/>
    <w:rsid w:val="00701CE7"/>
    <w:rsid w:val="00707D9F"/>
    <w:rsid w:val="00715453"/>
    <w:rsid w:val="0072046D"/>
    <w:rsid w:val="007227C8"/>
    <w:rsid w:val="0072366F"/>
    <w:rsid w:val="00723AA0"/>
    <w:rsid w:val="00725D96"/>
    <w:rsid w:val="00726DEC"/>
    <w:rsid w:val="007357A4"/>
    <w:rsid w:val="00740626"/>
    <w:rsid w:val="0075496E"/>
    <w:rsid w:val="00764D25"/>
    <w:rsid w:val="00791AC5"/>
    <w:rsid w:val="00793DDB"/>
    <w:rsid w:val="007A3F7F"/>
    <w:rsid w:val="007A45AA"/>
    <w:rsid w:val="007A6DDF"/>
    <w:rsid w:val="007B00BD"/>
    <w:rsid w:val="007C1375"/>
    <w:rsid w:val="007C62CD"/>
    <w:rsid w:val="007C66C3"/>
    <w:rsid w:val="007E47CF"/>
    <w:rsid w:val="007F070D"/>
    <w:rsid w:val="007F35C0"/>
    <w:rsid w:val="007F3742"/>
    <w:rsid w:val="0081077C"/>
    <w:rsid w:val="00813634"/>
    <w:rsid w:val="008358AF"/>
    <w:rsid w:val="0085162A"/>
    <w:rsid w:val="008516E8"/>
    <w:rsid w:val="00856F94"/>
    <w:rsid w:val="00884817"/>
    <w:rsid w:val="008B00AA"/>
    <w:rsid w:val="008E56E5"/>
    <w:rsid w:val="008F4923"/>
    <w:rsid w:val="008F5C82"/>
    <w:rsid w:val="008F7DA9"/>
    <w:rsid w:val="009010A3"/>
    <w:rsid w:val="009034F8"/>
    <w:rsid w:val="00905C3D"/>
    <w:rsid w:val="00912506"/>
    <w:rsid w:val="00917F05"/>
    <w:rsid w:val="009227B4"/>
    <w:rsid w:val="00926B24"/>
    <w:rsid w:val="009353A3"/>
    <w:rsid w:val="0093577E"/>
    <w:rsid w:val="009363CD"/>
    <w:rsid w:val="00945F6E"/>
    <w:rsid w:val="009526E4"/>
    <w:rsid w:val="00965B81"/>
    <w:rsid w:val="0097196E"/>
    <w:rsid w:val="009733B0"/>
    <w:rsid w:val="00977303"/>
    <w:rsid w:val="00981CA9"/>
    <w:rsid w:val="0099366E"/>
    <w:rsid w:val="00993DC1"/>
    <w:rsid w:val="009A2264"/>
    <w:rsid w:val="009C2DDF"/>
    <w:rsid w:val="009D65D3"/>
    <w:rsid w:val="009F30F5"/>
    <w:rsid w:val="00A161F2"/>
    <w:rsid w:val="00A3760D"/>
    <w:rsid w:val="00A42364"/>
    <w:rsid w:val="00A45656"/>
    <w:rsid w:val="00A63621"/>
    <w:rsid w:val="00A74DCE"/>
    <w:rsid w:val="00AB2D44"/>
    <w:rsid w:val="00AB5008"/>
    <w:rsid w:val="00AC497F"/>
    <w:rsid w:val="00AD2113"/>
    <w:rsid w:val="00AE2198"/>
    <w:rsid w:val="00AE3872"/>
    <w:rsid w:val="00AE43BF"/>
    <w:rsid w:val="00AE6814"/>
    <w:rsid w:val="00AF3030"/>
    <w:rsid w:val="00B10724"/>
    <w:rsid w:val="00B116C5"/>
    <w:rsid w:val="00B13E9B"/>
    <w:rsid w:val="00B22A5D"/>
    <w:rsid w:val="00B434A8"/>
    <w:rsid w:val="00B44383"/>
    <w:rsid w:val="00B473C2"/>
    <w:rsid w:val="00B65D8D"/>
    <w:rsid w:val="00B73AB7"/>
    <w:rsid w:val="00B931EE"/>
    <w:rsid w:val="00BA1594"/>
    <w:rsid w:val="00BA1F16"/>
    <w:rsid w:val="00BA4C83"/>
    <w:rsid w:val="00BA669E"/>
    <w:rsid w:val="00BB1589"/>
    <w:rsid w:val="00BF4780"/>
    <w:rsid w:val="00C02328"/>
    <w:rsid w:val="00C0435E"/>
    <w:rsid w:val="00C07463"/>
    <w:rsid w:val="00C11B1E"/>
    <w:rsid w:val="00C23E09"/>
    <w:rsid w:val="00C362E3"/>
    <w:rsid w:val="00C4024E"/>
    <w:rsid w:val="00C40623"/>
    <w:rsid w:val="00C56FFF"/>
    <w:rsid w:val="00C578B1"/>
    <w:rsid w:val="00C63B6D"/>
    <w:rsid w:val="00C672B5"/>
    <w:rsid w:val="00C6775A"/>
    <w:rsid w:val="00C70942"/>
    <w:rsid w:val="00C80E81"/>
    <w:rsid w:val="00C95C24"/>
    <w:rsid w:val="00CA5C6A"/>
    <w:rsid w:val="00CB5D30"/>
    <w:rsid w:val="00CC0334"/>
    <w:rsid w:val="00CE0C01"/>
    <w:rsid w:val="00CE0FC8"/>
    <w:rsid w:val="00CE1127"/>
    <w:rsid w:val="00D01794"/>
    <w:rsid w:val="00D02FA5"/>
    <w:rsid w:val="00D11A91"/>
    <w:rsid w:val="00D15C3D"/>
    <w:rsid w:val="00D177C5"/>
    <w:rsid w:val="00D21A00"/>
    <w:rsid w:val="00D22B9C"/>
    <w:rsid w:val="00D26D1E"/>
    <w:rsid w:val="00D33145"/>
    <w:rsid w:val="00D34498"/>
    <w:rsid w:val="00D55A55"/>
    <w:rsid w:val="00D63FE6"/>
    <w:rsid w:val="00D80D4B"/>
    <w:rsid w:val="00D8568C"/>
    <w:rsid w:val="00D86DA9"/>
    <w:rsid w:val="00D91978"/>
    <w:rsid w:val="00DA1CBF"/>
    <w:rsid w:val="00DA4F75"/>
    <w:rsid w:val="00DB4952"/>
    <w:rsid w:val="00DC08FB"/>
    <w:rsid w:val="00DD27C9"/>
    <w:rsid w:val="00DD67E0"/>
    <w:rsid w:val="00DF5919"/>
    <w:rsid w:val="00E07430"/>
    <w:rsid w:val="00E079E9"/>
    <w:rsid w:val="00E11A65"/>
    <w:rsid w:val="00E24025"/>
    <w:rsid w:val="00E25137"/>
    <w:rsid w:val="00E400FF"/>
    <w:rsid w:val="00E676F9"/>
    <w:rsid w:val="00E755C6"/>
    <w:rsid w:val="00E76583"/>
    <w:rsid w:val="00E84AEC"/>
    <w:rsid w:val="00EA0115"/>
    <w:rsid w:val="00EA117D"/>
    <w:rsid w:val="00EA4DE3"/>
    <w:rsid w:val="00EA563E"/>
    <w:rsid w:val="00EC102D"/>
    <w:rsid w:val="00EC6917"/>
    <w:rsid w:val="00ED11A6"/>
    <w:rsid w:val="00ED65CA"/>
    <w:rsid w:val="00EF1BE1"/>
    <w:rsid w:val="00EF426A"/>
    <w:rsid w:val="00F00036"/>
    <w:rsid w:val="00F12CA3"/>
    <w:rsid w:val="00F1648E"/>
    <w:rsid w:val="00F174B2"/>
    <w:rsid w:val="00F17B74"/>
    <w:rsid w:val="00F312CB"/>
    <w:rsid w:val="00F835C0"/>
    <w:rsid w:val="00F85617"/>
    <w:rsid w:val="00F86162"/>
    <w:rsid w:val="00FA3476"/>
    <w:rsid w:val="00FB1940"/>
    <w:rsid w:val="00FB55A5"/>
    <w:rsid w:val="00FB7BF4"/>
    <w:rsid w:val="00FC0760"/>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uiPriority w:val="99"/>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qFormat/>
    <w:pPr>
      <w:keepNext/>
      <w:keepLines/>
      <w:tabs>
        <w:tab w:val="left" w:pos="1418"/>
      </w:tabs>
      <w:ind w:left="1418" w:hanging="567"/>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qFormat/>
    <w:pPr>
      <w:keepNext/>
      <w:keepLines/>
      <w:tabs>
        <w:tab w:val="left" w:pos="1418"/>
        <w:tab w:val="left" w:pos="2127"/>
      </w:tabs>
      <w:ind w:left="2127" w:hanging="709"/>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tabs>
        <w:tab w:val="left" w:pos="3119"/>
      </w:tabs>
      <w:ind w:left="3119" w:hanging="991"/>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tabs>
        <w:tab w:val="left" w:pos="2127"/>
      </w:tabs>
      <w:spacing w:after="120"/>
      <w:ind w:left="2127" w:hanging="709"/>
      <w:outlineLvl w:val="4"/>
    </w:p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
    <w:basedOn w:val="Normal"/>
    <w:link w:val="Heading7Char"/>
    <w:qFormat/>
    <w:rsid w:val="008B00AA"/>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6"/>
    </w:pPr>
    <w:rPr>
      <w:rFonts w:ascii="Arial" w:eastAsia="STZhongsong" w:hAnsi="Arial"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8B00AA"/>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7"/>
    </w:pPr>
    <w:rPr>
      <w:rFonts w:ascii="Arial" w:eastAsia="STZhongsong" w:hAnsi="Arial"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8B00AA"/>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8"/>
    </w:pPr>
    <w:rPr>
      <w:rFonts w:ascii="Arial" w:eastAsia="STZhongsong" w:hAnsi="Arial"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8B00AA"/>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8B00AA"/>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8B00AA"/>
    <w:rPr>
      <w:rFonts w:ascii="Arial" w:eastAsia="STZhongsong" w:hAnsi="Arial" w:cs="Times New Roman"/>
      <w:color w:val="auto"/>
      <w:szCs w:val="20"/>
      <w:lang w:eastAsia="zh-CN"/>
    </w:rPr>
  </w:style>
  <w:style w:type="table" w:styleId="TableGrid">
    <w:name w:val="Table Grid"/>
    <w:basedOn w:val="TableNormal"/>
    <w:uiPriority w:val="59"/>
    <w:rsid w:val="008B00AA"/>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473079">
      <w:bodyDiv w:val="1"/>
      <w:marLeft w:val="0"/>
      <w:marRight w:val="0"/>
      <w:marTop w:val="0"/>
      <w:marBottom w:val="0"/>
      <w:divBdr>
        <w:top w:val="none" w:sz="0" w:space="0" w:color="auto"/>
        <w:left w:val="none" w:sz="0" w:space="0" w:color="auto"/>
        <w:bottom w:val="none" w:sz="0" w:space="0" w:color="auto"/>
        <w:right w:val="none" w:sz="0" w:space="0" w:color="auto"/>
      </w:divBdr>
    </w:div>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312442036">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 w:id="2094275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084EC-93B5-4D07-81FC-EBAEB1E2F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3027</Words>
  <Characters>17256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Caroline Bradshaw</cp:lastModifiedBy>
  <cp:revision>3</cp:revision>
  <cp:lastPrinted>2018-01-30T21:31:00Z</cp:lastPrinted>
  <dcterms:created xsi:type="dcterms:W3CDTF">2020-09-21T09:48:00Z</dcterms:created>
  <dcterms:modified xsi:type="dcterms:W3CDTF">2020-09-21T09:53:00Z</dcterms:modified>
</cp:coreProperties>
</file>