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D5C" w:rsidRDefault="00052D5C"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052D5C" w:rsidRDefault="00052D5C" w:rsidP="00014683"/>
                          <w:p w:rsidR="00052D5C" w:rsidRDefault="00052D5C" w:rsidP="00014683"/>
                          <w:p w:rsidR="00052D5C" w:rsidRDefault="00052D5C" w:rsidP="00014683"/>
                          <w:p w:rsidR="00052D5C" w:rsidRDefault="00052D5C" w:rsidP="00014683"/>
                          <w:p w:rsidR="00052D5C" w:rsidRDefault="00052D5C" w:rsidP="00014683"/>
                          <w:p w:rsidR="00052D5C" w:rsidRDefault="00052D5C"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052D5C" w:rsidRDefault="00052D5C" w:rsidP="00014683"/>
                          <w:p w:rsidR="00052D5C" w:rsidRDefault="00052D5C" w:rsidP="00014683">
                            <w:pPr>
                              <w:rPr>
                                <w:sz w:val="12"/>
                                <w:szCs w:val="12"/>
                              </w:rPr>
                            </w:pPr>
                          </w:p>
                          <w:p w:rsidR="00052D5C" w:rsidRDefault="00052D5C" w:rsidP="00014683">
                            <w:pPr>
                              <w:rPr>
                                <w:sz w:val="12"/>
                                <w:szCs w:val="12"/>
                              </w:rPr>
                            </w:pPr>
                          </w:p>
                          <w:p w:rsidR="00052D5C" w:rsidRPr="00CF0E13" w:rsidRDefault="00052D5C" w:rsidP="00014683">
                            <w:pPr>
                              <w:rPr>
                                <w:sz w:val="12"/>
                                <w:szCs w:val="12"/>
                              </w:rPr>
                            </w:pPr>
                          </w:p>
                          <w:p w:rsidR="00052D5C" w:rsidRDefault="00052D5C" w:rsidP="00014683">
                            <w:pPr>
                              <w:rPr>
                                <w:sz w:val="16"/>
                                <w:szCs w:val="16"/>
                              </w:rPr>
                            </w:pPr>
                          </w:p>
                          <w:p w:rsidR="00052D5C" w:rsidRPr="00CF0E13" w:rsidRDefault="00052D5C" w:rsidP="00014683">
                            <w:pPr>
                              <w:rPr>
                                <w:sz w:val="12"/>
                                <w:szCs w:val="12"/>
                              </w:rPr>
                            </w:pPr>
                          </w:p>
                          <w:p w:rsidR="00052D5C" w:rsidRDefault="00052D5C" w:rsidP="00014683"/>
                          <w:p w:rsidR="00052D5C" w:rsidRPr="00613154" w:rsidRDefault="00052D5C" w:rsidP="00014683">
                            <w:pPr>
                              <w:rPr>
                                <w:sz w:val="16"/>
                                <w:szCs w:val="16"/>
                              </w:rPr>
                            </w:pPr>
                          </w:p>
                          <w:p w:rsidR="00052D5C" w:rsidRDefault="00052D5C" w:rsidP="00014683"/>
                          <w:p w:rsidR="00052D5C" w:rsidRDefault="00052D5C"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052D5C" w:rsidRDefault="00052D5C"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052D5C" w:rsidRDefault="00052D5C" w:rsidP="00014683"/>
                    <w:p w:rsidR="00052D5C" w:rsidRDefault="00052D5C" w:rsidP="00014683"/>
                    <w:p w:rsidR="00052D5C" w:rsidRDefault="00052D5C" w:rsidP="00014683"/>
                    <w:p w:rsidR="00052D5C" w:rsidRDefault="00052D5C" w:rsidP="00014683"/>
                    <w:p w:rsidR="00052D5C" w:rsidRDefault="00052D5C" w:rsidP="00014683"/>
                    <w:p w:rsidR="00052D5C" w:rsidRDefault="00052D5C"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052D5C" w:rsidRDefault="00052D5C" w:rsidP="00014683"/>
                    <w:p w:rsidR="00052D5C" w:rsidRDefault="00052D5C" w:rsidP="00014683">
                      <w:pPr>
                        <w:rPr>
                          <w:sz w:val="12"/>
                          <w:szCs w:val="12"/>
                        </w:rPr>
                      </w:pPr>
                    </w:p>
                    <w:p w:rsidR="00052D5C" w:rsidRDefault="00052D5C" w:rsidP="00014683">
                      <w:pPr>
                        <w:rPr>
                          <w:sz w:val="12"/>
                          <w:szCs w:val="12"/>
                        </w:rPr>
                      </w:pPr>
                    </w:p>
                    <w:p w:rsidR="00052D5C" w:rsidRPr="00CF0E13" w:rsidRDefault="00052D5C" w:rsidP="00014683">
                      <w:pPr>
                        <w:rPr>
                          <w:sz w:val="12"/>
                          <w:szCs w:val="12"/>
                        </w:rPr>
                      </w:pPr>
                    </w:p>
                    <w:p w:rsidR="00052D5C" w:rsidRDefault="00052D5C" w:rsidP="00014683">
                      <w:pPr>
                        <w:rPr>
                          <w:sz w:val="16"/>
                          <w:szCs w:val="16"/>
                        </w:rPr>
                      </w:pPr>
                    </w:p>
                    <w:p w:rsidR="00052D5C" w:rsidRPr="00CF0E13" w:rsidRDefault="00052D5C" w:rsidP="00014683">
                      <w:pPr>
                        <w:rPr>
                          <w:sz w:val="12"/>
                          <w:szCs w:val="12"/>
                        </w:rPr>
                      </w:pPr>
                    </w:p>
                    <w:p w:rsidR="00052D5C" w:rsidRDefault="00052D5C" w:rsidP="00014683"/>
                    <w:p w:rsidR="00052D5C" w:rsidRPr="00613154" w:rsidRDefault="00052D5C" w:rsidP="00014683">
                      <w:pPr>
                        <w:rPr>
                          <w:sz w:val="16"/>
                          <w:szCs w:val="16"/>
                        </w:rPr>
                      </w:pPr>
                    </w:p>
                    <w:p w:rsidR="00052D5C" w:rsidRDefault="00052D5C" w:rsidP="00014683"/>
                    <w:p w:rsidR="00052D5C" w:rsidRDefault="00052D5C"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00B007B3">
        <w:rPr>
          <w:rFonts w:cs="Arial"/>
          <w:b/>
          <w:sz w:val="22"/>
          <w:szCs w:val="22"/>
        </w:rPr>
        <w:t xml:space="preserve">NATIONAL MUSEUMS </w:t>
      </w:r>
      <w:r w:rsidRPr="003C713A">
        <w:rPr>
          <w:rFonts w:cs="Arial"/>
          <w:b/>
          <w:sz w:val="22"/>
          <w:szCs w:val="22"/>
        </w:rPr>
        <w:t>LIVERPOOL</w:t>
      </w:r>
    </w:p>
    <w:p w:rsidR="003F7D70" w:rsidRDefault="003F7D70" w:rsidP="00782561">
      <w:pPr>
        <w:tabs>
          <w:tab w:val="left" w:pos="3969"/>
          <w:tab w:val="left" w:pos="6946"/>
        </w:tabs>
        <w:ind w:left="3969" w:right="1319"/>
        <w:jc w:val="left"/>
        <w:rPr>
          <w:rFonts w:cs="Arial"/>
          <w:b/>
          <w:sz w:val="22"/>
          <w:szCs w:val="22"/>
        </w:rPr>
      </w:pPr>
    </w:p>
    <w:p w:rsidR="00F309AD" w:rsidRPr="00B007B3" w:rsidRDefault="00C54EDE" w:rsidP="00C54EDE">
      <w:pPr>
        <w:pStyle w:val="Appendixtext"/>
        <w:spacing w:after="0" w:line="288" w:lineRule="auto"/>
        <w:ind w:left="3969"/>
        <w:rPr>
          <w:rFonts w:cs="Arial"/>
          <w:b/>
          <w:sz w:val="22"/>
          <w:szCs w:val="22"/>
        </w:rPr>
      </w:pPr>
      <w:r w:rsidRPr="00B007B3">
        <w:rPr>
          <w:rFonts w:cs="Arial"/>
          <w:b/>
          <w:sz w:val="22"/>
          <w:szCs w:val="22"/>
        </w:rPr>
        <w:t>‘</w:t>
      </w:r>
      <w:r w:rsidR="00E87669" w:rsidRPr="00B007B3">
        <w:rPr>
          <w:rFonts w:cs="Arial"/>
          <w:b/>
          <w:sz w:val="22"/>
          <w:szCs w:val="22"/>
        </w:rPr>
        <w:t>Environmental Conditioning Equipment’</w:t>
      </w:r>
    </w:p>
    <w:p w:rsidR="00012C91" w:rsidRPr="003C713A" w:rsidRDefault="00012C91" w:rsidP="003F7D70">
      <w:pPr>
        <w:spacing w:line="288" w:lineRule="auto"/>
        <w:rPr>
          <w:rFonts w:cs="Arial"/>
          <w:sz w:val="22"/>
          <w:szCs w:val="22"/>
        </w:rPr>
      </w:pPr>
    </w:p>
    <w:p w:rsidR="00012C91" w:rsidRPr="00B007B3"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B007B3" w:rsidRPr="00B007B3">
        <w:rPr>
          <w:rFonts w:cs="Arial"/>
          <w:sz w:val="22"/>
          <w:szCs w:val="22"/>
        </w:rPr>
        <w:t xml:space="preserve">Steve Newman &amp; </w:t>
      </w:r>
      <w:r w:rsidR="00E87669" w:rsidRPr="00B007B3">
        <w:rPr>
          <w:rFonts w:cs="Arial"/>
          <w:sz w:val="22"/>
          <w:szCs w:val="22"/>
        </w:rPr>
        <w:t>Gemma Dolan</w:t>
      </w:r>
    </w:p>
    <w:p w:rsidR="00012C91" w:rsidRPr="00B007B3" w:rsidRDefault="00E746AC" w:rsidP="005B2B0D">
      <w:pPr>
        <w:spacing w:before="120" w:line="288" w:lineRule="auto"/>
        <w:ind w:left="3969"/>
        <w:rPr>
          <w:rFonts w:cs="Arial"/>
          <w:sz w:val="22"/>
          <w:szCs w:val="22"/>
        </w:rPr>
      </w:pPr>
      <w:r w:rsidRPr="00B007B3">
        <w:rPr>
          <w:rFonts w:cs="Arial"/>
          <w:b/>
          <w:sz w:val="22"/>
          <w:szCs w:val="22"/>
        </w:rPr>
        <w:t>Date:</w:t>
      </w:r>
      <w:r w:rsidR="00FD44F8" w:rsidRPr="00B007B3">
        <w:rPr>
          <w:rFonts w:cs="Arial"/>
          <w:sz w:val="22"/>
          <w:szCs w:val="22"/>
        </w:rPr>
        <w:t xml:space="preserve"> </w:t>
      </w:r>
      <w:r w:rsidR="00247233" w:rsidRPr="00B007B3">
        <w:rPr>
          <w:rFonts w:cs="Arial"/>
          <w:sz w:val="22"/>
          <w:szCs w:val="22"/>
        </w:rPr>
        <w:t>16</w:t>
      </w:r>
      <w:r w:rsidR="00E87669" w:rsidRPr="00B007B3">
        <w:rPr>
          <w:rFonts w:cs="Arial"/>
          <w:sz w:val="22"/>
          <w:szCs w:val="22"/>
        </w:rPr>
        <w:t>/11/2017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EB5A9D">
        <w:t>3</w:t>
      </w:r>
    </w:p>
    <w:p w:rsidR="003D10E0" w:rsidRDefault="003D10E0" w:rsidP="003D10E0">
      <w:pPr>
        <w:pStyle w:val="ListParagraph"/>
      </w:pPr>
      <w:r>
        <w:t>1.1</w:t>
      </w:r>
      <w:r>
        <w:tab/>
        <w:t>Company Background</w:t>
      </w:r>
      <w:r>
        <w:tab/>
      </w:r>
      <w:r>
        <w:tab/>
      </w:r>
      <w:r>
        <w:tab/>
      </w:r>
      <w:r>
        <w:tab/>
      </w:r>
      <w:r>
        <w:tab/>
      </w:r>
      <w:r w:rsidR="00EB5A9D">
        <w:t>3</w:t>
      </w:r>
    </w:p>
    <w:p w:rsidR="003D10E0" w:rsidRDefault="001633F4" w:rsidP="003D10E0">
      <w:pPr>
        <w:pStyle w:val="ListParagraph"/>
      </w:pPr>
      <w:r>
        <w:t>1.2</w:t>
      </w:r>
      <w:r>
        <w:tab/>
        <w:t>Project Background</w:t>
      </w:r>
      <w:r>
        <w:tab/>
      </w:r>
      <w:r>
        <w:tab/>
      </w:r>
      <w:r>
        <w:tab/>
      </w:r>
      <w:r>
        <w:tab/>
      </w:r>
      <w:r>
        <w:tab/>
      </w:r>
      <w:r w:rsidR="00EB5A9D">
        <w:t>3</w:t>
      </w:r>
    </w:p>
    <w:p w:rsidR="003D10E0" w:rsidRDefault="003D10E0" w:rsidP="003D10E0">
      <w:pPr>
        <w:pStyle w:val="ListParagraph"/>
      </w:pPr>
      <w:r>
        <w:t>1.3</w:t>
      </w:r>
      <w:r>
        <w:tab/>
        <w:t>High Level Overview of Re</w:t>
      </w:r>
      <w:r w:rsidR="001633F4">
        <w:t>quirements</w:t>
      </w:r>
      <w:r w:rsidR="001633F4">
        <w:tab/>
      </w:r>
      <w:r w:rsidR="001633F4">
        <w:tab/>
      </w:r>
      <w:r w:rsidR="001633F4">
        <w:tab/>
        <w:t>4</w:t>
      </w:r>
    </w:p>
    <w:p w:rsidR="00097D5A" w:rsidRDefault="00097D5A" w:rsidP="003D10E0">
      <w:pPr>
        <w:pStyle w:val="ListParagraph"/>
      </w:pPr>
      <w:r>
        <w:t>1.4</w:t>
      </w:r>
      <w:r>
        <w:tab/>
      </w:r>
      <w:r w:rsidR="008048E0">
        <w:t>Existing Solution</w:t>
      </w:r>
      <w:r w:rsidR="007D2610">
        <w:tab/>
      </w:r>
      <w:r w:rsidR="007D2610">
        <w:tab/>
      </w:r>
      <w:r w:rsidR="007D2610">
        <w:tab/>
      </w:r>
      <w:r w:rsidR="007D2610">
        <w:tab/>
      </w:r>
      <w:r w:rsidR="007D2610">
        <w:tab/>
      </w:r>
      <w:r w:rsidR="007D2610">
        <w:tab/>
      </w:r>
      <w:r w:rsidR="001633F4">
        <w:t>4</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1633F4">
        <w:t>5</w:t>
      </w:r>
    </w:p>
    <w:p w:rsidR="008048E0" w:rsidRDefault="008048E0" w:rsidP="008048E0">
      <w:pPr>
        <w:pStyle w:val="ListParagraph"/>
      </w:pPr>
      <w:r>
        <w:t>2.1</w:t>
      </w:r>
      <w:r>
        <w:tab/>
        <w:t>Introduction</w:t>
      </w:r>
      <w:r>
        <w:tab/>
      </w:r>
      <w:r>
        <w:tab/>
      </w:r>
      <w:r>
        <w:tab/>
      </w:r>
      <w:r>
        <w:tab/>
      </w:r>
      <w:r>
        <w:tab/>
      </w:r>
      <w:r>
        <w:tab/>
      </w:r>
      <w:r w:rsidR="001633F4">
        <w:t>5</w:t>
      </w:r>
    </w:p>
    <w:p w:rsidR="009F4167" w:rsidRDefault="009F4167"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1633F4">
        <w:t>5</w:t>
      </w:r>
    </w:p>
    <w:p w:rsidR="008048E0" w:rsidRDefault="008048E0" w:rsidP="008048E0">
      <w:pPr>
        <w:pStyle w:val="ListParagraph"/>
      </w:pPr>
      <w:r>
        <w:t>2.</w:t>
      </w:r>
      <w:r w:rsidR="009F4167">
        <w:t>4</w:t>
      </w:r>
      <w:r>
        <w:tab/>
        <w:t>Accuracy of Information and Liability of NML</w:t>
      </w:r>
      <w:r>
        <w:tab/>
      </w:r>
      <w:r>
        <w:tab/>
      </w:r>
      <w:r>
        <w:tab/>
      </w:r>
      <w:r w:rsidR="00B132D5">
        <w:t>6</w:t>
      </w:r>
    </w:p>
    <w:p w:rsidR="008048E0" w:rsidRDefault="008048E0" w:rsidP="008048E0">
      <w:pPr>
        <w:pStyle w:val="ListParagraph"/>
      </w:pPr>
      <w:r>
        <w:t>2.</w:t>
      </w:r>
      <w:r w:rsidR="009F4167">
        <w:t>5</w:t>
      </w:r>
      <w:r>
        <w:tab/>
      </w:r>
      <w:r w:rsidR="00EB7FAE">
        <w:t>Cost of Preparation</w:t>
      </w:r>
      <w:r>
        <w:tab/>
      </w:r>
      <w:r>
        <w:tab/>
      </w:r>
      <w:r>
        <w:tab/>
      </w:r>
      <w:r>
        <w:tab/>
      </w:r>
      <w:r>
        <w:tab/>
      </w:r>
      <w:r w:rsidR="001633F4">
        <w:t>6</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132D5">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132D5">
        <w:t>7</w:t>
      </w:r>
    </w:p>
    <w:p w:rsidR="00EB7FAE" w:rsidRDefault="00EB7FAE" w:rsidP="00EB7FAE">
      <w:pPr>
        <w:pStyle w:val="ListParagraph"/>
      </w:pPr>
      <w:r>
        <w:t>2.</w:t>
      </w:r>
      <w:r w:rsidR="009F4167">
        <w:t>8</w:t>
      </w:r>
      <w:r>
        <w:tab/>
        <w:t>Payments Against a Contract Award</w:t>
      </w:r>
      <w:r>
        <w:tab/>
      </w:r>
      <w:r>
        <w:tab/>
      </w:r>
      <w:r>
        <w:tab/>
      </w:r>
      <w:r>
        <w:tab/>
      </w:r>
      <w:r w:rsidR="00B132D5">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132D5">
        <w:t>7</w:t>
      </w:r>
    </w:p>
    <w:p w:rsidR="00EB7FAE" w:rsidRDefault="00EB7FAE" w:rsidP="00EB7FAE">
      <w:pPr>
        <w:pStyle w:val="ListParagraph"/>
      </w:pPr>
      <w:r>
        <w:t>2.</w:t>
      </w:r>
      <w:r w:rsidR="009F4167">
        <w:t>10</w:t>
      </w:r>
      <w:r>
        <w:tab/>
        <w:t>Amendments to the Tender</w:t>
      </w:r>
      <w:r>
        <w:tab/>
      </w:r>
      <w:r>
        <w:tab/>
      </w:r>
      <w:r>
        <w:tab/>
      </w:r>
      <w:r>
        <w:tab/>
      </w:r>
      <w:r>
        <w:tab/>
      </w:r>
      <w:r w:rsidR="00B132D5">
        <w:t>7</w:t>
      </w:r>
    </w:p>
    <w:p w:rsidR="009F4167" w:rsidRDefault="009F4167" w:rsidP="009F4167">
      <w:pPr>
        <w:pStyle w:val="ListParagraph"/>
      </w:pPr>
      <w:r>
        <w:t>2.11</w:t>
      </w:r>
      <w:r>
        <w:tab/>
        <w:t>Responding to the Tender</w:t>
      </w:r>
      <w:r>
        <w:tab/>
      </w:r>
      <w:r>
        <w:tab/>
      </w:r>
      <w:r>
        <w:tab/>
      </w:r>
      <w:r>
        <w:tab/>
      </w:r>
      <w:r>
        <w:tab/>
      </w:r>
      <w:r w:rsidR="00B132D5">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B132D5">
        <w:t>9</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886F0A">
        <w:tab/>
      </w:r>
      <w:r w:rsidR="00B132D5">
        <w:t>9</w:t>
      </w:r>
    </w:p>
    <w:p w:rsidR="00535C01" w:rsidRDefault="001633F4" w:rsidP="00535C01">
      <w:pPr>
        <w:pStyle w:val="ListParagraph"/>
      </w:pPr>
      <w:r>
        <w:t>3.2</w:t>
      </w:r>
      <w:r>
        <w:tab/>
        <w:t>Site Visits</w:t>
      </w:r>
      <w:r>
        <w:tab/>
      </w:r>
      <w:r>
        <w:tab/>
      </w:r>
      <w:r>
        <w:tab/>
      </w:r>
      <w:r>
        <w:tab/>
      </w:r>
      <w:r>
        <w:tab/>
      </w:r>
      <w:r>
        <w:tab/>
      </w:r>
      <w:r w:rsidR="00B132D5">
        <w:t>9</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B132D5">
        <w:t>9</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B132D5">
        <w:t>9</w:t>
      </w:r>
      <w:r w:rsidR="00084C2C">
        <w:tab/>
      </w:r>
    </w:p>
    <w:p w:rsidR="006F0DF0" w:rsidRDefault="00247233" w:rsidP="006F0DF0">
      <w:pPr>
        <w:pStyle w:val="ListParagraph"/>
      </w:pPr>
      <w:r>
        <w:t>3.5</w:t>
      </w:r>
      <w:r w:rsidR="001633F4">
        <w:tab/>
      </w:r>
      <w:r w:rsidR="005234D2">
        <w:t xml:space="preserve">Bidder  </w:t>
      </w:r>
      <w:r w:rsidR="001633F4">
        <w:t>Evaluation</w:t>
      </w:r>
      <w:r w:rsidR="001633F4">
        <w:tab/>
      </w:r>
      <w:r w:rsidR="001633F4">
        <w:tab/>
      </w:r>
      <w:r w:rsidR="001633F4">
        <w:tab/>
      </w:r>
      <w:r w:rsidR="001633F4">
        <w:tab/>
      </w:r>
      <w:r w:rsidR="001633F4">
        <w:tab/>
      </w:r>
      <w:r w:rsidR="001633F4">
        <w:tab/>
      </w:r>
      <w:r w:rsidR="00B132D5">
        <w:t>10</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B132D5">
        <w:t>1</w:t>
      </w:r>
      <w:r w:rsidR="005234D2">
        <w:t>1</w:t>
      </w:r>
    </w:p>
    <w:p w:rsidR="00084C2C" w:rsidRDefault="001633F4" w:rsidP="00EB7FAE">
      <w:pPr>
        <w:pStyle w:val="ListParagraph"/>
      </w:pPr>
      <w:r>
        <w:t>4.1</w:t>
      </w:r>
      <w:r>
        <w:tab/>
        <w:t>Introduction</w:t>
      </w:r>
      <w:r>
        <w:tab/>
      </w:r>
      <w:r>
        <w:tab/>
      </w:r>
      <w:r>
        <w:tab/>
      </w:r>
      <w:r>
        <w:tab/>
      </w:r>
      <w:r>
        <w:tab/>
      </w:r>
      <w:r>
        <w:tab/>
      </w:r>
      <w:r w:rsidR="00B132D5">
        <w:t>1</w:t>
      </w:r>
      <w:r w:rsidR="005234D2">
        <w:t>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B132D5">
        <w:t>1</w:t>
      </w:r>
      <w:r w:rsidR="005234D2">
        <w:t>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B132D5">
        <w:t>1</w:t>
      </w:r>
      <w:r w:rsidR="005234D2">
        <w:t>1</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B132D5">
        <w:t>1</w:t>
      </w:r>
      <w:r w:rsidR="005234D2">
        <w:t>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5234D2">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5234D2">
        <w:t>2</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5234D2">
        <w:t>2</w:t>
      </w:r>
    </w:p>
    <w:p w:rsidR="00EB7FAE" w:rsidRDefault="001633F4" w:rsidP="001633F4">
      <w:pPr>
        <w:ind w:firstLine="709"/>
      </w:pPr>
      <w:r>
        <w:t>4.4</w:t>
      </w:r>
      <w:r w:rsidR="00EB7FAE">
        <w:tab/>
        <w:t>NML Security and Health &amp; Safety Requirements</w:t>
      </w:r>
      <w:r w:rsidR="00EB7FAE">
        <w:tab/>
      </w:r>
      <w:r>
        <w:tab/>
        <w:t>1</w:t>
      </w:r>
      <w:r w:rsidR="005234D2">
        <w:t>2</w:t>
      </w:r>
    </w:p>
    <w:p w:rsidR="009C597D" w:rsidRDefault="009C597D" w:rsidP="009C597D">
      <w:pPr>
        <w:ind w:firstLine="709"/>
      </w:pPr>
      <w:r>
        <w:t>4.5</w:t>
      </w:r>
      <w:r>
        <w:tab/>
        <w:t>NML Procurement P</w:t>
      </w:r>
      <w:r w:rsidR="00E36462">
        <w:t>rotocol</w:t>
      </w:r>
      <w:r>
        <w:tab/>
      </w:r>
      <w:r>
        <w:tab/>
      </w:r>
      <w:r>
        <w:tab/>
      </w:r>
      <w:r>
        <w:tab/>
      </w:r>
      <w:r>
        <w:tab/>
      </w:r>
      <w:r w:rsidR="005234D2">
        <w:t>12</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rsidR="005234D2">
        <w:t>13</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rsidR="005234D2">
        <w:t>13</w:t>
      </w:r>
    </w:p>
    <w:p w:rsidR="001633F4" w:rsidRDefault="001633F4" w:rsidP="00084C2C">
      <w:pPr>
        <w:ind w:firstLine="709"/>
      </w:pPr>
      <w:r>
        <w:t>4.</w:t>
      </w:r>
      <w:r w:rsidR="005234D2">
        <w:t>8</w:t>
      </w:r>
      <w:r>
        <w:tab/>
        <w:t>Costs</w:t>
      </w:r>
      <w:r>
        <w:tab/>
      </w:r>
      <w:r>
        <w:tab/>
      </w:r>
      <w:r>
        <w:tab/>
      </w:r>
      <w:r>
        <w:tab/>
      </w:r>
      <w:r>
        <w:tab/>
      </w:r>
      <w:r>
        <w:tab/>
      </w:r>
      <w:r>
        <w:tab/>
        <w:t>1</w:t>
      </w:r>
      <w:r w:rsidR="005234D2">
        <w:t>3</w:t>
      </w:r>
    </w:p>
    <w:p w:rsidR="00841D15" w:rsidRDefault="00841D15" w:rsidP="00084C2C">
      <w:pPr>
        <w:ind w:firstLine="709"/>
      </w:pPr>
      <w:r>
        <w:t>4.</w:t>
      </w:r>
      <w:r w:rsidR="005234D2">
        <w:t>9</w:t>
      </w:r>
      <w:r>
        <w:tab/>
      </w:r>
      <w:r w:rsidRPr="00841D15">
        <w:rPr>
          <w:rFonts w:cs="Arial"/>
          <w:szCs w:val="18"/>
        </w:rPr>
        <w:t>Summary of Documents to be returned as part of Submission</w:t>
      </w:r>
      <w:r w:rsidR="005234D2">
        <w:rPr>
          <w:rFonts w:cs="Arial"/>
          <w:szCs w:val="18"/>
        </w:rPr>
        <w:tab/>
        <w:t>13</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5234D2">
        <w:t>14</w:t>
      </w:r>
    </w:p>
    <w:p w:rsidR="00EB7FAE" w:rsidRDefault="001633F4" w:rsidP="00EB7FAE">
      <w:pPr>
        <w:pStyle w:val="ListParagraph"/>
      </w:pPr>
      <w:r>
        <w:t>5</w:t>
      </w:r>
      <w:r w:rsidR="00EB7FAE">
        <w:t>.1</w:t>
      </w:r>
      <w:r w:rsidR="00EB7FAE">
        <w:tab/>
        <w:t>Requirements D</w:t>
      </w:r>
      <w:r w:rsidR="00E54672">
        <w:t>etail</w:t>
      </w:r>
      <w:r w:rsidR="00EB7FAE">
        <w:tab/>
      </w:r>
      <w:r w:rsidR="00EB7FAE">
        <w:tab/>
      </w:r>
      <w:r w:rsidR="00EB7FAE">
        <w:tab/>
      </w:r>
      <w:r w:rsidR="00EB7FAE">
        <w:tab/>
      </w:r>
      <w:r w:rsidR="005234D2">
        <w:tab/>
        <w:t>14</w:t>
      </w:r>
    </w:p>
    <w:p w:rsidR="00EB7FAE" w:rsidRDefault="001633F4" w:rsidP="00EB7FAE">
      <w:pPr>
        <w:pStyle w:val="ListParagraph"/>
      </w:pPr>
      <w:r>
        <w:t>5</w:t>
      </w:r>
      <w:r w:rsidR="00EB7FAE">
        <w:t>.2</w:t>
      </w:r>
      <w:r w:rsidR="00EB7FAE">
        <w:tab/>
      </w:r>
      <w:r w:rsidR="00E54672">
        <w:t>Requirements</w:t>
      </w:r>
      <w:r w:rsidR="00EB7FAE">
        <w:t xml:space="preserve"> Description</w:t>
      </w:r>
      <w:r w:rsidR="00EB7FAE">
        <w:tab/>
      </w:r>
      <w:r w:rsidR="00EB7FAE">
        <w:tab/>
      </w:r>
      <w:r w:rsidR="00EB7FAE">
        <w:tab/>
      </w:r>
      <w:r w:rsidR="00EB7FAE">
        <w:tab/>
      </w:r>
      <w:r w:rsidR="005234D2">
        <w:tab/>
        <w:t>14</w:t>
      </w:r>
    </w:p>
    <w:p w:rsidR="00EB7FAE" w:rsidRDefault="001633F4" w:rsidP="00EB7FAE">
      <w:pPr>
        <w:pStyle w:val="ListParagraph"/>
      </w:pPr>
      <w:r>
        <w:t>5</w:t>
      </w:r>
      <w:r w:rsidR="00EB7FAE">
        <w:t>.3</w:t>
      </w:r>
      <w:r w:rsidR="00EB7FAE">
        <w:tab/>
      </w:r>
      <w:r w:rsidR="00AB54B5">
        <w:t xml:space="preserve">Detailed Specification of </w:t>
      </w:r>
      <w:r w:rsidR="00EB7FAE">
        <w:t xml:space="preserve">Requirements </w:t>
      </w:r>
      <w:r w:rsidR="00EB7FAE">
        <w:tab/>
      </w:r>
      <w:r w:rsidR="00EB7FAE">
        <w:tab/>
      </w:r>
      <w:r w:rsidR="00EB7FAE">
        <w:tab/>
      </w:r>
      <w:r w:rsidR="005234D2">
        <w:t>14</w:t>
      </w:r>
    </w:p>
    <w:p w:rsidR="00EB7FAE" w:rsidRDefault="001633F4" w:rsidP="00EB7FAE">
      <w:pPr>
        <w:pStyle w:val="ListParagraph"/>
      </w:pPr>
      <w:r>
        <w:t>5</w:t>
      </w:r>
      <w:r w:rsidR="00EB7FAE">
        <w:t>.</w:t>
      </w:r>
      <w:r w:rsidR="00E54672">
        <w:t>4</w:t>
      </w:r>
      <w:r w:rsidR="00EB7FAE">
        <w:tab/>
      </w:r>
      <w:r w:rsidR="00AB54B5">
        <w:t xml:space="preserve">Implementation / Installation </w:t>
      </w:r>
      <w:r>
        <w:tab/>
      </w:r>
      <w:r w:rsidR="00EB7FAE">
        <w:t xml:space="preserve"> </w:t>
      </w:r>
      <w:r w:rsidR="00EB7FAE">
        <w:tab/>
      </w:r>
      <w:r w:rsidR="00EB7FAE">
        <w:tab/>
      </w:r>
      <w:r w:rsidR="00EB7FAE">
        <w:tab/>
      </w:r>
      <w:r w:rsidR="004C61A3">
        <w:t>15</w:t>
      </w:r>
    </w:p>
    <w:p w:rsidR="00AB54B5" w:rsidRDefault="001633F4" w:rsidP="00AB54B5">
      <w:pPr>
        <w:pStyle w:val="ListParagraph"/>
      </w:pPr>
      <w:r>
        <w:t>5</w:t>
      </w:r>
      <w:r w:rsidR="00E54672">
        <w:t>.5</w:t>
      </w:r>
      <w:r w:rsidR="00AB54B5">
        <w:tab/>
        <w:t>Support / Maintenance</w:t>
      </w:r>
      <w:r w:rsidR="00AB54B5">
        <w:tab/>
      </w:r>
      <w:r w:rsidR="00AB54B5">
        <w:tab/>
      </w:r>
      <w:r w:rsidR="00AB54B5">
        <w:tab/>
      </w:r>
      <w:r w:rsidR="00AB54B5">
        <w:tab/>
      </w:r>
      <w:r w:rsidR="00AB54B5">
        <w:tab/>
      </w:r>
      <w:r w:rsidR="004C61A3">
        <w:t>15</w:t>
      </w:r>
    </w:p>
    <w:p w:rsidR="004C61A3" w:rsidRDefault="00DD3F9D" w:rsidP="004C61A3">
      <w:pPr>
        <w:spacing w:before="120" w:after="120" w:line="240" w:lineRule="auto"/>
        <w:rPr>
          <w:rFonts w:cs="Arial"/>
          <w:b/>
          <w:szCs w:val="18"/>
        </w:rPr>
      </w:pPr>
      <w:r w:rsidRPr="00535C01">
        <w:rPr>
          <w:rFonts w:cs="Arial"/>
          <w:b/>
          <w:szCs w:val="18"/>
        </w:rPr>
        <w:t xml:space="preserve">Appendices </w:t>
      </w:r>
    </w:p>
    <w:p w:rsidR="005234D2" w:rsidRDefault="005234D2" w:rsidP="00C54EDE">
      <w:pPr>
        <w:tabs>
          <w:tab w:val="left" w:pos="1418"/>
        </w:tabs>
        <w:spacing w:after="120" w:line="240" w:lineRule="auto"/>
        <w:rPr>
          <w:rFonts w:cs="Arial"/>
          <w:szCs w:val="18"/>
        </w:rPr>
      </w:pPr>
      <w:r w:rsidRPr="00C54EDE">
        <w:rPr>
          <w:rFonts w:cs="Arial"/>
          <w:szCs w:val="18"/>
        </w:rPr>
        <w:t xml:space="preserve">Appendix </w:t>
      </w:r>
      <w:r>
        <w:rPr>
          <w:rFonts w:cs="Arial"/>
          <w:szCs w:val="18"/>
        </w:rPr>
        <w:t xml:space="preserve"> A</w:t>
      </w:r>
      <w:r w:rsidRPr="00C54EDE">
        <w:rPr>
          <w:rFonts w:cs="Arial"/>
          <w:szCs w:val="18"/>
        </w:rPr>
        <w:t xml:space="preserve">   –  </w:t>
      </w:r>
      <w:r w:rsidRPr="005234D2">
        <w:rPr>
          <w:rFonts w:cs="Arial"/>
          <w:szCs w:val="18"/>
        </w:rPr>
        <w:t>Appendix A - T2 Form of Tender</w:t>
      </w:r>
    </w:p>
    <w:p w:rsidR="005234D2" w:rsidRDefault="005234D2" w:rsidP="00C54EDE">
      <w:pPr>
        <w:tabs>
          <w:tab w:val="left" w:pos="1418"/>
        </w:tabs>
        <w:spacing w:after="120" w:line="240" w:lineRule="auto"/>
        <w:rPr>
          <w:rFonts w:cs="Arial"/>
          <w:szCs w:val="18"/>
        </w:rPr>
      </w:pPr>
      <w:r w:rsidRPr="00C54EDE">
        <w:rPr>
          <w:rFonts w:cs="Arial"/>
          <w:szCs w:val="18"/>
        </w:rPr>
        <w:t xml:space="preserve">Appendix </w:t>
      </w:r>
      <w:r>
        <w:rPr>
          <w:rFonts w:cs="Arial"/>
          <w:szCs w:val="18"/>
        </w:rPr>
        <w:t xml:space="preserve"> B</w:t>
      </w:r>
      <w:r w:rsidRPr="00C54EDE">
        <w:rPr>
          <w:rFonts w:cs="Arial"/>
          <w:szCs w:val="18"/>
        </w:rPr>
        <w:t xml:space="preserve">   –  </w:t>
      </w:r>
      <w:r w:rsidRPr="005234D2">
        <w:rPr>
          <w:rFonts w:cs="Arial"/>
          <w:szCs w:val="18"/>
        </w:rPr>
        <w:t>NML Procurement Protocol</w:t>
      </w:r>
    </w:p>
    <w:p w:rsidR="00C54EDE" w:rsidRPr="00C54EDE" w:rsidRDefault="00DD3F9D" w:rsidP="00C54EDE">
      <w:pPr>
        <w:tabs>
          <w:tab w:val="left" w:pos="1418"/>
        </w:tabs>
        <w:spacing w:after="120" w:line="240" w:lineRule="auto"/>
        <w:rPr>
          <w:rFonts w:cs="Arial"/>
          <w:szCs w:val="18"/>
        </w:rPr>
      </w:pPr>
      <w:r w:rsidRPr="00C54EDE">
        <w:rPr>
          <w:rFonts w:cs="Arial"/>
          <w:szCs w:val="18"/>
        </w:rPr>
        <w:t xml:space="preserve">Appendix </w:t>
      </w:r>
      <w:r w:rsidR="005234D2">
        <w:rPr>
          <w:rFonts w:cs="Arial"/>
          <w:szCs w:val="18"/>
        </w:rPr>
        <w:t xml:space="preserve"> C</w:t>
      </w:r>
      <w:r w:rsidRPr="00C54EDE">
        <w:rPr>
          <w:rFonts w:cs="Arial"/>
          <w:szCs w:val="18"/>
        </w:rPr>
        <w:t xml:space="preserve"> </w:t>
      </w:r>
      <w:r w:rsidR="00C54EDE" w:rsidRPr="00C54EDE">
        <w:rPr>
          <w:rFonts w:cs="Arial"/>
          <w:szCs w:val="18"/>
        </w:rPr>
        <w:t xml:space="preserve">  –  </w:t>
      </w:r>
      <w:r w:rsidR="005234D2" w:rsidRPr="005234D2">
        <w:rPr>
          <w:rFonts w:cs="Arial"/>
          <w:szCs w:val="18"/>
        </w:rPr>
        <w:t>Overall gallery plan &amp; three detailed plans with elevations</w:t>
      </w:r>
    </w:p>
    <w:p w:rsidR="00084C2C" w:rsidRDefault="005234D2" w:rsidP="005234D2">
      <w:pPr>
        <w:pStyle w:val="ListParagraph"/>
        <w:tabs>
          <w:tab w:val="left" w:pos="1418"/>
        </w:tabs>
        <w:spacing w:line="240" w:lineRule="auto"/>
        <w:ind w:left="1701" w:hanging="1701"/>
      </w:pPr>
      <w:r w:rsidRPr="005234D2">
        <w:rPr>
          <w:rFonts w:cs="Arial"/>
          <w:szCs w:val="18"/>
        </w:rPr>
        <w:t xml:space="preserve">Appendix </w:t>
      </w:r>
      <w:r>
        <w:rPr>
          <w:rFonts w:cs="Arial"/>
          <w:szCs w:val="18"/>
        </w:rPr>
        <w:t xml:space="preserve"> </w:t>
      </w:r>
      <w:r w:rsidRPr="005234D2">
        <w:rPr>
          <w:rFonts w:cs="Arial"/>
          <w:szCs w:val="18"/>
        </w:rPr>
        <w:t>D</w:t>
      </w:r>
      <w:r>
        <w:rPr>
          <w:rFonts w:cs="Arial"/>
          <w:szCs w:val="18"/>
        </w:rPr>
        <w:t xml:space="preserve">   </w:t>
      </w:r>
      <w:r w:rsidRPr="00C54EDE">
        <w:rPr>
          <w:rFonts w:cs="Arial"/>
          <w:szCs w:val="18"/>
        </w:rPr>
        <w:t>–</w:t>
      </w:r>
      <w:r>
        <w:rPr>
          <w:rFonts w:cs="Arial"/>
          <w:szCs w:val="18"/>
        </w:rPr>
        <w:tab/>
      </w:r>
      <w:r w:rsidRPr="005234D2">
        <w:rPr>
          <w:rFonts w:cs="Arial"/>
          <w:szCs w:val="18"/>
        </w:rPr>
        <w:t>Lower Horseshoe Gallery environment 2016-2017 &amp; May-Nov 2015</w:t>
      </w:r>
      <w:bookmarkStart w:id="2" w:name="_Toc148507570"/>
      <w:bookmarkEnd w:id="0"/>
      <w:bookmarkEnd w:id="1"/>
      <w:r w:rsidR="00084C2C">
        <w:rPr>
          <w:b/>
          <w:bCs/>
        </w:rPr>
        <w:br w:type="page"/>
      </w:r>
    </w:p>
    <w:tbl>
      <w:tblPr>
        <w:tblW w:w="9044" w:type="dxa"/>
        <w:tblInd w:w="-34" w:type="dxa"/>
        <w:tblLayout w:type="fixed"/>
        <w:tblLook w:val="0000" w:firstRow="0" w:lastRow="0" w:firstColumn="0" w:lastColumn="0" w:noHBand="0" w:noVBand="0"/>
      </w:tblPr>
      <w:tblGrid>
        <w:gridCol w:w="2977"/>
        <w:gridCol w:w="6067"/>
      </w:tblGrid>
      <w:tr w:rsidR="00694101" w:rsidRPr="00687E32" w:rsidTr="00141E7F">
        <w:tc>
          <w:tcPr>
            <w:tcW w:w="2977"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DB466B" w:rsidRPr="0067690B" w:rsidRDefault="00DB466B" w:rsidP="00DB466B">
      <w:pPr>
        <w:spacing w:line="240" w:lineRule="auto"/>
        <w:rPr>
          <w:rFonts w:eastAsiaTheme="minorHAnsi" w:cs="Arial"/>
          <w:sz w:val="22"/>
          <w:szCs w:val="22"/>
        </w:rPr>
      </w:pPr>
      <w:r w:rsidRPr="0067690B">
        <w:rPr>
          <w:rFonts w:eastAsiaTheme="minorHAnsi" w:cs="Arial"/>
          <w:sz w:val="22"/>
          <w:szCs w:val="22"/>
        </w:rPr>
        <w:t>We are staging a major exhibition at World Museum from February to October 2018 which will showcase national treasures from the tomb of China’s First Emperor, Qin Shihuangdi. This is the first time in more than 30 years that such an exhibition has been brought to a museum in the UK outside London.</w:t>
      </w:r>
    </w:p>
    <w:p w:rsidR="00DB466B" w:rsidRPr="0067690B" w:rsidRDefault="00DB466B" w:rsidP="00DB466B">
      <w:pPr>
        <w:spacing w:line="240" w:lineRule="auto"/>
        <w:rPr>
          <w:rFonts w:eastAsiaTheme="minorHAnsi" w:cs="Arial"/>
          <w:sz w:val="22"/>
          <w:szCs w:val="22"/>
        </w:rPr>
      </w:pPr>
    </w:p>
    <w:p w:rsidR="00DB466B" w:rsidRPr="0067690B" w:rsidRDefault="00DB466B" w:rsidP="00DB466B">
      <w:pPr>
        <w:spacing w:line="240" w:lineRule="auto"/>
        <w:rPr>
          <w:rFonts w:eastAsiaTheme="minorHAnsi" w:cs="Arial"/>
          <w:sz w:val="22"/>
          <w:szCs w:val="22"/>
        </w:rPr>
      </w:pPr>
      <w:r w:rsidRPr="0067690B">
        <w:rPr>
          <w:rFonts w:eastAsiaTheme="minorHAnsi" w:cs="Arial"/>
          <w:sz w:val="22"/>
          <w:szCs w:val="22"/>
        </w:rPr>
        <w:t>Visitors will be given a glimpse into the extraordinary story of Qin Shihuangdi, the First Emperor of China (221 to 210 BC). Fragments of clay from his vast burial site were unearthed near Xi’an in North West China in 1974 and subsequently led to the discovery of the now famous terracotta warriors. The Emperor’s terracotta warriors will be shown alongside other spectacular artefacts dating from the 6th century BC to the 3nd century AD, along with remarkable new archaeological discoveries. They shed light on the pursuit of immortality and preparations for the afterlife amongst ruling families but also help us to understand more about the imperial court and everyday life in Ancient China.</w:t>
      </w:r>
    </w:p>
    <w:p w:rsidR="00DB466B" w:rsidRPr="0067690B" w:rsidRDefault="00DB466B" w:rsidP="00DB466B">
      <w:pPr>
        <w:spacing w:line="240" w:lineRule="auto"/>
        <w:rPr>
          <w:rFonts w:eastAsiaTheme="minorHAnsi" w:cs="Arial"/>
          <w:sz w:val="22"/>
          <w:szCs w:val="22"/>
        </w:rPr>
      </w:pPr>
    </w:p>
    <w:p w:rsidR="00DB466B" w:rsidRPr="0067690B" w:rsidRDefault="00DB466B" w:rsidP="00DB466B">
      <w:pPr>
        <w:spacing w:line="240" w:lineRule="auto"/>
        <w:rPr>
          <w:rFonts w:eastAsiaTheme="minorHAnsi" w:cs="Arial"/>
          <w:sz w:val="22"/>
          <w:szCs w:val="22"/>
        </w:rPr>
      </w:pPr>
      <w:r w:rsidRPr="0067690B">
        <w:rPr>
          <w:rFonts w:eastAsiaTheme="minorHAnsi" w:cs="Arial"/>
          <w:sz w:val="22"/>
          <w:szCs w:val="22"/>
        </w:rPr>
        <w:t xml:space="preserve">The exhibition will be a major tourist attraction during Liverpool’s 2018 celebrations, marking 10 years since the city held the title of European Capital of Culture in 2008. </w:t>
      </w:r>
    </w:p>
    <w:p w:rsidR="00DB466B" w:rsidRPr="0067690B" w:rsidRDefault="00DB466B" w:rsidP="00DB466B">
      <w:pPr>
        <w:spacing w:line="240" w:lineRule="auto"/>
        <w:rPr>
          <w:rFonts w:eastAsiaTheme="minorHAnsi" w:cs="Arial"/>
          <w:sz w:val="22"/>
          <w:szCs w:val="22"/>
        </w:rPr>
      </w:pPr>
    </w:p>
    <w:p w:rsidR="00462298" w:rsidRPr="00141E7F" w:rsidRDefault="00B52659" w:rsidP="00521A37">
      <w:pPr>
        <w:pStyle w:val="Heading2"/>
        <w:spacing w:after="0" w:line="240" w:lineRule="auto"/>
        <w:rPr>
          <w:rFonts w:cs="Arial"/>
          <w:sz w:val="22"/>
          <w:szCs w:val="22"/>
        </w:rPr>
      </w:pPr>
      <w:bookmarkStart w:id="4" w:name="_Toc246913813"/>
      <w:bookmarkStart w:id="5" w:name="_GoBack"/>
      <w:bookmarkEnd w:id="5"/>
      <w:r w:rsidRPr="0067690B">
        <w:rPr>
          <w:rFonts w:cs="Arial"/>
          <w:sz w:val="22"/>
          <w:szCs w:val="22"/>
        </w:rPr>
        <w:t xml:space="preserve">High Level Overview of </w:t>
      </w:r>
      <w:bookmarkEnd w:id="4"/>
      <w:r w:rsidR="00392E27" w:rsidRPr="0067690B">
        <w:rPr>
          <w:rFonts w:cs="Arial"/>
          <w:sz w:val="22"/>
          <w:szCs w:val="22"/>
        </w:rPr>
        <w:t>Requirements</w:t>
      </w:r>
    </w:p>
    <w:p w:rsidR="007D2610" w:rsidRPr="0067690B" w:rsidRDefault="003D2508" w:rsidP="00033B72">
      <w:pPr>
        <w:spacing w:line="240" w:lineRule="auto"/>
        <w:rPr>
          <w:rFonts w:cs="Arial"/>
          <w:sz w:val="22"/>
          <w:szCs w:val="22"/>
        </w:rPr>
      </w:pPr>
      <w:r w:rsidRPr="0067690B">
        <w:rPr>
          <w:rFonts w:cs="Arial"/>
          <w:sz w:val="22"/>
          <w:szCs w:val="22"/>
        </w:rPr>
        <w:t>Bidder</w:t>
      </w:r>
      <w:r w:rsidR="007D2610" w:rsidRPr="0067690B">
        <w:rPr>
          <w:rFonts w:cs="Arial"/>
          <w:sz w:val="22"/>
          <w:szCs w:val="22"/>
        </w:rPr>
        <w:t xml:space="preserve">s are asked to submit a formal tender for the </w:t>
      </w:r>
      <w:r w:rsidR="00247233" w:rsidRPr="0067690B">
        <w:rPr>
          <w:rFonts w:cs="Arial"/>
          <w:sz w:val="22"/>
          <w:szCs w:val="22"/>
        </w:rPr>
        <w:t>‘</w:t>
      </w:r>
      <w:r w:rsidR="007D4ED2" w:rsidRPr="0067690B">
        <w:rPr>
          <w:rFonts w:cs="Arial"/>
          <w:sz w:val="22"/>
          <w:szCs w:val="22"/>
        </w:rPr>
        <w:t>Environmental Conditioning Equipment’</w:t>
      </w:r>
    </w:p>
    <w:p w:rsidR="007D4ED2" w:rsidRPr="0067690B" w:rsidRDefault="007D4ED2" w:rsidP="00033B72">
      <w:pPr>
        <w:spacing w:line="240" w:lineRule="auto"/>
        <w:rPr>
          <w:rFonts w:cs="Arial"/>
          <w:sz w:val="22"/>
          <w:szCs w:val="22"/>
        </w:rPr>
      </w:pPr>
    </w:p>
    <w:p w:rsidR="00CB3880" w:rsidRDefault="007D4ED2" w:rsidP="00033B72">
      <w:pPr>
        <w:spacing w:line="240" w:lineRule="auto"/>
        <w:rPr>
          <w:rFonts w:eastAsiaTheme="minorHAnsi" w:cs="Arial"/>
          <w:sz w:val="22"/>
          <w:szCs w:val="22"/>
        </w:rPr>
      </w:pPr>
      <w:r w:rsidRPr="0067690B">
        <w:rPr>
          <w:rFonts w:eastAsiaTheme="minorHAnsi" w:cs="Arial"/>
          <w:sz w:val="22"/>
          <w:szCs w:val="22"/>
        </w:rPr>
        <w:t>The purchase of new environmental control equipment is required to achieve stable environmental conditions</w:t>
      </w:r>
      <w:r w:rsidR="00CB3880" w:rsidRPr="0067690B">
        <w:rPr>
          <w:rFonts w:eastAsiaTheme="minorHAnsi" w:cs="Arial"/>
          <w:sz w:val="22"/>
          <w:szCs w:val="22"/>
        </w:rPr>
        <w:t xml:space="preserve">, initially to create stable conditions that will allow the delivery of the </w:t>
      </w:r>
      <w:r w:rsidR="00CB3880" w:rsidRPr="0067690B">
        <w:rPr>
          <w:rFonts w:eastAsiaTheme="minorHAnsi" w:cs="Arial"/>
          <w:i/>
          <w:sz w:val="22"/>
          <w:szCs w:val="22"/>
        </w:rPr>
        <w:t>‘China’s First Emperor and the Terracotta Warriors’</w:t>
      </w:r>
      <w:r w:rsidR="00CB3880" w:rsidRPr="0067690B">
        <w:rPr>
          <w:rFonts w:eastAsiaTheme="minorHAnsi" w:cs="Arial"/>
          <w:sz w:val="22"/>
          <w:szCs w:val="22"/>
        </w:rPr>
        <w:t xml:space="preserve"> Exhibition. Subsequently it is intended that the purchased equipment will be used for future temporary exhibitions and urgent environmental control needs across NML’s estate.</w:t>
      </w:r>
    </w:p>
    <w:p w:rsidR="00A06221" w:rsidRPr="0067690B" w:rsidRDefault="00A06221" w:rsidP="00033B72">
      <w:pPr>
        <w:spacing w:line="240" w:lineRule="auto"/>
        <w:rPr>
          <w:rFonts w:eastAsiaTheme="minorHAnsi" w:cs="Arial"/>
          <w:sz w:val="22"/>
          <w:szCs w:val="22"/>
        </w:rPr>
      </w:pPr>
    </w:p>
    <w:p w:rsidR="00CB3880" w:rsidRPr="0067690B" w:rsidRDefault="00CB3880" w:rsidP="007D4ED2">
      <w:pPr>
        <w:rPr>
          <w:rFonts w:eastAsiaTheme="minorHAnsi" w:cs="Arial"/>
          <w:sz w:val="22"/>
          <w:szCs w:val="22"/>
        </w:rPr>
      </w:pPr>
    </w:p>
    <w:p w:rsidR="00753C28" w:rsidRPr="00141E7F" w:rsidRDefault="000A5E08" w:rsidP="00141E7F">
      <w:pPr>
        <w:pStyle w:val="Heading2"/>
        <w:spacing w:after="0" w:line="240" w:lineRule="auto"/>
        <w:rPr>
          <w:rFonts w:cs="Arial"/>
          <w:sz w:val="22"/>
          <w:szCs w:val="22"/>
        </w:rPr>
      </w:pPr>
      <w:r w:rsidRPr="0067690B">
        <w:rPr>
          <w:rFonts w:cs="Arial"/>
          <w:sz w:val="22"/>
          <w:szCs w:val="22"/>
        </w:rPr>
        <w:t>Existing Solution</w:t>
      </w:r>
    </w:p>
    <w:p w:rsidR="00C6632A" w:rsidRPr="0067690B" w:rsidRDefault="00052D5C" w:rsidP="00462298">
      <w:pPr>
        <w:pStyle w:val="ReportText2"/>
        <w:spacing w:line="240" w:lineRule="auto"/>
        <w:ind w:left="0"/>
        <w:rPr>
          <w:rFonts w:cs="Arial"/>
          <w:sz w:val="22"/>
          <w:szCs w:val="22"/>
        </w:rPr>
      </w:pPr>
      <w:r w:rsidRPr="0067690B">
        <w:rPr>
          <w:rFonts w:cs="Arial"/>
          <w:sz w:val="22"/>
          <w:szCs w:val="22"/>
        </w:rPr>
        <w:t>Currently controls include an air handling system that draws in temperature adjusted fresh air and extracts circulated air at two points across the ‘u’ shaped gallery. Through</w:t>
      </w:r>
      <w:r w:rsidR="00C6632A" w:rsidRPr="0067690B">
        <w:rPr>
          <w:rFonts w:cs="Arial"/>
          <w:sz w:val="22"/>
          <w:szCs w:val="22"/>
        </w:rPr>
        <w:t>out</w:t>
      </w:r>
      <w:r w:rsidRPr="0067690B">
        <w:rPr>
          <w:rFonts w:cs="Arial"/>
          <w:sz w:val="22"/>
          <w:szCs w:val="22"/>
        </w:rPr>
        <w:t xml:space="preserve"> the duration of the exhibition the air-exchange rate will be 1 full change</w:t>
      </w:r>
      <w:r w:rsidR="009768FC" w:rsidRPr="0067690B">
        <w:rPr>
          <w:rFonts w:cs="Arial"/>
          <w:sz w:val="22"/>
          <w:szCs w:val="22"/>
        </w:rPr>
        <w:t xml:space="preserve"> of approximately 5000m3</w:t>
      </w:r>
      <w:r w:rsidRPr="0067690B">
        <w:rPr>
          <w:rFonts w:cs="Arial"/>
          <w:sz w:val="22"/>
          <w:szCs w:val="22"/>
        </w:rPr>
        <w:t xml:space="preserve"> per hour</w:t>
      </w: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3"/>
      <w:bookmarkEnd w:id="6"/>
      <w:bookmarkEnd w:id="7"/>
      <w:bookmarkEnd w:id="8"/>
      <w:bookmarkEnd w:id="9"/>
      <w:bookmarkEnd w:id="10"/>
      <w:bookmarkEnd w:id="11"/>
      <w:bookmarkEnd w:id="12"/>
      <w:r w:rsidR="00C6632A" w:rsidRPr="0067690B">
        <w:rPr>
          <w:rFonts w:cs="Arial"/>
          <w:sz w:val="22"/>
          <w:szCs w:val="22"/>
        </w:rPr>
        <w:t xml:space="preserve">. </w:t>
      </w:r>
    </w:p>
    <w:p w:rsidR="00C6632A" w:rsidRPr="00462298" w:rsidRDefault="00C6632A" w:rsidP="00462298">
      <w:pPr>
        <w:pStyle w:val="ReportText2"/>
        <w:spacing w:line="240" w:lineRule="auto"/>
        <w:ind w:left="0"/>
        <w:rPr>
          <w:rFonts w:cs="Arial"/>
          <w:sz w:val="22"/>
          <w:szCs w:val="22"/>
        </w:rPr>
      </w:pPr>
      <w:r w:rsidRPr="00462298">
        <w:rPr>
          <w:rFonts w:cs="Arial"/>
          <w:sz w:val="22"/>
          <w:szCs w:val="22"/>
        </w:rPr>
        <w:t xml:space="preserve">The current facilities for controlling temperature within the gallery are 18 fan-coil units supplying heating and cooling for visitor comfort. These are distributed at regular intervals throughout the gallery space as part of the wall structures.  There is no active humidification or dehumidification provided </w:t>
      </w:r>
      <w:r w:rsidR="009768FC" w:rsidRPr="00462298">
        <w:rPr>
          <w:rFonts w:cs="Arial"/>
          <w:sz w:val="22"/>
          <w:szCs w:val="22"/>
        </w:rPr>
        <w:t>by this system.</w:t>
      </w:r>
    </w:p>
    <w:p w:rsidR="006146AE" w:rsidRPr="00C6632A" w:rsidRDefault="00C6632A" w:rsidP="00462298">
      <w:pPr>
        <w:pStyle w:val="ReportText2"/>
        <w:spacing w:line="240" w:lineRule="auto"/>
        <w:ind w:left="0"/>
        <w:rPr>
          <w:sz w:val="22"/>
          <w:szCs w:val="22"/>
        </w:rPr>
      </w:pPr>
      <w:r w:rsidRPr="00462298">
        <w:rPr>
          <w:rFonts w:cs="Arial"/>
          <w:sz w:val="22"/>
          <w:szCs w:val="22"/>
        </w:rPr>
        <w:t xml:space="preserve">In summary, only fresh air and temperature control are </w:t>
      </w:r>
      <w:r w:rsidR="009768FC" w:rsidRPr="00462298">
        <w:rPr>
          <w:rFonts w:cs="Arial"/>
          <w:sz w:val="22"/>
          <w:szCs w:val="22"/>
        </w:rPr>
        <w:t>currently</w:t>
      </w:r>
      <w:r w:rsidRPr="00462298">
        <w:rPr>
          <w:rFonts w:cs="Arial"/>
          <w:sz w:val="22"/>
          <w:szCs w:val="22"/>
        </w:rPr>
        <w:t xml:space="preserve"> provided.</w:t>
      </w:r>
      <w:r>
        <w:rPr>
          <w:sz w:val="22"/>
          <w:szCs w:val="22"/>
        </w:rPr>
        <w:t xml:space="preserve"> </w:t>
      </w:r>
      <w:r w:rsidR="002D5594" w:rsidRPr="00B23806">
        <w:rPr>
          <w:rFonts w:cs="Arial"/>
          <w:sz w:val="22"/>
          <w:szCs w:val="22"/>
        </w:rPr>
        <w:br w:type="page"/>
      </w:r>
      <w:bookmarkStart w:id="14" w:name="_Toc148507574"/>
      <w:bookmarkStart w:id="15" w:name="_Toc246913817"/>
      <w:bookmarkEnd w:id="13"/>
    </w:p>
    <w:tbl>
      <w:tblPr>
        <w:tblW w:w="6305" w:type="dxa"/>
        <w:tblInd w:w="-130" w:type="dxa"/>
        <w:tblLayout w:type="fixed"/>
        <w:tblLook w:val="0000" w:firstRow="0" w:lastRow="0" w:firstColumn="0" w:lastColumn="0" w:noHBand="0" w:noVBand="0"/>
      </w:tblPr>
      <w:tblGrid>
        <w:gridCol w:w="6305"/>
      </w:tblGrid>
      <w:tr w:rsidR="006110B2" w:rsidRPr="00B23806" w:rsidTr="002A1B42">
        <w:trPr>
          <w:trHeight w:val="597"/>
        </w:trPr>
        <w:tc>
          <w:tcPr>
            <w:tcW w:w="6305" w:type="dxa"/>
          </w:tcPr>
          <w:tbl>
            <w:tblPr>
              <w:tblW w:w="9118" w:type="dxa"/>
              <w:tblLayout w:type="fixed"/>
              <w:tblLook w:val="0000" w:firstRow="0" w:lastRow="0" w:firstColumn="0" w:lastColumn="0" w:noHBand="0" w:noVBand="0"/>
            </w:tblPr>
            <w:tblGrid>
              <w:gridCol w:w="3051"/>
              <w:gridCol w:w="6067"/>
            </w:tblGrid>
            <w:tr w:rsidR="007D2610" w:rsidRPr="00B23806" w:rsidTr="00033B72">
              <w:tc>
                <w:tcPr>
                  <w:tcW w:w="3051"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6110B2" w:rsidP="00033B72">
            <w:pPr>
              <w:pStyle w:val="Heading2"/>
              <w:numPr>
                <w:ilvl w:val="0"/>
                <w:numId w:val="0"/>
              </w:numPr>
              <w:spacing w:after="0" w:line="240" w:lineRule="auto"/>
              <w:rPr>
                <w:rFonts w:cs="Arial"/>
                <w:sz w:val="22"/>
                <w:szCs w:val="22"/>
              </w:rPr>
            </w:pPr>
          </w:p>
        </w:tc>
      </w:tr>
    </w:tbl>
    <w:bookmarkEnd w:id="14"/>
    <w:bookmarkEnd w:id="15"/>
    <w:p w:rsidR="00033B72" w:rsidRPr="00033B72" w:rsidRDefault="00033B72" w:rsidP="00033B72">
      <w:pPr>
        <w:pStyle w:val="Heading2"/>
        <w:numPr>
          <w:ilvl w:val="0"/>
          <w:numId w:val="0"/>
        </w:numPr>
        <w:tabs>
          <w:tab w:val="num" w:pos="426"/>
        </w:tabs>
        <w:spacing w:after="0" w:line="240" w:lineRule="auto"/>
        <w:ind w:left="567" w:hanging="567"/>
        <w:rPr>
          <w:rFonts w:cs="Arial"/>
          <w:sz w:val="22"/>
          <w:szCs w:val="22"/>
        </w:rPr>
      </w:pPr>
      <w:r>
        <w:rPr>
          <w:rFonts w:cs="Arial"/>
          <w:sz w:val="22"/>
          <w:szCs w:val="22"/>
        </w:rPr>
        <w:t xml:space="preserve">2.1  </w:t>
      </w:r>
      <w:r w:rsidRPr="00B23806">
        <w:rPr>
          <w:rFonts w:cs="Arial"/>
          <w:sz w:val="22"/>
          <w:szCs w:val="22"/>
        </w:rPr>
        <w:t>Introduction</w:t>
      </w:r>
      <w:r w:rsidRPr="00033B72">
        <w:rPr>
          <w:rFonts w:cs="Arial"/>
          <w:sz w:val="22"/>
          <w:szCs w:val="22"/>
        </w:rPr>
        <w:t xml:space="preserve"> </w:t>
      </w:r>
    </w:p>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6" w:name="_Toc178432485"/>
      <w:bookmarkStart w:id="17" w:name="_Toc178432807"/>
      <w:bookmarkStart w:id="18" w:name="_Toc178432914"/>
      <w:bookmarkStart w:id="19" w:name="_Toc178433018"/>
      <w:bookmarkStart w:id="20" w:name="_Toc177979136"/>
      <w:bookmarkStart w:id="21" w:name="_Toc177979182"/>
      <w:bookmarkStart w:id="22" w:name="_Toc177979475"/>
      <w:bookmarkStart w:id="23" w:name="_Toc177979682"/>
      <w:bookmarkStart w:id="24" w:name="_Toc177986859"/>
      <w:bookmarkStart w:id="25" w:name="_Toc177979137"/>
      <w:bookmarkStart w:id="26" w:name="_Toc177979183"/>
      <w:bookmarkStart w:id="27" w:name="_Toc177979476"/>
      <w:bookmarkStart w:id="28" w:name="_Toc177979683"/>
      <w:bookmarkStart w:id="29" w:name="_Toc177986860"/>
      <w:bookmarkStart w:id="30" w:name="_Toc178432488"/>
      <w:bookmarkStart w:id="31" w:name="_Toc178432810"/>
      <w:bookmarkStart w:id="32" w:name="_Toc178432917"/>
      <w:bookmarkStart w:id="33" w:name="_Toc178433021"/>
      <w:bookmarkStart w:id="34" w:name="_Toc178432522"/>
      <w:bookmarkStart w:id="35" w:name="_Toc178432844"/>
      <w:bookmarkStart w:id="36" w:name="_Toc178432951"/>
      <w:bookmarkStart w:id="37" w:name="_Toc17843305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8" w:name="_Toc148507578"/>
      <w:bookmarkStart w:id="39"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8"/>
      <w:bookmarkEnd w:id="39"/>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0"/>
      <w:bookmarkEnd w:id="41"/>
      <w:bookmarkEnd w:id="42"/>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3"/>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4"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4"/>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5"/>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6"/>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7"/>
      <w:bookmarkEnd w:id="48"/>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776" w:type="dxa"/>
        <w:tblInd w:w="-601" w:type="dxa"/>
        <w:tblLayout w:type="fixed"/>
        <w:tblLook w:val="0000" w:firstRow="0" w:lastRow="0" w:firstColumn="0" w:lastColumn="0" w:noHBand="0" w:noVBand="0"/>
      </w:tblPr>
      <w:tblGrid>
        <w:gridCol w:w="6776"/>
      </w:tblGrid>
      <w:tr w:rsidR="006F0DF0" w:rsidRPr="00B23806" w:rsidTr="00033B72">
        <w:tc>
          <w:tcPr>
            <w:tcW w:w="6776" w:type="dxa"/>
          </w:tcPr>
          <w:tbl>
            <w:tblPr>
              <w:tblW w:w="10536" w:type="dxa"/>
              <w:tblInd w:w="459" w:type="dxa"/>
              <w:tblLayout w:type="fixed"/>
              <w:tblLook w:val="0000" w:firstRow="0" w:lastRow="0" w:firstColumn="0" w:lastColumn="0" w:noHBand="0" w:noVBand="0"/>
            </w:tblPr>
            <w:tblGrid>
              <w:gridCol w:w="5529"/>
              <w:gridCol w:w="5007"/>
            </w:tblGrid>
            <w:tr w:rsidR="006F0DF0" w:rsidRPr="00B23806" w:rsidTr="00033B72">
              <w:tc>
                <w:tcPr>
                  <w:tcW w:w="5529" w:type="dxa"/>
                </w:tcPr>
                <w:p w:rsidR="006F0DF0" w:rsidRPr="00B23806" w:rsidRDefault="006F0DF0" w:rsidP="00033B72">
                  <w:pPr>
                    <w:pStyle w:val="Heading1"/>
                    <w:spacing w:after="0" w:line="240" w:lineRule="auto"/>
                    <w:ind w:right="-1310"/>
                    <w:jc w:val="left"/>
                    <w:rPr>
                      <w:rFonts w:cs="Arial"/>
                      <w:sz w:val="22"/>
                      <w:szCs w:val="22"/>
                    </w:rPr>
                  </w:pPr>
                  <w:r w:rsidRPr="00B23806">
                    <w:rPr>
                      <w:rFonts w:cs="Arial"/>
                      <w:sz w:val="22"/>
                      <w:szCs w:val="22"/>
                    </w:rPr>
                    <w:lastRenderedPageBreak/>
                    <w:t xml:space="preserve">Tender Timing, Scoring and Process </w:t>
                  </w:r>
                </w:p>
              </w:tc>
              <w:tc>
                <w:tcPr>
                  <w:tcW w:w="500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94017D" w:rsidRPr="0067690B" w:rsidRDefault="006F0DF0" w:rsidP="0094017D">
      <w:pPr>
        <w:spacing w:line="240" w:lineRule="auto"/>
        <w:rPr>
          <w:rFonts w:cs="Arial"/>
          <w:b/>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xml:space="preserve">) with the subject title </w:t>
      </w:r>
      <w:r w:rsidRPr="0067690B">
        <w:rPr>
          <w:rFonts w:cs="Arial"/>
          <w:b/>
          <w:sz w:val="22"/>
          <w:szCs w:val="22"/>
        </w:rPr>
        <w:t>“</w:t>
      </w:r>
      <w:r w:rsidR="0094017D" w:rsidRPr="0067690B">
        <w:rPr>
          <w:rFonts w:cs="Arial"/>
          <w:b/>
          <w:sz w:val="22"/>
          <w:szCs w:val="22"/>
        </w:rPr>
        <w:t>Environmental Conditioning Equipment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It is advised that bidders visit the site, we would designate a day for all selected tender applicants to visit if required. This will ensure that all parties get the same information and opport</w:t>
      </w:r>
      <w:r w:rsidR="0067690B">
        <w:rPr>
          <w:rFonts w:cs="Arial"/>
          <w:bCs/>
          <w:color w:val="000000"/>
          <w:sz w:val="22"/>
          <w:szCs w:val="22"/>
        </w:rPr>
        <w:t>unity. This would be arranged between</w:t>
      </w:r>
      <w:r w:rsidRPr="00B23806">
        <w:rPr>
          <w:rFonts w:cs="Arial"/>
          <w:bCs/>
          <w:color w:val="000000"/>
          <w:sz w:val="22"/>
          <w:szCs w:val="22"/>
        </w:rPr>
        <w:t xml:space="preserve"> </w:t>
      </w:r>
      <w:r w:rsidR="0094017D" w:rsidRPr="0067690B">
        <w:rPr>
          <w:rFonts w:cs="Arial"/>
          <w:b/>
          <w:bCs/>
          <w:sz w:val="22"/>
          <w:szCs w:val="22"/>
        </w:rPr>
        <w:t>27/11/2017 to</w:t>
      </w:r>
      <w:r w:rsidRPr="0067690B">
        <w:rPr>
          <w:rFonts w:cs="Arial"/>
          <w:b/>
          <w:bCs/>
          <w:sz w:val="22"/>
          <w:szCs w:val="22"/>
        </w:rPr>
        <w:t xml:space="preserve"> </w:t>
      </w:r>
      <w:r w:rsidR="0094017D" w:rsidRPr="0067690B">
        <w:rPr>
          <w:rFonts w:cs="Arial"/>
          <w:b/>
          <w:bCs/>
          <w:sz w:val="22"/>
          <w:szCs w:val="22"/>
        </w:rPr>
        <w:t xml:space="preserve">29/11/2017 </w:t>
      </w:r>
      <w:r w:rsidRPr="0067690B">
        <w:rPr>
          <w:rFonts w:cs="Arial"/>
          <w:b/>
          <w:bCs/>
          <w:sz w:val="22"/>
          <w:szCs w:val="22"/>
        </w:rPr>
        <w:t>only</w:t>
      </w:r>
      <w:r w:rsidR="0067690B" w:rsidRPr="0067690B">
        <w:rPr>
          <w:rFonts w:cs="Arial"/>
          <w:bCs/>
          <w:sz w:val="22"/>
          <w:szCs w:val="22"/>
        </w:rPr>
        <w:t>.</w:t>
      </w:r>
      <w:r w:rsidRPr="0094017D">
        <w:rPr>
          <w:rFonts w:cs="Arial"/>
          <w:bCs/>
          <w:color w:val="FF0000"/>
          <w:sz w:val="22"/>
          <w:szCs w:val="22"/>
        </w:rPr>
        <w:t xml:space="preserve"> </w:t>
      </w:r>
      <w:r w:rsidRPr="00B23806">
        <w:rPr>
          <w:rFonts w:cs="Arial"/>
          <w:bCs/>
          <w:color w:val="000000"/>
          <w:sz w:val="22"/>
          <w:szCs w:val="22"/>
        </w:rPr>
        <w:t xml:space="preserve">Please contact </w:t>
      </w:r>
      <w:hyperlink r:id="rId16" w:history="1">
        <w:r w:rsidR="0094017D" w:rsidRPr="0019635F">
          <w:rPr>
            <w:rStyle w:val="Hyperlink"/>
            <w:rFonts w:cs="Arial"/>
            <w:bCs/>
            <w:sz w:val="22"/>
            <w:szCs w:val="22"/>
          </w:rPr>
          <w:t>jenny.green@liverpoolmuseums.org.uk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9" w:name="_Toc150845283"/>
      <w:bookmarkStart w:id="50" w:name="_Toc150859245"/>
      <w:bookmarkStart w:id="51" w:name="_Toc150865035"/>
      <w:bookmarkStart w:id="52" w:name="_Toc148507583"/>
      <w:bookmarkStart w:id="53" w:name="_Toc246913828"/>
      <w:bookmarkEnd w:id="49"/>
      <w:bookmarkEnd w:id="50"/>
      <w:bookmarkEnd w:id="51"/>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2"/>
      <w:r w:rsidR="00012C91" w:rsidRPr="00B23806">
        <w:rPr>
          <w:rFonts w:cs="Arial"/>
          <w:sz w:val="22"/>
          <w:szCs w:val="22"/>
        </w:rPr>
        <w:t>table</w:t>
      </w:r>
      <w:bookmarkEnd w:id="53"/>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67690B" w:rsidRDefault="006B79BC" w:rsidP="006B79BC">
            <w:pPr>
              <w:spacing w:line="240" w:lineRule="auto"/>
              <w:rPr>
                <w:rFonts w:eastAsiaTheme="minorHAnsi" w:cs="Arial"/>
                <w:b/>
                <w:bCs/>
                <w:sz w:val="22"/>
                <w:szCs w:val="22"/>
              </w:rPr>
            </w:pPr>
            <w:r w:rsidRPr="0067690B">
              <w:rPr>
                <w:rFonts w:eastAsiaTheme="minorHAnsi" w:cs="Arial"/>
                <w:b/>
                <w:bCs/>
                <w:sz w:val="22"/>
                <w:szCs w:val="22"/>
              </w:rPr>
              <w:t>16</w:t>
            </w:r>
            <w:r w:rsidR="00F91F7C" w:rsidRPr="0067690B">
              <w:rPr>
                <w:rFonts w:eastAsiaTheme="minorHAnsi" w:cs="Arial"/>
                <w:b/>
                <w:bCs/>
                <w:sz w:val="22"/>
                <w:szCs w:val="22"/>
              </w:rPr>
              <w:t>/11/2017</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67690B" w:rsidRDefault="00F91F7C" w:rsidP="00521A37">
            <w:pPr>
              <w:spacing w:line="240" w:lineRule="auto"/>
              <w:rPr>
                <w:rFonts w:eastAsiaTheme="minorHAnsi" w:cs="Arial"/>
                <w:b/>
                <w:bCs/>
                <w:sz w:val="22"/>
                <w:szCs w:val="22"/>
              </w:rPr>
            </w:pPr>
            <w:r w:rsidRPr="0067690B">
              <w:rPr>
                <w:rFonts w:eastAsiaTheme="minorHAnsi" w:cs="Arial"/>
                <w:b/>
                <w:bCs/>
                <w:sz w:val="22"/>
                <w:szCs w:val="22"/>
              </w:rPr>
              <w:t>27-29/11/2017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7690B" w:rsidRDefault="00F91F7C">
            <w:pPr>
              <w:rPr>
                <w:rFonts w:cs="Arial"/>
                <w:sz w:val="22"/>
                <w:szCs w:val="22"/>
              </w:rPr>
            </w:pPr>
            <w:r w:rsidRPr="0067690B">
              <w:rPr>
                <w:rFonts w:eastAsiaTheme="minorHAnsi" w:cs="Arial"/>
                <w:b/>
                <w:bCs/>
                <w:sz w:val="22"/>
                <w:szCs w:val="22"/>
              </w:rPr>
              <w:t>30/11/2017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7690B" w:rsidRDefault="00F91F7C">
            <w:pPr>
              <w:rPr>
                <w:rFonts w:cs="Arial"/>
                <w:sz w:val="22"/>
                <w:szCs w:val="22"/>
              </w:rPr>
            </w:pPr>
            <w:r w:rsidRPr="0067690B">
              <w:rPr>
                <w:rFonts w:eastAsiaTheme="minorHAnsi" w:cs="Arial"/>
                <w:b/>
                <w:bCs/>
                <w:sz w:val="22"/>
                <w:szCs w:val="22"/>
              </w:rPr>
              <w:t>04/12/2017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7690B" w:rsidRDefault="00F91F7C">
            <w:pPr>
              <w:rPr>
                <w:rFonts w:cs="Arial"/>
                <w:b/>
                <w:sz w:val="22"/>
                <w:szCs w:val="22"/>
              </w:rPr>
            </w:pPr>
            <w:r w:rsidRPr="0067690B">
              <w:rPr>
                <w:rFonts w:eastAsiaTheme="minorHAnsi" w:cs="Arial"/>
                <w:b/>
                <w:bCs/>
                <w:sz w:val="22"/>
                <w:szCs w:val="22"/>
              </w:rPr>
              <w:t>06/12/2017</w:t>
            </w:r>
          </w:p>
        </w:tc>
      </w:tr>
      <w:tr w:rsidR="00F91F7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1F7C" w:rsidRPr="00B23806" w:rsidRDefault="00F91F7C"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F91F7C" w:rsidRPr="00470187" w:rsidRDefault="00F91F7C"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F91F7C" w:rsidRPr="0067690B" w:rsidRDefault="00F91F7C" w:rsidP="00052D5C">
            <w:pPr>
              <w:rPr>
                <w:rFonts w:cs="Arial"/>
                <w:b/>
                <w:sz w:val="22"/>
                <w:szCs w:val="22"/>
              </w:rPr>
            </w:pPr>
            <w:r w:rsidRPr="0067690B">
              <w:rPr>
                <w:rFonts w:eastAsiaTheme="minorHAnsi" w:cs="Arial"/>
                <w:b/>
                <w:bCs/>
                <w:sz w:val="22"/>
                <w:szCs w:val="22"/>
              </w:rPr>
              <w:t>06/12/2017</w:t>
            </w:r>
          </w:p>
        </w:tc>
      </w:tr>
      <w:tr w:rsidR="00F91F7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F7C" w:rsidRPr="00B23806" w:rsidRDefault="006B79BC" w:rsidP="009822E2">
            <w:pPr>
              <w:spacing w:line="240" w:lineRule="auto"/>
              <w:rPr>
                <w:rFonts w:eastAsiaTheme="minorHAnsi" w:cs="Arial"/>
                <w:sz w:val="22"/>
                <w:szCs w:val="22"/>
              </w:rPr>
            </w:pPr>
            <w:r>
              <w:rPr>
                <w:rFonts w:cs="Arial"/>
                <w:sz w:val="22"/>
                <w:szCs w:val="22"/>
              </w:rPr>
              <w:t>7.</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F91F7C" w:rsidRPr="00B23806" w:rsidRDefault="00F91F7C"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F91F7C" w:rsidRPr="0067690B" w:rsidRDefault="006B79BC">
            <w:pPr>
              <w:rPr>
                <w:rFonts w:cs="Arial"/>
                <w:sz w:val="22"/>
                <w:szCs w:val="22"/>
              </w:rPr>
            </w:pPr>
            <w:r w:rsidRPr="0067690B">
              <w:rPr>
                <w:rFonts w:eastAsiaTheme="minorHAnsi" w:cs="Arial"/>
                <w:b/>
                <w:bCs/>
                <w:sz w:val="22"/>
                <w:szCs w:val="22"/>
              </w:rPr>
              <w:t>08</w:t>
            </w:r>
            <w:r w:rsidR="00F91F7C" w:rsidRPr="0067690B">
              <w:rPr>
                <w:rFonts w:eastAsiaTheme="minorHAnsi" w:cs="Arial"/>
                <w:b/>
                <w:bCs/>
                <w:sz w:val="22"/>
                <w:szCs w:val="22"/>
              </w:rPr>
              <w:t>/12/2017</w:t>
            </w:r>
          </w:p>
        </w:tc>
      </w:tr>
      <w:tr w:rsidR="00F91F7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F7C" w:rsidRPr="00B23806" w:rsidRDefault="006B79BC" w:rsidP="009822E2">
            <w:pPr>
              <w:spacing w:line="240" w:lineRule="auto"/>
              <w:rPr>
                <w:rFonts w:eastAsiaTheme="minorHAnsi" w:cs="Arial"/>
                <w:sz w:val="22"/>
                <w:szCs w:val="22"/>
              </w:rPr>
            </w:pPr>
            <w:r>
              <w:rPr>
                <w:rFonts w:cs="Arial"/>
                <w:sz w:val="22"/>
                <w:szCs w:val="22"/>
              </w:rPr>
              <w:t>8.</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F91F7C" w:rsidRPr="00B23806" w:rsidRDefault="00F91F7C"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F91F7C" w:rsidRPr="0067690B" w:rsidRDefault="006B79BC" w:rsidP="006B79BC">
            <w:pPr>
              <w:rPr>
                <w:rFonts w:cs="Arial"/>
                <w:sz w:val="22"/>
                <w:szCs w:val="22"/>
              </w:rPr>
            </w:pPr>
            <w:r w:rsidRPr="0067690B">
              <w:rPr>
                <w:rFonts w:eastAsiaTheme="minorHAnsi" w:cs="Arial"/>
                <w:b/>
                <w:bCs/>
                <w:sz w:val="22"/>
                <w:szCs w:val="22"/>
              </w:rPr>
              <w:t>08</w:t>
            </w:r>
            <w:r w:rsidR="00F91F7C" w:rsidRPr="0067690B">
              <w:rPr>
                <w:rFonts w:eastAsiaTheme="minorHAnsi" w:cs="Arial"/>
                <w:b/>
                <w:bCs/>
                <w:sz w:val="22"/>
                <w:szCs w:val="22"/>
              </w:rPr>
              <w:t>/12/2017</w:t>
            </w:r>
          </w:p>
        </w:tc>
      </w:tr>
      <w:tr w:rsidR="00F91F7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F7C" w:rsidRPr="00B23806" w:rsidRDefault="006B79BC" w:rsidP="009822E2">
            <w:pPr>
              <w:spacing w:line="240" w:lineRule="auto"/>
              <w:rPr>
                <w:rFonts w:eastAsiaTheme="minorHAnsi" w:cs="Arial"/>
                <w:sz w:val="22"/>
                <w:szCs w:val="22"/>
              </w:rPr>
            </w:pPr>
            <w:r>
              <w:rPr>
                <w:rFonts w:cs="Arial"/>
                <w:sz w:val="22"/>
                <w:szCs w:val="22"/>
              </w:rPr>
              <w:t>9</w:t>
            </w:r>
            <w:r w:rsidR="00F91F7C"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F91F7C" w:rsidRPr="00B23806" w:rsidRDefault="00F91F7C"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F91F7C" w:rsidRPr="0067690B" w:rsidRDefault="007D5464" w:rsidP="006B79BC">
            <w:pPr>
              <w:rPr>
                <w:rFonts w:cs="Arial"/>
                <w:sz w:val="22"/>
                <w:szCs w:val="22"/>
              </w:rPr>
            </w:pPr>
            <w:r w:rsidRPr="0067690B">
              <w:rPr>
                <w:rFonts w:eastAsiaTheme="minorHAnsi" w:cs="Arial"/>
                <w:b/>
                <w:bCs/>
                <w:sz w:val="22"/>
                <w:szCs w:val="22"/>
              </w:rPr>
              <w:t>1</w:t>
            </w:r>
            <w:r w:rsidR="006B79BC" w:rsidRPr="0067690B">
              <w:rPr>
                <w:rFonts w:eastAsiaTheme="minorHAnsi" w:cs="Arial"/>
                <w:b/>
                <w:bCs/>
                <w:sz w:val="22"/>
                <w:szCs w:val="22"/>
              </w:rPr>
              <w:t>9</w:t>
            </w:r>
            <w:r w:rsidR="00F91F7C" w:rsidRPr="0067690B">
              <w:rPr>
                <w:rFonts w:eastAsiaTheme="minorHAnsi" w:cs="Arial"/>
                <w:b/>
                <w:bCs/>
                <w:sz w:val="22"/>
                <w:szCs w:val="22"/>
              </w:rPr>
              <w:t>/12/2017</w:t>
            </w:r>
          </w:p>
        </w:tc>
      </w:tr>
      <w:tr w:rsidR="00F91F7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1F7C" w:rsidRPr="00B23806" w:rsidRDefault="006B79BC" w:rsidP="009822E2">
            <w:pPr>
              <w:spacing w:line="240" w:lineRule="auto"/>
              <w:rPr>
                <w:rFonts w:cs="Arial"/>
                <w:sz w:val="22"/>
                <w:szCs w:val="22"/>
              </w:rPr>
            </w:pPr>
            <w:r>
              <w:rPr>
                <w:rFonts w:cs="Arial"/>
                <w:sz w:val="22"/>
                <w:szCs w:val="22"/>
              </w:rPr>
              <w:t>10</w:t>
            </w:r>
            <w:r w:rsidR="00F91F7C"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F91F7C" w:rsidRPr="00B23806" w:rsidRDefault="00F91F7C"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F91F7C" w:rsidRPr="0067690B" w:rsidRDefault="006B79BC" w:rsidP="00521A37">
            <w:pPr>
              <w:spacing w:line="240" w:lineRule="auto"/>
              <w:rPr>
                <w:rFonts w:eastAsiaTheme="minorHAnsi" w:cs="Arial"/>
                <w:b/>
                <w:bCs/>
                <w:sz w:val="22"/>
                <w:szCs w:val="22"/>
              </w:rPr>
            </w:pPr>
            <w:r w:rsidRPr="0067690B">
              <w:rPr>
                <w:rFonts w:eastAsiaTheme="minorHAnsi" w:cs="Arial"/>
                <w:b/>
                <w:bCs/>
                <w:sz w:val="22"/>
                <w:szCs w:val="22"/>
              </w:rPr>
              <w:t>12</w:t>
            </w:r>
            <w:r w:rsidR="00F91F7C" w:rsidRPr="0067690B">
              <w:rPr>
                <w:rFonts w:eastAsiaTheme="minorHAnsi" w:cs="Arial"/>
                <w:b/>
                <w:bCs/>
                <w:sz w:val="22"/>
                <w:szCs w:val="22"/>
              </w:rPr>
              <w:t>/01/2018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should be titled </w:t>
      </w:r>
      <w:r w:rsidRPr="0067690B">
        <w:rPr>
          <w:rFonts w:cs="Arial"/>
          <w:sz w:val="22"/>
          <w:szCs w:val="22"/>
        </w:rPr>
        <w:t>“</w:t>
      </w:r>
      <w:r w:rsidR="0094017D" w:rsidRPr="0067690B">
        <w:rPr>
          <w:rFonts w:cs="Arial"/>
          <w:b/>
          <w:sz w:val="22"/>
          <w:szCs w:val="22"/>
        </w:rPr>
        <w:t>Environmental Conditioning Equipment Tender</w:t>
      </w:r>
      <w:r w:rsidR="0094017D" w:rsidRPr="0067690B">
        <w:rPr>
          <w:rFonts w:cs="Arial"/>
          <w:sz w:val="22"/>
          <w:szCs w:val="22"/>
        </w:rPr>
        <w:t xml:space="preserve">”  </w:t>
      </w:r>
      <w:r w:rsidRPr="00B23806">
        <w:rPr>
          <w:rFonts w:cs="Arial"/>
          <w:sz w:val="22"/>
          <w:szCs w:val="22"/>
        </w:rPr>
        <w:t>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lastRenderedPageBreak/>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on </w:t>
      </w:r>
      <w:r w:rsidR="0094017D" w:rsidRPr="0067690B">
        <w:rPr>
          <w:rFonts w:cs="Arial"/>
          <w:b/>
          <w:sz w:val="22"/>
          <w:szCs w:val="22"/>
        </w:rPr>
        <w:t>6</w:t>
      </w:r>
      <w:r w:rsidR="00DA1A72" w:rsidRPr="0067690B">
        <w:rPr>
          <w:rFonts w:cs="Arial"/>
          <w:b/>
          <w:sz w:val="22"/>
          <w:szCs w:val="22"/>
          <w:vertAlign w:val="superscript"/>
        </w:rPr>
        <w:t>th</w:t>
      </w:r>
      <w:r w:rsidR="00DA1A72" w:rsidRPr="0067690B">
        <w:rPr>
          <w:rFonts w:cs="Arial"/>
          <w:b/>
          <w:sz w:val="22"/>
          <w:szCs w:val="22"/>
        </w:rPr>
        <w:t xml:space="preserve"> </w:t>
      </w:r>
      <w:r w:rsidR="0094017D" w:rsidRPr="0067690B">
        <w:rPr>
          <w:rFonts w:cs="Arial"/>
          <w:b/>
          <w:sz w:val="22"/>
          <w:szCs w:val="22"/>
        </w:rPr>
        <w:t>Dec</w:t>
      </w:r>
      <w:r w:rsidR="00DA1A72" w:rsidRPr="0067690B">
        <w:rPr>
          <w:rFonts w:cs="Arial"/>
          <w:b/>
          <w:sz w:val="22"/>
          <w:szCs w:val="22"/>
        </w:rPr>
        <w:t xml:space="preserve"> </w:t>
      </w:r>
      <w:r w:rsidR="0094017D" w:rsidRPr="0067690B">
        <w:rPr>
          <w:rFonts w:cs="Arial"/>
          <w:b/>
          <w:sz w:val="22"/>
          <w:szCs w:val="22"/>
        </w:rPr>
        <w:t>2017</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94017D" w:rsidRPr="0067690B">
        <w:rPr>
          <w:rFonts w:cs="Arial"/>
          <w:b/>
          <w:sz w:val="22"/>
          <w:szCs w:val="22"/>
        </w:rPr>
        <w:t>6</w:t>
      </w:r>
      <w:r w:rsidR="0094017D" w:rsidRPr="0067690B">
        <w:rPr>
          <w:rFonts w:cs="Arial"/>
          <w:b/>
          <w:sz w:val="22"/>
          <w:szCs w:val="22"/>
          <w:vertAlign w:val="superscript"/>
        </w:rPr>
        <w:t>th</w:t>
      </w:r>
      <w:r w:rsidR="0094017D" w:rsidRPr="0067690B">
        <w:rPr>
          <w:rFonts w:cs="Arial"/>
          <w:b/>
          <w:sz w:val="22"/>
          <w:szCs w:val="22"/>
        </w:rPr>
        <w:t xml:space="preserve"> Dec 2017</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Default="00526D2D" w:rsidP="00521A37">
      <w:pPr>
        <w:pStyle w:val="Default"/>
        <w:rPr>
          <w:b/>
          <w:bCs/>
          <w:sz w:val="22"/>
          <w:szCs w:val="22"/>
        </w:rPr>
      </w:pPr>
    </w:p>
    <w:p w:rsidR="006532AD" w:rsidRPr="00B23806" w:rsidRDefault="006532AD" w:rsidP="00521A37">
      <w:pPr>
        <w:pStyle w:val="Default"/>
        <w:rPr>
          <w:b/>
          <w:bCs/>
          <w:sz w:val="22"/>
          <w:szCs w:val="22"/>
        </w:rPr>
      </w:pPr>
    </w:p>
    <w:p w:rsidR="006532AD" w:rsidRPr="006532AD" w:rsidRDefault="006F0DF0" w:rsidP="00521A37">
      <w:pPr>
        <w:pStyle w:val="Default"/>
        <w:rPr>
          <w:b/>
          <w:bCs/>
          <w:sz w:val="22"/>
          <w:szCs w:val="22"/>
        </w:rPr>
      </w:pPr>
      <w:r w:rsidRPr="00B23806">
        <w:rPr>
          <w:b/>
          <w:bCs/>
          <w:sz w:val="22"/>
          <w:szCs w:val="22"/>
        </w:rPr>
        <w:t>3.5</w:t>
      </w:r>
      <w:r w:rsidR="00247233">
        <w:rPr>
          <w:b/>
          <w:bCs/>
          <w:sz w:val="22"/>
          <w:szCs w:val="22"/>
        </w:rPr>
        <w:t xml:space="preserve"> </w:t>
      </w:r>
      <w:r w:rsidR="006B79BC">
        <w:rPr>
          <w:b/>
          <w:bCs/>
          <w:sz w:val="22"/>
          <w:szCs w:val="22"/>
        </w:rPr>
        <w:t xml:space="preserve">Bidder </w:t>
      </w:r>
      <w:r w:rsidR="00247233">
        <w:rPr>
          <w:b/>
          <w:bCs/>
          <w:sz w:val="22"/>
          <w:szCs w:val="22"/>
        </w:rPr>
        <w:t xml:space="preserve">Evaluation </w:t>
      </w:r>
    </w:p>
    <w:p w:rsidR="00526D2D" w:rsidRPr="00B23806" w:rsidRDefault="00526D2D" w:rsidP="00521A37">
      <w:pPr>
        <w:pStyle w:val="Default"/>
        <w:rPr>
          <w:sz w:val="22"/>
          <w:szCs w:val="22"/>
        </w:rPr>
      </w:pPr>
      <w:r w:rsidRPr="00B23806">
        <w:rPr>
          <w:sz w:val="22"/>
          <w:szCs w:val="22"/>
        </w:rPr>
        <w:t xml:space="preserve">Following the deadline for bid submission, </w:t>
      </w:r>
      <w:r w:rsidR="00083F40" w:rsidRPr="00B23806">
        <w:rPr>
          <w:sz w:val="22"/>
          <w:szCs w:val="22"/>
        </w:rPr>
        <w:t>NML</w:t>
      </w:r>
      <w:r w:rsidRPr="00B23806">
        <w:rPr>
          <w:sz w:val="22"/>
          <w:szCs w:val="22"/>
        </w:rPr>
        <w:t xml:space="preserve"> will ev</w:t>
      </w:r>
      <w:r w:rsidR="00921E38">
        <w:rPr>
          <w:sz w:val="22"/>
          <w:szCs w:val="22"/>
        </w:rPr>
        <w:t xml:space="preserve">aluate and score each bidder’s </w:t>
      </w:r>
      <w:r w:rsidRPr="00B23806">
        <w:rPr>
          <w:sz w:val="22"/>
          <w:szCs w:val="22"/>
        </w:rPr>
        <w:t xml:space="preserve">submission against the evaluation criteria. </w:t>
      </w:r>
    </w:p>
    <w:p w:rsidR="00247233" w:rsidRDefault="00247233" w:rsidP="00521A37">
      <w:pPr>
        <w:pStyle w:val="ReportText1"/>
        <w:spacing w:after="0" w:line="240" w:lineRule="auto"/>
        <w:ind w:left="0"/>
        <w:rPr>
          <w:rFonts w:cs="Arial"/>
          <w:b/>
          <w:sz w:val="22"/>
          <w:szCs w:val="22"/>
        </w:rPr>
      </w:pP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786"/>
        <w:gridCol w:w="3260"/>
      </w:tblGrid>
      <w:tr w:rsidR="009721BC" w:rsidRPr="00B23806" w:rsidTr="009721BC">
        <w:tc>
          <w:tcPr>
            <w:tcW w:w="4786" w:type="dxa"/>
          </w:tcPr>
          <w:p w:rsidR="009721BC" w:rsidRPr="00B23806" w:rsidRDefault="009721BC"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3260" w:type="dxa"/>
          </w:tcPr>
          <w:p w:rsidR="009721BC" w:rsidRPr="00B23806" w:rsidRDefault="009721BC" w:rsidP="0067690B">
            <w:pPr>
              <w:pStyle w:val="ReportText2"/>
              <w:spacing w:after="0" w:line="240" w:lineRule="auto"/>
              <w:ind w:left="0"/>
              <w:jc w:val="center"/>
              <w:rPr>
                <w:rFonts w:cs="Arial"/>
                <w:b/>
                <w:sz w:val="22"/>
                <w:szCs w:val="22"/>
              </w:rPr>
            </w:pPr>
            <w:r w:rsidRPr="00B23806">
              <w:rPr>
                <w:rFonts w:cs="Arial"/>
                <w:b/>
                <w:sz w:val="22"/>
                <w:szCs w:val="22"/>
              </w:rPr>
              <w:t>Max Score Available</w:t>
            </w:r>
          </w:p>
        </w:tc>
      </w:tr>
      <w:tr w:rsidR="009721BC" w:rsidRPr="00B23806" w:rsidTr="009721BC">
        <w:tc>
          <w:tcPr>
            <w:tcW w:w="4786" w:type="dxa"/>
          </w:tcPr>
          <w:p w:rsidR="009721BC" w:rsidRPr="0067690B" w:rsidRDefault="009721BC" w:rsidP="004415C4">
            <w:pPr>
              <w:spacing w:before="120" w:after="120" w:line="240" w:lineRule="auto"/>
              <w:jc w:val="left"/>
              <w:rPr>
                <w:rFonts w:cs="Arial"/>
                <w:sz w:val="22"/>
                <w:szCs w:val="22"/>
              </w:rPr>
            </w:pPr>
            <w:r w:rsidRPr="0067690B">
              <w:rPr>
                <w:rFonts w:cs="Arial"/>
                <w:sz w:val="22"/>
                <w:szCs w:val="22"/>
              </w:rPr>
              <w:t>Installation to Timescale</w:t>
            </w:r>
            <w:r w:rsidR="006B79BC" w:rsidRPr="0067690B">
              <w:rPr>
                <w:rFonts w:cs="Arial"/>
                <w:sz w:val="22"/>
                <w:szCs w:val="22"/>
              </w:rPr>
              <w:t>/ Evidence how to make timescale</w:t>
            </w:r>
          </w:p>
        </w:tc>
        <w:tc>
          <w:tcPr>
            <w:tcW w:w="3260" w:type="dxa"/>
          </w:tcPr>
          <w:p w:rsidR="009721BC" w:rsidRPr="0067690B" w:rsidRDefault="006B79BC" w:rsidP="004415C4">
            <w:pPr>
              <w:pStyle w:val="ReportText2"/>
              <w:spacing w:before="120" w:after="120" w:line="240" w:lineRule="auto"/>
              <w:ind w:left="0"/>
              <w:jc w:val="center"/>
              <w:rPr>
                <w:rFonts w:cs="Arial"/>
                <w:sz w:val="22"/>
                <w:szCs w:val="22"/>
              </w:rPr>
            </w:pPr>
            <w:r w:rsidRPr="0067690B">
              <w:rPr>
                <w:rFonts w:cs="Arial"/>
                <w:sz w:val="22"/>
                <w:szCs w:val="22"/>
              </w:rPr>
              <w:t>1</w:t>
            </w:r>
            <w:r w:rsidR="009721BC" w:rsidRPr="0067690B">
              <w:rPr>
                <w:rFonts w:cs="Arial"/>
                <w:sz w:val="22"/>
                <w:szCs w:val="22"/>
              </w:rPr>
              <w:t>0</w:t>
            </w:r>
          </w:p>
        </w:tc>
      </w:tr>
      <w:tr w:rsidR="009721BC" w:rsidRPr="00B23806" w:rsidTr="009721BC">
        <w:tc>
          <w:tcPr>
            <w:tcW w:w="4786" w:type="dxa"/>
          </w:tcPr>
          <w:p w:rsidR="009721BC" w:rsidRPr="0067690B" w:rsidRDefault="009721BC" w:rsidP="004415C4">
            <w:pPr>
              <w:spacing w:before="120" w:after="120" w:line="240" w:lineRule="auto"/>
              <w:jc w:val="left"/>
              <w:rPr>
                <w:rFonts w:cs="Arial"/>
                <w:sz w:val="22"/>
                <w:szCs w:val="22"/>
              </w:rPr>
            </w:pPr>
            <w:r w:rsidRPr="0067690B">
              <w:rPr>
                <w:rFonts w:cs="Arial"/>
                <w:sz w:val="22"/>
                <w:szCs w:val="22"/>
              </w:rPr>
              <w:t>Fit for purpose and meeting all points on the Technical specification</w:t>
            </w:r>
          </w:p>
        </w:tc>
        <w:tc>
          <w:tcPr>
            <w:tcW w:w="3260" w:type="dxa"/>
          </w:tcPr>
          <w:p w:rsidR="009721BC" w:rsidRPr="0067690B" w:rsidRDefault="009721BC" w:rsidP="004415C4">
            <w:pPr>
              <w:pStyle w:val="ReportText2"/>
              <w:spacing w:before="120" w:after="120" w:line="240" w:lineRule="auto"/>
              <w:ind w:left="0"/>
              <w:jc w:val="center"/>
              <w:rPr>
                <w:rFonts w:cs="Arial"/>
                <w:sz w:val="22"/>
                <w:szCs w:val="22"/>
              </w:rPr>
            </w:pPr>
            <w:r w:rsidRPr="0067690B">
              <w:rPr>
                <w:rFonts w:cs="Arial"/>
                <w:sz w:val="22"/>
                <w:szCs w:val="22"/>
              </w:rPr>
              <w:t>30</w:t>
            </w:r>
          </w:p>
        </w:tc>
      </w:tr>
      <w:tr w:rsidR="009721BC" w:rsidRPr="00B23806" w:rsidTr="009721BC">
        <w:tc>
          <w:tcPr>
            <w:tcW w:w="4786" w:type="dxa"/>
          </w:tcPr>
          <w:p w:rsidR="009721BC" w:rsidRPr="0067690B" w:rsidRDefault="009721BC" w:rsidP="004415C4">
            <w:pPr>
              <w:spacing w:before="120" w:after="120" w:line="240" w:lineRule="auto"/>
              <w:jc w:val="left"/>
              <w:rPr>
                <w:rFonts w:cs="Arial"/>
                <w:sz w:val="22"/>
                <w:szCs w:val="22"/>
              </w:rPr>
            </w:pPr>
            <w:r w:rsidRPr="0067690B">
              <w:rPr>
                <w:rFonts w:cs="Arial"/>
                <w:sz w:val="22"/>
                <w:szCs w:val="22"/>
              </w:rPr>
              <w:t>References – evidence of supply and installation of a similar solution within the last 12 months</w:t>
            </w:r>
          </w:p>
        </w:tc>
        <w:tc>
          <w:tcPr>
            <w:tcW w:w="3260" w:type="dxa"/>
          </w:tcPr>
          <w:p w:rsidR="009721BC" w:rsidRPr="0067690B" w:rsidRDefault="009721BC" w:rsidP="004415C4">
            <w:pPr>
              <w:pStyle w:val="ReportText2"/>
              <w:spacing w:before="120" w:after="120" w:line="240" w:lineRule="auto"/>
              <w:ind w:left="0"/>
              <w:jc w:val="center"/>
              <w:rPr>
                <w:rFonts w:cs="Arial"/>
                <w:sz w:val="22"/>
                <w:szCs w:val="22"/>
              </w:rPr>
            </w:pPr>
            <w:r w:rsidRPr="0067690B">
              <w:rPr>
                <w:rFonts w:cs="Arial"/>
                <w:sz w:val="22"/>
                <w:szCs w:val="22"/>
              </w:rPr>
              <w:t>10</w:t>
            </w:r>
          </w:p>
        </w:tc>
      </w:tr>
      <w:tr w:rsidR="009721BC" w:rsidRPr="00B23806" w:rsidTr="009721BC">
        <w:tc>
          <w:tcPr>
            <w:tcW w:w="4786" w:type="dxa"/>
          </w:tcPr>
          <w:p w:rsidR="009721BC" w:rsidRPr="0067690B" w:rsidRDefault="009721BC" w:rsidP="004415C4">
            <w:pPr>
              <w:pStyle w:val="ReportText2"/>
              <w:tabs>
                <w:tab w:val="num" w:pos="1287"/>
              </w:tabs>
              <w:spacing w:before="120" w:after="120" w:line="240" w:lineRule="auto"/>
              <w:ind w:left="0"/>
              <w:jc w:val="left"/>
              <w:rPr>
                <w:rFonts w:cs="Arial"/>
                <w:sz w:val="22"/>
                <w:szCs w:val="22"/>
              </w:rPr>
            </w:pPr>
            <w:r w:rsidRPr="0067690B">
              <w:rPr>
                <w:rFonts w:cs="Arial"/>
                <w:sz w:val="22"/>
                <w:szCs w:val="22"/>
              </w:rPr>
              <w:t xml:space="preserve">Total cost to NML over the </w:t>
            </w:r>
            <w:r w:rsidRPr="0067690B">
              <w:rPr>
                <w:rFonts w:cs="Arial"/>
                <w:b/>
                <w:sz w:val="22"/>
                <w:szCs w:val="22"/>
              </w:rPr>
              <w:t>1</w:t>
            </w:r>
            <w:r w:rsidRPr="0067690B">
              <w:rPr>
                <w:rFonts w:cs="Arial"/>
                <w:sz w:val="22"/>
                <w:szCs w:val="22"/>
              </w:rPr>
              <w:t xml:space="preserve"> year contract</w:t>
            </w:r>
          </w:p>
        </w:tc>
        <w:tc>
          <w:tcPr>
            <w:tcW w:w="3260" w:type="dxa"/>
          </w:tcPr>
          <w:p w:rsidR="009721BC" w:rsidRPr="0067690B" w:rsidRDefault="006B79BC" w:rsidP="004415C4">
            <w:pPr>
              <w:pStyle w:val="ReportText2"/>
              <w:spacing w:before="120" w:after="120" w:line="240" w:lineRule="auto"/>
              <w:ind w:left="0"/>
              <w:jc w:val="center"/>
              <w:rPr>
                <w:rFonts w:cs="Arial"/>
                <w:sz w:val="22"/>
                <w:szCs w:val="22"/>
              </w:rPr>
            </w:pPr>
            <w:r w:rsidRPr="0067690B">
              <w:rPr>
                <w:rFonts w:cs="Arial"/>
                <w:sz w:val="22"/>
                <w:szCs w:val="22"/>
              </w:rPr>
              <w:t>5</w:t>
            </w:r>
            <w:r w:rsidR="009721BC" w:rsidRPr="0067690B">
              <w:rPr>
                <w:rFonts w:cs="Arial"/>
                <w:sz w:val="22"/>
                <w:szCs w:val="22"/>
              </w:rPr>
              <w:t>0</w:t>
            </w:r>
          </w:p>
        </w:tc>
      </w:tr>
      <w:tr w:rsidR="009721BC" w:rsidRPr="00B23806" w:rsidTr="009721BC">
        <w:tc>
          <w:tcPr>
            <w:tcW w:w="4786" w:type="dxa"/>
          </w:tcPr>
          <w:p w:rsidR="009721BC" w:rsidRPr="00B23806" w:rsidRDefault="009721BC" w:rsidP="004415C4">
            <w:pPr>
              <w:pStyle w:val="ReportText2"/>
              <w:spacing w:before="120" w:after="120" w:line="240" w:lineRule="auto"/>
              <w:ind w:left="0"/>
              <w:jc w:val="left"/>
              <w:rPr>
                <w:rFonts w:cs="Arial"/>
                <w:b/>
                <w:sz w:val="22"/>
                <w:szCs w:val="22"/>
              </w:rPr>
            </w:pPr>
            <w:r w:rsidRPr="00B23806">
              <w:rPr>
                <w:rFonts w:cs="Arial"/>
                <w:b/>
                <w:sz w:val="22"/>
                <w:szCs w:val="22"/>
              </w:rPr>
              <w:t>Total</w:t>
            </w:r>
          </w:p>
        </w:tc>
        <w:tc>
          <w:tcPr>
            <w:tcW w:w="3260" w:type="dxa"/>
          </w:tcPr>
          <w:p w:rsidR="009721BC" w:rsidRPr="00B23806" w:rsidRDefault="009721BC" w:rsidP="004415C4">
            <w:pPr>
              <w:pStyle w:val="ReportText2"/>
              <w:spacing w:before="120" w:after="120" w:line="240" w:lineRule="auto"/>
              <w:ind w:left="0"/>
              <w:jc w:val="center"/>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178" w:type="dxa"/>
        <w:tblInd w:w="-34" w:type="dxa"/>
        <w:tblLayout w:type="fixed"/>
        <w:tblLook w:val="0000" w:firstRow="0" w:lastRow="0" w:firstColumn="0" w:lastColumn="0" w:noHBand="0" w:noVBand="0"/>
      </w:tblPr>
      <w:tblGrid>
        <w:gridCol w:w="4111"/>
        <w:gridCol w:w="6067"/>
      </w:tblGrid>
      <w:tr w:rsidR="006F0DF0" w:rsidRPr="00687E32" w:rsidTr="006532AD">
        <w:tc>
          <w:tcPr>
            <w:tcW w:w="4111"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921E38" w:rsidRPr="0067690B" w:rsidRDefault="000656EB" w:rsidP="0067690B">
      <w:pPr>
        <w:pStyle w:val="Default"/>
        <w:spacing w:after="120"/>
        <w:jc w:val="both"/>
        <w:rPr>
          <w:sz w:val="22"/>
          <w:szCs w:val="22"/>
        </w:rPr>
      </w:pPr>
      <w:r w:rsidRPr="0067690B">
        <w:rPr>
          <w:sz w:val="22"/>
          <w:szCs w:val="22"/>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sidRPr="0067690B">
        <w:rPr>
          <w:sz w:val="22"/>
          <w:szCs w:val="22"/>
        </w:rPr>
        <w:t>NML</w:t>
      </w:r>
      <w:r w:rsidRPr="0067690B">
        <w:rPr>
          <w:sz w:val="22"/>
          <w:szCs w:val="22"/>
        </w:rPr>
        <w:t xml:space="preserve">. The process is intended to: </w:t>
      </w:r>
    </w:p>
    <w:p w:rsidR="000656EB" w:rsidRPr="0067690B" w:rsidRDefault="000656EB" w:rsidP="0067690B">
      <w:pPr>
        <w:pStyle w:val="Default"/>
        <w:spacing w:after="60"/>
        <w:ind w:left="567"/>
        <w:rPr>
          <w:sz w:val="22"/>
          <w:szCs w:val="22"/>
        </w:rPr>
      </w:pPr>
      <w:r w:rsidRPr="0067690B">
        <w:rPr>
          <w:sz w:val="22"/>
          <w:szCs w:val="22"/>
        </w:rPr>
        <w:t xml:space="preserve">• assist </w:t>
      </w:r>
      <w:r w:rsidR="00B23806" w:rsidRPr="0067690B">
        <w:rPr>
          <w:sz w:val="22"/>
          <w:szCs w:val="22"/>
        </w:rPr>
        <w:t>NML</w:t>
      </w:r>
      <w:r w:rsidRPr="0067690B">
        <w:rPr>
          <w:sz w:val="22"/>
          <w:szCs w:val="22"/>
        </w:rPr>
        <w:t xml:space="preserve"> in choosing the most economically advantageous bid; </w:t>
      </w:r>
    </w:p>
    <w:p w:rsidR="000656EB" w:rsidRPr="0067690B" w:rsidRDefault="000656EB" w:rsidP="0067690B">
      <w:pPr>
        <w:pStyle w:val="Default"/>
        <w:spacing w:after="60"/>
        <w:ind w:left="567"/>
        <w:rPr>
          <w:sz w:val="22"/>
          <w:szCs w:val="22"/>
        </w:rPr>
      </w:pPr>
      <w:r w:rsidRPr="0067690B">
        <w:rPr>
          <w:sz w:val="22"/>
          <w:szCs w:val="22"/>
        </w:rPr>
        <w:t xml:space="preserve">• make clear the requirements with which bidders must comply and the basis on which the bids will be evaluated; and </w:t>
      </w:r>
    </w:p>
    <w:p w:rsidR="000656EB" w:rsidRDefault="000656EB" w:rsidP="0067690B">
      <w:pPr>
        <w:pStyle w:val="Default"/>
        <w:spacing w:after="60"/>
        <w:ind w:left="567"/>
        <w:rPr>
          <w:sz w:val="22"/>
          <w:szCs w:val="22"/>
        </w:rPr>
      </w:pPr>
      <w:r w:rsidRPr="0067690B">
        <w:rPr>
          <w:sz w:val="22"/>
          <w:szCs w:val="22"/>
        </w:rPr>
        <w:t xml:space="preserve">• maintain competition throughout. </w:t>
      </w:r>
    </w:p>
    <w:p w:rsidR="0067690B" w:rsidRPr="0067690B" w:rsidRDefault="0067690B" w:rsidP="0067690B">
      <w:pPr>
        <w:pStyle w:val="Default"/>
        <w:ind w:left="720"/>
        <w:rPr>
          <w:sz w:val="22"/>
          <w:szCs w:val="22"/>
        </w:rPr>
      </w:pPr>
    </w:p>
    <w:p w:rsidR="000656EB" w:rsidRPr="0067690B" w:rsidRDefault="000656EB" w:rsidP="0067690B">
      <w:pPr>
        <w:pStyle w:val="ReportText1"/>
        <w:spacing w:after="120" w:line="240" w:lineRule="auto"/>
        <w:ind w:left="0"/>
        <w:rPr>
          <w:sz w:val="22"/>
          <w:szCs w:val="22"/>
        </w:rPr>
      </w:pPr>
      <w:r w:rsidRPr="0067690B">
        <w:rPr>
          <w:sz w:val="22"/>
          <w:szCs w:val="22"/>
        </w:rPr>
        <w:t xml:space="preserve">If a bidder does not comply with the requirements contained in this Section, </w:t>
      </w:r>
      <w:r w:rsidR="00B23806" w:rsidRPr="0067690B">
        <w:rPr>
          <w:sz w:val="22"/>
          <w:szCs w:val="22"/>
        </w:rPr>
        <w:t>NML</w:t>
      </w:r>
      <w:r w:rsidRPr="0067690B">
        <w:rPr>
          <w:sz w:val="22"/>
          <w:szCs w:val="22"/>
        </w:rPr>
        <w:t xml:space="preserve"> may (in its sole discretion) disqualify the Bidder from the competition.</w:t>
      </w:r>
      <w:r w:rsidR="00921E38" w:rsidRPr="0067690B">
        <w:rPr>
          <w:sz w:val="22"/>
          <w:szCs w:val="22"/>
        </w:rPr>
        <w:t xml:space="preserve"> </w:t>
      </w:r>
      <w:r w:rsidRPr="0067690B">
        <w:rPr>
          <w:sz w:val="22"/>
          <w:szCs w:val="22"/>
        </w:rPr>
        <w:t xml:space="preserve">Bids should be as concise as possible, whilst providing sufficient information to enable </w:t>
      </w:r>
      <w:r w:rsidR="00B23806" w:rsidRPr="0067690B">
        <w:rPr>
          <w:sz w:val="22"/>
          <w:szCs w:val="22"/>
        </w:rPr>
        <w:t>NML</w:t>
      </w:r>
      <w:r w:rsidRPr="0067690B">
        <w:rPr>
          <w:sz w:val="22"/>
          <w:szCs w:val="22"/>
        </w:rPr>
        <w:t xml:space="preserve"> to evaluate bids in accordance with this</w:t>
      </w:r>
      <w:r w:rsidR="00B23806" w:rsidRPr="0067690B">
        <w:rPr>
          <w:sz w:val="22"/>
          <w:szCs w:val="22"/>
        </w:rPr>
        <w:t xml:space="preserve"> tender</w:t>
      </w:r>
      <w:r w:rsidRPr="0067690B">
        <w:rPr>
          <w:sz w:val="22"/>
          <w:szCs w:val="22"/>
        </w:rPr>
        <w:t xml:space="preserve">. </w:t>
      </w:r>
    </w:p>
    <w:p w:rsidR="00B23806" w:rsidRPr="0067690B" w:rsidRDefault="000E7C74" w:rsidP="0067690B">
      <w:pPr>
        <w:pStyle w:val="ReportText1"/>
        <w:spacing w:after="120" w:line="240" w:lineRule="auto"/>
        <w:ind w:left="0"/>
        <w:rPr>
          <w:rFonts w:cs="Arial"/>
          <w:sz w:val="22"/>
          <w:szCs w:val="22"/>
        </w:rPr>
      </w:pPr>
      <w:r w:rsidRPr="0067690B">
        <w:rPr>
          <w:rFonts w:cs="Arial"/>
          <w:sz w:val="22"/>
          <w:szCs w:val="22"/>
        </w:rPr>
        <w:t xml:space="preserve">The </w:t>
      </w:r>
      <w:r w:rsidR="003D2508" w:rsidRPr="0067690B">
        <w:rPr>
          <w:rFonts w:cs="Arial"/>
          <w:sz w:val="22"/>
          <w:szCs w:val="22"/>
        </w:rPr>
        <w:t>bidder</w:t>
      </w:r>
      <w:r w:rsidRPr="0067690B">
        <w:rPr>
          <w:rFonts w:cs="Arial"/>
          <w:sz w:val="22"/>
          <w:szCs w:val="22"/>
        </w:rPr>
        <w:t xml:space="preserve"> is required to prepare </w:t>
      </w:r>
      <w:r w:rsidR="00D277C4" w:rsidRPr="0067690B">
        <w:rPr>
          <w:rFonts w:cs="Arial"/>
          <w:sz w:val="22"/>
          <w:szCs w:val="22"/>
        </w:rPr>
        <w:t>the</w:t>
      </w:r>
      <w:r w:rsidRPr="0067690B">
        <w:rPr>
          <w:rFonts w:cs="Arial"/>
          <w:sz w:val="22"/>
          <w:szCs w:val="22"/>
        </w:rPr>
        <w:t xml:space="preserve"> proposal and pricing based on the</w:t>
      </w:r>
      <w:r w:rsidR="002D38F5" w:rsidRPr="0067690B">
        <w:rPr>
          <w:rFonts w:cs="Arial"/>
          <w:sz w:val="22"/>
          <w:szCs w:val="22"/>
        </w:rPr>
        <w:t xml:space="preserve"> </w:t>
      </w:r>
      <w:r w:rsidR="00B23806" w:rsidRPr="0067690B">
        <w:rPr>
          <w:rFonts w:cs="Arial"/>
          <w:sz w:val="22"/>
          <w:szCs w:val="22"/>
        </w:rPr>
        <w:t>requirements specification detailed in section 5 of this document</w:t>
      </w:r>
      <w:r w:rsidRPr="0067690B">
        <w:rPr>
          <w:rFonts w:cs="Arial"/>
          <w:sz w:val="22"/>
          <w:szCs w:val="22"/>
        </w:rPr>
        <w:t xml:space="preserve">. Any assumptions that the </w:t>
      </w:r>
      <w:r w:rsidR="003D2508" w:rsidRPr="0067690B">
        <w:rPr>
          <w:rFonts w:cs="Arial"/>
          <w:sz w:val="22"/>
          <w:szCs w:val="22"/>
        </w:rPr>
        <w:t>bidder</w:t>
      </w:r>
      <w:r w:rsidRPr="0067690B">
        <w:rPr>
          <w:rFonts w:cs="Arial"/>
          <w:sz w:val="22"/>
          <w:szCs w:val="22"/>
        </w:rPr>
        <w:t xml:space="preserve"> </w:t>
      </w:r>
      <w:r w:rsidR="002D38F5" w:rsidRPr="0067690B">
        <w:rPr>
          <w:rFonts w:cs="Arial"/>
          <w:sz w:val="22"/>
          <w:szCs w:val="22"/>
        </w:rPr>
        <w:t xml:space="preserve">makes </w:t>
      </w:r>
      <w:r w:rsidRPr="0067690B">
        <w:rPr>
          <w:rFonts w:cs="Arial"/>
          <w:sz w:val="22"/>
          <w:szCs w:val="22"/>
        </w:rPr>
        <w:t>must be clearly stated in the appropriate section.</w:t>
      </w:r>
    </w:p>
    <w:p w:rsidR="00B23806" w:rsidRDefault="0068773E" w:rsidP="0067690B">
      <w:pPr>
        <w:pStyle w:val="ReportText1"/>
        <w:spacing w:after="120" w:line="240" w:lineRule="auto"/>
        <w:ind w:left="0"/>
        <w:rPr>
          <w:rFonts w:cs="Arial"/>
          <w:sz w:val="22"/>
          <w:szCs w:val="22"/>
        </w:rPr>
      </w:pPr>
      <w:r w:rsidRPr="0067690B">
        <w:rPr>
          <w:rFonts w:cs="Arial"/>
          <w:sz w:val="22"/>
          <w:szCs w:val="22"/>
        </w:rPr>
        <w:t xml:space="preserve">The costs </w:t>
      </w:r>
      <w:r w:rsidR="002D38F5" w:rsidRPr="0067690B">
        <w:rPr>
          <w:rFonts w:cs="Arial"/>
          <w:sz w:val="22"/>
          <w:szCs w:val="22"/>
        </w:rPr>
        <w:t>must be fully itemised and transparent.</w:t>
      </w:r>
    </w:p>
    <w:p w:rsidR="00B23806" w:rsidRDefault="00B14684" w:rsidP="0067690B">
      <w:pPr>
        <w:pStyle w:val="ReportText1"/>
        <w:spacing w:after="12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763F37" w:rsidRDefault="00EA1B61" w:rsidP="0067690B">
      <w:pPr>
        <w:pStyle w:val="ReportText1"/>
        <w:spacing w:after="12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Pr="00687E32" w:rsidRDefault="00763F37" w:rsidP="0067690B">
      <w:pPr>
        <w:pStyle w:val="ListParagraph"/>
        <w:spacing w:after="120"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4E0330" w:rsidRPr="006532AD" w:rsidRDefault="00012C91" w:rsidP="006532AD">
      <w:pPr>
        <w:pStyle w:val="ReportText2"/>
        <w:numPr>
          <w:ilvl w:val="0"/>
          <w:numId w:val="16"/>
        </w:numPr>
        <w:spacing w:after="12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532AD" w:rsidRDefault="00012C91" w:rsidP="006532AD">
      <w:pPr>
        <w:pStyle w:val="ReportText2"/>
        <w:numPr>
          <w:ilvl w:val="0"/>
          <w:numId w:val="16"/>
        </w:numPr>
        <w:tabs>
          <w:tab w:val="num" w:pos="851"/>
        </w:tabs>
        <w:spacing w:after="12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CF000C" w:rsidRPr="00687E32" w:rsidRDefault="00B14684" w:rsidP="006532AD">
      <w:pPr>
        <w:pStyle w:val="ReportText2"/>
        <w:numPr>
          <w:ilvl w:val="0"/>
          <w:numId w:val="16"/>
        </w:numPr>
        <w:tabs>
          <w:tab w:val="num" w:pos="851"/>
        </w:tabs>
        <w:spacing w:after="12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67690B">
      <w:pPr>
        <w:pStyle w:val="Heading2"/>
        <w:numPr>
          <w:ilvl w:val="0"/>
          <w:numId w:val="0"/>
        </w:numPr>
        <w:spacing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012C91" w:rsidRPr="00687E32" w:rsidRDefault="00B23806" w:rsidP="0067690B">
      <w:pPr>
        <w:pStyle w:val="Heading3"/>
        <w:numPr>
          <w:ilvl w:val="0"/>
          <w:numId w:val="0"/>
        </w:numPr>
        <w:spacing w:before="120" w:after="0" w:line="240" w:lineRule="auto"/>
        <w:ind w:left="709"/>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4E0330" w:rsidRPr="00687E32" w:rsidRDefault="00B14684" w:rsidP="006532AD">
      <w:pPr>
        <w:pStyle w:val="ReportText3"/>
        <w:spacing w:before="120"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012C91" w:rsidRPr="00687E32" w:rsidRDefault="00012C91" w:rsidP="006532AD">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E54672" w:rsidRDefault="009822F9" w:rsidP="006B79BC">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 xml:space="preserve">s to agree to NML’s security and Health and Safety requirements. </w:t>
      </w:r>
    </w:p>
    <w:p w:rsidR="006B79BC" w:rsidRDefault="006B79BC" w:rsidP="006B79BC">
      <w:pPr>
        <w:pStyle w:val="Bullets1Char"/>
        <w:spacing w:line="240" w:lineRule="auto"/>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sidR="006B79BC">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lastRenderedPageBreak/>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completed by </w:t>
      </w:r>
      <w:r w:rsidR="006B79BC" w:rsidRPr="0067690B">
        <w:rPr>
          <w:rFonts w:cs="Arial"/>
          <w:b/>
          <w:sz w:val="22"/>
          <w:szCs w:val="22"/>
        </w:rPr>
        <w:t>12</w:t>
      </w:r>
      <w:r w:rsidR="009721BC" w:rsidRPr="0067690B">
        <w:rPr>
          <w:rFonts w:cs="Arial"/>
          <w:b/>
          <w:sz w:val="22"/>
          <w:szCs w:val="22"/>
        </w:rPr>
        <w:t>th Jan</w:t>
      </w:r>
      <w:r w:rsidR="004E0330" w:rsidRPr="0067690B">
        <w:rPr>
          <w:rFonts w:cs="Arial"/>
          <w:b/>
          <w:sz w:val="22"/>
          <w:szCs w:val="22"/>
        </w:rPr>
        <w:t xml:space="preserve"> </w:t>
      </w:r>
      <w:r w:rsidR="009721BC" w:rsidRPr="0067690B">
        <w:rPr>
          <w:rFonts w:cs="Arial"/>
          <w:b/>
          <w:sz w:val="22"/>
          <w:szCs w:val="22"/>
        </w:rPr>
        <w:t>2018</w:t>
      </w:r>
      <w:r w:rsidRPr="009721BC">
        <w:rPr>
          <w:rFonts w:cs="Arial"/>
          <w:color w:val="FF0000"/>
          <w:sz w:val="22"/>
          <w:szCs w:val="22"/>
        </w:rPr>
        <w:t>.</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E90F3A" w:rsidRDefault="00E90F3A" w:rsidP="00521A37">
      <w:pPr>
        <w:pStyle w:val="ReportText3"/>
        <w:spacing w:after="0" w:line="240" w:lineRule="auto"/>
        <w:ind w:left="0"/>
        <w:rPr>
          <w:rFonts w:cs="Arial"/>
          <w:sz w:val="22"/>
          <w:szCs w:val="22"/>
        </w:rPr>
      </w:pPr>
    </w:p>
    <w:p w:rsidR="00084C2C" w:rsidRPr="00687E32" w:rsidRDefault="00E54672" w:rsidP="00084C2C">
      <w:pPr>
        <w:spacing w:line="240" w:lineRule="auto"/>
        <w:contextualSpacing/>
        <w:rPr>
          <w:rFonts w:cs="Arial"/>
          <w:b/>
          <w:sz w:val="22"/>
          <w:szCs w:val="22"/>
        </w:rPr>
      </w:pPr>
      <w:r>
        <w:rPr>
          <w:rFonts w:cs="Arial"/>
          <w:b/>
          <w:sz w:val="22"/>
          <w:szCs w:val="22"/>
        </w:rPr>
        <w:t>4.</w:t>
      </w:r>
      <w:r w:rsidR="006B79BC">
        <w:rPr>
          <w:rFonts w:cs="Arial"/>
          <w:b/>
          <w:sz w:val="22"/>
          <w:szCs w:val="22"/>
        </w:rPr>
        <w:t>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6B79BC" w:rsidP="001F05A4">
      <w:pPr>
        <w:spacing w:line="240" w:lineRule="auto"/>
        <w:contextualSpacing/>
        <w:rPr>
          <w:rFonts w:cs="Arial"/>
          <w:b/>
          <w:sz w:val="22"/>
          <w:szCs w:val="22"/>
        </w:rPr>
      </w:pPr>
      <w:r>
        <w:rPr>
          <w:rFonts w:cs="Arial"/>
          <w:b/>
          <w:sz w:val="22"/>
          <w:szCs w:val="22"/>
        </w:rPr>
        <w:t>4.9</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EA1443">
      <w:pPr>
        <w:pStyle w:val="ListParagraph"/>
        <w:numPr>
          <w:ilvl w:val="2"/>
          <w:numId w:val="21"/>
        </w:numPr>
        <w:spacing w:line="240" w:lineRule="auto"/>
        <w:ind w:left="1276" w:hanging="556"/>
        <w:jc w:val="left"/>
        <w:rPr>
          <w:rFonts w:cs="Arial"/>
          <w:sz w:val="22"/>
          <w:szCs w:val="22"/>
        </w:rPr>
      </w:pPr>
      <w:r w:rsidRPr="00841D15">
        <w:rPr>
          <w:rFonts w:cs="Arial"/>
          <w:sz w:val="22"/>
          <w:szCs w:val="22"/>
        </w:rPr>
        <w:t>Form of Tender</w:t>
      </w:r>
      <w:r w:rsidR="006B79BC">
        <w:rPr>
          <w:rFonts w:cs="Arial"/>
          <w:sz w:val="22"/>
          <w:szCs w:val="22"/>
        </w:rPr>
        <w:t xml:space="preserve"> (Appendix A)</w:t>
      </w:r>
    </w:p>
    <w:p w:rsidR="00841D15" w:rsidRPr="00841D15" w:rsidRDefault="00841D15" w:rsidP="00EA1443">
      <w:pPr>
        <w:pStyle w:val="ListParagraph"/>
        <w:numPr>
          <w:ilvl w:val="2"/>
          <w:numId w:val="21"/>
        </w:numPr>
        <w:spacing w:line="240" w:lineRule="auto"/>
        <w:ind w:left="1276" w:hanging="556"/>
        <w:jc w:val="left"/>
        <w:rPr>
          <w:rFonts w:cs="Arial"/>
          <w:sz w:val="22"/>
          <w:szCs w:val="22"/>
        </w:rPr>
      </w:pPr>
      <w:r w:rsidRPr="00841D15">
        <w:rPr>
          <w:rFonts w:cs="Arial"/>
          <w:sz w:val="22"/>
          <w:szCs w:val="22"/>
        </w:rPr>
        <w:t>Pricing document - Cost breakdown</w:t>
      </w:r>
    </w:p>
    <w:p w:rsidR="00841D15" w:rsidRPr="00841D15" w:rsidRDefault="00841D15" w:rsidP="00EA1443">
      <w:pPr>
        <w:pStyle w:val="ListParagraph"/>
        <w:numPr>
          <w:ilvl w:val="2"/>
          <w:numId w:val="21"/>
        </w:numPr>
        <w:spacing w:line="240" w:lineRule="auto"/>
        <w:ind w:left="1276" w:hanging="556"/>
        <w:jc w:val="left"/>
        <w:rPr>
          <w:rFonts w:cs="Arial"/>
          <w:sz w:val="22"/>
          <w:szCs w:val="22"/>
        </w:rPr>
      </w:pPr>
      <w:r w:rsidRPr="00841D15">
        <w:rPr>
          <w:rFonts w:cs="Arial"/>
          <w:sz w:val="22"/>
          <w:szCs w:val="22"/>
        </w:rPr>
        <w:t>All requirements referenced in point 4.3</w:t>
      </w:r>
    </w:p>
    <w:p w:rsidR="00841D15" w:rsidRPr="00841D15" w:rsidRDefault="00841D15" w:rsidP="00EA1443">
      <w:pPr>
        <w:pStyle w:val="ListParagraph"/>
        <w:numPr>
          <w:ilvl w:val="2"/>
          <w:numId w:val="21"/>
        </w:numPr>
        <w:spacing w:line="240" w:lineRule="auto"/>
        <w:ind w:left="1276" w:hanging="556"/>
        <w:jc w:val="left"/>
        <w:rPr>
          <w:rFonts w:cs="Arial"/>
          <w:sz w:val="22"/>
          <w:szCs w:val="22"/>
        </w:rPr>
      </w:pPr>
      <w:r w:rsidRPr="00841D15">
        <w:rPr>
          <w:rFonts w:cs="Arial"/>
          <w:sz w:val="22"/>
          <w:szCs w:val="22"/>
        </w:rPr>
        <w:t>Confirmation of Delivery dates/Programme</w:t>
      </w:r>
    </w:p>
    <w:p w:rsidR="00841D15" w:rsidRDefault="00841D15" w:rsidP="00EA1443">
      <w:pPr>
        <w:pStyle w:val="ListParagraph"/>
        <w:numPr>
          <w:ilvl w:val="2"/>
          <w:numId w:val="21"/>
        </w:numPr>
        <w:spacing w:line="240" w:lineRule="auto"/>
        <w:ind w:left="1276" w:hanging="556"/>
        <w:jc w:val="left"/>
        <w:rPr>
          <w:rFonts w:cs="Arial"/>
          <w:sz w:val="22"/>
          <w:szCs w:val="22"/>
        </w:rPr>
      </w:pPr>
      <w:r w:rsidRPr="00841D15">
        <w:rPr>
          <w:rFonts w:cs="Arial"/>
          <w:sz w:val="22"/>
          <w:szCs w:val="22"/>
        </w:rPr>
        <w:t>Detailed specification of proposed solution</w:t>
      </w:r>
    </w:p>
    <w:p w:rsidR="00532569" w:rsidRDefault="00532569" w:rsidP="00EA1443">
      <w:pPr>
        <w:pStyle w:val="ListParagraph"/>
        <w:numPr>
          <w:ilvl w:val="2"/>
          <w:numId w:val="21"/>
        </w:numPr>
        <w:spacing w:line="240" w:lineRule="auto"/>
        <w:ind w:left="1276" w:hanging="556"/>
        <w:jc w:val="left"/>
        <w:rPr>
          <w:rFonts w:cs="Arial"/>
          <w:sz w:val="22"/>
          <w:szCs w:val="22"/>
        </w:rPr>
      </w:pPr>
      <w:r w:rsidRPr="00532569">
        <w:rPr>
          <w:rFonts w:cs="Arial"/>
          <w:sz w:val="22"/>
          <w:szCs w:val="22"/>
        </w:rPr>
        <w:t>Management summary answers (section 4.2)</w:t>
      </w:r>
    </w:p>
    <w:p w:rsidR="00532569" w:rsidRDefault="00880315" w:rsidP="00EA1443">
      <w:pPr>
        <w:pStyle w:val="ListParagraph"/>
        <w:numPr>
          <w:ilvl w:val="2"/>
          <w:numId w:val="21"/>
        </w:numPr>
        <w:spacing w:line="240" w:lineRule="auto"/>
        <w:ind w:left="1276" w:hanging="556"/>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EA1443">
      <w:pPr>
        <w:pStyle w:val="ListParagraph"/>
        <w:numPr>
          <w:ilvl w:val="2"/>
          <w:numId w:val="21"/>
        </w:numPr>
        <w:spacing w:line="240" w:lineRule="auto"/>
        <w:ind w:left="1276" w:hanging="556"/>
        <w:jc w:val="left"/>
        <w:rPr>
          <w:rFonts w:cs="Arial"/>
          <w:sz w:val="22"/>
          <w:szCs w:val="22"/>
        </w:rPr>
      </w:pPr>
      <w:r w:rsidRPr="00532569">
        <w:rPr>
          <w:rFonts w:cs="Arial"/>
          <w:sz w:val="22"/>
          <w:szCs w:val="22"/>
        </w:rPr>
        <w:t>Standard Terms &amp; Conditions</w:t>
      </w:r>
    </w:p>
    <w:p w:rsidR="00532569" w:rsidRDefault="006B79BC" w:rsidP="00EA1443">
      <w:pPr>
        <w:pStyle w:val="ListParagraph"/>
        <w:numPr>
          <w:ilvl w:val="2"/>
          <w:numId w:val="21"/>
        </w:numPr>
        <w:spacing w:line="240" w:lineRule="auto"/>
        <w:ind w:left="1276" w:hanging="556"/>
        <w:jc w:val="left"/>
        <w:rPr>
          <w:rFonts w:cs="Arial"/>
          <w:sz w:val="22"/>
          <w:szCs w:val="22"/>
        </w:rPr>
      </w:pPr>
      <w:r>
        <w:rPr>
          <w:rFonts w:cs="Arial"/>
          <w:sz w:val="22"/>
          <w:szCs w:val="22"/>
        </w:rPr>
        <w:t xml:space="preserve">Responses to Appendix C </w:t>
      </w:r>
      <w:r w:rsidR="00532569" w:rsidRPr="00532569">
        <w:rPr>
          <w:rFonts w:cs="Arial"/>
          <w:sz w:val="22"/>
          <w:szCs w:val="22"/>
        </w:rPr>
        <w:t xml:space="preserve"> – Requirements Detail</w:t>
      </w:r>
    </w:p>
    <w:p w:rsidR="0067690B" w:rsidRDefault="0067690B" w:rsidP="0067690B">
      <w:pPr>
        <w:pStyle w:val="ListParagraph"/>
        <w:spacing w:line="240" w:lineRule="auto"/>
        <w:ind w:left="360"/>
        <w:jc w:val="left"/>
        <w:rPr>
          <w:rFonts w:cs="Arial"/>
          <w:sz w:val="22"/>
          <w:szCs w:val="22"/>
        </w:rPr>
      </w:pPr>
    </w:p>
    <w:p w:rsidR="005234D2" w:rsidRDefault="005234D2">
      <w:pPr>
        <w:spacing w:line="240" w:lineRule="auto"/>
        <w:jc w:val="left"/>
        <w:rPr>
          <w:rFonts w:cs="Arial"/>
          <w:sz w:val="22"/>
          <w:szCs w:val="22"/>
        </w:rPr>
      </w:pPr>
      <w:r>
        <w:rPr>
          <w:rFonts w:cs="Arial"/>
          <w:sz w:val="22"/>
          <w:szCs w:val="22"/>
        </w:rPr>
        <w:br w:type="page"/>
      </w:r>
    </w:p>
    <w:tbl>
      <w:tblPr>
        <w:tblW w:w="10178" w:type="dxa"/>
        <w:tblInd w:w="-34" w:type="dxa"/>
        <w:tblLayout w:type="fixed"/>
        <w:tblLook w:val="0000" w:firstRow="0" w:lastRow="0" w:firstColumn="0" w:lastColumn="0" w:noHBand="0" w:noVBand="0"/>
      </w:tblPr>
      <w:tblGrid>
        <w:gridCol w:w="4111"/>
        <w:gridCol w:w="6067"/>
      </w:tblGrid>
      <w:tr w:rsidR="004E0330" w:rsidRPr="00687E32" w:rsidTr="00462298">
        <w:tc>
          <w:tcPr>
            <w:tcW w:w="4111" w:type="dxa"/>
          </w:tcPr>
          <w:p w:rsidR="004E0330" w:rsidRPr="00687E32" w:rsidRDefault="004E0330" w:rsidP="00F278EB">
            <w:pPr>
              <w:pStyle w:val="Heading1"/>
              <w:spacing w:after="0" w:line="240" w:lineRule="auto"/>
              <w:rPr>
                <w:rFonts w:cs="Arial"/>
                <w:sz w:val="22"/>
                <w:szCs w:val="22"/>
              </w:rPr>
            </w:pPr>
            <w:r>
              <w:rPr>
                <w:rFonts w:cs="Arial"/>
                <w:sz w:val="22"/>
                <w:szCs w:val="22"/>
              </w:rPr>
              <w:lastRenderedPageBreak/>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A71A69" w:rsidRPr="006409AD" w:rsidRDefault="00172B97" w:rsidP="00141E7F">
      <w:pPr>
        <w:pStyle w:val="Heading2"/>
        <w:spacing w:after="0"/>
      </w:pPr>
      <w:r w:rsidRPr="00687E32">
        <w:t>Requirements Detail</w:t>
      </w:r>
      <w:bookmarkEnd w:id="59"/>
    </w:p>
    <w:p w:rsidR="00141E7F" w:rsidRDefault="00A71A69" w:rsidP="005234D2">
      <w:pPr>
        <w:pStyle w:val="ReportText2"/>
        <w:tabs>
          <w:tab w:val="num" w:pos="0"/>
        </w:tabs>
        <w:spacing w:after="0" w:line="240" w:lineRule="auto"/>
        <w:ind w:left="0"/>
        <w:rPr>
          <w:rFonts w:cs="Arial"/>
          <w:bCs/>
          <w:sz w:val="22"/>
          <w:szCs w:val="22"/>
        </w:rPr>
      </w:pPr>
      <w:r w:rsidRPr="0067690B">
        <w:rPr>
          <w:rFonts w:cs="Arial"/>
          <w:bCs/>
          <w:sz w:val="22"/>
          <w:szCs w:val="22"/>
        </w:rPr>
        <w:t>The purchase of new environmental control equipment is required to achieve stable environmental conditions, initially to create stable conditions that will allow the delivery of the ‘China’s First Emperor and the Terracotta Warriors’ Exhibition. Subsequently it is intended that the purchased equipment will be used for future temporary exhibitions and urgent environmental control needs across NML’s estate.</w:t>
      </w:r>
    </w:p>
    <w:p w:rsidR="005234D2" w:rsidRDefault="005234D2" w:rsidP="005234D2">
      <w:pPr>
        <w:pStyle w:val="ReportText2"/>
        <w:tabs>
          <w:tab w:val="num" w:pos="0"/>
        </w:tabs>
        <w:spacing w:after="0" w:line="240" w:lineRule="auto"/>
        <w:ind w:left="0"/>
        <w:rPr>
          <w:rFonts w:cs="Arial"/>
          <w:bCs/>
          <w:sz w:val="22"/>
          <w:szCs w:val="22"/>
        </w:rPr>
      </w:pPr>
    </w:p>
    <w:p w:rsidR="005234D2" w:rsidRDefault="005234D2" w:rsidP="005234D2">
      <w:pPr>
        <w:pStyle w:val="ReportText2"/>
        <w:tabs>
          <w:tab w:val="num" w:pos="0"/>
        </w:tabs>
        <w:spacing w:after="0" w:line="240" w:lineRule="auto"/>
        <w:ind w:left="0"/>
        <w:rPr>
          <w:rFonts w:cs="Arial"/>
          <w:bCs/>
          <w:sz w:val="22"/>
          <w:szCs w:val="22"/>
        </w:rPr>
      </w:pPr>
    </w:p>
    <w:p w:rsidR="006409AD" w:rsidRPr="00687E32" w:rsidRDefault="00A93915" w:rsidP="00A93915">
      <w:pPr>
        <w:pStyle w:val="ReportText3"/>
        <w:spacing w:after="0" w:line="240" w:lineRule="auto"/>
        <w:ind w:left="0"/>
        <w:rPr>
          <w:rFonts w:cs="Arial"/>
          <w:b/>
          <w:sz w:val="22"/>
          <w:szCs w:val="22"/>
        </w:rPr>
      </w:pPr>
      <w:r>
        <w:rPr>
          <w:rFonts w:cs="Arial"/>
          <w:b/>
          <w:sz w:val="22"/>
          <w:szCs w:val="22"/>
        </w:rPr>
        <w:t>5</w:t>
      </w:r>
      <w:r w:rsidRPr="00687E32">
        <w:rPr>
          <w:rFonts w:cs="Arial"/>
          <w:b/>
          <w:sz w:val="22"/>
          <w:szCs w:val="22"/>
        </w:rPr>
        <w:t>.</w:t>
      </w:r>
      <w:r w:rsidR="006532AD">
        <w:rPr>
          <w:rFonts w:cs="Arial"/>
          <w:b/>
          <w:sz w:val="22"/>
          <w:szCs w:val="22"/>
        </w:rPr>
        <w:t>2</w:t>
      </w:r>
      <w:r w:rsidRPr="00687E32">
        <w:rPr>
          <w:rFonts w:cs="Arial"/>
          <w:b/>
          <w:sz w:val="22"/>
          <w:szCs w:val="22"/>
        </w:rPr>
        <w:tab/>
        <w:t>Requirements De</w:t>
      </w:r>
      <w:r>
        <w:rPr>
          <w:rFonts w:cs="Arial"/>
          <w:b/>
          <w:sz w:val="22"/>
          <w:szCs w:val="22"/>
        </w:rPr>
        <w:t>scription</w:t>
      </w:r>
    </w:p>
    <w:p w:rsidR="00A93915" w:rsidRPr="00141E7F" w:rsidRDefault="001171C8" w:rsidP="00462298">
      <w:pPr>
        <w:spacing w:after="120" w:line="240" w:lineRule="auto"/>
        <w:rPr>
          <w:rFonts w:cs="Arial"/>
          <w:sz w:val="22"/>
          <w:szCs w:val="22"/>
        </w:rPr>
      </w:pPr>
      <w:r w:rsidRPr="00141E7F">
        <w:rPr>
          <w:rFonts w:cs="Arial"/>
          <w:sz w:val="22"/>
          <w:szCs w:val="22"/>
        </w:rPr>
        <w:t>NML requires the tender submission to detail a solution to the pro</w:t>
      </w:r>
      <w:r w:rsidR="00A31D80" w:rsidRPr="00141E7F">
        <w:rPr>
          <w:rFonts w:cs="Arial"/>
          <w:sz w:val="22"/>
          <w:szCs w:val="22"/>
        </w:rPr>
        <w:t xml:space="preserve">vision of </w:t>
      </w:r>
      <w:r w:rsidRPr="00141E7F">
        <w:rPr>
          <w:rFonts w:cs="Arial"/>
          <w:sz w:val="22"/>
          <w:szCs w:val="22"/>
        </w:rPr>
        <w:t xml:space="preserve"> new </w:t>
      </w:r>
      <w:r w:rsidR="00A31D80" w:rsidRPr="00141E7F">
        <w:rPr>
          <w:rFonts w:cs="Arial"/>
          <w:sz w:val="22"/>
          <w:szCs w:val="22"/>
        </w:rPr>
        <w:t>humidification, dehumidification and control equipment (where required) to maintain the gallery environment within the Lower Horseshoe Gallery, World Museum Liverpool to meet the environmental requirements for the duration of the China’s First Emperor and the Terracotta Warriors exhibition running from 9</w:t>
      </w:r>
      <w:r w:rsidR="00A31D80" w:rsidRPr="00141E7F">
        <w:rPr>
          <w:rFonts w:cs="Arial"/>
          <w:sz w:val="22"/>
          <w:szCs w:val="22"/>
          <w:vertAlign w:val="superscript"/>
        </w:rPr>
        <w:t>th</w:t>
      </w:r>
      <w:r w:rsidR="00A31D80" w:rsidRPr="00141E7F">
        <w:rPr>
          <w:rFonts w:cs="Arial"/>
          <w:sz w:val="22"/>
          <w:szCs w:val="22"/>
        </w:rPr>
        <w:t xml:space="preserve"> Feb 2018 to 28</w:t>
      </w:r>
      <w:r w:rsidR="00A31D80" w:rsidRPr="00141E7F">
        <w:rPr>
          <w:rFonts w:cs="Arial"/>
          <w:sz w:val="22"/>
          <w:szCs w:val="22"/>
          <w:vertAlign w:val="superscript"/>
        </w:rPr>
        <w:t>th</w:t>
      </w:r>
      <w:r w:rsidR="00A31D80" w:rsidRPr="00141E7F">
        <w:rPr>
          <w:rFonts w:cs="Arial"/>
          <w:sz w:val="22"/>
          <w:szCs w:val="22"/>
        </w:rPr>
        <w:t xml:space="preserve"> Oct 2018</w:t>
      </w:r>
      <w:r w:rsidRPr="00141E7F">
        <w:rPr>
          <w:rFonts w:cs="Arial"/>
          <w:sz w:val="22"/>
          <w:szCs w:val="22"/>
        </w:rPr>
        <w:t>.</w:t>
      </w:r>
    </w:p>
    <w:p w:rsidR="00A31D80" w:rsidRPr="00141E7F" w:rsidRDefault="00A31D80" w:rsidP="00462298">
      <w:pPr>
        <w:spacing w:after="120" w:line="240" w:lineRule="auto"/>
        <w:rPr>
          <w:rFonts w:cs="Arial"/>
          <w:sz w:val="22"/>
          <w:szCs w:val="22"/>
        </w:rPr>
      </w:pPr>
      <w:r w:rsidRPr="00141E7F">
        <w:rPr>
          <w:rFonts w:cs="Arial"/>
          <w:sz w:val="22"/>
          <w:szCs w:val="22"/>
        </w:rPr>
        <w:t>The provided solution should have the flexibility that it can be easily used, after the above exhibition, for future temporary exhibitions and other environmental control requirement across NML’s estate.</w:t>
      </w:r>
      <w:r w:rsidR="006409AD" w:rsidRPr="00141E7F">
        <w:rPr>
          <w:rFonts w:cs="Arial"/>
          <w:sz w:val="22"/>
          <w:szCs w:val="22"/>
        </w:rPr>
        <w:t xml:space="preserve"> It is a requirement that any proposed equipment should be easily manually maintained without plumbed drainage or mains water feed.</w:t>
      </w:r>
    </w:p>
    <w:p w:rsidR="00A93915" w:rsidRDefault="00A93915" w:rsidP="00A93915">
      <w:pPr>
        <w:pStyle w:val="ReportText2"/>
        <w:tabs>
          <w:tab w:val="num" w:pos="0"/>
        </w:tabs>
        <w:spacing w:after="0" w:line="240" w:lineRule="auto"/>
        <w:ind w:left="0"/>
        <w:rPr>
          <w:rFonts w:cs="Arial"/>
          <w:bCs/>
          <w:color w:val="00B050"/>
          <w:sz w:val="22"/>
          <w:szCs w:val="22"/>
        </w:rPr>
      </w:pPr>
    </w:p>
    <w:p w:rsidR="00A93915" w:rsidRDefault="00A93915" w:rsidP="00A93915">
      <w:pPr>
        <w:spacing w:line="240" w:lineRule="auto"/>
        <w:jc w:val="left"/>
        <w:rPr>
          <w:rFonts w:cs="Arial"/>
          <w:sz w:val="22"/>
          <w:szCs w:val="22"/>
        </w:rPr>
      </w:pPr>
    </w:p>
    <w:p w:rsidR="004415C4" w:rsidRPr="00141E7F" w:rsidRDefault="006532AD" w:rsidP="00141E7F">
      <w:pPr>
        <w:autoSpaceDE w:val="0"/>
        <w:autoSpaceDN w:val="0"/>
        <w:adjustRightInd w:val="0"/>
        <w:spacing w:line="240" w:lineRule="auto"/>
        <w:jc w:val="left"/>
        <w:rPr>
          <w:rFonts w:cs="Arial"/>
          <w:b/>
          <w:bCs/>
          <w:spacing w:val="0"/>
          <w:sz w:val="22"/>
          <w:szCs w:val="22"/>
          <w:lang w:eastAsia="en-GB"/>
        </w:rPr>
      </w:pPr>
      <w:r>
        <w:rPr>
          <w:rFonts w:cs="Arial"/>
          <w:b/>
          <w:bCs/>
          <w:spacing w:val="0"/>
          <w:sz w:val="22"/>
          <w:szCs w:val="22"/>
          <w:lang w:eastAsia="en-GB"/>
        </w:rPr>
        <w:t>5.3</w:t>
      </w:r>
      <w:r w:rsidR="00A93915" w:rsidRPr="006409AD">
        <w:rPr>
          <w:rFonts w:cs="Arial"/>
          <w:b/>
          <w:bCs/>
          <w:spacing w:val="0"/>
          <w:sz w:val="22"/>
          <w:szCs w:val="22"/>
          <w:lang w:eastAsia="en-GB"/>
        </w:rPr>
        <w:t xml:space="preserve"> </w:t>
      </w:r>
      <w:r w:rsidR="00A93915" w:rsidRPr="006409AD">
        <w:rPr>
          <w:rFonts w:cs="Arial"/>
          <w:b/>
          <w:bCs/>
          <w:spacing w:val="0"/>
          <w:sz w:val="22"/>
          <w:szCs w:val="22"/>
          <w:lang w:eastAsia="en-GB"/>
        </w:rPr>
        <w:tab/>
        <w:t>Detailed specification of requirements</w:t>
      </w:r>
    </w:p>
    <w:p w:rsidR="004415C4" w:rsidRPr="00141E7F" w:rsidRDefault="004415C4" w:rsidP="00141E7F">
      <w:pPr>
        <w:spacing w:after="120" w:line="240" w:lineRule="auto"/>
        <w:rPr>
          <w:rFonts w:cs="Arial"/>
          <w:sz w:val="22"/>
          <w:szCs w:val="22"/>
        </w:rPr>
      </w:pPr>
      <w:r w:rsidRPr="00141E7F">
        <w:rPr>
          <w:rFonts w:cs="Arial"/>
          <w:sz w:val="22"/>
          <w:szCs w:val="22"/>
        </w:rPr>
        <w:t>The initial exhibition space for which we require control is the Lower Horseshoe gallery, World Museum Liverpool, which has an approximate volume of 5000m3. Currently, without environmental control (for the period of 2016-2017) the gallery experiences low relative humidity from late January to June (minimum 23% with an average of 36%) and high humidity from mid-July through to October (maximum 77% with an average of 56%). Environmental data for this period also indicates that daily fluctuations of relative humidity are too great, frequently more than 10% and as sometimes as high as 25%.</w:t>
      </w:r>
    </w:p>
    <w:p w:rsidR="004415C4" w:rsidRPr="00141E7F" w:rsidRDefault="004415C4" w:rsidP="00141E7F">
      <w:pPr>
        <w:spacing w:after="120" w:line="240" w:lineRule="auto"/>
        <w:rPr>
          <w:rFonts w:cs="Arial"/>
          <w:sz w:val="22"/>
          <w:szCs w:val="22"/>
        </w:rPr>
      </w:pPr>
      <w:r w:rsidRPr="00141E7F">
        <w:rPr>
          <w:rFonts w:cs="Arial"/>
          <w:sz w:val="22"/>
          <w:szCs w:val="22"/>
        </w:rPr>
        <w:t>The specific environmental parameters which NML are required to provide for the ‘China’s First Emperor and the Terracotta Warriors’ Exhibition which runs from 9th February through to 28th October 2018 are:</w:t>
      </w:r>
    </w:p>
    <w:p w:rsidR="004415C4" w:rsidRPr="00141E7F" w:rsidRDefault="004415C4" w:rsidP="00141E7F">
      <w:pPr>
        <w:pStyle w:val="ListParagraph"/>
        <w:numPr>
          <w:ilvl w:val="0"/>
          <w:numId w:val="40"/>
        </w:numPr>
        <w:spacing w:after="120" w:line="240" w:lineRule="auto"/>
        <w:rPr>
          <w:rFonts w:cs="Arial"/>
          <w:sz w:val="22"/>
          <w:szCs w:val="22"/>
        </w:rPr>
      </w:pPr>
      <w:r w:rsidRPr="00141E7F">
        <w:rPr>
          <w:rFonts w:cs="Arial"/>
          <w:sz w:val="22"/>
          <w:szCs w:val="22"/>
        </w:rPr>
        <w:t>relative humidity levels of 40-55%,</w:t>
      </w:r>
    </w:p>
    <w:p w:rsidR="004415C4" w:rsidRPr="00141E7F" w:rsidRDefault="004415C4" w:rsidP="00141E7F">
      <w:pPr>
        <w:pStyle w:val="ListParagraph"/>
        <w:numPr>
          <w:ilvl w:val="0"/>
          <w:numId w:val="40"/>
        </w:numPr>
        <w:spacing w:after="120" w:line="240" w:lineRule="auto"/>
        <w:rPr>
          <w:rFonts w:cs="Arial"/>
          <w:sz w:val="22"/>
          <w:szCs w:val="22"/>
        </w:rPr>
      </w:pPr>
      <w:r w:rsidRPr="00141E7F">
        <w:rPr>
          <w:rFonts w:cs="Arial"/>
          <w:sz w:val="22"/>
          <w:szCs w:val="22"/>
        </w:rPr>
        <w:t>ideally with a target of 48-50% RH</w:t>
      </w:r>
    </w:p>
    <w:p w:rsidR="004415C4" w:rsidRDefault="004415C4" w:rsidP="00141E7F">
      <w:pPr>
        <w:pStyle w:val="ListParagraph"/>
        <w:numPr>
          <w:ilvl w:val="0"/>
          <w:numId w:val="40"/>
        </w:numPr>
        <w:spacing w:after="120" w:line="240" w:lineRule="auto"/>
        <w:rPr>
          <w:rFonts w:cs="Arial"/>
          <w:sz w:val="22"/>
          <w:szCs w:val="22"/>
        </w:rPr>
      </w:pPr>
      <w:r w:rsidRPr="00141E7F">
        <w:rPr>
          <w:rFonts w:cs="Arial"/>
          <w:sz w:val="22"/>
          <w:szCs w:val="22"/>
        </w:rPr>
        <w:t xml:space="preserve">maximum change of relative humidity of 5% over a 24 hour period. </w:t>
      </w:r>
    </w:p>
    <w:p w:rsidR="004C61A3" w:rsidRPr="004C61A3" w:rsidRDefault="004C61A3" w:rsidP="004C61A3">
      <w:pPr>
        <w:spacing w:after="120" w:line="240" w:lineRule="auto"/>
        <w:rPr>
          <w:rFonts w:cs="Arial"/>
          <w:sz w:val="22"/>
          <w:szCs w:val="22"/>
        </w:rPr>
      </w:pPr>
    </w:p>
    <w:p w:rsidR="004415C4" w:rsidRPr="00141E7F" w:rsidRDefault="004415C4" w:rsidP="00141E7F">
      <w:pPr>
        <w:spacing w:after="120" w:line="240" w:lineRule="auto"/>
        <w:rPr>
          <w:rFonts w:cs="Arial"/>
          <w:sz w:val="22"/>
          <w:szCs w:val="22"/>
        </w:rPr>
      </w:pPr>
      <w:r w:rsidRPr="00141E7F">
        <w:rPr>
          <w:rFonts w:cs="Arial"/>
          <w:sz w:val="22"/>
          <w:szCs w:val="22"/>
        </w:rPr>
        <w:t>From evaluation of NML’s environmental data, it would appear tha</w:t>
      </w:r>
      <w:r w:rsidR="00A71A69" w:rsidRPr="00141E7F">
        <w:rPr>
          <w:rFonts w:cs="Arial"/>
          <w:sz w:val="22"/>
          <w:szCs w:val="22"/>
        </w:rPr>
        <w:t>t for part of the exhibition duration</w:t>
      </w:r>
      <w:r w:rsidRPr="00141E7F">
        <w:rPr>
          <w:rFonts w:cs="Arial"/>
          <w:sz w:val="22"/>
          <w:szCs w:val="22"/>
        </w:rPr>
        <w:t xml:space="preserve"> we require humidification and for the latter we will require dehumidification. The bidde</w:t>
      </w:r>
      <w:r w:rsidR="00A71A69" w:rsidRPr="00141E7F">
        <w:rPr>
          <w:rFonts w:cs="Arial"/>
          <w:sz w:val="22"/>
          <w:szCs w:val="22"/>
        </w:rPr>
        <w:t>r will also need to advise on whe</w:t>
      </w:r>
      <w:r w:rsidRPr="00141E7F">
        <w:rPr>
          <w:rFonts w:cs="Arial"/>
          <w:sz w:val="22"/>
          <w:szCs w:val="22"/>
        </w:rPr>
        <w:t xml:space="preserve">ther additional equipment will be required to maintain a dead-band to prevent the dehumidifiers and humidifiers from operating at the same time. </w:t>
      </w:r>
    </w:p>
    <w:p w:rsidR="00141E7F" w:rsidRPr="00141E7F" w:rsidRDefault="004415C4" w:rsidP="00141E7F">
      <w:pPr>
        <w:spacing w:after="120" w:line="240" w:lineRule="auto"/>
        <w:rPr>
          <w:rFonts w:cs="Arial"/>
          <w:sz w:val="22"/>
          <w:szCs w:val="22"/>
        </w:rPr>
      </w:pPr>
      <w:r w:rsidRPr="00141E7F">
        <w:rPr>
          <w:rFonts w:cs="Arial"/>
          <w:sz w:val="22"/>
          <w:szCs w:val="22"/>
        </w:rPr>
        <w:t xml:space="preserve">Installation of the equipment should be completed by Friday </w:t>
      </w:r>
      <w:r w:rsidR="006B79BC" w:rsidRPr="00141E7F">
        <w:rPr>
          <w:rFonts w:cs="Arial"/>
          <w:sz w:val="22"/>
          <w:szCs w:val="22"/>
        </w:rPr>
        <w:t>12</w:t>
      </w:r>
      <w:r w:rsidRPr="00141E7F">
        <w:rPr>
          <w:rFonts w:cs="Arial"/>
          <w:sz w:val="22"/>
          <w:szCs w:val="22"/>
        </w:rPr>
        <w:t>th</w:t>
      </w:r>
      <w:r w:rsidR="004C61A3">
        <w:rPr>
          <w:rFonts w:cs="Arial"/>
          <w:sz w:val="22"/>
          <w:szCs w:val="22"/>
        </w:rPr>
        <w:t xml:space="preserve"> January 2018 with a further two</w:t>
      </w:r>
      <w:r w:rsidRPr="00141E7F">
        <w:rPr>
          <w:rFonts w:cs="Arial"/>
          <w:sz w:val="22"/>
          <w:szCs w:val="22"/>
        </w:rPr>
        <w:t xml:space="preserve"> weeks up to the </w:t>
      </w:r>
      <w:r w:rsidR="006B79BC" w:rsidRPr="00141E7F">
        <w:rPr>
          <w:rFonts w:cs="Arial"/>
          <w:sz w:val="22"/>
          <w:szCs w:val="22"/>
        </w:rPr>
        <w:t>26</w:t>
      </w:r>
      <w:r w:rsidRPr="00141E7F">
        <w:rPr>
          <w:rFonts w:cs="Arial"/>
          <w:sz w:val="22"/>
          <w:szCs w:val="22"/>
        </w:rPr>
        <w:t>th January available for testing and adjustment of the system.</w:t>
      </w:r>
      <w:r w:rsidR="00141E7F">
        <w:rPr>
          <w:rFonts w:cs="Arial"/>
          <w:sz w:val="22"/>
          <w:szCs w:val="22"/>
        </w:rPr>
        <w:br/>
      </w:r>
    </w:p>
    <w:p w:rsidR="006409AD" w:rsidRPr="00141E7F" w:rsidRDefault="006409AD" w:rsidP="00141E7F">
      <w:pPr>
        <w:spacing w:after="120" w:line="240" w:lineRule="auto"/>
        <w:rPr>
          <w:rFonts w:cs="Arial"/>
          <w:b/>
          <w:sz w:val="22"/>
          <w:szCs w:val="22"/>
        </w:rPr>
      </w:pPr>
      <w:r w:rsidRPr="00141E7F">
        <w:rPr>
          <w:rFonts w:cs="Arial"/>
          <w:b/>
          <w:sz w:val="22"/>
          <w:szCs w:val="22"/>
        </w:rPr>
        <w:t>Additional system requirements</w:t>
      </w:r>
      <w:r w:rsidR="009F09BD" w:rsidRPr="00141E7F">
        <w:rPr>
          <w:rFonts w:cs="Arial"/>
          <w:b/>
          <w:sz w:val="22"/>
          <w:szCs w:val="22"/>
        </w:rPr>
        <w:t xml:space="preserve"> and considerations</w:t>
      </w:r>
      <w:r w:rsidR="00141E7F">
        <w:rPr>
          <w:rFonts w:cs="Arial"/>
          <w:b/>
          <w:sz w:val="22"/>
          <w:szCs w:val="22"/>
        </w:rPr>
        <w:t>:</w:t>
      </w:r>
    </w:p>
    <w:p w:rsidR="006409AD" w:rsidRPr="00141E7F" w:rsidRDefault="006409AD" w:rsidP="00141E7F">
      <w:pPr>
        <w:pStyle w:val="ListParagraph"/>
        <w:numPr>
          <w:ilvl w:val="0"/>
          <w:numId w:val="41"/>
        </w:numPr>
        <w:spacing w:after="120" w:line="240" w:lineRule="auto"/>
        <w:rPr>
          <w:rFonts w:cs="Arial"/>
          <w:sz w:val="22"/>
          <w:szCs w:val="22"/>
        </w:rPr>
      </w:pPr>
      <w:r w:rsidRPr="00141E7F">
        <w:rPr>
          <w:rFonts w:cs="Arial"/>
          <w:sz w:val="22"/>
          <w:szCs w:val="22"/>
        </w:rPr>
        <w:t>Equipment that is within display area will need to be sympathetically colour</w:t>
      </w:r>
      <w:r w:rsidR="00902795" w:rsidRPr="00141E7F">
        <w:rPr>
          <w:rFonts w:cs="Arial"/>
          <w:sz w:val="22"/>
          <w:szCs w:val="22"/>
        </w:rPr>
        <w:t>ed</w:t>
      </w:r>
      <w:r w:rsidRPr="00141E7F">
        <w:rPr>
          <w:rFonts w:cs="Arial"/>
          <w:sz w:val="22"/>
          <w:szCs w:val="22"/>
        </w:rPr>
        <w:t xml:space="preserve"> to match </w:t>
      </w:r>
      <w:r w:rsidR="00902795" w:rsidRPr="00141E7F">
        <w:rPr>
          <w:rFonts w:cs="Arial"/>
          <w:sz w:val="22"/>
          <w:szCs w:val="22"/>
        </w:rPr>
        <w:t>gallery display walls.</w:t>
      </w:r>
    </w:p>
    <w:p w:rsidR="00902795" w:rsidRPr="00141E7F" w:rsidRDefault="00902795" w:rsidP="00141E7F">
      <w:pPr>
        <w:pStyle w:val="ListParagraph"/>
        <w:numPr>
          <w:ilvl w:val="0"/>
          <w:numId w:val="41"/>
        </w:numPr>
        <w:spacing w:after="120" w:line="240" w:lineRule="auto"/>
        <w:rPr>
          <w:rFonts w:cs="Arial"/>
          <w:sz w:val="22"/>
          <w:szCs w:val="22"/>
        </w:rPr>
      </w:pPr>
      <w:r w:rsidRPr="00141E7F">
        <w:rPr>
          <w:rFonts w:cs="Arial"/>
          <w:sz w:val="22"/>
          <w:szCs w:val="22"/>
        </w:rPr>
        <w:t xml:space="preserve">Noise generation from suggested equipment should be as low as possible without compromising equipment efficiency or visitor experience. </w:t>
      </w:r>
    </w:p>
    <w:p w:rsidR="009F09BD" w:rsidRPr="00141E7F" w:rsidRDefault="009F09BD" w:rsidP="00141E7F">
      <w:pPr>
        <w:pStyle w:val="ListParagraph"/>
        <w:numPr>
          <w:ilvl w:val="0"/>
          <w:numId w:val="41"/>
        </w:numPr>
        <w:spacing w:after="120" w:line="240" w:lineRule="auto"/>
        <w:rPr>
          <w:rFonts w:cs="Arial"/>
          <w:sz w:val="22"/>
          <w:szCs w:val="22"/>
        </w:rPr>
      </w:pPr>
      <w:r w:rsidRPr="00141E7F">
        <w:rPr>
          <w:rFonts w:cs="Arial"/>
          <w:sz w:val="22"/>
          <w:szCs w:val="22"/>
        </w:rPr>
        <w:lastRenderedPageBreak/>
        <w:t>Larger industrial style solutions may not be considered on the basis of size and noise.</w:t>
      </w:r>
    </w:p>
    <w:p w:rsidR="009F09BD" w:rsidRDefault="009F09BD" w:rsidP="00141E7F">
      <w:pPr>
        <w:pStyle w:val="ListParagraph"/>
        <w:numPr>
          <w:ilvl w:val="0"/>
          <w:numId w:val="41"/>
        </w:numPr>
        <w:spacing w:after="120" w:line="240" w:lineRule="auto"/>
        <w:rPr>
          <w:rFonts w:cs="Arial"/>
          <w:sz w:val="22"/>
          <w:szCs w:val="22"/>
        </w:rPr>
      </w:pPr>
      <w:r w:rsidRPr="00141E7F">
        <w:rPr>
          <w:rFonts w:cs="Arial"/>
          <w:sz w:val="22"/>
          <w:szCs w:val="22"/>
        </w:rPr>
        <w:t xml:space="preserve">The bidder should be aware that we can not facilitate ducting as </w:t>
      </w:r>
      <w:r w:rsidR="00141E7F">
        <w:rPr>
          <w:rFonts w:cs="Arial"/>
          <w:sz w:val="22"/>
          <w:szCs w:val="22"/>
        </w:rPr>
        <w:t>part of any proposed solutions.</w:t>
      </w:r>
    </w:p>
    <w:p w:rsidR="00141E7F" w:rsidRPr="00141E7F" w:rsidRDefault="00141E7F" w:rsidP="00141E7F">
      <w:pPr>
        <w:pStyle w:val="ListParagraph"/>
        <w:numPr>
          <w:ilvl w:val="0"/>
          <w:numId w:val="41"/>
        </w:numPr>
        <w:spacing w:after="120" w:line="240" w:lineRule="auto"/>
        <w:rPr>
          <w:rFonts w:cs="Arial"/>
          <w:sz w:val="22"/>
          <w:szCs w:val="22"/>
        </w:rPr>
      </w:pPr>
      <w:r>
        <w:rPr>
          <w:rFonts w:cs="Arial"/>
          <w:sz w:val="22"/>
          <w:szCs w:val="22"/>
        </w:rPr>
        <w:t>The bidder should advise on the minimum space required around equipment so as not to impede performance. This is especially important if some units are placed together in clusters due to space and aesthetic considerations around the gallery.</w:t>
      </w:r>
    </w:p>
    <w:p w:rsidR="005234D2" w:rsidRDefault="005234D2" w:rsidP="00141E7F">
      <w:pPr>
        <w:spacing w:after="120" w:line="240" w:lineRule="auto"/>
        <w:rPr>
          <w:rFonts w:cs="Arial"/>
          <w:b/>
          <w:sz w:val="22"/>
          <w:szCs w:val="22"/>
        </w:rPr>
      </w:pPr>
    </w:p>
    <w:p w:rsidR="00902795" w:rsidRPr="00141E7F" w:rsidRDefault="00902795" w:rsidP="00141E7F">
      <w:pPr>
        <w:spacing w:after="120" w:line="240" w:lineRule="auto"/>
        <w:rPr>
          <w:rFonts w:cs="Arial"/>
          <w:b/>
          <w:sz w:val="22"/>
          <w:szCs w:val="22"/>
        </w:rPr>
      </w:pPr>
      <w:r w:rsidRPr="00141E7F">
        <w:rPr>
          <w:rFonts w:cs="Arial"/>
          <w:b/>
          <w:sz w:val="22"/>
          <w:szCs w:val="22"/>
        </w:rPr>
        <w:t xml:space="preserve">Additional </w:t>
      </w:r>
      <w:r w:rsidR="00F133F3" w:rsidRPr="00141E7F">
        <w:rPr>
          <w:rFonts w:cs="Arial"/>
          <w:b/>
          <w:sz w:val="22"/>
          <w:szCs w:val="22"/>
        </w:rPr>
        <w:t xml:space="preserve">gallery design </w:t>
      </w:r>
      <w:r w:rsidRPr="00141E7F">
        <w:rPr>
          <w:rFonts w:cs="Arial"/>
          <w:b/>
          <w:sz w:val="22"/>
          <w:szCs w:val="22"/>
        </w:rPr>
        <w:t>considerations</w:t>
      </w:r>
      <w:r w:rsidR="00141E7F">
        <w:rPr>
          <w:rFonts w:cs="Arial"/>
          <w:b/>
          <w:sz w:val="22"/>
          <w:szCs w:val="22"/>
        </w:rPr>
        <w:t>:</w:t>
      </w:r>
    </w:p>
    <w:p w:rsidR="00F133F3" w:rsidRPr="00141E7F" w:rsidRDefault="00141E7F" w:rsidP="00141E7F">
      <w:pPr>
        <w:pStyle w:val="ListParagraph"/>
        <w:numPr>
          <w:ilvl w:val="0"/>
          <w:numId w:val="42"/>
        </w:numPr>
        <w:spacing w:after="120" w:line="240" w:lineRule="auto"/>
        <w:rPr>
          <w:rFonts w:cs="Arial"/>
          <w:sz w:val="22"/>
          <w:szCs w:val="22"/>
        </w:rPr>
      </w:pPr>
      <w:r>
        <w:rPr>
          <w:rFonts w:cs="Arial"/>
          <w:sz w:val="22"/>
          <w:szCs w:val="22"/>
        </w:rPr>
        <w:t>See Appendix C</w:t>
      </w:r>
      <w:r w:rsidR="00F133F3" w:rsidRPr="00141E7F">
        <w:rPr>
          <w:rFonts w:cs="Arial"/>
          <w:sz w:val="22"/>
          <w:szCs w:val="22"/>
        </w:rPr>
        <w:t xml:space="preserve"> (</w:t>
      </w:r>
      <w:r w:rsidRPr="00141E7F">
        <w:rPr>
          <w:rFonts w:cs="Arial"/>
          <w:sz w:val="22"/>
          <w:szCs w:val="22"/>
        </w:rPr>
        <w:t>Overall gallery plan &amp; three detailed plans with elevations</w:t>
      </w:r>
      <w:r>
        <w:rPr>
          <w:rFonts w:cs="Arial"/>
          <w:sz w:val="22"/>
          <w:szCs w:val="22"/>
        </w:rPr>
        <w:t>)</w:t>
      </w:r>
    </w:p>
    <w:p w:rsidR="00F133F3" w:rsidRPr="00141E7F" w:rsidRDefault="00141E7F" w:rsidP="00141E7F">
      <w:pPr>
        <w:pStyle w:val="ListParagraph"/>
        <w:numPr>
          <w:ilvl w:val="0"/>
          <w:numId w:val="42"/>
        </w:numPr>
        <w:spacing w:after="120" w:line="240" w:lineRule="auto"/>
        <w:rPr>
          <w:rFonts w:cs="Arial"/>
          <w:sz w:val="22"/>
          <w:szCs w:val="22"/>
        </w:rPr>
      </w:pPr>
      <w:r>
        <w:rPr>
          <w:rFonts w:cs="Arial"/>
          <w:sz w:val="22"/>
          <w:szCs w:val="22"/>
        </w:rPr>
        <w:t>The g</w:t>
      </w:r>
      <w:r w:rsidR="000A419B" w:rsidRPr="00141E7F">
        <w:rPr>
          <w:rFonts w:cs="Arial"/>
          <w:sz w:val="22"/>
          <w:szCs w:val="22"/>
        </w:rPr>
        <w:t xml:space="preserve">allery design allows for the potential placement of some control equipment </w:t>
      </w:r>
      <w:r w:rsidR="009F09BD" w:rsidRPr="00141E7F">
        <w:rPr>
          <w:rFonts w:cs="Arial"/>
          <w:sz w:val="22"/>
          <w:szCs w:val="22"/>
        </w:rPr>
        <w:t>in voids between the display walls and the gallery perimeter.</w:t>
      </w:r>
    </w:p>
    <w:p w:rsidR="009F09BD" w:rsidRPr="00141E7F" w:rsidRDefault="009F09BD" w:rsidP="00141E7F">
      <w:pPr>
        <w:pStyle w:val="ListParagraph"/>
        <w:numPr>
          <w:ilvl w:val="0"/>
          <w:numId w:val="42"/>
        </w:numPr>
        <w:spacing w:after="120" w:line="240" w:lineRule="auto"/>
        <w:rPr>
          <w:rFonts w:cs="Arial"/>
          <w:sz w:val="22"/>
          <w:szCs w:val="22"/>
        </w:rPr>
      </w:pPr>
      <w:r w:rsidRPr="00141E7F">
        <w:rPr>
          <w:rFonts w:cs="Arial"/>
          <w:sz w:val="22"/>
          <w:szCs w:val="22"/>
        </w:rPr>
        <w:t xml:space="preserve">The </w:t>
      </w:r>
      <w:r w:rsidR="004313D9" w:rsidRPr="00141E7F">
        <w:rPr>
          <w:rFonts w:cs="Arial"/>
          <w:sz w:val="22"/>
          <w:szCs w:val="22"/>
        </w:rPr>
        <w:t xml:space="preserve">maximum </w:t>
      </w:r>
      <w:r w:rsidRPr="00141E7F">
        <w:rPr>
          <w:rFonts w:cs="Arial"/>
          <w:sz w:val="22"/>
          <w:szCs w:val="22"/>
        </w:rPr>
        <w:t>gallery ceiling height</w:t>
      </w:r>
      <w:r w:rsidR="004313D9" w:rsidRPr="00141E7F">
        <w:rPr>
          <w:rFonts w:cs="Arial"/>
          <w:sz w:val="22"/>
          <w:szCs w:val="22"/>
        </w:rPr>
        <w:t xml:space="preserve"> between ceiling beams is approximately 5.2m, the approximate height to the underside of the beams is 4.8m and the height of the inner display walls is 4.8m. This therefore leaves a maximum gap between ceiling beams and above the </w:t>
      </w:r>
      <w:r w:rsidR="00141E7F">
        <w:rPr>
          <w:rFonts w:cs="Arial"/>
          <w:sz w:val="22"/>
          <w:szCs w:val="22"/>
        </w:rPr>
        <w:t xml:space="preserve">top of the side </w:t>
      </w:r>
      <w:r w:rsidR="004313D9" w:rsidRPr="00141E7F">
        <w:rPr>
          <w:rFonts w:cs="Arial"/>
          <w:sz w:val="22"/>
          <w:szCs w:val="22"/>
        </w:rPr>
        <w:t>display wall</w:t>
      </w:r>
      <w:r w:rsidR="00141E7F">
        <w:rPr>
          <w:rFonts w:cs="Arial"/>
          <w:sz w:val="22"/>
          <w:szCs w:val="22"/>
        </w:rPr>
        <w:t>s</w:t>
      </w:r>
      <w:r w:rsidR="004313D9" w:rsidRPr="00141E7F">
        <w:rPr>
          <w:rFonts w:cs="Arial"/>
          <w:sz w:val="22"/>
          <w:szCs w:val="22"/>
        </w:rPr>
        <w:t xml:space="preserve"> of 0.4m. This wall lines both sides of the entire gallery.  </w:t>
      </w:r>
      <w:r w:rsidRPr="00141E7F">
        <w:rPr>
          <w:rFonts w:cs="Arial"/>
          <w:sz w:val="22"/>
          <w:szCs w:val="22"/>
        </w:rPr>
        <w:t xml:space="preserve">The bidder should advise on whether this will </w:t>
      </w:r>
      <w:r w:rsidR="004313D9" w:rsidRPr="00141E7F">
        <w:rPr>
          <w:rFonts w:cs="Arial"/>
          <w:sz w:val="22"/>
          <w:szCs w:val="22"/>
        </w:rPr>
        <w:t xml:space="preserve">provide sufficient movement for conditioned air. </w:t>
      </w:r>
    </w:p>
    <w:p w:rsidR="009F09BD" w:rsidRPr="00F133F3" w:rsidRDefault="009F09BD" w:rsidP="009F09BD">
      <w:pPr>
        <w:pStyle w:val="ListParagraph"/>
        <w:rPr>
          <w:rFonts w:eastAsiaTheme="minorHAnsi" w:cs="Arial"/>
          <w:color w:val="FF0000"/>
          <w:sz w:val="22"/>
          <w:szCs w:val="22"/>
        </w:rPr>
      </w:pPr>
    </w:p>
    <w:p w:rsidR="00097D5A" w:rsidRPr="00687E32" w:rsidRDefault="00097D5A" w:rsidP="00521A37">
      <w:pPr>
        <w:spacing w:line="240" w:lineRule="auto"/>
        <w:jc w:val="left"/>
        <w:rPr>
          <w:rFonts w:cs="Arial"/>
          <w:sz w:val="22"/>
          <w:szCs w:val="22"/>
        </w:rPr>
      </w:pPr>
    </w:p>
    <w:p w:rsidR="006532AD" w:rsidRDefault="00E54672" w:rsidP="006532AD">
      <w:pPr>
        <w:spacing w:after="240" w:line="240" w:lineRule="auto"/>
        <w:contextualSpacing/>
        <w:rPr>
          <w:rFonts w:cs="Arial"/>
          <w:b/>
          <w:sz w:val="22"/>
          <w:szCs w:val="22"/>
        </w:rPr>
      </w:pPr>
      <w:r>
        <w:rPr>
          <w:rFonts w:cs="Arial"/>
          <w:b/>
          <w:sz w:val="22"/>
          <w:szCs w:val="22"/>
        </w:rPr>
        <w:t>5.4</w:t>
      </w:r>
      <w:r w:rsidR="007129D5" w:rsidRPr="00687E32">
        <w:rPr>
          <w:rFonts w:cs="Arial"/>
          <w:b/>
          <w:sz w:val="22"/>
          <w:szCs w:val="22"/>
        </w:rPr>
        <w:t xml:space="preserve"> </w:t>
      </w:r>
      <w:r w:rsidR="00A02348" w:rsidRPr="00687E32">
        <w:rPr>
          <w:rFonts w:cs="Arial"/>
          <w:b/>
          <w:sz w:val="22"/>
          <w:szCs w:val="22"/>
        </w:rPr>
        <w:tab/>
      </w:r>
      <w:r w:rsidR="00D50B25" w:rsidRPr="00687E32">
        <w:rPr>
          <w:rFonts w:cs="Arial"/>
          <w:b/>
          <w:sz w:val="22"/>
          <w:szCs w:val="22"/>
        </w:rPr>
        <w:t>I</w:t>
      </w:r>
      <w:r w:rsidR="001633F4">
        <w:rPr>
          <w:rFonts w:cs="Arial"/>
          <w:b/>
          <w:sz w:val="22"/>
          <w:szCs w:val="22"/>
        </w:rPr>
        <w:t>mplementation / I</w:t>
      </w:r>
      <w:r w:rsidR="00D50B25" w:rsidRPr="00687E32">
        <w:rPr>
          <w:rFonts w:cs="Arial"/>
          <w:b/>
          <w:sz w:val="22"/>
          <w:szCs w:val="22"/>
        </w:rPr>
        <w:t>nstallation</w:t>
      </w:r>
    </w:p>
    <w:p w:rsidR="00D50B25" w:rsidRPr="00462298" w:rsidRDefault="00D50B25" w:rsidP="006532AD">
      <w:pPr>
        <w:spacing w:after="240" w:line="240" w:lineRule="auto"/>
        <w:contextualSpacing/>
        <w:rPr>
          <w:rFonts w:cs="Arial"/>
          <w:b/>
          <w:sz w:val="22"/>
          <w:szCs w:val="22"/>
        </w:rPr>
      </w:pPr>
      <w:r w:rsidRPr="00AE7D02">
        <w:rPr>
          <w:rFonts w:cs="Arial"/>
          <w:sz w:val="22"/>
          <w:szCs w:val="22"/>
        </w:rPr>
        <w:t xml:space="preserve">NML expects the installation of the equipment to cause minimum disruption or disturbance in the venues. NML would expect the system to be fully installed, tested and operational in order to minimise the disruption. </w:t>
      </w:r>
    </w:p>
    <w:p w:rsidR="00D50B25" w:rsidRPr="00AE7D02" w:rsidRDefault="00D50B25" w:rsidP="00921E38">
      <w:pPr>
        <w:spacing w:line="240" w:lineRule="auto"/>
        <w:contextualSpacing/>
        <w:rPr>
          <w:rFonts w:cs="Arial"/>
          <w:sz w:val="22"/>
          <w:szCs w:val="22"/>
        </w:rPr>
      </w:pPr>
    </w:p>
    <w:p w:rsidR="00532569" w:rsidRPr="00AE7D02" w:rsidRDefault="00532569" w:rsidP="00532569">
      <w:pPr>
        <w:spacing w:line="240" w:lineRule="auto"/>
        <w:contextualSpacing/>
        <w:rPr>
          <w:rFonts w:cs="Arial"/>
          <w:sz w:val="22"/>
          <w:szCs w:val="22"/>
        </w:rPr>
      </w:pPr>
      <w:r w:rsidRPr="00AE7D02">
        <w:rPr>
          <w:rFonts w:cs="Arial"/>
          <w:sz w:val="22"/>
          <w:szCs w:val="22"/>
        </w:rPr>
        <w:t>NML expects the implementation of the solution to be fully project managed, ensuring that the required delivery dates are met.</w:t>
      </w:r>
    </w:p>
    <w:p w:rsidR="00532569" w:rsidRPr="00AE7D02" w:rsidRDefault="00532569" w:rsidP="00532569">
      <w:pPr>
        <w:spacing w:line="240" w:lineRule="auto"/>
        <w:contextualSpacing/>
        <w:rPr>
          <w:rFonts w:cs="Arial"/>
          <w:sz w:val="22"/>
          <w:szCs w:val="22"/>
        </w:rPr>
      </w:pPr>
    </w:p>
    <w:p w:rsidR="00532569" w:rsidRPr="00AE7D02" w:rsidRDefault="00532569" w:rsidP="00532569">
      <w:pPr>
        <w:spacing w:line="240" w:lineRule="auto"/>
        <w:contextualSpacing/>
        <w:rPr>
          <w:rFonts w:cs="Arial"/>
          <w:sz w:val="22"/>
          <w:szCs w:val="22"/>
        </w:rPr>
      </w:pPr>
      <w:r w:rsidRPr="00AE7D02">
        <w:rPr>
          <w:rFonts w:cs="Arial"/>
          <w:sz w:val="22"/>
          <w:szCs w:val="22"/>
        </w:rPr>
        <w:t xml:space="preserve">NML also expect the implementation to include the appropriate levels of on-site presence to ensure smooth delivery of key stages, specifically go-live. </w:t>
      </w:r>
    </w:p>
    <w:p w:rsidR="00D50B25" w:rsidRPr="00687E32" w:rsidRDefault="00D50B25" w:rsidP="00521A37">
      <w:pPr>
        <w:spacing w:line="240" w:lineRule="auto"/>
        <w:jc w:val="left"/>
        <w:rPr>
          <w:rFonts w:cs="Arial"/>
          <w:sz w:val="22"/>
          <w:szCs w:val="22"/>
        </w:rPr>
      </w:pPr>
    </w:p>
    <w:p w:rsidR="004103C5" w:rsidRPr="00687E32" w:rsidRDefault="004103C5" w:rsidP="00521A37">
      <w:pPr>
        <w:spacing w:line="240" w:lineRule="auto"/>
        <w:contextualSpacing/>
        <w:jc w:val="left"/>
        <w:rPr>
          <w:rFonts w:cs="Arial"/>
          <w:b/>
          <w:sz w:val="22"/>
          <w:szCs w:val="22"/>
        </w:rPr>
      </w:pPr>
    </w:p>
    <w:p w:rsidR="006532AD" w:rsidRDefault="00E54672" w:rsidP="006532AD">
      <w:pPr>
        <w:spacing w:line="240" w:lineRule="auto"/>
        <w:contextualSpacing/>
        <w:jc w:val="left"/>
        <w:rPr>
          <w:rFonts w:cs="Arial"/>
          <w:b/>
          <w:sz w:val="22"/>
          <w:szCs w:val="22"/>
        </w:rPr>
      </w:pPr>
      <w:r>
        <w:rPr>
          <w:rFonts w:cs="Arial"/>
          <w:b/>
          <w:sz w:val="22"/>
          <w:szCs w:val="22"/>
        </w:rPr>
        <w:t>5.5</w:t>
      </w:r>
      <w:r w:rsidR="00D50B25" w:rsidRPr="00687E32">
        <w:rPr>
          <w:rFonts w:cs="Arial"/>
          <w:b/>
          <w:sz w:val="22"/>
          <w:szCs w:val="22"/>
        </w:rPr>
        <w:t xml:space="preserve"> </w:t>
      </w:r>
      <w:r w:rsidR="00A63182" w:rsidRPr="00687E32">
        <w:rPr>
          <w:rFonts w:cs="Arial"/>
          <w:b/>
          <w:sz w:val="22"/>
          <w:szCs w:val="22"/>
        </w:rPr>
        <w:tab/>
      </w:r>
      <w:r w:rsidR="00D50B25" w:rsidRPr="00687E32">
        <w:rPr>
          <w:rFonts w:cs="Arial"/>
          <w:b/>
          <w:sz w:val="22"/>
          <w:szCs w:val="22"/>
        </w:rPr>
        <w:t>Support/Maintenance</w:t>
      </w:r>
    </w:p>
    <w:p w:rsidR="00AE7D02" w:rsidRPr="00141E7F" w:rsidRDefault="00AE7D02" w:rsidP="006532AD">
      <w:pPr>
        <w:spacing w:line="240" w:lineRule="auto"/>
        <w:contextualSpacing/>
        <w:jc w:val="left"/>
        <w:rPr>
          <w:rFonts w:cs="Arial"/>
          <w:b/>
          <w:sz w:val="22"/>
          <w:szCs w:val="22"/>
        </w:rPr>
      </w:pPr>
      <w:r w:rsidRPr="00141E7F">
        <w:rPr>
          <w:rFonts w:cs="Arial"/>
          <w:sz w:val="22"/>
          <w:szCs w:val="22"/>
        </w:rPr>
        <w:t>The bidder will be required to provide training for staff involved with the daily maintenance required for the operation of the equipment supplied.</w:t>
      </w:r>
    </w:p>
    <w:p w:rsidR="00AE7D02" w:rsidRPr="00141E7F" w:rsidRDefault="00AE7D02" w:rsidP="00532569">
      <w:pPr>
        <w:spacing w:line="240" w:lineRule="auto"/>
        <w:contextualSpacing/>
        <w:rPr>
          <w:rFonts w:cs="Arial"/>
          <w:sz w:val="22"/>
          <w:szCs w:val="22"/>
        </w:rPr>
      </w:pPr>
    </w:p>
    <w:p w:rsidR="006532AD" w:rsidRPr="00141E7F" w:rsidRDefault="00AE7D02" w:rsidP="00921E38">
      <w:pPr>
        <w:spacing w:line="240" w:lineRule="auto"/>
        <w:contextualSpacing/>
        <w:rPr>
          <w:rFonts w:cs="Arial"/>
          <w:sz w:val="22"/>
          <w:szCs w:val="22"/>
        </w:rPr>
      </w:pPr>
      <w:r w:rsidRPr="00141E7F">
        <w:rPr>
          <w:rFonts w:cs="Arial"/>
          <w:sz w:val="22"/>
          <w:szCs w:val="22"/>
        </w:rPr>
        <w:t xml:space="preserve">The bidder is required to provide support for the initial installation and set up of equipment and subsequent testing over a period of 1-2 weeks, prior to opening and at intervals thereafter during the </w:t>
      </w:r>
      <w:r w:rsidR="00EA1443">
        <w:rPr>
          <w:rFonts w:cs="Arial"/>
          <w:sz w:val="22"/>
          <w:szCs w:val="22"/>
        </w:rPr>
        <w:t>‘</w:t>
      </w:r>
      <w:r w:rsidRPr="00141E7F">
        <w:rPr>
          <w:rFonts w:cs="Arial"/>
          <w:sz w:val="22"/>
          <w:szCs w:val="22"/>
        </w:rPr>
        <w:t>China’s First Emperor and the Terracotta Warriors</w:t>
      </w:r>
      <w:r w:rsidR="00EA1443">
        <w:rPr>
          <w:rFonts w:cs="Arial"/>
          <w:sz w:val="22"/>
          <w:szCs w:val="22"/>
        </w:rPr>
        <w:t>’</w:t>
      </w:r>
      <w:r w:rsidRPr="00141E7F">
        <w:rPr>
          <w:rFonts w:cs="Arial"/>
          <w:sz w:val="22"/>
          <w:szCs w:val="22"/>
        </w:rPr>
        <w:t xml:space="preserve"> exhibition.</w:t>
      </w:r>
    </w:p>
    <w:p w:rsidR="006532AD" w:rsidRDefault="006532AD">
      <w:pPr>
        <w:spacing w:line="240" w:lineRule="auto"/>
        <w:jc w:val="left"/>
        <w:rPr>
          <w:rFonts w:cs="Arial"/>
          <w:color w:val="FF0000"/>
          <w:sz w:val="22"/>
          <w:szCs w:val="22"/>
        </w:rPr>
      </w:pPr>
    </w:p>
    <w:bookmarkEnd w:id="60"/>
    <w:sectPr w:rsidR="006532AD" w:rsidSect="0067690B">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D5C" w:rsidRDefault="00052D5C">
      <w:r>
        <w:separator/>
      </w:r>
    </w:p>
  </w:endnote>
  <w:endnote w:type="continuationSeparator" w:id="0">
    <w:p w:rsidR="00052D5C" w:rsidRDefault="0005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052D5C" w:rsidTr="00BE66F7">
      <w:trPr>
        <w:trHeight w:val="1279"/>
      </w:trPr>
      <w:tc>
        <w:tcPr>
          <w:tcW w:w="250" w:type="dxa"/>
        </w:tcPr>
        <w:p w:rsidR="00052D5C" w:rsidRDefault="00052D5C">
          <w:pPr>
            <w:tabs>
              <w:tab w:val="left" w:pos="5792"/>
            </w:tabs>
            <w:spacing w:line="240" w:lineRule="auto"/>
            <w:rPr>
              <w:rFonts w:cs="Arial"/>
              <w:sz w:val="16"/>
            </w:rPr>
          </w:pPr>
        </w:p>
      </w:tc>
      <w:tc>
        <w:tcPr>
          <w:tcW w:w="8363" w:type="dxa"/>
        </w:tcPr>
        <w:p w:rsidR="00052D5C" w:rsidRPr="008669A6" w:rsidRDefault="00052D5C" w:rsidP="008669A6">
          <w:pPr>
            <w:tabs>
              <w:tab w:val="left" w:pos="5792"/>
            </w:tabs>
            <w:spacing w:line="240" w:lineRule="auto"/>
            <w:rPr>
              <w:rFonts w:cs="Arial"/>
              <w:b/>
              <w:bCs/>
              <w:color w:val="00001C"/>
              <w:sz w:val="15"/>
            </w:rPr>
          </w:pPr>
        </w:p>
      </w:tc>
    </w:tr>
  </w:tbl>
  <w:p w:rsidR="00052D5C" w:rsidRDefault="00052D5C">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052D5C">
      <w:trPr>
        <w:cantSplit/>
      </w:trPr>
      <w:tc>
        <w:tcPr>
          <w:tcW w:w="4644" w:type="dxa"/>
          <w:vAlign w:val="center"/>
        </w:tcPr>
        <w:p w:rsidR="00052D5C" w:rsidRDefault="00052D5C">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052D5C" w:rsidRDefault="00052D5C">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54017B">
            <w:rPr>
              <w:rStyle w:val="PageNumber"/>
              <w:noProof/>
            </w:rPr>
            <w:t>4</w:t>
          </w:r>
          <w:r>
            <w:rPr>
              <w:rStyle w:val="PageNumber"/>
            </w:rPr>
            <w:fldChar w:fldCharType="end"/>
          </w:r>
        </w:p>
      </w:tc>
    </w:tr>
  </w:tbl>
  <w:p w:rsidR="00052D5C" w:rsidRDefault="00052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D5C" w:rsidRDefault="00052D5C">
      <w:r>
        <w:separator/>
      </w:r>
    </w:p>
  </w:footnote>
  <w:footnote w:type="continuationSeparator" w:id="0">
    <w:p w:rsidR="00052D5C" w:rsidRDefault="00052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052D5C">
      <w:tc>
        <w:tcPr>
          <w:tcW w:w="8472" w:type="dxa"/>
          <w:tcMar>
            <w:right w:w="28" w:type="dxa"/>
          </w:tcMar>
        </w:tcPr>
        <w:p w:rsidR="00052D5C" w:rsidRDefault="00052D5C">
          <w:pPr>
            <w:tabs>
              <w:tab w:val="left" w:pos="828"/>
              <w:tab w:val="right" w:pos="9152"/>
            </w:tabs>
            <w:rPr>
              <w:rFonts w:cs="Arial"/>
              <w:sz w:val="12"/>
            </w:rPr>
          </w:pPr>
        </w:p>
      </w:tc>
    </w:tr>
  </w:tbl>
  <w:p w:rsidR="00052D5C" w:rsidRDefault="00052D5C">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23B48C9"/>
    <w:multiLevelType w:val="hybridMultilevel"/>
    <w:tmpl w:val="26B4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4">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9">
    <w:nsid w:val="4BE12907"/>
    <w:multiLevelType w:val="hybridMultilevel"/>
    <w:tmpl w:val="3F2E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1">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2">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098638E"/>
    <w:multiLevelType w:val="hybridMultilevel"/>
    <w:tmpl w:val="2DE8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46A0DA2"/>
    <w:multiLevelType w:val="hybridMultilevel"/>
    <w:tmpl w:val="D44267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6">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9181575"/>
    <w:multiLevelType w:val="hybridMultilevel"/>
    <w:tmpl w:val="A74CA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nsid w:val="731378FF"/>
    <w:multiLevelType w:val="hybridMultilevel"/>
    <w:tmpl w:val="4A502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F37791"/>
    <w:multiLevelType w:val="hybridMultilevel"/>
    <w:tmpl w:val="6FC8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35"/>
  </w:num>
  <w:num w:numId="4">
    <w:abstractNumId w:val="38"/>
  </w:num>
  <w:num w:numId="5">
    <w:abstractNumId w:val="7"/>
  </w:num>
  <w:num w:numId="6">
    <w:abstractNumId w:val="31"/>
  </w:num>
  <w:num w:numId="7">
    <w:abstractNumId w:val="28"/>
  </w:num>
  <w:num w:numId="8">
    <w:abstractNumId w:val="18"/>
  </w:num>
  <w:num w:numId="9">
    <w:abstractNumId w:val="36"/>
  </w:num>
  <w:num w:numId="10">
    <w:abstractNumId w:val="21"/>
  </w:num>
  <w:num w:numId="11">
    <w:abstractNumId w:val="15"/>
  </w:num>
  <w:num w:numId="12">
    <w:abstractNumId w:val="13"/>
  </w:num>
  <w:num w:numId="13">
    <w:abstractNumId w:val="19"/>
  </w:num>
  <w:num w:numId="14">
    <w:abstractNumId w:val="0"/>
  </w:num>
  <w:num w:numId="15">
    <w:abstractNumId w:val="26"/>
  </w:num>
  <w:num w:numId="16">
    <w:abstractNumId w:val="23"/>
  </w:num>
  <w:num w:numId="17">
    <w:abstractNumId w:val="17"/>
  </w:num>
  <w:num w:numId="18">
    <w:abstractNumId w:val="34"/>
  </w:num>
  <w:num w:numId="19">
    <w:abstractNumId w:val="32"/>
  </w:num>
  <w:num w:numId="20">
    <w:abstractNumId w:val="8"/>
  </w:num>
  <w:num w:numId="21">
    <w:abstractNumId w:val="22"/>
  </w:num>
  <w:num w:numId="22">
    <w:abstractNumId w:val="3"/>
  </w:num>
  <w:num w:numId="23">
    <w:abstractNumId w:val="2"/>
  </w:num>
  <w:num w:numId="24">
    <w:abstractNumId w:val="9"/>
  </w:num>
  <w:num w:numId="25">
    <w:abstractNumId w:val="27"/>
  </w:num>
  <w:num w:numId="26">
    <w:abstractNumId w:val="6"/>
  </w:num>
  <w:num w:numId="27">
    <w:abstractNumId w:val="11"/>
  </w:num>
  <w:num w:numId="28">
    <w:abstractNumId w:val="16"/>
  </w:num>
  <w:num w:numId="29">
    <w:abstractNumId w:val="10"/>
  </w:num>
  <w:num w:numId="30">
    <w:abstractNumId w:val="14"/>
  </w:num>
  <w:num w:numId="31">
    <w:abstractNumId w:val="25"/>
  </w:num>
  <w:num w:numId="32">
    <w:abstractNumId w:val="4"/>
  </w:num>
  <w:num w:numId="33">
    <w:abstractNumId w:val="5"/>
  </w:num>
  <w:num w:numId="34">
    <w:abstractNumId w:val="24"/>
  </w:num>
  <w:num w:numId="35">
    <w:abstractNumId w:val="37"/>
  </w:num>
  <w:num w:numId="36">
    <w:abstractNumId w:val="20"/>
  </w:num>
  <w:num w:numId="37">
    <w:abstractNumId w:val="40"/>
  </w:num>
  <w:num w:numId="38">
    <w:abstractNumId w:val="17"/>
  </w:num>
  <w:num w:numId="39">
    <w:abstractNumId w:val="17"/>
  </w:num>
  <w:num w:numId="40">
    <w:abstractNumId w:val="33"/>
  </w:num>
  <w:num w:numId="41">
    <w:abstractNumId w:val="39"/>
  </w:num>
  <w:num w:numId="42">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6656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3B72"/>
    <w:rsid w:val="0003443A"/>
    <w:rsid w:val="00034B2C"/>
    <w:rsid w:val="000362C8"/>
    <w:rsid w:val="0004092D"/>
    <w:rsid w:val="00042E42"/>
    <w:rsid w:val="00047012"/>
    <w:rsid w:val="00047F6E"/>
    <w:rsid w:val="00050B8F"/>
    <w:rsid w:val="000515D2"/>
    <w:rsid w:val="00052D5C"/>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6983"/>
    <w:rsid w:val="000870CE"/>
    <w:rsid w:val="000877A8"/>
    <w:rsid w:val="000907C7"/>
    <w:rsid w:val="00093789"/>
    <w:rsid w:val="00097112"/>
    <w:rsid w:val="00097D5A"/>
    <w:rsid w:val="000A419B"/>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171C8"/>
    <w:rsid w:val="0012169F"/>
    <w:rsid w:val="00122409"/>
    <w:rsid w:val="001226EB"/>
    <w:rsid w:val="0012509A"/>
    <w:rsid w:val="00127A6A"/>
    <w:rsid w:val="00130B43"/>
    <w:rsid w:val="001346C9"/>
    <w:rsid w:val="001351EC"/>
    <w:rsid w:val="00135D5E"/>
    <w:rsid w:val="00135DB3"/>
    <w:rsid w:val="00135F15"/>
    <w:rsid w:val="00136414"/>
    <w:rsid w:val="00141E7F"/>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233"/>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1B42"/>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6BA"/>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21AF"/>
    <w:rsid w:val="003D2508"/>
    <w:rsid w:val="003D36AB"/>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2C6D"/>
    <w:rsid w:val="00413E67"/>
    <w:rsid w:val="00414EF4"/>
    <w:rsid w:val="004209BD"/>
    <w:rsid w:val="00425869"/>
    <w:rsid w:val="00426B5E"/>
    <w:rsid w:val="00426BF8"/>
    <w:rsid w:val="00427223"/>
    <w:rsid w:val="004313D9"/>
    <w:rsid w:val="00437901"/>
    <w:rsid w:val="004403E2"/>
    <w:rsid w:val="004415C4"/>
    <w:rsid w:val="00441883"/>
    <w:rsid w:val="00443DB0"/>
    <w:rsid w:val="00443FA2"/>
    <w:rsid w:val="00444C39"/>
    <w:rsid w:val="00450155"/>
    <w:rsid w:val="00451928"/>
    <w:rsid w:val="00451C3B"/>
    <w:rsid w:val="004529F1"/>
    <w:rsid w:val="0045500C"/>
    <w:rsid w:val="00455CCB"/>
    <w:rsid w:val="00456444"/>
    <w:rsid w:val="004579CB"/>
    <w:rsid w:val="0046067F"/>
    <w:rsid w:val="0046146A"/>
    <w:rsid w:val="00461FEE"/>
    <w:rsid w:val="00462298"/>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61A3"/>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4D2"/>
    <w:rsid w:val="00523CCF"/>
    <w:rsid w:val="00524348"/>
    <w:rsid w:val="00526932"/>
    <w:rsid w:val="00526D2D"/>
    <w:rsid w:val="00532569"/>
    <w:rsid w:val="00535C01"/>
    <w:rsid w:val="00536DC1"/>
    <w:rsid w:val="0054017B"/>
    <w:rsid w:val="00543680"/>
    <w:rsid w:val="00547641"/>
    <w:rsid w:val="005501DC"/>
    <w:rsid w:val="005511F9"/>
    <w:rsid w:val="00553C0B"/>
    <w:rsid w:val="00555480"/>
    <w:rsid w:val="005647E6"/>
    <w:rsid w:val="0057041A"/>
    <w:rsid w:val="005713AE"/>
    <w:rsid w:val="005734CD"/>
    <w:rsid w:val="005735A1"/>
    <w:rsid w:val="00574BB9"/>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09AD"/>
    <w:rsid w:val="00643B11"/>
    <w:rsid w:val="0064544E"/>
    <w:rsid w:val="006506CF"/>
    <w:rsid w:val="00650B4C"/>
    <w:rsid w:val="006532AD"/>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690B"/>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9BC"/>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53C28"/>
    <w:rsid w:val="0076237C"/>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4ED2"/>
    <w:rsid w:val="007D5464"/>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6F0A"/>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795"/>
    <w:rsid w:val="00902EE3"/>
    <w:rsid w:val="009030EB"/>
    <w:rsid w:val="0090396C"/>
    <w:rsid w:val="00905A5E"/>
    <w:rsid w:val="009111F0"/>
    <w:rsid w:val="00911ADF"/>
    <w:rsid w:val="009135F9"/>
    <w:rsid w:val="00915E4A"/>
    <w:rsid w:val="00921E38"/>
    <w:rsid w:val="00932098"/>
    <w:rsid w:val="009334AD"/>
    <w:rsid w:val="009337C7"/>
    <w:rsid w:val="009367CA"/>
    <w:rsid w:val="0094017D"/>
    <w:rsid w:val="00940E00"/>
    <w:rsid w:val="00944136"/>
    <w:rsid w:val="00944960"/>
    <w:rsid w:val="00945493"/>
    <w:rsid w:val="00955446"/>
    <w:rsid w:val="0095609D"/>
    <w:rsid w:val="00956CA3"/>
    <w:rsid w:val="009721BC"/>
    <w:rsid w:val="00975DE8"/>
    <w:rsid w:val="0097652D"/>
    <w:rsid w:val="009768FC"/>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09BD"/>
    <w:rsid w:val="009F36CD"/>
    <w:rsid w:val="009F4167"/>
    <w:rsid w:val="009F4CA5"/>
    <w:rsid w:val="00A00B84"/>
    <w:rsid w:val="00A00E49"/>
    <w:rsid w:val="00A02348"/>
    <w:rsid w:val="00A06221"/>
    <w:rsid w:val="00A0751F"/>
    <w:rsid w:val="00A107F0"/>
    <w:rsid w:val="00A13A86"/>
    <w:rsid w:val="00A1640C"/>
    <w:rsid w:val="00A204DD"/>
    <w:rsid w:val="00A21C63"/>
    <w:rsid w:val="00A235E2"/>
    <w:rsid w:val="00A24462"/>
    <w:rsid w:val="00A31D80"/>
    <w:rsid w:val="00A3709A"/>
    <w:rsid w:val="00A409A7"/>
    <w:rsid w:val="00A42EA2"/>
    <w:rsid w:val="00A46BEF"/>
    <w:rsid w:val="00A50FB5"/>
    <w:rsid w:val="00A525C9"/>
    <w:rsid w:val="00A530F6"/>
    <w:rsid w:val="00A60628"/>
    <w:rsid w:val="00A63182"/>
    <w:rsid w:val="00A6383B"/>
    <w:rsid w:val="00A63D88"/>
    <w:rsid w:val="00A668D1"/>
    <w:rsid w:val="00A6699C"/>
    <w:rsid w:val="00A71A69"/>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E7D02"/>
    <w:rsid w:val="00AF0708"/>
    <w:rsid w:val="00AF2DBC"/>
    <w:rsid w:val="00AF31D5"/>
    <w:rsid w:val="00AF3B0A"/>
    <w:rsid w:val="00AF4524"/>
    <w:rsid w:val="00B007B3"/>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4EDE"/>
    <w:rsid w:val="00C56499"/>
    <w:rsid w:val="00C57854"/>
    <w:rsid w:val="00C602BF"/>
    <w:rsid w:val="00C62825"/>
    <w:rsid w:val="00C62FAD"/>
    <w:rsid w:val="00C6632A"/>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3880"/>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466B"/>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4672"/>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669"/>
    <w:rsid w:val="00E87B61"/>
    <w:rsid w:val="00E87D65"/>
    <w:rsid w:val="00E90F3A"/>
    <w:rsid w:val="00E910BE"/>
    <w:rsid w:val="00E91753"/>
    <w:rsid w:val="00E93DA1"/>
    <w:rsid w:val="00E95AB8"/>
    <w:rsid w:val="00EA1443"/>
    <w:rsid w:val="00EA1B61"/>
    <w:rsid w:val="00EA3789"/>
    <w:rsid w:val="00EB192B"/>
    <w:rsid w:val="00EB3E82"/>
    <w:rsid w:val="00EB43D5"/>
    <w:rsid w:val="00EB5A9D"/>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3F3"/>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1F7C"/>
    <w:rsid w:val="00F9223F"/>
    <w:rsid w:val="00F923AD"/>
    <w:rsid w:val="00F92F9F"/>
    <w:rsid w:val="00F97E4A"/>
    <w:rsid w:val="00FA09E4"/>
    <w:rsid w:val="00FA17CE"/>
    <w:rsid w:val="00FA6120"/>
    <w:rsid w:val="00FB2ED5"/>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jenny.green@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685D3-2CFE-4E98-B4D9-0B2A929F5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5340</Words>
  <Characters>28761</Characters>
  <Application>Microsoft Office Word</Application>
  <DocSecurity>4</DocSecurity>
  <Lines>239</Lines>
  <Paragraphs>68</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34033</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2</cp:revision>
  <cp:lastPrinted>2017-04-07T11:31:00Z</cp:lastPrinted>
  <dcterms:created xsi:type="dcterms:W3CDTF">2017-11-16T16:16:00Z</dcterms:created>
  <dcterms:modified xsi:type="dcterms:W3CDTF">2017-11-16T16:16:00Z</dcterms:modified>
</cp:coreProperties>
</file>